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(Mark One)</w:t>
      </w:r>
    </w:p>
    <w:p>
      <w:pPr>
        <w:spacing w:after="0" w:line="230" w:lineRule="exact"/>
        <w:rPr>
          <w:sz w:val="24"/>
          <w:szCs w:val="24"/>
          <w:color w:val="auto"/>
        </w:rPr>
      </w:pPr>
    </w:p>
    <w:p>
      <w:pPr>
        <w:ind w:left="1180" w:hanging="210"/>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jc w:val="center"/>
        <w:ind w:left="3140" w:right="940" w:hanging="2199"/>
        <w:spacing w:after="0" w:line="266" w:lineRule="auto"/>
        <w:tabs>
          <w:tab w:leader="none" w:pos="113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 to _____________</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001-36384</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MAGNITE,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122" w:lineRule="exact"/>
        <w:rPr>
          <w:sz w:val="24"/>
          <w:szCs w:val="24"/>
          <w:color w:val="auto"/>
        </w:rPr>
      </w:pPr>
    </w:p>
    <w:p>
      <w:pPr>
        <w:ind w:left="1860"/>
        <w:spacing w:after="0"/>
        <w:tabs>
          <w:tab w:leader="none" w:pos="856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20-8881738</w:t>
      </w:r>
    </w:p>
    <w:p>
      <w:pPr>
        <w:spacing w:after="0" w:line="15" w:lineRule="exact"/>
        <w:rPr>
          <w:sz w:val="24"/>
          <w:szCs w:val="24"/>
          <w:color w:val="auto"/>
        </w:rPr>
      </w:pPr>
    </w:p>
    <w:p>
      <w:pPr>
        <w:ind w:left="580"/>
        <w:spacing w:after="0"/>
        <w:tabs>
          <w:tab w:leader="none" w:pos="7680" w:val="left"/>
        </w:tabs>
        <w:rPr>
          <w:sz w:val="20"/>
          <w:szCs w:val="20"/>
          <w:color w:val="auto"/>
        </w:rPr>
      </w:pPr>
      <w:r>
        <w:rPr>
          <w:rFonts w:ascii="Times New Roman" w:cs="Times New Roman" w:eastAsia="Times New Roman" w:hAnsi="Times New Roman"/>
          <w:sz w:val="18"/>
          <w:szCs w:val="18"/>
          <w:color w:val="auto"/>
        </w:rPr>
        <w:t>(State or other jurisdiction of incorporation or</w:t>
      </w:r>
      <w:r>
        <w:rPr>
          <w:sz w:val="20"/>
          <w:szCs w:val="20"/>
          <w:color w:val="auto"/>
        </w:rPr>
        <w:tab/>
      </w:r>
      <w:r>
        <w:rPr>
          <w:rFonts w:ascii="Times New Roman" w:cs="Times New Roman" w:eastAsia="Times New Roman" w:hAnsi="Times New Roman"/>
          <w:sz w:val="18"/>
          <w:szCs w:val="18"/>
          <w:color w:val="auto"/>
        </w:rPr>
        <w:t>(I.R.S. Employer Identification No.)</w:t>
      </w:r>
    </w:p>
    <w:p>
      <w:pPr>
        <w:ind w:left="1760"/>
        <w:spacing w:after="0"/>
        <w:rPr>
          <w:sz w:val="20"/>
          <w:szCs w:val="20"/>
          <w:color w:val="auto"/>
        </w:rPr>
      </w:pPr>
      <w:r>
        <w:rPr>
          <w:rFonts w:ascii="Times New Roman" w:cs="Times New Roman" w:eastAsia="Times New Roman" w:hAnsi="Times New Roman"/>
          <w:sz w:val="18"/>
          <w:szCs w:val="18"/>
          <w:color w:val="auto"/>
        </w:rPr>
        <w:t>organization)</w:t>
      </w:r>
    </w:p>
    <w:p>
      <w:pPr>
        <w:spacing w:after="0" w:line="10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1250 Broadway, 9th Floor</w:t>
      </w:r>
    </w:p>
    <w:p>
      <w:pPr>
        <w:spacing w:after="0" w:line="31"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 w:lineRule="exact"/>
        <w:rPr>
          <w:sz w:val="24"/>
          <w:szCs w:val="24"/>
          <w:color w:val="auto"/>
        </w:rPr>
      </w:pPr>
    </w:p>
    <w:p>
      <w:pPr>
        <w:ind w:left="5500" w:hanging="438"/>
        <w:spacing w:after="0"/>
        <w:tabs>
          <w:tab w:leader="none" w:pos="5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243-2769</w:t>
      </w:r>
    </w:p>
    <w:p>
      <w:pPr>
        <w:spacing w:after="0" w:line="81" w:lineRule="exact"/>
        <w:rPr>
          <w:rFonts w:ascii="Times New Roman" w:cs="Times New Roman" w:eastAsia="Times New Roman" w:hAnsi="Times New Roman"/>
          <w:sz w:val="18"/>
          <w:szCs w:val="18"/>
          <w:b w:val="1"/>
          <w:bCs w:val="1"/>
          <w:color w:val="auto"/>
        </w:rPr>
      </w:pPr>
    </w:p>
    <w:p>
      <w:pPr>
        <w:ind w:left="50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______________</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4" w:lineRule="exact"/>
        <w:rPr>
          <w:sz w:val="24"/>
          <w:szCs w:val="24"/>
          <w:color w:val="auto"/>
        </w:rPr>
      </w:pPr>
    </w:p>
    <w:p>
      <w:pPr>
        <w:ind w:left="1400"/>
        <w:spacing w:after="0"/>
        <w:tabs>
          <w:tab w:leader="none" w:pos="4420" w:val="left"/>
          <w:tab w:leader="none" w:pos="7080" w:val="left"/>
        </w:tabs>
        <w:rPr>
          <w:sz w:val="20"/>
          <w:szCs w:val="20"/>
          <w:color w:val="auto"/>
        </w:rPr>
      </w:pPr>
      <w:r>
        <w:rPr>
          <w:rFonts w:ascii="Times New Roman" w:cs="Times New Roman" w:eastAsia="Times New Roman" w:hAnsi="Times New Roman"/>
          <w:sz w:val="18"/>
          <w:szCs w:val="18"/>
          <w:color w:val="auto"/>
        </w:rPr>
        <w:t>Title of each class</w:t>
      </w:r>
      <w:r>
        <w:rPr>
          <w:sz w:val="20"/>
          <w:szCs w:val="20"/>
          <w:color w:val="auto"/>
        </w:rPr>
        <w:tab/>
      </w:r>
      <w:r>
        <w:rPr>
          <w:rFonts w:ascii="Times New Roman" w:cs="Times New Roman" w:eastAsia="Times New Roman" w:hAnsi="Times New Roman"/>
          <w:sz w:val="18"/>
          <w:szCs w:val="18"/>
          <w:color w:val="auto"/>
        </w:rPr>
        <w:t>Trading Symbol(s)</w:t>
      </w:r>
      <w:r>
        <w:rPr>
          <w:sz w:val="20"/>
          <w:szCs w:val="20"/>
          <w:color w:val="auto"/>
        </w:rPr>
        <w:tab/>
      </w:r>
      <w:r>
        <w:rPr>
          <w:rFonts w:ascii="Times New Roman" w:cs="Times New Roman" w:eastAsia="Times New Roman" w:hAnsi="Times New Roman"/>
          <w:sz w:val="17"/>
          <w:szCs w:val="17"/>
          <w:color w:val="auto"/>
        </w:rPr>
        <w:t>Name of each exchange on which registered</w:t>
      </w:r>
    </w:p>
    <w:p>
      <w:pPr>
        <w:spacing w:after="0" w:line="27" w:lineRule="exact"/>
        <w:rPr>
          <w:sz w:val="24"/>
          <w:szCs w:val="24"/>
          <w:color w:val="auto"/>
        </w:rPr>
      </w:pPr>
    </w:p>
    <w:p>
      <w:pPr>
        <w:ind w:left="320"/>
        <w:spacing w:after="0"/>
        <w:tabs>
          <w:tab w:leader="none" w:pos="4840" w:val="left"/>
          <w:tab w:leader="none" w:pos="7540" w:val="left"/>
        </w:tabs>
        <w:rPr>
          <w:sz w:val="20"/>
          <w:szCs w:val="20"/>
          <w:color w:val="auto"/>
        </w:rPr>
      </w:pPr>
      <w:r>
        <w:rPr>
          <w:rFonts w:ascii="Times New Roman" w:cs="Times New Roman" w:eastAsia="Times New Roman" w:hAnsi="Times New Roman"/>
          <w:sz w:val="18"/>
          <w:szCs w:val="18"/>
          <w:b w:val="1"/>
          <w:bCs w:val="1"/>
          <w:color w:val="auto"/>
        </w:rPr>
        <w:t>Common stock, par value $0.00001 per share</w:t>
      </w:r>
      <w:r>
        <w:rPr>
          <w:sz w:val="20"/>
          <w:szCs w:val="20"/>
          <w:color w:val="auto"/>
        </w:rPr>
        <w:tab/>
      </w:r>
      <w:r>
        <w:rPr>
          <w:rFonts w:ascii="Times New Roman" w:cs="Times New Roman" w:eastAsia="Times New Roman" w:hAnsi="Times New Roman"/>
          <w:sz w:val="18"/>
          <w:szCs w:val="18"/>
          <w:b w:val="1"/>
          <w:bCs w:val="1"/>
          <w:color w:val="auto"/>
        </w:rPr>
        <w:t>MGNI</w:t>
      </w:r>
      <w:r>
        <w:rPr>
          <w:sz w:val="20"/>
          <w:szCs w:val="20"/>
          <w:color w:val="auto"/>
        </w:rPr>
        <w:tab/>
      </w:r>
      <w:r>
        <w:rPr>
          <w:rFonts w:ascii="Times New Roman" w:cs="Times New Roman" w:eastAsia="Times New Roman" w:hAnsi="Times New Roman"/>
          <w:sz w:val="17"/>
          <w:szCs w:val="17"/>
          <w:b w:val="1"/>
          <w:bCs w:val="1"/>
          <w:color w:val="auto"/>
        </w:rPr>
        <w:t>Nasdaq Global Select Market</w:t>
      </w:r>
    </w:p>
    <w:p>
      <w:pPr>
        <w:spacing w:after="0" w:line="22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4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36"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207" w:lineRule="exact"/>
        <w:tabs>
          <w:tab w:leader="none" w:pos="5420" w:val="left"/>
          <w:tab w:leader="none" w:pos="1104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112" w:lineRule="exact"/>
        <w:rPr>
          <w:sz w:val="24"/>
          <w:szCs w:val="24"/>
          <w:color w:val="auto"/>
        </w:rPr>
      </w:pPr>
    </w:p>
    <w:p>
      <w:pPr>
        <w:ind w:left="20"/>
        <w:spacing w:after="0" w:line="207" w:lineRule="exact"/>
        <w:tabs>
          <w:tab w:leader="none" w:pos="5300" w:val="left"/>
          <w:tab w:leader="none" w:pos="1104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ind w:left="5620"/>
        <w:spacing w:after="0" w:line="207" w:lineRule="exact"/>
        <w:tabs>
          <w:tab w:leader="none" w:pos="110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180"/>
        <w:spacing w:after="0" w:line="29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Indicate the number of shares outstanding of each of the registrant's classes of common stock, as of the latest practicable date.</w:t>
      </w:r>
    </w:p>
    <w:p>
      <w:pPr>
        <w:spacing w:after="0" w:line="120" w:lineRule="exact"/>
        <w:rPr>
          <w:sz w:val="24"/>
          <w:szCs w:val="24"/>
          <w:color w:val="auto"/>
        </w:rPr>
      </w:pPr>
    </w:p>
    <w:p>
      <w:pPr>
        <w:ind w:left="3340"/>
        <w:spacing w:after="0"/>
        <w:tabs>
          <w:tab w:leader="none" w:pos="6480" w:val="left"/>
        </w:tabs>
        <w:rPr>
          <w:sz w:val="20"/>
          <w:szCs w:val="20"/>
          <w:color w:val="auto"/>
        </w:rPr>
      </w:pPr>
      <w:r>
        <w:rPr>
          <w:rFonts w:ascii="Times New Roman" w:cs="Times New Roman" w:eastAsia="Times New Roman" w:hAnsi="Times New Roman"/>
          <w:sz w:val="16"/>
          <w:szCs w:val="16"/>
          <w:b w:val="1"/>
          <w:bCs w:val="1"/>
          <w:color w:val="auto"/>
        </w:rPr>
        <w:t>Class</w:t>
      </w:r>
      <w:r>
        <w:rPr>
          <w:sz w:val="20"/>
          <w:szCs w:val="20"/>
          <w:color w:val="auto"/>
        </w:rPr>
        <w:tab/>
      </w:r>
      <w:r>
        <w:rPr>
          <w:rFonts w:ascii="Times New Roman" w:cs="Times New Roman" w:eastAsia="Times New Roman" w:hAnsi="Times New Roman"/>
          <w:sz w:val="16"/>
          <w:szCs w:val="16"/>
          <w:b w:val="1"/>
          <w:bCs w:val="1"/>
          <w:color w:val="auto"/>
        </w:rPr>
        <w:t>Outstanding as of October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948055</wp:posOffset>
            </wp:positionH>
            <wp:positionV relativeFrom="paragraph">
              <wp:posOffset>21590</wp:posOffset>
            </wp:positionV>
            <wp:extent cx="5246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4637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39" w:lineRule="exact"/>
        <w:rPr>
          <w:sz w:val="24"/>
          <w:szCs w:val="24"/>
          <w:color w:val="auto"/>
        </w:rPr>
      </w:pPr>
    </w:p>
    <w:p>
      <w:pPr>
        <w:ind w:left="2160"/>
        <w:spacing w:after="0"/>
        <w:tabs>
          <w:tab w:leader="none" w:pos="7240" w:val="left"/>
        </w:tabs>
        <w:rPr>
          <w:sz w:val="20"/>
          <w:szCs w:val="20"/>
          <w:color w:val="auto"/>
        </w:rPr>
      </w:pPr>
      <w:r>
        <w:rPr>
          <w:rFonts w:ascii="Times New Roman" w:cs="Times New Roman" w:eastAsia="Times New Roman" w:hAnsi="Times New Roman"/>
          <w:sz w:val="18"/>
          <w:szCs w:val="18"/>
          <w:b w:val="1"/>
          <w:bCs w:val="1"/>
          <w:color w:val="auto"/>
        </w:rPr>
        <w:t>Common Stock, $0.00001 par value</w:t>
      </w:r>
      <w:r>
        <w:rPr>
          <w:sz w:val="20"/>
          <w:szCs w:val="20"/>
          <w:color w:val="auto"/>
        </w:rPr>
        <w:tab/>
      </w:r>
      <w:r>
        <w:rPr>
          <w:rFonts w:ascii="Times New Roman" w:cs="Times New Roman" w:eastAsia="Times New Roman" w:hAnsi="Times New Roman"/>
          <w:sz w:val="18"/>
          <w:szCs w:val="18"/>
          <w:b w:val="1"/>
          <w:bCs w:val="1"/>
          <w:color w:val="auto"/>
        </w:rPr>
        <w:t>143,647,869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83"/>
        </w:trPr>
        <w:tc>
          <w:tcPr>
            <w:tcW w:w="112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Part I.</w:t>
            </w:r>
          </w:p>
        </w:tc>
        <w:tc>
          <w:tcPr>
            <w:tcW w:w="916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FINANCIAL INFORMATION</w:t>
            </w:r>
          </w:p>
        </w:tc>
        <w:tc>
          <w:tcPr>
            <w:tcW w:w="480" w:type="dxa"/>
            <w:vAlign w:val="bottom"/>
            <w:tcBorders>
              <w:top w:val="single" w:sz="8" w:color="auto"/>
            </w:tcBorders>
            <w:gridSpan w:val="2"/>
          </w:tcPr>
          <w:p>
            <w:pPr>
              <w:jc w:val="center"/>
              <w:ind w:left="290"/>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9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4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0000FF"/>
              </w:rPr>
              <w:t>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2025 and December 31, 2024</w:t>
            </w:r>
          </w:p>
        </w:tc>
        <w:tc>
          <w:tcPr>
            <w:tcW w:w="4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0000FF"/>
              </w:rPr>
              <w:t>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2025 and September</w:t>
            </w:r>
          </w:p>
        </w:tc>
        <w:tc>
          <w:tcPr>
            <w:tcW w:w="380" w:type="dxa"/>
            <w:vAlign w:val="bottom"/>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64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30, 2024</w:t>
            </w:r>
          </w:p>
        </w:tc>
        <w:tc>
          <w:tcPr>
            <w:tcW w:w="28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7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00" w:type="dxa"/>
            <w:vAlign w:val="bottom"/>
            <w:tcBorders>
              <w:bottom w:val="single" w:sz="8" w:color="0000FF"/>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9160" w:type="dxa"/>
            <w:vAlign w:val="bottom"/>
            <w:gridSpan w:val="19"/>
          </w:tcPr>
          <w:p>
            <w:pPr>
              <w:spacing w:after="0" w:line="203"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Nine Months Ended September 30,</w:t>
            </w:r>
          </w:p>
        </w:tc>
        <w:tc>
          <w:tcPr>
            <w:tcW w:w="380" w:type="dxa"/>
            <w:vAlign w:val="bottom"/>
            <w:vMerge w:val="restart"/>
          </w:tcPr>
          <w:p>
            <w:pPr>
              <w:spacing w:after="0"/>
              <w:rPr>
                <w:sz w:val="17"/>
                <w:szCs w:val="17"/>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2160" w:type="dxa"/>
            <w:vAlign w:val="bottom"/>
            <w:tcBorders>
              <w:top w:val="single" w:sz="8" w:color="0000FF"/>
              <w:bottom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2025 and September 30, 2024</w:t>
            </w:r>
          </w:p>
        </w:tc>
        <w:tc>
          <w:tcPr>
            <w:tcW w:w="6800" w:type="dxa"/>
            <w:vAlign w:val="bottom"/>
            <w:tcBorders>
              <w:top w:val="single" w:sz="8" w:color="0000FF"/>
            </w:tcBorders>
            <w:gridSpan w:val="8"/>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380" w:type="dxa"/>
            <w:vAlign w:val="bottom"/>
            <w:vMerge w:val="continue"/>
          </w:tcPr>
          <w:p>
            <w:pPr>
              <w:spacing w:after="0"/>
              <w:rPr>
                <w:sz w:val="15"/>
                <w:szCs w:val="15"/>
                <w:color w:val="auto"/>
              </w:rPr>
            </w:pPr>
          </w:p>
        </w:tc>
        <w:tc>
          <w:tcPr>
            <w:tcW w:w="100" w:type="dxa"/>
            <w:vAlign w:val="bottom"/>
            <w:tcBorders>
              <w:bottom w:val="single" w:sz="8" w:color="0000FF"/>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9160" w:type="dxa"/>
            <w:vAlign w:val="bottom"/>
            <w:gridSpan w:val="19"/>
          </w:tcPr>
          <w:p>
            <w:pPr>
              <w:spacing w:after="0" w:line="203"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2025 and</w:t>
            </w:r>
          </w:p>
        </w:tc>
        <w:tc>
          <w:tcPr>
            <w:tcW w:w="380" w:type="dxa"/>
            <w:vAlign w:val="bottom"/>
            <w:vMerge w:val="restart"/>
          </w:tcPr>
          <w:p>
            <w:pPr>
              <w:spacing w:after="0"/>
              <w:rPr>
                <w:sz w:val="17"/>
                <w:szCs w:val="17"/>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146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September 30, 2024</w:t>
            </w:r>
          </w:p>
        </w:tc>
        <w:tc>
          <w:tcPr>
            <w:tcW w:w="320" w:type="dxa"/>
            <w:vAlign w:val="bottom"/>
            <w:tcBorders>
              <w:top w:val="single" w:sz="8" w:color="0000FF"/>
              <w:bottom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100" w:type="dxa"/>
            <w:vAlign w:val="bottom"/>
            <w:tcBorders>
              <w:top w:val="single" w:sz="8" w:color="0000FF"/>
            </w:tcBorders>
            <w:gridSpan w:val="3"/>
          </w:tcPr>
          <w:p>
            <w:pPr>
              <w:spacing w:after="0"/>
              <w:rPr>
                <w:sz w:val="14"/>
                <w:szCs w:val="14"/>
                <w:color w:val="auto"/>
              </w:rPr>
            </w:pPr>
          </w:p>
        </w:tc>
        <w:tc>
          <w:tcPr>
            <w:tcW w:w="360" w:type="dxa"/>
            <w:vAlign w:val="bottom"/>
            <w:tcBorders>
              <w:top w:val="single" w:sz="8" w:color="0000FF"/>
            </w:tcBorders>
            <w:gridSpan w:val="2"/>
          </w:tcPr>
          <w:p>
            <w:pPr>
              <w:spacing w:after="0"/>
              <w:rPr>
                <w:sz w:val="14"/>
                <w:szCs w:val="14"/>
                <w:color w:val="auto"/>
              </w:rPr>
            </w:pPr>
          </w:p>
        </w:tc>
        <w:tc>
          <w:tcPr>
            <w:tcW w:w="2080" w:type="dxa"/>
            <w:vAlign w:val="bottom"/>
            <w:tcBorders>
              <w:top w:val="single" w:sz="8" w:color="0000FF"/>
            </w:tcBorders>
          </w:tcPr>
          <w:p>
            <w:pPr>
              <w:spacing w:after="0"/>
              <w:rPr>
                <w:sz w:val="14"/>
                <w:szCs w:val="14"/>
                <w:color w:val="auto"/>
              </w:rPr>
            </w:pPr>
          </w:p>
        </w:tc>
        <w:tc>
          <w:tcPr>
            <w:tcW w:w="2500" w:type="dxa"/>
            <w:vAlign w:val="bottom"/>
            <w:tcBorders>
              <w:top w:val="single" w:sz="8" w:color="0000FF"/>
            </w:tcBorders>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38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0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2025 and September 30, 2024</w:t>
            </w:r>
          </w:p>
        </w:tc>
        <w:tc>
          <w:tcPr>
            <w:tcW w:w="14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0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160" w:type="dxa"/>
            <w:vAlign w:val="bottom"/>
            <w:gridSpan w:val="9"/>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28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20" w:type="dxa"/>
            <w:vAlign w:val="bottom"/>
            <w:gridSpan w:val="6"/>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6"/>
          </w:tcPr>
          <w:p>
            <w:pPr>
              <w:spacing w:after="0"/>
              <w:rPr>
                <w:sz w:val="18"/>
                <w:szCs w:val="18"/>
                <w:color w:val="auto"/>
              </w:rPr>
            </w:pPr>
          </w:p>
        </w:tc>
        <w:tc>
          <w:tcPr>
            <w:tcW w:w="4800" w:type="dxa"/>
            <w:vAlign w:val="bottom"/>
            <w:gridSpan w:val="7"/>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 II.</w:t>
            </w:r>
          </w:p>
        </w:tc>
        <w:tc>
          <w:tcPr>
            <w:tcW w:w="19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260" w:type="dxa"/>
            <w:vAlign w:val="bottom"/>
            <w:gridSpan w:val="12"/>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19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260" w:type="dxa"/>
            <w:vAlign w:val="bottom"/>
            <w:gridSpan w:val="12"/>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8"/>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00" w:type="dxa"/>
            <w:vAlign w:val="bottom"/>
          </w:tcPr>
          <w:p>
            <w:pPr>
              <w:spacing w:after="0"/>
              <w:rPr>
                <w:sz w:val="18"/>
                <w:szCs w:val="18"/>
                <w:color w:val="auto"/>
              </w:rPr>
            </w:pPr>
          </w:p>
        </w:tc>
        <w:tc>
          <w:tcPr>
            <w:tcW w:w="7840" w:type="dxa"/>
            <w:vAlign w:val="bottom"/>
            <w:gridSpan w:val="15"/>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00" w:type="dxa"/>
            <w:vAlign w:val="bottom"/>
            <w:gridSpan w:val="7"/>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4800" w:type="dxa"/>
            <w:vAlign w:val="bottom"/>
            <w:gridSpan w:val="7"/>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840" w:type="dxa"/>
            <w:vAlign w:val="bottom"/>
            <w:gridSpan w:val="15"/>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40" w:type="dxa"/>
            <w:vAlign w:val="bottom"/>
            <w:gridSpan w:val="15"/>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1120" w:type="dxa"/>
            <w:vAlign w:val="bottom"/>
          </w:tcPr>
          <w:p>
            <w:pPr>
              <w:spacing w:after="0"/>
              <w:rPr>
                <w:sz w:val="24"/>
                <w:szCs w:val="24"/>
                <w:color w:val="auto"/>
              </w:rPr>
            </w:pPr>
          </w:p>
        </w:tc>
        <w:tc>
          <w:tcPr>
            <w:tcW w:w="6440" w:type="dxa"/>
            <w:vAlign w:val="bottom"/>
            <w:gridSpan w:val="13"/>
          </w:tcPr>
          <w:p>
            <w:pPr>
              <w:ind w:left="44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par values)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p>
      <w:pPr>
        <w:jc w:val="right"/>
        <w:ind w:right="260"/>
        <w:spacing w:after="0"/>
        <w:tabs>
          <w:tab w:leader="none" w:pos="1160" w:val="left"/>
        </w:tabs>
        <w:rPr>
          <w:sz w:val="20"/>
          <w:szCs w:val="20"/>
          <w:color w:val="auto"/>
        </w:rPr>
      </w:pPr>
      <w:r>
        <w:rPr>
          <w:rFonts w:ascii="Times New Roman" w:cs="Times New Roman" w:eastAsia="Times New Roman" w:hAnsi="Times New Roman"/>
          <w:sz w:val="14"/>
          <w:szCs w:val="14"/>
          <w:b w:val="1"/>
          <w:bCs w:val="1"/>
          <w:color w:val="auto"/>
        </w:rPr>
        <w:t>September 30, 2025</w:t>
      </w:r>
      <w:r>
        <w:rPr>
          <w:sz w:val="20"/>
          <w:szCs w:val="20"/>
          <w:color w:val="auto"/>
        </w:rPr>
        <w:tab/>
      </w:r>
      <w:r>
        <w:rPr>
          <w:rFonts w:ascii="Times New Roman" w:cs="Times New Roman" w:eastAsia="Times New Roman" w:hAnsi="Times New Roman"/>
          <w:sz w:val="14"/>
          <w:szCs w:val="14"/>
          <w:b w:val="1"/>
          <w:bCs w:val="1"/>
          <w:color w:val="auto"/>
        </w:rPr>
        <w:t>December 31, 2024</w:t>
      </w:r>
    </w:p>
    <w:p>
      <w:pPr>
        <w:sectPr>
          <w:pgSz w:w="11900" w:h="16838" w:orient="portrait"/>
          <w:cols w:equalWidth="0" w:num="1">
            <w:col w:w="11240"/>
          </w:cols>
          <w:pgMar w:left="320" w:top="121" w:right="339" w:bottom="1440" w:gutter="0" w:footer="0" w:header="0"/>
        </w:sectPr>
      </w:pP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80" w:type="dxa"/>
            <w:vAlign w:val="bottom"/>
          </w:tcPr>
          <w:p>
            <w:pPr>
              <w:spacing w:after="0"/>
              <w:rPr>
                <w:sz w:val="21"/>
                <w:szCs w:val="21"/>
                <w:color w:val="auto"/>
              </w:rPr>
            </w:pPr>
          </w:p>
        </w:tc>
      </w:tr>
      <w:tr>
        <w:trPr>
          <w:trHeight w:val="27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80" w:type="dxa"/>
            <w:vAlign w:val="bottom"/>
          </w:tcPr>
          <w:p>
            <w:pPr>
              <w:spacing w:after="0"/>
              <w:rPr>
                <w:sz w:val="23"/>
                <w:szCs w:val="23"/>
                <w:color w:val="auto"/>
              </w:rPr>
            </w:pPr>
          </w:p>
        </w:tc>
      </w:tr>
      <w:tr>
        <w:trPr>
          <w:trHeight w:val="270"/>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880" w:type="dxa"/>
            <w:vAlign w:val="bottom"/>
          </w:tcPr>
          <w:p>
            <w:pPr>
              <w:spacing w:after="0"/>
              <w:rPr>
                <w:sz w:val="23"/>
                <w:szCs w:val="23"/>
                <w:color w:val="auto"/>
              </w:rPr>
            </w:pPr>
          </w:p>
        </w:tc>
      </w:tr>
      <w:tr>
        <w:trPr>
          <w:trHeight w:val="270"/>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80" w:type="dxa"/>
            <w:vAlign w:val="bottom"/>
          </w:tcPr>
          <w:p>
            <w:pPr>
              <w:spacing w:after="0"/>
              <w:rPr>
                <w:sz w:val="23"/>
                <w:szCs w:val="23"/>
                <w:color w:val="auto"/>
              </w:rPr>
            </w:pPr>
          </w:p>
        </w:tc>
      </w:tr>
      <w:tr>
        <w:trPr>
          <w:trHeight w:val="270"/>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Right-of-use lease assets</w:t>
            </w:r>
          </w:p>
        </w:tc>
        <w:tc>
          <w:tcPr>
            <w:tcW w:w="1880" w:type="dxa"/>
            <w:vAlign w:val="bottom"/>
          </w:tcPr>
          <w:p>
            <w:pPr>
              <w:spacing w:after="0"/>
              <w:rPr>
                <w:sz w:val="23"/>
                <w:szCs w:val="23"/>
                <w:color w:val="auto"/>
              </w:rPr>
            </w:pPr>
          </w:p>
        </w:tc>
      </w:tr>
      <w:tr>
        <w:trPr>
          <w:trHeight w:val="270"/>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Internal use software development costs, net</w:t>
            </w:r>
          </w:p>
        </w:tc>
        <w:tc>
          <w:tcPr>
            <w:tcW w:w="1880" w:type="dxa"/>
            <w:vAlign w:val="bottom"/>
          </w:tcPr>
          <w:p>
            <w:pPr>
              <w:spacing w:after="0"/>
              <w:rPr>
                <w:sz w:val="23"/>
                <w:szCs w:val="23"/>
                <w:color w:val="auto"/>
              </w:rPr>
            </w:pPr>
          </w:p>
        </w:tc>
      </w:tr>
      <w:tr>
        <w:trPr>
          <w:trHeight w:val="270"/>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880" w:type="dxa"/>
            <w:vAlign w:val="bottom"/>
          </w:tcPr>
          <w:p>
            <w:pPr>
              <w:spacing w:after="0"/>
              <w:rPr>
                <w:sz w:val="23"/>
                <w:szCs w:val="23"/>
                <w:color w:val="auto"/>
              </w:rPr>
            </w:pPr>
          </w:p>
        </w:tc>
      </w:tr>
      <w:tr>
        <w:trPr>
          <w:trHeight w:val="270"/>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880" w:type="dxa"/>
            <w:vAlign w:val="bottom"/>
          </w:tcPr>
          <w:p>
            <w:pPr>
              <w:spacing w:after="0"/>
              <w:rPr>
                <w:sz w:val="23"/>
                <w:szCs w:val="23"/>
                <w:color w:val="auto"/>
              </w:rPr>
            </w:pPr>
          </w:p>
        </w:tc>
      </w:tr>
      <w:tr>
        <w:trPr>
          <w:trHeight w:val="270"/>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non-current</w:t>
            </w:r>
          </w:p>
        </w:tc>
        <w:tc>
          <w:tcPr>
            <w:tcW w:w="1880" w:type="dxa"/>
            <w:vAlign w:val="bottom"/>
          </w:tcPr>
          <w:p>
            <w:pPr>
              <w:spacing w:after="0"/>
              <w:rPr>
                <w:sz w:val="23"/>
                <w:szCs w:val="23"/>
                <w:color w:val="auto"/>
              </w:rPr>
            </w:pPr>
          </w:p>
        </w:tc>
      </w:tr>
      <w:tr>
        <w:trPr>
          <w:trHeight w:val="270"/>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80" w:type="dxa"/>
            <w:vAlign w:val="bottom"/>
          </w:tcPr>
          <w:p>
            <w:pPr>
              <w:spacing w:after="0"/>
              <w:rPr>
                <w:sz w:val="21"/>
                <w:szCs w:val="2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80" w:type="dxa"/>
            <w:vAlign w:val="bottom"/>
          </w:tcPr>
          <w:p>
            <w:pPr>
              <w:spacing w:after="0"/>
              <w:rPr>
                <w:sz w:val="20"/>
                <w:szCs w:val="20"/>
                <w:color w:val="auto"/>
              </w:rPr>
            </w:pPr>
          </w:p>
        </w:tc>
      </w:tr>
      <w:tr>
        <w:trPr>
          <w:trHeight w:val="27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880" w:type="dxa"/>
            <w:vAlign w:val="bottom"/>
          </w:tcPr>
          <w:p>
            <w:pPr>
              <w:spacing w:after="0"/>
              <w:rPr>
                <w:sz w:val="21"/>
                <w:szCs w:val="21"/>
                <w:color w:val="auto"/>
              </w:rPr>
            </w:pPr>
          </w:p>
        </w:tc>
      </w:tr>
      <w:tr>
        <w:trPr>
          <w:trHeight w:val="27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current, net of debt issuance costs</w:t>
            </w:r>
          </w:p>
        </w:tc>
        <w:tc>
          <w:tcPr>
            <w:tcW w:w="1880" w:type="dxa"/>
            <w:vAlign w:val="bottom"/>
          </w:tcPr>
          <w:p>
            <w:pPr>
              <w:spacing w:after="0"/>
              <w:rPr>
                <w:sz w:val="23"/>
                <w:szCs w:val="23"/>
                <w:color w:val="auto"/>
              </w:rPr>
            </w:pPr>
          </w:p>
        </w:tc>
      </w:tr>
      <w:tr>
        <w:trPr>
          <w:trHeight w:val="27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80" w:type="dxa"/>
            <w:vAlign w:val="bottom"/>
          </w:tcPr>
          <w:p>
            <w:pPr>
              <w:spacing w:after="0"/>
              <w:rPr>
                <w:sz w:val="23"/>
                <w:szCs w:val="23"/>
                <w:color w:val="auto"/>
              </w:rPr>
            </w:pPr>
          </w:p>
        </w:tc>
      </w:tr>
      <w:tr>
        <w:trPr>
          <w:trHeight w:val="270"/>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80" w:type="dxa"/>
            <w:vAlign w:val="bottom"/>
          </w:tcPr>
          <w:p>
            <w:pPr>
              <w:spacing w:after="0"/>
              <w:rPr>
                <w:sz w:val="23"/>
                <w:szCs w:val="23"/>
                <w:color w:val="auto"/>
              </w:rPr>
            </w:pPr>
          </w:p>
        </w:tc>
      </w:tr>
      <w:tr>
        <w:trPr>
          <w:trHeight w:val="25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Debt, non-current, net of debt discount and issuance costs</w:t>
            </w:r>
          </w:p>
        </w:tc>
        <w:tc>
          <w:tcPr>
            <w:tcW w:w="1880" w:type="dxa"/>
            <w:vAlign w:val="bottom"/>
          </w:tcPr>
          <w:p>
            <w:pPr>
              <w:spacing w:after="0"/>
              <w:rPr>
                <w:sz w:val="22"/>
                <w:szCs w:val="22"/>
                <w:color w:val="auto"/>
              </w:rPr>
            </w:pPr>
          </w:p>
        </w:tc>
      </w:tr>
      <w:tr>
        <w:trPr>
          <w:trHeight w:val="24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880" w:type="dxa"/>
            <w:vAlign w:val="bottom"/>
          </w:tcPr>
          <w:p>
            <w:pPr>
              <w:spacing w:after="0"/>
              <w:rPr>
                <w:sz w:val="21"/>
                <w:szCs w:val="2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880" w:type="dxa"/>
            <w:vAlign w:val="bottom"/>
          </w:tcPr>
          <w:p>
            <w:pPr>
              <w:spacing w:after="0"/>
              <w:rPr>
                <w:sz w:val="23"/>
                <w:szCs w:val="23"/>
                <w:color w:val="auto"/>
              </w:rPr>
            </w:pPr>
          </w:p>
        </w:tc>
      </w:tr>
      <w:tr>
        <w:trPr>
          <w:trHeight w:val="270"/>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8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-985520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-1962785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1" w:lineRule="exact"/>
        <w:rPr>
          <w:sz w:val="20"/>
          <w:szCs w:val="20"/>
          <w:color w:val="auto"/>
        </w:rPr>
      </w:pPr>
    </w:p>
    <w:p>
      <w:pPr>
        <w:ind w:left="220" w:right="320" w:hanging="161"/>
        <w:spacing w:after="0" w:line="281" w:lineRule="auto"/>
        <w:rPr>
          <w:sz w:val="20"/>
          <w:szCs w:val="20"/>
          <w:color w:val="auto"/>
        </w:rPr>
      </w:pPr>
      <w:r>
        <w:rPr>
          <w:rFonts w:ascii="Times New Roman" w:cs="Times New Roman" w:eastAsia="Times New Roman" w:hAnsi="Times New Roman"/>
          <w:sz w:val="18"/>
          <w:szCs w:val="18"/>
          <w:color w:val="auto"/>
        </w:rPr>
        <w:t>Preferred stock, $0.00001 par value, 10,000 shares authorized at September 30, 2025 and December 31, 2024; 0 shares issued and outstanding at September 30, 2025 and December 31, 2024</w:t>
      </w:r>
    </w:p>
    <w:p>
      <w:pPr>
        <w:spacing w:after="0" w:line="1" w:lineRule="exact"/>
        <w:rPr>
          <w:sz w:val="20"/>
          <w:szCs w:val="20"/>
          <w:color w:val="auto"/>
        </w:rPr>
      </w:pPr>
    </w:p>
    <w:p>
      <w:pPr>
        <w:ind w:left="20" w:right="260"/>
        <w:spacing w:after="0" w:line="298" w:lineRule="auto"/>
        <w:rPr>
          <w:sz w:val="20"/>
          <w:szCs w:val="20"/>
          <w:color w:val="auto"/>
        </w:rPr>
      </w:pPr>
      <w:r>
        <w:rPr>
          <w:rFonts w:ascii="Times New Roman" w:cs="Times New Roman" w:eastAsia="Times New Roman" w:hAnsi="Times New Roman"/>
          <w:sz w:val="17"/>
          <w:szCs w:val="17"/>
          <w:color w:val="auto"/>
        </w:rPr>
        <w:t>Common stock, $0.00001 par value; 500,000 shares authorized at September 30, 2025 and December 31, 2024; 143,643 and 141,427 shares issued and outstanding at September 30, 2025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482,127</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483,220</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1,215,444</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1,200,046</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27,943</w:t>
            </w: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19,914</w:t>
            </w:r>
          </w:p>
        </w:tc>
      </w:tr>
      <w:tr>
        <w:trPr>
          <w:trHeight w:val="25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1,725,514</w:t>
            </w:r>
          </w:p>
        </w:tc>
        <w:tc>
          <w:tcPr>
            <w:tcW w:w="4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1,703,180</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97,043</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68,730</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65,481</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50,329</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28,088</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26,625</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15,078</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21,309</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983,902</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978,217</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5,587</w:t>
            </w: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6,378</w:t>
            </w:r>
          </w:p>
        </w:tc>
      </w:tr>
      <w:tr>
        <w:trPr>
          <w:trHeight w:val="223"/>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2,920,693</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2,854,768</w:t>
            </w:r>
          </w:p>
        </w:tc>
      </w:tr>
      <w:tr>
        <w:trPr>
          <w:trHeight w:val="21"/>
        </w:trPr>
        <w:tc>
          <w:tcPr>
            <w:tcW w:w="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95"/>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1,479,746</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1,466,377</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20,200</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16,086</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208,154</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3,641</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4,949</w:t>
            </w: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9,880</w:t>
            </w:r>
          </w:p>
        </w:tc>
      </w:tr>
      <w:tr>
        <w:trPr>
          <w:trHeight w:val="245"/>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1,713,049</w:t>
            </w:r>
          </w:p>
        </w:tc>
        <w:tc>
          <w:tcPr>
            <w:tcW w:w="4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1,495,984</w:t>
            </w:r>
          </w:p>
        </w:tc>
      </w:tr>
      <w:tr>
        <w:trPr>
          <w:trHeight w:val="234"/>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348,111</w:t>
            </w:r>
          </w:p>
        </w:tc>
        <w:tc>
          <w:tcPr>
            <w:tcW w:w="48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550,104</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48,757</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38,983</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2,822</w:t>
            </w:r>
          </w:p>
        </w:tc>
        <w:tc>
          <w:tcPr>
            <w:tcW w:w="4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1,479</w:t>
            </w:r>
          </w:p>
        </w:tc>
      </w:tr>
      <w:tr>
        <w:trPr>
          <w:trHeight w:val="25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2,112,739</w:t>
            </w: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2,086,550</w:t>
            </w:r>
          </w:p>
        </w:tc>
      </w:tr>
      <w:tr>
        <w:trPr>
          <w:trHeight w:val="965"/>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1,449,094</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1,433,809</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(1,533)</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(4,421)</w:t>
            </w:r>
          </w:p>
        </w:tc>
      </w:tr>
      <w:tr>
        <w:trPr>
          <w:trHeight w:val="270"/>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(639,609)</w:t>
            </w:r>
          </w:p>
        </w:tc>
        <w:tc>
          <w:tcPr>
            <w:tcW w:w="48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(661,172)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-1619250</wp:posOffset>
            </wp:positionV>
            <wp:extent cx="10801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-2279650</wp:posOffset>
            </wp:positionV>
            <wp:extent cx="10801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-3248025</wp:posOffset>
            </wp:positionV>
            <wp:extent cx="10801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-539115</wp:posOffset>
            </wp:positionH>
            <wp:positionV relativeFrom="paragraph">
              <wp:posOffset>-4628515</wp:posOffset>
            </wp:positionV>
            <wp:extent cx="10801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860" w:space="720"/>
            <w:col w:w="26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807,954</w:t>
            </w: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768,218</w:t>
            </w:r>
          </w:p>
        </w:tc>
      </w:tr>
      <w:tr>
        <w:trPr>
          <w:trHeight w:val="248"/>
        </w:trPr>
        <w:tc>
          <w:tcPr>
            <w:tcW w:w="77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2,920,693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2,854,768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2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3300" w:type="dxa"/>
            <w:vAlign w:val="bottom"/>
            <w:gridSpan w:val="4"/>
          </w:tcPr>
          <w:p>
            <w:pPr>
              <w:jc w:val="right"/>
              <w:ind w:right="10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508,597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474,202</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191,052</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125,514</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72,981</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73,786</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146,880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462,961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463,333</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21,599</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26,643</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(15,774)</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6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-2540</wp:posOffset>
            </wp:positionV>
            <wp:extent cx="4491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18"/>
          <w:szCs w:val="18"/>
          <w:color w:val="auto"/>
        </w:rPr>
        <w:t>Weighted average shares used to compute net income (loss) per share:</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Basic</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143,009</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141,270</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142,176</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140,376</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3"/>
        </w:trPr>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153,166</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148,697</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150,516</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140,376</w:t>
            </w:r>
          </w:p>
        </w:tc>
      </w:tr>
      <w:tr>
        <w:trPr>
          <w:trHeight w:val="21"/>
        </w:trPr>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-196215</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-624840</wp:posOffset>
            </wp:positionV>
            <wp:extent cx="7132320"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80" w:space="280"/>
            <w:col w:w="7080"/>
          </w:cols>
          <w:pgMar w:left="320" w:top="121" w:right="339" w:bottom="1440" w:gutter="0" w:footer="0" w:header="0"/>
          <w:type w:val="continuous"/>
        </w:sectPr>
      </w:pP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8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60" w:type="dxa"/>
            <w:vAlign w:val="bottom"/>
            <w:gridSpan w:val="4"/>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0"/>
        </w:trPr>
        <w:tc>
          <w:tcPr>
            <w:tcW w:w="4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29"/>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7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4"/>
                <w:szCs w:val="14"/>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78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vMerge w:val="restart"/>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2"/>
            <w:vMerge w:val="restart"/>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780" w:type="dxa"/>
            <w:vAlign w:val="bottom"/>
          </w:tcPr>
          <w:p>
            <w:pPr>
              <w:spacing w:after="0"/>
              <w:rPr>
                <w:sz w:val="4"/>
                <w:szCs w:val="4"/>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4"/>
                <w:szCs w:val="4"/>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138,577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1,387,715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(683,958)</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701,683</w:t>
            </w: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w:t>
            </w: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21,407</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(17,757)</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(17,757)</w:t>
            </w:r>
          </w:p>
        </w:tc>
        <w:tc>
          <w:tcPr>
            <w:tcW w:w="0" w:type="dxa"/>
            <w:vAlign w:val="bottom"/>
          </w:tcPr>
          <w:p>
            <w:pPr>
              <w:spacing w:after="0"/>
              <w:rPr>
                <w:sz w:val="1"/>
                <w:szCs w:val="1"/>
                <w:color w:val="auto"/>
              </w:rPr>
            </w:pPr>
          </w:p>
        </w:tc>
      </w:tr>
      <w:tr>
        <w:trPr>
          <w:trHeight w:val="237"/>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1,400,181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(701,715)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695,377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80" w:type="dxa"/>
            <w:vAlign w:val="bottom"/>
            <w:tcBorders>
              <w:top w:val="single" w:sz="8" w:color="CCEEFF"/>
            </w:tcBorders>
            <w:vMerge w:val="continue"/>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165"/>
        </w:trPr>
        <w:tc>
          <w:tcPr>
            <w:tcW w:w="37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common stock related to employee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20,382</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0" w:type="dxa"/>
            <w:vAlign w:val="bottom"/>
          </w:tcPr>
          <w:p>
            <w:pPr>
              <w:spacing w:after="0"/>
              <w:rPr>
                <w:sz w:val="1"/>
                <w:szCs w:val="1"/>
                <w:color w:val="auto"/>
              </w:rPr>
            </w:pPr>
          </w:p>
        </w:tc>
      </w:tr>
      <w:tr>
        <w:trPr>
          <w:trHeight w:val="237"/>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1,418,931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(702,793)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712,963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80" w:type="dxa"/>
            <w:vAlign w:val="bottom"/>
            <w:tcBorders>
              <w:top w:val="single" w:sz="8" w:color="CCEEFF"/>
            </w:tcBorders>
            <w:vMerge w:val="continue"/>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(4,939)</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(9,006)</w:t>
            </w: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19,372</w:t>
            </w:r>
          </w:p>
        </w:tc>
        <w:tc>
          <w:tcPr>
            <w:tcW w:w="0" w:type="dxa"/>
            <w:vAlign w:val="bottom"/>
          </w:tcPr>
          <w:p>
            <w:pPr>
              <w:spacing w:after="0"/>
              <w:rPr>
                <w:sz w:val="1"/>
                <w:szCs w:val="1"/>
                <w:color w:val="auto"/>
              </w:rPr>
            </w:pPr>
          </w:p>
        </w:tc>
      </w:tr>
      <w:tr>
        <w:trPr>
          <w:trHeight w:val="213"/>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141,148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1,424,539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(697,579)</w:t>
            </w: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725,876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7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4"/>
                <w:szCs w:val="14"/>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restart"/>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2"/>
            <w:vMerge w:val="restart"/>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660" w:type="dxa"/>
            <w:vAlign w:val="bottom"/>
          </w:tcPr>
          <w:p>
            <w:pPr>
              <w:spacing w:after="0"/>
              <w:rPr>
                <w:sz w:val="4"/>
                <w:szCs w:val="4"/>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4"/>
                <w:szCs w:val="4"/>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141,427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1,433,809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(661,172)</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768,218</w:t>
            </w: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165"/>
        </w:trPr>
        <w:tc>
          <w:tcPr>
            <w:tcW w:w="36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common stock related to RSU and PSU</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vesting</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(20,314)</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(19,229)</w:t>
            </w: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of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21,631</w:t>
            </w: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(9,634)</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(9,634)</w:t>
            </w:r>
          </w:p>
        </w:tc>
        <w:tc>
          <w:tcPr>
            <w:tcW w:w="0" w:type="dxa"/>
            <w:vAlign w:val="bottom"/>
          </w:tcPr>
          <w:p>
            <w:pPr>
              <w:spacing w:after="0"/>
              <w:rPr>
                <w:sz w:val="1"/>
                <w:szCs w:val="1"/>
                <w:color w:val="auto"/>
              </w:rPr>
            </w:pPr>
          </w:p>
        </w:tc>
      </w:tr>
      <w:tr>
        <w:trPr>
          <w:trHeight w:val="209"/>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141,476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1,416,149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(3,592)</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(670,806)</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741,753</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0" w:type="dxa"/>
            <w:vAlign w:val="bottom"/>
          </w:tcPr>
          <w:p>
            <w:pPr>
              <w:spacing w:after="0"/>
              <w:rPr>
                <w:sz w:val="1"/>
                <w:szCs w:val="1"/>
                <w:color w:val="auto"/>
              </w:rPr>
            </w:pPr>
          </w:p>
        </w:tc>
      </w:tr>
      <w:tr>
        <w:trPr>
          <w:trHeight w:val="162"/>
        </w:trPr>
        <w:tc>
          <w:tcPr>
            <w:tcW w:w="36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common stock related to employee stock</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(6,944)</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of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20,084</w:t>
            </w: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11,139</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11,139</w:t>
            </w:r>
          </w:p>
        </w:tc>
        <w:tc>
          <w:tcPr>
            <w:tcW w:w="0" w:type="dxa"/>
            <w:vAlign w:val="bottom"/>
          </w:tcPr>
          <w:p>
            <w:pPr>
              <w:spacing w:after="0"/>
              <w:rPr>
                <w:sz w:val="1"/>
                <w:szCs w:val="1"/>
                <w:color w:val="auto"/>
              </w:rPr>
            </w:pPr>
          </w:p>
        </w:tc>
      </w:tr>
      <w:tr>
        <w:trPr>
          <w:trHeight w:val="207"/>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at June 30, 2025</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142,383</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1,429,206</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(659,667)</w:t>
            </w:r>
          </w:p>
        </w:tc>
        <w:tc>
          <w:tcPr>
            <w:tcW w:w="14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768,467</w:t>
            </w: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18,635</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20,058</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20,058</w:t>
            </w:r>
          </w:p>
        </w:tc>
        <w:tc>
          <w:tcPr>
            <w:tcW w:w="0" w:type="dxa"/>
            <w:vAlign w:val="bottom"/>
          </w:tcPr>
          <w:p>
            <w:pPr>
              <w:spacing w:after="0"/>
              <w:rPr>
                <w:sz w:val="1"/>
                <w:szCs w:val="1"/>
                <w:color w:val="auto"/>
              </w:rPr>
            </w:pPr>
          </w:p>
        </w:tc>
      </w:tr>
      <w:tr>
        <w:trPr>
          <w:trHeight w:val="237"/>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1,449,094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(639,609)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807,954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4"/>
          </w:tcPr>
          <w:p>
            <w:pPr>
              <w:jc w:val="right"/>
              <w:ind w:right="101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19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(13,621)</w:t>
            </w:r>
          </w:p>
        </w:tc>
      </w:tr>
      <w:tr>
        <w:trPr>
          <w:trHeight w:val="213"/>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42,340</w:t>
            </w:r>
          </w:p>
        </w:tc>
      </w:tr>
      <w:tr>
        <w:trPr>
          <w:trHeight w:val="213"/>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59,161</w:t>
            </w:r>
          </w:p>
        </w:tc>
      </w:tr>
      <w:tr>
        <w:trPr>
          <w:trHeight w:val="219"/>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7,706</w:t>
            </w:r>
          </w:p>
        </w:tc>
      </w:tr>
      <w:tr>
        <w:trPr>
          <w:trHeight w:val="213"/>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w:t>
            </w:r>
          </w:p>
        </w:tc>
      </w:tr>
      <w:tr>
        <w:trPr>
          <w:trHeight w:val="219"/>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lease expense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w:t>
            </w:r>
          </w:p>
        </w:tc>
      </w:tr>
      <w:tr>
        <w:trPr>
          <w:trHeight w:val="213"/>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w:t>
            </w:r>
          </w:p>
        </w:tc>
      </w:tr>
      <w:tr>
        <w:trPr>
          <w:trHeight w:val="219"/>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Unrealized foreign currency (gain) loss, net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r>
      <w:tr>
        <w:trPr>
          <w:trHeight w:val="213"/>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items, net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219"/>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3"/>
        </w:trPr>
        <w:tc>
          <w:tcPr>
            <w:tcW w:w="7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10,113</w:t>
            </w:r>
          </w:p>
        </w:tc>
      </w:tr>
      <w:tr>
        <w:trPr>
          <w:trHeight w:val="219"/>
        </w:trPr>
        <w:tc>
          <w:tcPr>
            <w:tcW w:w="7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r>
      <w:tr>
        <w:trPr>
          <w:trHeight w:val="213"/>
        </w:trPr>
        <w:tc>
          <w:tcPr>
            <w:tcW w:w="7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16,426</w:t>
            </w:r>
          </w:p>
        </w:tc>
      </w:tr>
      <w:tr>
        <w:trPr>
          <w:trHeight w:val="219"/>
        </w:trPr>
        <w:tc>
          <w:tcPr>
            <w:tcW w:w="7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07"/>
        </w:trPr>
        <w:tc>
          <w:tcPr>
            <w:tcW w:w="78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107,711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120,504</w:t>
            </w:r>
          </w:p>
        </w:tc>
      </w:tr>
      <w:tr>
        <w:trPr>
          <w:trHeight w:val="19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13"/>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(29,082)</w:t>
            </w: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internal use software development costs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(11,587)</w:t>
            </w:r>
          </w:p>
        </w:tc>
      </w:tr>
      <w:tr>
        <w:trPr>
          <w:trHeight w:val="213"/>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Mergers and acquisitions, net of indemnification claims holdback</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8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(63,741)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(40,669)</w:t>
            </w:r>
          </w:p>
        </w:tc>
      </w:tr>
      <w:tr>
        <w:trPr>
          <w:trHeight w:val="19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13"/>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Term Loan B Facility refinancing and repricing activities, net of debt discount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413,463</w:t>
            </w: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the Term Loan B Facility from refinancing and repricing activities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(403,113)</w:t>
            </w:r>
          </w:p>
        </w:tc>
      </w:tr>
      <w:tr>
        <w:trPr>
          <w:trHeight w:val="213"/>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for debt issuance costs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(4,547)</w:t>
            </w: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debt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r>
      <w:tr>
        <w:trPr>
          <w:trHeight w:val="213"/>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w:t>
            </w:r>
          </w:p>
        </w:tc>
      </w:tr>
      <w:tr>
        <w:trPr>
          <w:trHeight w:val="213"/>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(9,006)</w:t>
            </w:r>
          </w:p>
        </w:tc>
      </w:tr>
      <w:tr>
        <w:trPr>
          <w:trHeight w:val="21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paid related to net share settlement</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(17,682)</w:t>
            </w:r>
          </w:p>
        </w:tc>
      </w:tr>
      <w:tr>
        <w:trPr>
          <w:trHeight w:val="207"/>
        </w:trPr>
        <w:tc>
          <w:tcPr>
            <w:tcW w:w="78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(47,040)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(19,447)</w:t>
            </w: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61,025</w:t>
            </w: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483,220</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326,219</w:t>
            </w:r>
          </w:p>
        </w:tc>
      </w:tr>
      <w:tr>
        <w:trPr>
          <w:trHeight w:val="212"/>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482,127</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387,244</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02"/>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OTHER CASH FLOW INFORMATION:</w:t>
            </w: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w:t>
            </w: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28,748</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assets financed by accounts payable and accrued expenses and other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stock-based 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operating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11,020</w:t>
            </w: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reduction and corresponding non-cash adjustment to operating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financing activity related to Amendment Nos. 1 and 2 to the 2024 Credit Agreement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270,555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311,974</w:t>
            </w: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consideration - indemnification claims holdback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Summary of Significant Accounting Policies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Magnite, Inc. ("Magnite" or the "Company"), was formed in Delaware and began operations on April 20, 2007.</w:t>
      </w:r>
    </w:p>
    <w:p>
      <w:pPr>
        <w:spacing w:after="0" w:line="104"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Company's common stock is listed on the Nasdaq Global Select Market of The Nasdaq Stock Market LLC ("Nasdaq") under the symbol "MGNI." Magnite has its principal offices in New York City, Los Angeles, Denver, London, and Sydney, and additional offices in Europe, Asia, North America, and South America.</w:t>
      </w:r>
    </w:p>
    <w:p>
      <w:pPr>
        <w:spacing w:after="0" w:line="54"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The Company provides a technology solution to automate the purchase and sale of digital advertising inventory for buyers and sellers globally, across all channels, formats and auction types. The Company's platform features applications and services for sellers of digital advertising inventory, or publishers, that own or operate websites, applications, connected television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spacing w:after="0" w:line="3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Sellers monetize their inventory through the Company’s platform by seamlessly connecting to a global market of integrated buyers that transact through real-time bidding. These transactions include biddable auctions, where multiple buyers bid against each other in a real-time auction for the right to purchase a publisher's inventory, as well as reserve auctions, where publishers establish direct deals or private marketplaces with select buyers. At the same time, buyers leverage the Company’s platform to manage their advertising spending and reach their target audiences, simplify order management and campaign tracking, obtain actionable insights into audiences for their advertising, and access impression-level purchasing from thousands of sellers.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Summary of Significant Accounting Policies</w:t>
      </w:r>
    </w:p>
    <w:p>
      <w:pPr>
        <w:spacing w:after="0" w:line="10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and nine months ended September 30, 2025 are not necessarily indicative of the results that may be expected for any future interim period, the year ending December 31, 2025, or for any future year.</w:t>
      </w:r>
    </w:p>
    <w:p>
      <w:pPr>
        <w:spacing w:after="0" w:line="5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at December 31, 2024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2024 included in its 2024 Annual Report on Form 10-K.</w:t>
      </w:r>
    </w:p>
    <w:p>
      <w:pPr>
        <w:spacing w:after="0" w:line="45"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There have been no significant changes in the Company's accounting policies from those disclosed in its audited consolidated financial statements and notes thereto for the year ended December 31, 2024 included in its Annual Report on Form 10-K. Refer to Note 6 for the useful lives of the Company's intangible assets associated with the acquisition of Streamrai, Inc.</w:t>
      </w:r>
    </w:p>
    <w:p>
      <w:pPr>
        <w:spacing w:after="0" w:line="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Management has determined that the Company operates as one operating segment and one reportable segment. The Company’s chief operating decision maker ("CODM") is the Chief Executive Officer ("CEO"). The Company has one primary business activity, where it provides a platform to all of its customers, buyers and sellers, that automates the purchase and sale of digital advertising inventory globally, across all channels, formats, and auction types, as described above. The Company’s CODM reviews financial information on a consolidated basis, principally to make decisions about how to allocate resources and to measure the Company’s performance. The CODM reviews consolidated net income (loss), which is the measure of financial profit and loss most closely aligned with generally accepted accounting principles. The CODM considers budget-to-actual variances for this measure, predominantly in the annual budget, forecasting process, and quarterly results assessment. The CODM does not review any balance sheet information at any other level than on a consolidated basis and does not review any income statement information at any other level than on a consolidated basis with the exception of revenue by geography and by channel (refer to Note 3). The significant expense information regularly provided to the CODM is the same as that included in the face of the Company's consolidated income statement of operations.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preparation of condensed consolidated financial statements in conformity with GAAP requires management to make estimates and assumptions that affect the reported and disclosed financial statements and accompanying footnotes. </w:t>
      </w:r>
      <w:r>
        <w:rPr>
          <w:rFonts w:ascii="Times New Roman" w:cs="Times New Roman" w:eastAsia="Times New Roman" w:hAnsi="Times New Roman"/>
          <w:sz w:val="18"/>
          <w:szCs w:val="18"/>
          <w:color w:val="212529"/>
        </w:rPr>
        <w:t>Actual results could differ materially from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estimates.</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 Update ("ASU") 2023-09, Income Taxes (Topic 740) – Improvements to Income Tax Disclosures ("ASU 2023-09") to enhance income tax information primarily through changes in the rate reconciliation and income taxes paid information. ASU 2023-09 is effective for annual periods beginning after December 15, 2024 on a prospective basis. Early adoption and retrospective application are permitted. The Company will adopt the guidance for the fiscal year ending December 31, 2025 on a prospective basis. The Company expects the impact of adoption of this guidance to be limited to footnote disclosure and to result in additional disaggregation of information disclosed in the rate reconciliation and with respect to income taxes paid.</w:t>
      </w:r>
    </w:p>
    <w:p>
      <w:pPr>
        <w:spacing w:after="0" w:line="6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 Disaggregation of Income Statement Expenses ("ASU 2024-03"). ASU 2024-03 requires additional disclosures of the nature of expenses included in the income statement and presented in the footnotes. ASU 2024-03 is effective for annual periods beginning after December 15, 2026 and for interim periods beginning after December 15, 2027 on a prospective basis. Early adoption and retrospective application are permitted. The Company is currently evaluating the impact of adopting ASU 2024-03 on its disclosures.</w:t>
      </w:r>
    </w:p>
    <w:p>
      <w:pPr>
        <w:spacing w:after="0" w:line="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 Measurement of Credit Losses for Accounts Receivable and Contract Assets ("ASU 2025-05"), which provides a practical expedient to measure credit losses on current accounts receivable and current contract assets. The practical expedient allows companies to assume that current conditions as of the balance sheet date do not change for the remaining life of the asset when measuring credit losses. ASU 2025-05 is effective for annual periods beginning after December 15, 2025 and for interim periods within those annual reporting periods on a prospective basis. Early adoption is permitted. The Company is currently evaluating the impact of adopting ASU 2025-05 on its financial statements and disclosures.</w:t>
      </w:r>
    </w:p>
    <w:p>
      <w:pPr>
        <w:spacing w:after="0" w:line="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 Targeted Improvements to the Accounting for Internal-Use Software ("ASU 2025-06"), which modernizes and simplifies the recognition and disclosure framework for internal-use software costs by changing from a project-stage approach to a more judgment-based approach. ASU 2025-06 is effective for annual periods beginning after December 15, 2027 and for interim periods within those annual reporting periods on a prospective basis. Early adoption is permitted. The Company is currently evaluating the impact of adopting ASU 2025-06 on its financial statements and disclosures.</w:t>
      </w:r>
    </w:p>
    <w:p>
      <w:pPr>
        <w:spacing w:after="0" w:line="62"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believe there are any other recently issued and effective or not yet effective pronouncements that would have or are expected to have a material impact on the Company’s present or future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2—Net Income (Loss) Per Share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basic and diluted net income (loss) per share: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380" w:type="dxa"/>
            <w:vAlign w:val="bottom"/>
          </w:tcPr>
          <w:p>
            <w:pPr>
              <w:spacing w:after="0"/>
              <w:rPr>
                <w:sz w:val="16"/>
                <w:szCs w:val="16"/>
                <w:color w:val="auto"/>
              </w:rPr>
            </w:pPr>
          </w:p>
        </w:tc>
        <w:tc>
          <w:tcPr>
            <w:tcW w:w="1480" w:type="dxa"/>
            <w:vAlign w:val="bottom"/>
            <w:tcBorders>
              <w:top w:val="single" w:sz="8" w:color="auto"/>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(Loss) Per Share:</w:t>
            </w: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0" w:type="dxa"/>
            <w:vAlign w:val="bottom"/>
          </w:tcPr>
          <w:p>
            <w:pPr>
              <w:spacing w:after="0"/>
              <w:rPr>
                <w:sz w:val="1"/>
                <w:szCs w:val="1"/>
                <w:color w:val="auto"/>
              </w:rPr>
            </w:pPr>
          </w:p>
        </w:tc>
      </w:tr>
      <w:tr>
        <w:trPr>
          <w:trHeight w:val="156"/>
        </w:trPr>
        <w:tc>
          <w:tcPr>
            <w:tcW w:w="53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to compute basic net</w:t>
            </w: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per share</w:t>
            </w:r>
          </w:p>
        </w:tc>
        <w:tc>
          <w:tcPr>
            <w:tcW w:w="4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141,270</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142,176</w:t>
            </w:r>
          </w:p>
        </w:tc>
        <w:tc>
          <w:tcPr>
            <w:tcW w:w="10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140,376</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(Loss) Per Share:</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used to calculate diluted income (loss) per share</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common shares used to compute basic net income</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141,270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142,176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140,376</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weighted-average restricted stock units</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weighted-average common stock options</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weighted-average performance stock units</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Dilutive effect of weighted-average Employee Stock Purchase Plan</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("ESPP") shares</w:t>
            </w: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53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shares used to compute diluted net income (loss) per</w:t>
            </w:r>
          </w:p>
        </w:tc>
        <w:tc>
          <w:tcPr>
            <w:tcW w:w="4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153,166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148,697</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150,516</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140,376</w:t>
            </w:r>
          </w:p>
        </w:tc>
        <w:tc>
          <w:tcPr>
            <w:tcW w:w="0" w:type="dxa"/>
            <w:vAlign w:val="bottom"/>
          </w:tcPr>
          <w:p>
            <w:pPr>
              <w:spacing w:after="0"/>
              <w:rPr>
                <w:sz w:val="1"/>
                <w:szCs w:val="1"/>
                <w:color w:val="auto"/>
              </w:rPr>
            </w:pPr>
          </w:p>
        </w:tc>
      </w:tr>
      <w:tr>
        <w:trPr>
          <w:trHeight w:val="236"/>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4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net income (loss) per share</w:t>
            </w:r>
          </w:p>
        </w:tc>
        <w:tc>
          <w:tcPr>
            <w:tcW w:w="400" w:type="dxa"/>
            <w:vAlign w:val="bottom"/>
            <w:tcBorders>
              <w:bottom w:val="single" w:sz="8" w:color="auto"/>
            </w:tcBorders>
          </w:tcPr>
          <w:p>
            <w:pPr>
              <w:jc w:val="right"/>
              <w:ind w:right="21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4"/>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ind w:right="494"/>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shares have been excluded from the calculation of diluted net income (loss) per share attributable to common stockholders for each period presented because they were anti-dilutive:</w:t>
      </w:r>
    </w:p>
    <w:p>
      <w:pPr>
        <w:spacing w:after="0" w:line="83" w:lineRule="exact"/>
        <w:rPr>
          <w:sz w:val="20"/>
          <w:szCs w:val="20"/>
          <w:color w:val="auto"/>
        </w:rPr>
      </w:pPr>
    </w:p>
    <w:p>
      <w:pPr>
        <w:ind w:left="6020"/>
        <w:spacing w:after="0"/>
        <w:tabs>
          <w:tab w:leader="none" w:pos="9020" w:val="left"/>
        </w:tabs>
        <w:rPr>
          <w:sz w:val="20"/>
          <w:szCs w:val="20"/>
          <w:color w:val="auto"/>
        </w:rPr>
      </w:pPr>
      <w:r>
        <w:rPr>
          <w:rFonts w:ascii="Times New Roman" w:cs="Times New Roman" w:eastAsia="Times New Roman" w:hAnsi="Times New Roman"/>
          <w:sz w:val="16"/>
          <w:szCs w:val="16"/>
          <w:b w:val="1"/>
          <w:bCs w:val="1"/>
          <w:color w:val="auto"/>
        </w:rPr>
        <w:t>Three Months Ended</w:t>
      </w:r>
      <w:r>
        <w:rPr>
          <w:sz w:val="20"/>
          <w:szCs w:val="20"/>
          <w:color w:val="auto"/>
        </w:rPr>
        <w:tab/>
      </w:r>
      <w:r>
        <w:rPr>
          <w:rFonts w:ascii="Times New Roman" w:cs="Times New Roman" w:eastAsia="Times New Roman" w:hAnsi="Times New Roman"/>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21590</wp:posOffset>
            </wp:positionV>
            <wp:extent cx="37204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7" w:lineRule="exact"/>
        <w:rPr>
          <w:sz w:val="20"/>
          <w:szCs w:val="20"/>
          <w:color w:val="auto"/>
        </w:rPr>
      </w:pPr>
    </w:p>
    <w:p>
      <w:pPr>
        <w:jc w:val="center"/>
        <w:ind w:left="5400"/>
        <w:spacing w:after="0"/>
        <w:tabs>
          <w:tab w:leader="none" w:pos="260" w:val="left"/>
        </w:tabs>
        <w:rPr>
          <w:sz w:val="20"/>
          <w:szCs w:val="20"/>
          <w:color w:val="auto"/>
        </w:rPr>
      </w:pPr>
      <w:r>
        <w:rPr>
          <w:rFonts w:ascii="Times New Roman" w:cs="Times New Roman" w:eastAsia="Times New Roman" w:hAnsi="Times New Roman"/>
          <w:sz w:val="14"/>
          <w:szCs w:val="14"/>
          <w:b w:val="1"/>
          <w:bCs w:val="1"/>
          <w:color w:val="auto"/>
        </w:rPr>
        <w:t>September 30, 2025</w:t>
      </w:r>
      <w:r>
        <w:rPr>
          <w:sz w:val="20"/>
          <w:szCs w:val="20"/>
          <w:color w:val="auto"/>
        </w:rPr>
        <w:tab/>
      </w:r>
      <w:r>
        <w:rPr>
          <w:rFonts w:ascii="Times New Roman" w:cs="Times New Roman" w:eastAsia="Times New Roman" w:hAnsi="Times New Roman"/>
          <w:sz w:val="14"/>
          <w:szCs w:val="14"/>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33655</wp:posOffset>
            </wp:positionV>
            <wp:extent cx="18173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5"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160"/>
        <w:spacing w:after="0" w:line="320" w:lineRule="auto"/>
        <w:rPr>
          <w:sz w:val="20"/>
          <w:szCs w:val="20"/>
          <w:color w:val="auto"/>
        </w:rPr>
      </w:pPr>
      <w:r>
        <w:rPr>
          <w:rFonts w:ascii="Times New Roman" w:cs="Times New Roman" w:eastAsia="Times New Roman" w:hAnsi="Times New Roman"/>
          <w:sz w:val="14"/>
          <w:szCs w:val="14"/>
          <w:b w:val="1"/>
          <w:bCs w:val="1"/>
          <w:color w:val="auto"/>
        </w:rPr>
        <w:t>September 30, 2025    September 30, 2024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-136525</wp:posOffset>
            </wp:positionV>
            <wp:extent cx="18345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100" w:space="280"/>
            <w:col w:w="2860"/>
          </w:cols>
          <w:pgMar w:left="320" w:top="121" w:right="339" w:bottom="1440" w:gutter="0" w:footer="0" w:header="0"/>
          <w:type w:val="continuous"/>
        </w:sectPr>
      </w:pPr>
    </w:p>
    <w:tbl>
      <w:tblPr>
        <w:tblLayout w:type="fixed"/>
        <w:tblInd w:w="80" w:type="dxa"/>
        <w:tblCellMar>
          <w:top w:w="0" w:type="dxa"/>
          <w:left w:w="0" w:type="dxa"/>
          <w:bottom w:w="0" w:type="dxa"/>
          <w:right w:w="0" w:type="dxa"/>
        </w:tblCellMar>
      </w:tblPr>
      <w:tr>
        <w:trPr>
          <w:trHeight w:val="23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8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r>
      <w:tr>
        <w:trPr>
          <w:trHeight w:val="23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performance stock units</w:t>
            </w:r>
          </w:p>
        </w:tc>
        <w:tc>
          <w:tcPr>
            <w:tcW w:w="18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ESPP shares</w:t>
            </w:r>
          </w:p>
        </w:tc>
        <w:tc>
          <w:tcPr>
            <w:tcW w:w="1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18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3,210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excluded from diluted net income (loss) per share</w:t>
            </w:r>
          </w:p>
        </w:tc>
        <w:tc>
          <w:tcPr>
            <w:tcW w:w="1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3,210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w:t>
            </w:r>
          </w:p>
        </w:tc>
      </w:tr>
      <w:tr>
        <w:trPr>
          <w:trHeight w:val="20"/>
        </w:trPr>
        <w:tc>
          <w:tcPr>
            <w:tcW w:w="52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2025, the performance stock units granted during 2021, 2023, 2024, and 2025 had expected achievement levels of 0%, 150%, 150%, and 150%, respectively. The performance stock units granted during 2022 vested on February 1, 2025 with an achievement of approximately 125%. As of September 30, 2024, the performance stock units granted in 2021, 2022, 2023, and 2024 had expected achievement levels of 0%, 99%, 115%, and 150%, respectively. These expected and actual achievement levels are included in the calculation of weighted-average shares in the tables above. Refer to Note 11 for additional information related to performance stock units.</w:t>
      </w:r>
    </w:p>
    <w:p>
      <w:pPr>
        <w:spacing w:after="0" w:line="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the number of shares that would be issuable assuming conversion of all of the Convertible Senior Notes (as defined in Note 9) was approximately 3,210,098 and were excluded from the calculation of diluted net income (loss) per share because they were anti-dilutive. The Convertible Senior Notes have an initial</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conversion rate of 15.6539 shares of common stock per $1,000 principal amount of the Convertible Senior Notes, which will be subject to anti-dilution adjustments in certain circumstances.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w:t>
      </w:r>
    </w:p>
    <w:p>
      <w:pPr>
        <w:spacing w:after="0" w:line="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recognized on a net basis and on a gross basis for the three and nine months ended September 30, 2025 and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6"/>
                <w:szCs w:val="16"/>
                <w:color w:val="auto"/>
              </w:rPr>
            </w:pPr>
          </w:p>
        </w:tc>
      </w:tr>
      <w:tr>
        <w:trPr>
          <w:trHeight w:val="23"/>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gridSpan w:val="4"/>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gridSpan w:val="5"/>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r>
      <w:tr>
        <w:trPr>
          <w:trHeight w:val="190"/>
        </w:trPr>
        <w:tc>
          <w:tcPr>
            <w:tcW w:w="32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top w:val="single" w:sz="8" w:color="auto"/>
              <w:bottom w:val="single" w:sz="8" w:color="auto"/>
            </w:tcBorders>
          </w:tcPr>
          <w:p>
            <w:pPr>
              <w:spacing w:after="0"/>
              <w:rPr>
                <w:sz w:val="16"/>
                <w:szCs w:val="16"/>
                <w:color w:val="auto"/>
              </w:rPr>
            </w:pPr>
          </w:p>
        </w:tc>
        <w:tc>
          <w:tcPr>
            <w:tcW w:w="1780" w:type="dxa"/>
            <w:vAlign w:val="bottom"/>
            <w:tcBorders>
              <w:top w:val="single" w:sz="8" w:color="auto"/>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196"/>
        </w:trPr>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160,121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141,969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400,165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29"/>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basis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20,034</w:t>
            </w:r>
          </w:p>
        </w:tc>
        <w:tc>
          <w:tcPr>
            <w:tcW w:w="1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179,494</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162,003</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508,597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474,202</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revenue by channel for the three and nine months ended September 30, 2025 and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6"/>
                <w:szCs w:val="16"/>
                <w:color w:val="auto"/>
              </w:rPr>
            </w:pPr>
          </w:p>
        </w:tc>
      </w:tr>
      <w:tr>
        <w:trPr>
          <w:trHeight w:val="23"/>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gridSpan w:val="4"/>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gridSpan w:val="5"/>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r>
      <w:tr>
        <w:trPr>
          <w:trHeight w:val="190"/>
        </w:trPr>
        <w:tc>
          <w:tcPr>
            <w:tcW w:w="32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top w:val="single" w:sz="8" w:color="auto"/>
              <w:bottom w:val="single" w:sz="8" w:color="auto"/>
            </w:tcBorders>
          </w:tcPr>
          <w:p>
            <w:pPr>
              <w:spacing w:after="0"/>
              <w:rPr>
                <w:sz w:val="16"/>
                <w:szCs w:val="16"/>
                <w:color w:val="auto"/>
              </w:rPr>
            </w:pPr>
          </w:p>
        </w:tc>
        <w:tc>
          <w:tcPr>
            <w:tcW w:w="1780" w:type="dxa"/>
            <w:vAlign w:val="bottom"/>
            <w:tcBorders>
              <w:top w:val="single" w:sz="8" w:color="auto"/>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196"/>
        </w:trPr>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CTV</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87,799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226,578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0"/>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Mobile</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Desktop</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75,232</w:t>
            </w:r>
          </w:p>
        </w:tc>
        <w:tc>
          <w:tcPr>
            <w:tcW w:w="10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disaggregated by geographic location, based on the location of the Company's sellers for the three and nine months ended September 30, 2025 and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6"/>
                <w:szCs w:val="16"/>
                <w:color w:val="auto"/>
              </w:rPr>
            </w:pPr>
          </w:p>
        </w:tc>
      </w:tr>
      <w:tr>
        <w:trPr>
          <w:trHeight w:val="23"/>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gridSpan w:val="4"/>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gridSpan w:val="5"/>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r>
      <w:tr>
        <w:trPr>
          <w:trHeight w:val="190"/>
        </w:trPr>
        <w:tc>
          <w:tcPr>
            <w:tcW w:w="32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top w:val="single" w:sz="8" w:color="auto"/>
              <w:bottom w:val="single" w:sz="8" w:color="auto"/>
            </w:tcBorders>
          </w:tcPr>
          <w:p>
            <w:pPr>
              <w:spacing w:after="0"/>
              <w:rPr>
                <w:sz w:val="16"/>
                <w:szCs w:val="16"/>
                <w:color w:val="auto"/>
              </w:rPr>
            </w:pPr>
          </w:p>
        </w:tc>
        <w:tc>
          <w:tcPr>
            <w:tcW w:w="1780" w:type="dxa"/>
            <w:vAlign w:val="bottom"/>
            <w:tcBorders>
              <w:top w:val="single" w:sz="8" w:color="auto"/>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196"/>
        </w:trPr>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134,732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120,240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383,927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357,015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44,762</w:t>
            </w:r>
          </w:p>
        </w:tc>
        <w:tc>
          <w:tcPr>
            <w:tcW w:w="10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117,187</w:t>
            </w:r>
          </w:p>
        </w:tc>
        <w:tc>
          <w:tcPr>
            <w:tcW w:w="10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r>
      <w:tr>
        <w:trPr>
          <w:trHeight w:val="24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(refer to Note 7). Accordingly, both accounts receivable and accounts payable appear large in relation to revenue reported on a net basis.</w:t>
      </w:r>
    </w:p>
    <w:p>
      <w:pPr>
        <w:spacing w:after="0" w:line="6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the invoiced amount, are unsecured, and do not bear interest. The allowance for doubtful accounts is reviewed quarterly, requires judgment, and is based on the best estimate of the amount of expected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are presented net of an allowance for doubtful accounts of $4.1 million at September 30, 2025, and $2.9 million at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are written off against the allowance for doubtful accounts when the Company determines amounts are no longer collectible.</w:t>
      </w:r>
    </w:p>
    <w:p>
      <w:pPr>
        <w:spacing w:after="0" w:line="7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$2.6 million and $1.9 million as of September 30, 2025 and December 31, 2024, respectively.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activity in the allowance for doubtful accounts for the three and nine months ended September 30, 2025 and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6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28"/>
        </w:trPr>
        <w:tc>
          <w:tcPr>
            <w:tcW w:w="6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6"/>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6"/>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6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2380" w:type="dxa"/>
            <w:vAlign w:val="bottom"/>
            <w:gridSpan w:val="4"/>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20,363</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(18,951)</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provision for expected credit losses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r>
      <w:tr>
        <w:trPr>
          <w:trHeight w:val="21"/>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wrote off $19.0 million of allowance for doubtful accounts, of which $18.5 million was attributable to the outstanding accounts receivable from a buyer that filed for bankruptcy during 2023.</w:t>
      </w:r>
    </w:p>
    <w:p>
      <w:pPr>
        <w:spacing w:after="0" w:line="4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change in provision for expected credit losses associated with accounts receivable and the offsetting impact of the change to contra seller payables related to recoveries of uncollected buyer receivables result in the amount of bad debt expense or recoveries the Company recognizes each period. During the three and nine months ended September 30, 2025, the provision for expected credit losses associated with accounts receivable increased by $1.0 million and $1.4 million, respectively, partially offset by increases of contra seller payables related to recoveries of uncollected buyer receivables of $0.6 million and $1.0 million, respectively, which resulted in immaterial amounts of bad debt expense. During the three and nine months ended September 30, 2024, the provision for expected credit losses associated with accounts receivable increased by $1.0 million and $2.2 million, respectively, partially offset by increases of contra seller payables related to recoveries of uncollected buyer receivables of $0.6 million and $1.5 million, respectively, which resulted in an immaterial amounts of bad debt expense.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4—Fair Value Measurements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3" w:lineRule="exact"/>
        <w:rPr>
          <w:sz w:val="20"/>
          <w:szCs w:val="20"/>
          <w:color w:val="auto"/>
        </w:rPr>
      </w:pPr>
    </w:p>
    <w:p>
      <w:pPr>
        <w:ind w:left="1140" w:right="360" w:hanging="484"/>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(unadjusted) in active markets for identical assets or liabilities that the Company has the ability to access at the measurement date.</w:t>
      </w:r>
    </w:p>
    <w:p>
      <w:pPr>
        <w:spacing w:after="0" w:line="40"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w:t>
      </w:r>
    </w:p>
    <w:p>
      <w:pPr>
        <w:spacing w:after="0" w:line="90"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table below sets forth a summary of financial instruments that are measured at fair value on a recurring basis at September 30, 2025:</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340" w:type="dxa"/>
            <w:vAlign w:val="bottom"/>
          </w:tcPr>
          <w:p>
            <w:pPr>
              <w:spacing w:after="0"/>
              <w:rPr>
                <w:sz w:val="13"/>
                <w:szCs w:val="13"/>
                <w:color w:val="auto"/>
              </w:rPr>
            </w:pPr>
          </w:p>
        </w:tc>
        <w:tc>
          <w:tcPr>
            <w:tcW w:w="2020" w:type="dxa"/>
            <w:vAlign w:val="bottom"/>
            <w:vMerge w:val="restart"/>
          </w:tcPr>
          <w:p>
            <w:pPr>
              <w:jc w:val="center"/>
              <w:ind w:right="52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20" w:type="dxa"/>
            <w:vAlign w:val="bottom"/>
            <w:vMerge w:val="restart"/>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jc w:val="center"/>
              <w:ind w:right="225"/>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34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1720" w:type="dxa"/>
            <w:vAlign w:val="bottom"/>
          </w:tcPr>
          <w:p>
            <w:pPr>
              <w:jc w:val="center"/>
              <w:ind w:right="205"/>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340" w:type="dxa"/>
            <w:vAlign w:val="bottom"/>
          </w:tcPr>
          <w:p>
            <w:pPr>
              <w:spacing w:after="0"/>
              <w:rPr>
                <w:sz w:val="12"/>
                <w:szCs w:val="12"/>
                <w:color w:val="auto"/>
              </w:rPr>
            </w:pPr>
          </w:p>
        </w:tc>
        <w:tc>
          <w:tcPr>
            <w:tcW w:w="2020" w:type="dxa"/>
            <w:vAlign w:val="bottom"/>
          </w:tcPr>
          <w:p>
            <w:pPr>
              <w:jc w:val="center"/>
              <w:ind w:right="524"/>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72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2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80" w:type="dxa"/>
            <w:vAlign w:val="bottom"/>
            <w:gridSpan w:val="3"/>
          </w:tcPr>
          <w:p>
            <w:pPr>
              <w:ind w:left="1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306,825</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306,825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a summary of financial instruments that are measured at fair value on a recurring basis at December 31, 2024:</w:t>
      </w: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340" w:type="dxa"/>
            <w:vAlign w:val="bottom"/>
          </w:tcPr>
          <w:p>
            <w:pPr>
              <w:spacing w:after="0"/>
              <w:rPr>
                <w:sz w:val="13"/>
                <w:szCs w:val="13"/>
                <w:color w:val="auto"/>
              </w:rPr>
            </w:pPr>
          </w:p>
        </w:tc>
        <w:tc>
          <w:tcPr>
            <w:tcW w:w="2020" w:type="dxa"/>
            <w:vAlign w:val="bottom"/>
            <w:vMerge w:val="restart"/>
          </w:tcPr>
          <w:p>
            <w:pPr>
              <w:jc w:val="center"/>
              <w:ind w:right="52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20" w:type="dxa"/>
            <w:vAlign w:val="bottom"/>
            <w:vMerge w:val="restart"/>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jc w:val="center"/>
              <w:ind w:right="225"/>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34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1720" w:type="dxa"/>
            <w:vAlign w:val="bottom"/>
          </w:tcPr>
          <w:p>
            <w:pPr>
              <w:jc w:val="center"/>
              <w:ind w:right="205"/>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340" w:type="dxa"/>
            <w:vAlign w:val="bottom"/>
          </w:tcPr>
          <w:p>
            <w:pPr>
              <w:spacing w:after="0"/>
              <w:rPr>
                <w:sz w:val="12"/>
                <w:szCs w:val="12"/>
                <w:color w:val="auto"/>
              </w:rPr>
            </w:pPr>
          </w:p>
        </w:tc>
        <w:tc>
          <w:tcPr>
            <w:tcW w:w="2020" w:type="dxa"/>
            <w:vAlign w:val="bottom"/>
          </w:tcPr>
          <w:p>
            <w:pPr>
              <w:jc w:val="center"/>
              <w:ind w:right="524"/>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72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2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80" w:type="dxa"/>
            <w:vAlign w:val="bottom"/>
            <w:gridSpan w:val="3"/>
          </w:tcPr>
          <w:p>
            <w:pPr>
              <w:ind w:left="1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436,731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436,731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2025 and December 31, 2024, cash equivalents of $306.8 million and $436.7 million, respectively, consisted of money market funds with original maturities of three months or less. The carrying amounts of cash equivalents are classified as Level 1 or Level 2 depending on whether or not their fair values are based on quoted market prices for identical securities that are traded in an active market.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30, 2025 and December 31, 2024, the Company had debt outstanding under its Convertible Senior Notes and loans under its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 Loan B Facility (as defined in Note 9) included in its balance sheets. The estimated fair value of the Company's Convertible Senior Notes was $199.2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$190.2 million as of September 30, 2025 and December 31, 2024, respectively. The estimated fair value of Convertible Senior Notes is 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market rates and the closing trading price of the Convertible Senior Notes as of September 30, 2025 and December 31, 2024 and is classified as Level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fair value hierarchy. At September 30, 2025 and December 31, 2024, the estimated fair value of the Company's 2024 Term Loan B Facility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$362.5 million and $368.2 million, respectively. The estimated fair value is based on borrowing rates currently available to the Company for financing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terms and is classified as Level 2 in the fair value hierarchy.</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5—Property and Equipment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Major classes of property and equipment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jc w:val="right"/>
              <w:ind w:right="111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network hardware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184,155</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23"/>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191,340</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(122,610)</w:t>
            </w:r>
          </w:p>
        </w:tc>
      </w:tr>
      <w:tr>
        <w:trPr>
          <w:trHeight w:val="248"/>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totaled $6.5 million and $4.0 million for the three months ended September 30, 2025 and 2024, respectively, and $17.4 million and $10.9 million for the nine months ended September 30, 2025 and 2024, respectively.</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property and equipment, net by geographical region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51,708</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17,022</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6—Intangible Assets and Goodwill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2025 Acquisition—Streamrai, Inc.</w:t>
      </w:r>
    </w:p>
    <w:p>
      <w:pPr>
        <w:spacing w:after="0" w:line="189"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In September 2025, the Company completed the acquisition of the business of Streamrai, Inc. ("Streamr.ai" and such acquisition the "Streamr.ai Acquisition"), a platform that specializes in artificial intelligence tools that make CTV advertising accessible to small and medium-sized businesses ("SMBs"). The total purchase consideration was $10.1 million, of which $8.1 million was paid in cash and $2.0 million was held back to cover possible indemnification claims that will be partially released one year after the acquisition, with the remainder released by March 2027. In accordance with the accounting for business combinations,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The allocation of purchase consideration resulted in an estimated $5.0 million of developed technology intangible assets with an estimated useful life of 3 years, $0.7 million of non-compete intangible assets with an estimated useful life of 2 to 3 years, $0.1 million of customer relationships with an estimated useful life of 0.5 years, $0.2 million of trademark and tradename intangible assets with an estimated useful life of 3 years, goodwill of $5.7 million, which is attributable to the workforce of Streamr.ai and revenue synergies from the acquisition, and deferred tax liability of $1.5 million. The purchase price allocation is preliminary and subject to change pending finalization of the valuation. For tax purposes, the acquisition of Streamr.ai will be treated as a stock acquisition. The goodwill recognized in the acquisition of Streamr.ai is not tax deductible for tax purposes.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Acquisition related costs associated with the Streamr.ai Acquisition during the three and nine months ended September 30, 2025 were immaterial.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Streamr.ai's post-acquisition revenue and operating results on a standalone basis were immaterial.</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intangible assets are being amortized over their estimated useful lives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7"/>
              </w:rPr>
              <w:t>Years</w:t>
            </w:r>
          </w:p>
        </w:tc>
      </w:tr>
      <w:tr>
        <w:trPr>
          <w:trHeight w:val="23"/>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97"/>
              </w:rPr>
              <w:t>3 to 5</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3 to 5</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8"/>
              </w:rPr>
              <w:t>0.5 to 4</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2 to 3</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9"/>
              </w:rPr>
              <w:t>3 to 10</w:t>
            </w:r>
          </w:p>
        </w:tc>
      </w:tr>
      <w:tr>
        <w:trPr>
          <w:trHeight w:val="486"/>
        </w:trPr>
        <w:tc>
          <w:tcPr>
            <w:tcW w:w="96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Company’s intangible assets as of September 30, 2025 and December 31, 2024 included the following:</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81"/>
        </w:trPr>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24"/>
                <w:szCs w:val="24"/>
                <w:color w:val="auto"/>
              </w:rPr>
            </w:pPr>
          </w:p>
        </w:tc>
        <w:tc>
          <w:tcPr>
            <w:tcW w:w="14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jc w:val="right"/>
              <w:ind w:right="111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109,736</w:t>
            </w: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37,300</w:t>
            </w: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w:t>
            </w: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 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29"/>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Non-compete agreements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 gross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157,198</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amortization—intangible assets: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(93,941)</w:t>
            </w: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(34,192)</w:t>
            </w: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w:t>
            </w: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intangible assets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Non-compete agreements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accumulated amortization—intangible assets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(135,889)</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Amortization of intangible assets for the three months ended September 30, 2025 and 2024 was $2.2 million and $7.5 million, respectively,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 million and $22.7 million for the nine months ended September 30, 2025 and 2024, respectively. For the nine months ended September 30, 2025,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wrote off fully amortized intangible assets with a historical cost of $37.3 million.</w:t>
      </w:r>
    </w:p>
    <w:p>
      <w:pPr>
        <w:spacing w:after="0" w:line="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estimated remaining amortization expense associated with the Company's intangible assets was as follows as of September 30,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6"/>
                <w:szCs w:val="16"/>
                <w:color w:val="auto"/>
              </w:rPr>
            </w:pPr>
          </w:p>
        </w:tc>
        <w:tc>
          <w:tcPr>
            <w:tcW w:w="13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9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to the Company's goodwill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at December 31, 2024</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978,217</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Additions for the Streamr.ai Acquisition</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at September 30, 2025</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983,902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7—Accounts Payable and Accrued Expenses</w:t>
            </w: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 included the following:</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24"/>
                <w:szCs w:val="24"/>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payable—seller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1,417,780</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payable—trade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30,899</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employee-related payables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holdback - indemnification claims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1,479,746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1,466,377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8—Lease Obligations</w:t>
      </w:r>
    </w:p>
    <w:p>
      <w:pPr>
        <w:spacing w:after="0" w:line="202"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The Company has operating leases for office facilities and data centers. The lease terms of the Company’s operating leases generally range from 1.0 year to 10.0 years. The Company's lease terms include periods under options to extend or terminate the lease when it is reasonably certain that the Company will exercise that option. The weighted average remaining lease term of leases included in lease liabilities is 4.3 years and 4.6 years as of September 30, 2025 and December 31, 2024, respectively. As of September 30, 2025 and December 31, 2024, a weighted average discount rate of 5.98% and 6.12%, respectively, has been applied to the remaining lease payments to calculate the lease liabilities included within the condensed consolidated balance sheet.</w:t>
      </w:r>
    </w:p>
    <w:p>
      <w:pPr>
        <w:spacing w:after="0" w:line="5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Operating lease expense was $5.7 million and $5.7 million for the three months ended September 30, 2025 and 2024, respectively, and $16.4 million and $17.2 million for the nine months ended September 30, 2025 and 2024, respectively. The Company recognized variable lease expense of $1.2 million and an immaterial amount for the three months ended September 30, 2025 and 2024, respectively, and $3.0 million and $1.5 million for the nine months ended September 30, 2025 and 2024, respectively.</w:t>
      </w:r>
    </w:p>
    <w:p>
      <w:pPr>
        <w:spacing w:after="0" w:line="5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lease liabilities was $6.4 million and $6.0 million for the three months ended September 30, 2025 and 2024, respectively, and $16.7 million and $18.8 million for the nine months ended September 30, 2025 and 2024,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maturity of the Company's lease liabilities associated with leases included in the lease liabilities and right-of-use ("ROU") assets were as follows as of September 30, 2025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21,885</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16,384</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w:t>
            </w:r>
          </w:p>
        </w:tc>
      </w:tr>
      <w:tr>
        <w:trPr>
          <w:trHeight w:val="223"/>
        </w:trPr>
        <w:tc>
          <w:tcPr>
            <w:tcW w:w="9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 (undiscounted)</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78,148</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(9,191)</w:t>
            </w:r>
          </w:p>
        </w:tc>
      </w:tr>
      <w:tr>
        <w:trPr>
          <w:trHeight w:val="248"/>
        </w:trPr>
        <w:tc>
          <w:tcPr>
            <w:tcW w:w="9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liabilities—total (discounted)</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68,957</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also received rental income of an immaterial amount and $1.3 million for real estate leases for which it subleased the property to a third party during the three months ended September 30, 2025 and 2024, respectively and $0.7 million and $3.9 million for the nine months ended September 30, 2025 and 2024, respectively. Rental income is included in other income in the condensed consolidated statements of operations.</w:t>
      </w:r>
    </w:p>
    <w:p>
      <w:pPr>
        <w:spacing w:after="0" w:line="54"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lease liabilities included in these consolidated financial statements, the Company entered into agreements for data centers that had not commenced as of September 30, 2025; therefore, the leases were not included in the lease liabilities and ROU assets balance as of September 30, 2025. The Company has future commitments totaling $7.1 million over a term of 4.4 years related to these agreements.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operating lease right-of-use assets by geographical region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45,178</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9—Debt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 and long term debt as of September 30, 2025 and December 31, 2024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94615</wp:posOffset>
            </wp:positionV>
            <wp:extent cx="20916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8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gridSpan w:val="4"/>
          </w:tcPr>
          <w:p>
            <w:pPr>
              <w:jc w:val="right"/>
              <w:ind w:right="11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30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carrying value of Convertible Senior Notes</w:t>
            </w:r>
          </w:p>
        </w:tc>
        <w:tc>
          <w:tcPr>
            <w:tcW w:w="3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Term Loan B Facility</w:t>
            </w:r>
          </w:p>
        </w:tc>
        <w:tc>
          <w:tcPr>
            <w:tcW w:w="3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30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carrying value of 2024 Term Loan B Facility</w:t>
            </w:r>
          </w:p>
        </w:tc>
        <w:tc>
          <w:tcPr>
            <w:tcW w:w="3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Presentation:</w:t>
            </w:r>
          </w:p>
        </w:tc>
        <w:tc>
          <w:tcPr>
            <w:tcW w:w="3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current, net of debt issuance costs</w:t>
            </w:r>
          </w:p>
        </w:tc>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non-current, net of debt discount and issuance costs</w:t>
            </w:r>
          </w:p>
        </w:tc>
        <w:tc>
          <w:tcPr>
            <w:tcW w:w="30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30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556,265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4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the principal amount of the Company's debt were as follows as of September 30, 2025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208,699</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345,925</w:t>
            </w:r>
          </w:p>
        </w:tc>
      </w:tr>
      <w:tr>
        <w:trPr>
          <w:trHeight w:val="248"/>
        </w:trPr>
        <w:tc>
          <w:tcPr>
            <w:tcW w:w="9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566,428</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Amortization of debt discount and debt issuance costs is computed using the effective interest method and is included in interest expense in the condensed consolidated statement of operations. Amortization of the debt discount and debt issuance costs associated with the Company's indebtedness totaled $0.8 million and $2.3 million for the three and nine months ended September 30, 2025, respectively, and $0.8 million and $2.7 million for the three and nine months ended September 30, 2024, respectively. In addition, amortization of deferred financing costs was an immaterial amount for each of the three and nine months ended September 30, 2025 and 2024. Deferred financing costs are included in other assets, non-current in the condensed consolidated balance sheets.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and Capped Call Transactions</w:t>
      </w:r>
    </w:p>
    <w:p>
      <w:pPr>
        <w:spacing w:after="0" w:line="108"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The Convertible Senior Notes will mature on March 15, 2026, unless earlier repurchased, redeemed or converted.</w:t>
      </w:r>
    </w:p>
    <w:p>
      <w:pPr>
        <w:spacing w:after="0" w:line="5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repurchased $194.9 million of principal balance of its Convertible Senior Notes in the open market with cash on hand for $165.5 million.</w:t>
      </w:r>
    </w:p>
    <w:p>
      <w:pPr>
        <w:spacing w:after="0" w:line="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interest expense related to the Convertible Senior Notes for the three and nine months ended September 30, 2025 and 2024 (in thousands, except interest rates):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8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40" w:type="dxa"/>
            <w:vAlign w:val="bottom"/>
            <w:gridSpan w:val="4"/>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29"/>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0.82 %</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remaining amortization expense for the Company's debt issuance costs related to the Convertible Senior Notes was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60" w:type="dxa"/>
            <w:vAlign w:val="bottom"/>
          </w:tcPr>
          <w:p>
            <w:pPr>
              <w:spacing w:after="0"/>
              <w:rPr>
                <w:sz w:val="16"/>
                <w:szCs w:val="16"/>
                <w:color w:val="auto"/>
              </w:rPr>
            </w:pP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Debt Issuance Costs</w:t>
            </w:r>
          </w:p>
        </w:tc>
      </w:tr>
      <w:tr>
        <w:trPr>
          <w:trHeight w:val="23"/>
        </w:trPr>
        <w:tc>
          <w:tcPr>
            <w:tcW w:w="9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48"/>
        </w:trPr>
        <w:tc>
          <w:tcPr>
            <w:tcW w:w="9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2021 and 2024 Credit Agreements</w:t>
      </w:r>
    </w:p>
    <w:p>
      <w:pPr>
        <w:spacing w:after="0" w:line="108"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On April 30, 2021, the Company entered into a credit agreement (the "2021 Credit Agreement") with Goldman Sachs Bank USA as administrative agent and collateral agent, and other lender parties thereto. The 2021 Credit Agreement provided for a $360.0 million seven-year senior secured term loan facility ("2021 Term Loan B Facility"), which had a maturity in April 2028, and a $65.0 million senior secured revolving credit facility (as amended in June 2021, the "2021 Revolving Credit Facility"), which had a maturity in December 2025. In June 2023, the Company amended the 2021 Credit Agreement (the "Amended 2021 Credit Agreement") to transition away from a variable interest rate based on the Eurodollar Rate towards a similar variable interest rate based on Adjusted Term SOFR, as defined in the Amended 2021 Credit Agreement, which is based on the secured overnight financing rate ("SOFR").</w:t>
      </w:r>
    </w:p>
    <w:p>
      <w:pPr>
        <w:spacing w:after="0" w:line="3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On February 6, 2024, the Company refinanced the Amended 2021 Credit Agreement and entered into a new credit agreement (the "2024 Credit Agreement") with Morgan Stanley Senior Funding, Inc. as the Company term loan administrative agent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and Citibank, N.A. as the Company's revolving facility administrative agent and collateral agent, and other lender parties thereto. The 2024 Credit Agreement included a $365.0 million seven-year senior secured term loan facility (the "2024 Term Loan B Facility"), which will mature in February 2031 and a $175.0 million five-year senior secured revolving credit facility (the "2024 Revolving Credit Facility"), which will mature in February 2029. The Company primarily used the proceeds from the 2024 Term Loan B Facility to repay in full all outstanding amounts owed under the Company's Amended 2021 Credit Agreement. Accordingly, the Amended 2021 Credit Agreement was terminated and replaced in its entirety. The obligations under the 2024 Credit Agreement are secured by substantially all of the assets of the Company.</w:t>
      </w:r>
    </w:p>
    <w:p>
      <w:pPr>
        <w:spacing w:after="0" w:line="52"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On September 18, 2024, the Company entered into Amendment No. 1 to the 2024 Credit Agreement ("Amendment No. 1"), which reduced the interest rate of the 2024 Term Loan B Facility by 75 basis points to Term SOFR (as defined in the 2024 Credit Agreement) plus a margin of 3.75% from the previous rate of Term SOFR plus a margin of 4.50%, and on March 18, 2025, the Company entered into Amendment No. 2 to the 2024 Credit Agreement ("Amendment No. 2"), which reduced the interest rate of the 2024 Term Loan B Facility by an additional 75 basis points to Term SOFR plus a margin of 3.00%. The remaining terms of the 2024 Term Loan B Facility and the 2024 Revolving Credit Facility were substantially unchanged by these amendments.</w:t>
      </w:r>
    </w:p>
    <w:p>
      <w:pPr>
        <w:spacing w:after="0" w:line="46"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2025, the contractual interest rate related to the 2024 Term Loan B Facility was 7.16%. In addition to having to pay contractual interest on the 2024 Term Loan B Facility, the Company is also required to pay certain other fees, primarily to the lenders under the 2024 Revolving Credit Facility, in order to maintain their revolving facility commitments.</w:t>
      </w:r>
    </w:p>
    <w:p>
      <w:pPr>
        <w:spacing w:after="0" w:line="54"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covenants of the 2024 Credit Agreement include customary negative covenants that, among other things, restrict the Company’s ability to incur additional indebtedness, grant liens and make certain acquisitions, investments, asset dispositions and restricted payments. In addition, the 2024 Credit Agreement contains a springing financial covenant that is tested on the last day of any fiscal quarter only if utilization of the 2024 Revolving Credit Facility exceeds 35% of the total revolving commitments, whereby the Company is required to maintain a First Lien Net Leverage Ratio below 3.25 to</w:t>
      </w:r>
    </w:p>
    <w:p>
      <w:pPr>
        <w:spacing w:after="0" w:line="3"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1.00. As of September 30, 2025, no amounts were outstanding under the 2024 Revolving Credit Facility and the Company was in compliance with its debt covenants. At September 30, 2025, amounts available under the 2024 Revolving Credit Facility were $171.0 million, net of letters of credit outstanding in the amount of $4.0 million.</w:t>
      </w:r>
    </w:p>
    <w:p>
      <w:pPr>
        <w:spacing w:after="0" w:line="5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2024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2024 Credit Agreement. The 2024 Credit Agreement calls for customary scheduled loan amortization payments of 0.25% of the initial principal balance, which at the time of Amendment No. 2 was $363.2 million, payable quarterly (i.e. 1% in aggregate per year) as well as a provision that requires the Company to prepay the 2024 Term Loan B Facility based on an annual calculation of free cash flow ("Excess Cash Flow") as defined by the 2024 Credit Agreement. The Company was not required to make any such mandatory prepayment required by the Excess Cash Flow provision for the period ended September 30, 2025.</w:t>
      </w:r>
    </w:p>
    <w:p>
      <w:pPr>
        <w:spacing w:after="0" w:line="6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outstanding under the Company's 2024 Term Loan B Facility at September 30, 2025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53975</wp:posOffset>
            </wp:positionV>
            <wp:extent cx="20916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Term Loan B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363,177</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Term Loan B Facility, net of debt discount and issuance costs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351,743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350,102</w:t>
            </w:r>
          </w:p>
        </w:tc>
      </w:tr>
      <w:tr>
        <w:trPr>
          <w:trHeight w:val="21"/>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February 6, 2024 Debt Refinance</w:t>
      </w:r>
    </w:p>
    <w:p>
      <w:pPr>
        <w:spacing w:after="0" w:line="10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As part of the debt refinance on February 6, 2024, where lenders under the Amended 2021 Credit Agreement continued to be lenders under the 2024 Credit Agreement, certain of their loans and revolving facility commitments were deemed to have been modified ("Modified Loans" and "Modified Commitments," respectively). The Company continued to defer debt discount costs of $3.7 million and debt issuance costs of $5.7 million from Modified Loans over the term of the new 2024 Term Loan B Facility. The Company continued to defer financing costs as of February 6, 2024 of an immaterial amount from Modified Commitments over the term of the new 2024 Revolver Facility.</w:t>
      </w:r>
    </w:p>
    <w:p>
      <w:pPr>
        <w:spacing w:after="0" w:line="48"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For lenders of the 2021 Credit Agreement that did not continue to participate in the 2024 Credit Agreement, their pro-rata portion of the unamortized debt discount of $2.8 million, unamortized debt issuance costs of $4.3 million, and unamortized deferred financing costs of an immaterial amount were deemed to be extinguished. The resulting loss on extinguishment of debt of $7.4 million is included in other (income) expense in the Company's condensed consolidated statement of operations for the nine months ended September 30, 2024.</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paid $7.7 million in third-party fees related to the closing of the 2024 Credit Agreement. Third-party fees attributed to new lenders of $2.4 million were capitalized as part of the debt issuance costs and will be amortized over the term of the 2024 Term Loan B Facility while third-party fees attributed to Modified Loans of $3.1 million were included in general and administrative expenses in the Company's condensed consolidated statement of operations for the nine months ended September 30, 2024. In addition, third-party fees of $2.1 million attributed to new revolving lenders and Modified Commitments were capitalized as part of deferred financing costs and will be amortized over the term of the 2024 Revolving Facility. The Company also capitalized additional debt discount costs of $3.7 million associated with the closing of the 2024 Term Loan B Facility, which will be amortized over the term of the 2024 Term Loan B Facility.</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September 18, 2024 Debt Repricing</w:t>
      </w:r>
    </w:p>
    <w:p>
      <w:pPr>
        <w:spacing w:after="0" w:line="10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analyzed the changes of Amendment No. 1 on a lender-by-lender basis and determined that the transaction would primarily be accounted for as a modification, with a portion of it accounted for as debt extinguishment and new debt issuance. As a result, the Company recognized an immaterial loss on extinguishment related to unamortized debt discount and unamortized debt issuance costs related to the portion of the 2024 Term Loan B Facility that was extinguished. The Company paid $1.0 million in third-party fees related to Amendment No. 1 of which an immaterial amount was capitalized as debt issuance costs and $1.0 million was included in general and administrative expenses in the Company's condensed consolidated statement of operations for the three and nine months ended September 30, 2024. As part of Amendment No. 1, most lenders decided to roll their loan balances over from the original 2024 Term Loan B Facility to the amended 2024 Term Loan B Facility, while some decided to cash out and reassign their loan balances. On September 18, 2024, $312.0 million of the 2024 Term Loan B Facility principal balance was rolled over as part of non-cash financing activities while $52.1 million of the 2024 Term Loan B Facility principal balance was repaid and then reissued.</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March 18, 2025 Debt Repricing</w:t>
      </w:r>
    </w:p>
    <w:p>
      <w:pPr>
        <w:spacing w:after="0" w:line="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Company analyzed the changes of Amendment No. 2 on a lender-by-lender basis and determined that the transaction would primarily be accounted for as a modification, with a portion of it accounted for as debt extinguishment and new debt issuance. As a result, the Company recognized a loss on extinguishment of $2.2 million related to $1.0 million of unamortized debt discount and $1.1 million of unamortized debt issuance costs related to the portion of the 2024 Term Loan B Facility that was extinguished. The Company paid $1.1 million in third-party fees related to Amendment No. 2 of which an immaterial amount was capitalized as debt issuance costs and $1.0 million was included in general and administrative expenses in the Company's condensed consolidated statement of operations for the nine months ended September 30, 2025. As part of Amendment No. 2, most of the 2024 Term Loan B lenders decided to roll their loan balances over from Amendment No. 1 to Amendment No. 2, while some decided to cash out and reassign their loan balances. On March 18, 2025, $270.6 million of the 2024 Term Loan B principal balance from Amendment No. 1 was rolled over to Amendment No. 2 as part of non-cash financing activities while $92.6 million of the 2024 Term Loan B Facility principal balance from Amendment No. 1 was repaid and then reissued as part of Amendment No. 2.</w:t>
      </w:r>
    </w:p>
    <w:p>
      <w:pPr>
        <w:spacing w:after="0" w:line="7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interest expense related to the 2024 Term Loan B Facility and the 2021 Term Loan B Facility (in thousands, except interest rates):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3240" w:type="dxa"/>
            <w:vAlign w:val="bottom"/>
            <w:gridSpan w:val="4"/>
          </w:tcPr>
          <w:p>
            <w:pPr>
              <w:jc w:val="right"/>
              <w:ind w:right="101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0"/>
        </w:trPr>
        <w:tc>
          <w:tcPr>
            <w:tcW w:w="4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2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6,786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9,084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20,738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27,282</w:t>
            </w: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6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848</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1,008</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7,249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9,640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22,202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29,138</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10.71 %</w:t>
            </w: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remaining amortization expense for the 2024 Term Loan B Facility debt discount and debt issuance costs was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Debt Discount</w:t>
            </w:r>
          </w:p>
        </w:tc>
        <w:tc>
          <w:tcPr>
            <w:tcW w:w="160" w:type="dxa"/>
            <w:vAlign w:val="bottom"/>
          </w:tcPr>
          <w:p>
            <w:pPr>
              <w:spacing w:after="0"/>
              <w:rPr>
                <w:sz w:val="16"/>
                <w:szCs w:val="16"/>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Debt Issuance Costs</w:t>
            </w:r>
          </w:p>
        </w:tc>
        <w:tc>
          <w:tcPr>
            <w:tcW w:w="0" w:type="dxa"/>
            <w:vAlign w:val="bottom"/>
          </w:tcPr>
          <w:p>
            <w:pPr>
              <w:spacing w:after="0"/>
              <w:rPr>
                <w:sz w:val="1"/>
                <w:szCs w:val="1"/>
                <w:color w:val="auto"/>
              </w:rPr>
            </w:pPr>
          </w:p>
        </w:tc>
      </w:tr>
      <w:tr>
        <w:trPr>
          <w:trHeight w:val="23"/>
        </w:trPr>
        <w:tc>
          <w:tcPr>
            <w:tcW w:w="338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45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bottom w:val="single" w:sz="8" w:color="CCEEFF"/>
            </w:tcBorders>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338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Total Interest Expense and Interest Income</w:t>
      </w:r>
    </w:p>
    <w:p>
      <w:pPr>
        <w:spacing w:after="0" w:line="10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Interest expense consists primarily of contractual interest expense and amortization of debt discount, debt issuance costs, and deferred financing costs related to the Company's debt facilities under its 2024 Credit Agreement and Amended 2021 Credit Agreement as well as its Convertible Senior Notes. Interest income primarily consists of interest earned on the Company's cash equivalents. The following includes interest expense and interest income, as presented within interest expense, net in the condensed consolidated statement of operations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0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6"/>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6"/>
                <w:szCs w:val="16"/>
                <w:color w:val="auto"/>
              </w:rPr>
            </w:pPr>
          </w:p>
        </w:tc>
        <w:tc>
          <w:tcPr>
            <w:tcW w:w="1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4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color w:val="auto"/>
                <w:w w:val="98"/>
              </w:rPr>
              <w:t>7,901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24,122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31,140</w:t>
            </w:r>
          </w:p>
        </w:tc>
      </w:tr>
      <w:tr>
        <w:trPr>
          <w:trHeight w:val="22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777"/>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98"/>
              </w:rPr>
              <w:t>(9,206)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(9,541)</w:t>
            </w: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color w:val="auto"/>
                <w:w w:val="98"/>
              </w:rPr>
              <w:t>4,668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14,916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21,599</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10—Commitments and Contingencies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commitments under non-cancelable operating leases for facilities and its managed data center facilities (refer to Note 8).</w:t>
      </w:r>
    </w:p>
    <w:p>
      <w:pPr>
        <w:spacing w:after="0" w:line="104"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$4.0 million and $5.2 million, respectively, of letters of credit associated with office leases available for borrowing, on which there were no outstanding borrowings as of either date.</w:t>
      </w:r>
    </w:p>
    <w:p>
      <w:pPr>
        <w:spacing w:after="0" w:line="4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non-cancelable contractual obligations with various parties, primarily related to cloud-managed service agreements, software service agreements, and data center providers. As of September 30, 2025, the Company's outstanding non-cancelable contractual obligations with a remaining term in excess of one year consist of the following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35,718</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112,050</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65,505</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13,142</w:t>
            </w:r>
          </w:p>
        </w:tc>
      </w:tr>
      <w:tr>
        <w:trPr>
          <w:trHeight w:val="248"/>
        </w:trPr>
        <w:tc>
          <w:tcPr>
            <w:tcW w:w="9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226,415</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amounts above include commitments under a cloud-managed services agreement, under which the Company has a non-cancelable commitment from July 2025 to June 2028 containing minimum spend amounts for each twelve-month period (i.e. July 2025 to June 2026, July 2026 to June 2027, and July 2027 to June 2028) as well as an additional minimum spend amount over the entire three-year term. The table above approximates the manner in which the Company expects to fulfill the obligation.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w:t>
      </w:r>
    </w:p>
    <w:p>
      <w:pPr>
        <w:spacing w:after="0" w:line="10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condensed consolidated financial statements.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0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may from time to time be parties to legal or regulatory proceedings, lawsuits and other claims incident to their business activities and to the Company’s status as a public company. Such routine matters may include, among other things, assertions of contract breach or intellectual property infringement, claims for indemnity arising in the course of the Company’s business, claims relating to our collection or use of data, regulatory investigations, audits by taxing authorities, or enforcement proceedings, and claims by persons whose employment has been terminated. For example, the Company has recently been subject to lawsuits alleging violation of various privacy statutes. Additionally, on September 16, 2025, the Company filed a lawsuit against Google LLC ("Google") in the U.S. District Court of the Eastern District of Virginia. The complaint alleges that Google has engaged in anticompetitive conduct in the ad exchange and ad server markets in violation of federal antitrust laws, including actions that restrict publishers' ability to use competing services and favor Google's own advertising exchange. Magnite seeks monetary damages, an injunction, structural relief, and reasonable costs and expenses. Magnite intends to pursue its claims vigorously, but cannot predict the outcome of this matter.</w:t>
      </w:r>
    </w:p>
    <w:p>
      <w:pPr>
        <w:spacing w:after="0" w:line="5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Such matters are subject to many uncertainties, and outcomes are not predictable with assurance. Consequently, management is unable to ascertain the ultimate aggregate amount of monetary liability or awards, amounts which may be covered by insurance or recoverable from third parties, or the financial impact with respect to such matters as of September 30, 2025. However, based on management’s knowledge as of September 30, 2025, management believes that the final resolution of these matters known at such date, individually and in the aggregate, will not have a material adverse effect upon the Company’s condensed consolidated financial position, results of operations or cash flows.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Contracts</w:t>
      </w:r>
    </w:p>
    <w:p>
      <w:pPr>
        <w:spacing w:after="0" w:line="9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11—Stock-Based Compensation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stock option activity for the nine months ended September 30, 2025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Under Option</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5"/>
        </w:trPr>
        <w:tc>
          <w:tcPr>
            <w:tcW w:w="49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Average Exercise Price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00" w:type="dxa"/>
            <w:vAlign w:val="bottom"/>
          </w:tcPr>
          <w:p>
            <w:pPr>
              <w:spacing w:after="0"/>
              <w:rPr>
                <w:sz w:val="16"/>
                <w:szCs w:val="16"/>
                <w:color w:val="auto"/>
              </w:rPr>
            </w:pPr>
          </w:p>
        </w:tc>
        <w:tc>
          <w:tcPr>
            <w:tcW w:w="12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5"/>
        </w:trPr>
        <w:tc>
          <w:tcPr>
            <w:tcW w:w="4980" w:type="dxa"/>
            <w:vAlign w:val="bottom"/>
          </w:tcPr>
          <w:p>
            <w:pPr>
              <w:spacing w:after="0"/>
              <w:rPr>
                <w:sz w:val="17"/>
                <w:szCs w:val="17"/>
                <w:color w:val="auto"/>
              </w:rPr>
            </w:pPr>
          </w:p>
        </w:tc>
        <w:tc>
          <w:tcPr>
            <w:tcW w:w="14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4.1 years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51,112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2025</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8"/>
              </w:rPr>
              <w:t>3.8 years</w:t>
            </w: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bottom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8"/>
                <w:szCs w:val="18"/>
                <w:color w:val="auto"/>
              </w:rPr>
              <w:t>48,725</w:t>
            </w:r>
          </w:p>
        </w:tc>
        <w:tc>
          <w:tcPr>
            <w:tcW w:w="0" w:type="dxa"/>
            <w:vAlign w:val="bottom"/>
          </w:tcPr>
          <w:p>
            <w:pPr>
              <w:spacing w:after="0" w:line="20" w:lineRule="exact"/>
              <w:rPr>
                <w:sz w:val="1"/>
                <w:szCs w:val="1"/>
                <w:color w:val="auto"/>
              </w:rPr>
            </w:pPr>
          </w:p>
        </w:tc>
      </w:tr>
      <w:tr>
        <w:trPr>
          <w:trHeight w:val="208"/>
        </w:trPr>
        <w:tc>
          <w:tcPr>
            <w:tcW w:w="4980" w:type="dxa"/>
            <w:vAlign w:val="bottom"/>
            <w:vMerge w:val="continue"/>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38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nine months ended September 30, 2025 was $8.2 million, based on their respective exercise dates. At September 30, 2025, the Company had unrecognized stock-based compensation expense relating to unvested stock options of approximately $2.0 million, which is expected to be recognized over a weighted-average period of 1.9 years.</w:t>
      </w:r>
    </w:p>
    <w:p>
      <w:pPr>
        <w:spacing w:after="0" w:line="5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that contain service conditions using the Black-Scholes option pricing model. The grant date fair value of options granted during the nine months ended September 30, 2025 and 2024 was $11.40 and $6.34, respectively, per share. The weighted-average input assumptions used by the Company were as follows: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300" w:type="dxa"/>
            <w:vAlign w:val="bottom"/>
            <w:gridSpan w:val="3"/>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94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940" w:type="dxa"/>
            <w:vAlign w:val="bottom"/>
          </w:tcPr>
          <w:p>
            <w:pPr>
              <w:spacing w:after="0"/>
              <w:rPr>
                <w:sz w:val="16"/>
                <w:szCs w:val="16"/>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29"/>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3.93 %</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restricted stock unit ("RSU") activity for the nine months ended September 30, 2025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160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5"/>
        </w:trPr>
        <w:tc>
          <w:tcPr>
            <w:tcW w:w="792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5"/>
        </w:trPr>
        <w:tc>
          <w:tcPr>
            <w:tcW w:w="7920" w:type="dxa"/>
            <w:vAlign w:val="bottom"/>
          </w:tcPr>
          <w:p>
            <w:pPr>
              <w:spacing w:after="0"/>
              <w:rPr>
                <w:sz w:val="16"/>
                <w:szCs w:val="16"/>
                <w:color w:val="auto"/>
              </w:rPr>
            </w:pP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 at December 31, 2024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11,809</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 and released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3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 and unvested at September 30, 2025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per share of restricted stock units granted during the nine months ended September 30, 2025 and 2024 was $16.54 and $9.35, respectively.</w:t>
      </w:r>
    </w:p>
    <w:p>
      <w:pPr>
        <w:spacing w:after="0" w:line="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restricted stock units that vested and were released during the nine months ended September 30, 2025 and 2024 was $94.5 million and $48.5 million, respectively, based on their respective vesting dates. At September 30, 2025, the intrinsic value of unvested restricted stock units was $229.8 million. At September 30, 2025, the Company had unrecognized stock-based compensation expense relating to unvested restricted stock units of approximately $115.6 million, which is expected to be recognized over a weighted-average period of 2.4 years.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9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grants performance stock units ("PSU") to select executive employees that vest based on share price metrics tied to total shareholder return relative ("TSR") to a peer group, subject to a time-based service component. Between 0% and 150% of the performance stock units will vest at the end of the performance period, which is generally on the third anniversary of the PSU grant date.</w:t>
      </w:r>
    </w:p>
    <w:p>
      <w:pPr>
        <w:spacing w:after="0" w:line="5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PSUs is based on the grant date fair value and the number of shares assuming a performance measurement of 100%. The compensation expense will not be reversed if the performance metrics are not met.</w:t>
      </w:r>
    </w:p>
    <w:p>
      <w:pPr>
        <w:spacing w:after="0" w:line="4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granted PSUs with an aggregate target of 346,287 shares, assuming a performance measurement of 100%. The amount of shares that will ultimately vest will be determined based on the Company's TSR relative to the TSRs of a peer group for the three year-period beginning January 1, 2025, as well as certain interim measurements based on relative TSR for the one-year and two-year periods beginning on January 1, 2025.</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PSU activity for the nine months ended September 30, 2025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160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5"/>
        </w:trPr>
        <w:tc>
          <w:tcPr>
            <w:tcW w:w="794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5"/>
        </w:trPr>
        <w:tc>
          <w:tcPr>
            <w:tcW w:w="7940" w:type="dxa"/>
            <w:vAlign w:val="bottom"/>
          </w:tcPr>
          <w:p>
            <w:pPr>
              <w:spacing w:after="0"/>
              <w:rPr>
                <w:sz w:val="16"/>
                <w:szCs w:val="16"/>
                <w:color w:val="auto"/>
              </w:rPr>
            </w:pPr>
          </w:p>
        </w:tc>
        <w:tc>
          <w:tcPr>
            <w:tcW w:w="16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 w:right="180" w:firstLine="6"/>
        <w:spacing w:after="0" w:line="245" w:lineRule="auto"/>
        <w:tabs>
          <w:tab w:leader="none" w:pos="14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PSUs granted and weighted-average grant date fair value include 22 shares issued above the target shares for a PSU that vested and was released during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grant date fair value for the PSUs was estimated using a Monte-Carlo simulation model. The grant date fair value of PSUs granted during the nine months ended September 30, 2025 and September 30, 2024 was $20.93 and $11.76, respectively, per share. The weighted-average input assumptions used by the Company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3540" w:type="dxa"/>
            <w:vAlign w:val="bottom"/>
            <w:gridSpan w:val="3"/>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7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90"/>
        </w:trPr>
        <w:tc>
          <w:tcPr>
            <w:tcW w:w="7700" w:type="dxa"/>
            <w:vAlign w:val="bottom"/>
          </w:tcPr>
          <w:p>
            <w:pPr>
              <w:spacing w:after="0"/>
              <w:rPr>
                <w:sz w:val="16"/>
                <w:szCs w:val="16"/>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7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29"/>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period (in years)</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4.05 %</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of Magnite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of selected peer companies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correlation coefficients of Magnite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correlation coefficients of selected peer companies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7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fair value of PSUs that vested and were released was $1.9 million, based on their respective vesting dates. At September 30, 2025, the intrinsic value of unvested performance stock units based on expected achievement levels was $42.7 million. As of September 30, 2025, the Company had unrecognized stock-based compensation expense relating to unvested PSUs of approximately $8.9 million, which will be recognized over a weighted-average period of 1.1 years.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stock-based compensation expense recorded in the condensed consolidated statements of operations was as follows:</w:t>
      </w:r>
    </w:p>
    <w:p>
      <w:pPr>
        <w:spacing w:after="0" w:line="124" w:lineRule="exact"/>
        <w:rPr>
          <w:sz w:val="20"/>
          <w:szCs w:val="20"/>
          <w:color w:val="auto"/>
        </w:rPr>
      </w:pPr>
    </w:p>
    <w:p>
      <w:pPr>
        <w:ind w:left="5520"/>
        <w:spacing w:after="0"/>
        <w:tabs>
          <w:tab w:leader="none" w:pos="8920" w:val="left"/>
        </w:tabs>
        <w:rPr>
          <w:sz w:val="20"/>
          <w:szCs w:val="20"/>
          <w:color w:val="auto"/>
        </w:rPr>
      </w:pPr>
      <w:r>
        <w:rPr>
          <w:rFonts w:ascii="Times New Roman" w:cs="Times New Roman" w:eastAsia="Times New Roman" w:hAnsi="Times New Roman"/>
          <w:sz w:val="14"/>
          <w:szCs w:val="14"/>
          <w:b w:val="1"/>
          <w:bCs w:val="1"/>
          <w:color w:val="auto"/>
        </w:rPr>
        <w:t>Three Months Ended</w:t>
      </w:r>
      <w:r>
        <w:rPr>
          <w:sz w:val="20"/>
          <w:szCs w:val="20"/>
          <w:color w:val="auto"/>
        </w:rPr>
        <w:tab/>
      </w:r>
      <w:r>
        <w:rPr>
          <w:rFonts w:ascii="Times New Roman" w:cs="Times New Roman" w:eastAsia="Times New Roman" w:hAnsi="Times New Roman"/>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33655</wp:posOffset>
            </wp:positionV>
            <wp:extent cx="42176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5" w:lineRule="exact"/>
        <w:rPr>
          <w:sz w:val="20"/>
          <w:szCs w:val="20"/>
          <w:color w:val="auto"/>
        </w:rPr>
      </w:pPr>
    </w:p>
    <w:p>
      <w:pPr>
        <w:ind w:left="4720"/>
        <w:spacing w:after="0"/>
        <w:tabs>
          <w:tab w:leader="none" w:pos="6400" w:val="left"/>
        </w:tabs>
        <w:rPr>
          <w:sz w:val="20"/>
          <w:szCs w:val="20"/>
          <w:color w:val="auto"/>
        </w:rPr>
      </w:pPr>
      <w:r>
        <w:rPr>
          <w:rFonts w:ascii="Times New Roman" w:cs="Times New Roman" w:eastAsia="Times New Roman" w:hAnsi="Times New Roman"/>
          <w:sz w:val="14"/>
          <w:szCs w:val="14"/>
          <w:b w:val="1"/>
          <w:bCs w:val="1"/>
          <w:color w:val="auto"/>
        </w:rPr>
        <w:t>September 30, 2025</w:t>
      </w:r>
      <w:r>
        <w:rPr>
          <w:sz w:val="20"/>
          <w:szCs w:val="20"/>
          <w:color w:val="auto"/>
        </w:rPr>
        <w:tab/>
      </w:r>
      <w:r>
        <w:rPr>
          <w:rFonts w:ascii="Times New Roman" w:cs="Times New Roman" w:eastAsia="Times New Roman" w:hAnsi="Times New Roman"/>
          <w:sz w:val="14"/>
          <w:szCs w:val="14"/>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33655</wp:posOffset>
            </wp:positionV>
            <wp:extent cx="20745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September 30, 2025</w:t>
      </w:r>
      <w:r>
        <w:rPr>
          <w:sz w:val="20"/>
          <w:szCs w:val="20"/>
          <w:color w:val="auto"/>
        </w:rPr>
        <w:tab/>
      </w:r>
      <w:r>
        <w:rPr>
          <w:rFonts w:ascii="Times New Roman" w:cs="Times New Roman" w:eastAsia="Times New Roman" w:hAnsi="Times New Roman"/>
          <w:sz w:val="14"/>
          <w:szCs w:val="14"/>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33655</wp:posOffset>
            </wp:positionV>
            <wp:extent cx="20745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3" w:lineRule="exact"/>
        <w:rPr>
          <w:sz w:val="20"/>
          <w:szCs w:val="20"/>
          <w:color w:val="auto"/>
        </w:rPr>
      </w:pPr>
    </w:p>
    <w:p>
      <w:pPr>
        <w:sectPr>
          <w:pgSz w:w="11900" w:h="16838" w:orient="portrait"/>
          <w:cols w:equalWidth="0" w:num="2">
            <w:col w:w="7620" w:space="480"/>
            <w:col w:w="3140"/>
          </w:cols>
          <w:pgMar w:left="320" w:top="121" w:right="339" w:bottom="1440" w:gutter="0" w:footer="0" w:header="0"/>
          <w:type w:val="continuous"/>
        </w:sectPr>
      </w:pPr>
    </w:p>
    <w:tbl>
      <w:tblPr>
        <w:tblLayout w:type="fixed"/>
        <w:tblInd w:w="80" w:type="dxa"/>
        <w:tblCellMar>
          <w:top w:w="0" w:type="dxa"/>
          <w:left w:w="0" w:type="dxa"/>
          <w:bottom w:w="0" w:type="dxa"/>
          <w:right w:w="0" w:type="dxa"/>
        </w:tblCellMar>
      </w:tblPr>
      <w:tr>
        <w:trPr>
          <w:trHeight w:val="22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23,963</w:t>
            </w:r>
          </w:p>
        </w:tc>
      </w:tr>
      <w:tr>
        <w:trPr>
          <w:trHeight w:val="23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14,593</w:t>
            </w:r>
          </w:p>
        </w:tc>
      </w:tr>
      <w:tr>
        <w:trPr>
          <w:trHeight w:val="230"/>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19,104</w:t>
            </w:r>
          </w:p>
        </w:tc>
      </w:tr>
      <w:tr>
        <w:trPr>
          <w:trHeight w:val="248"/>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59,161</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an aggregate of 16,191,569 shares remained available for future grants under the Magnite, Inc. Amended and Restated 2014 Equity Incentive Plan (the "Amended and Restated 2014 Equity Incentive Plan").</w:t>
      </w:r>
    </w:p>
    <w:p>
      <w:pPr>
        <w:spacing w:after="0" w:line="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has reserved 4,111,203 shares of its common stock for issuance under the Magnite, Inc. Amended and Restated 2014 Employee Stock Purchase Plan (the "Amended and Restated 2014 Employee Stock Purchase Plan").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10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deductible stock option expenses, nondeductible executive compensation, and changes in the Company's valuation allowance.</w:t>
      </w:r>
    </w:p>
    <w:p>
      <w:pPr>
        <w:spacing w:after="0" w:line="4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recorded an income tax provision of $0.9 million and $1.0 million for the three and nine months ended September 30, 2025, and an income tax provision of $1.0 million and tax benefit of $2.2 million for the three and nine months ended September 30, 2024, respectively. The tax provision for the three and nine months ended September 30, 2025 was primarily the result of the Company's ability to recognize deferred tax assets ("DTAs") subject to the domestic valuation allowance and the federal, state, and foreign income tax provisions. The tax provision and benefit for the three and nine months ended September 30, 2024, respectively, was primarily the result of the Company's ability to recognize DTAs subject to the domestic valuation allowance and the foreign income tax provision. The Company continues to maintain a partial valuation allowance for the domestic DTAs.</w:t>
      </w:r>
    </w:p>
    <w:p>
      <w:pPr>
        <w:spacing w:after="0" w:line="6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Due to uncertainty as to the realization of benefits from the Company's domestic and certain international DTAs, including net operating loss carryforwards and research and development tax credits, the Company has a partial valuation allowance reserved against such assets. The Company intends to continue to maintain a partial valuation allowance on the DTAs until there is sufficient evidence to support the reversal of all or some additional portion of these allowances. Given the Company's current earnings and anticipated future earnings, the Company believes that there is a reasonable possibility that within the next twelve months, sufficient positive evidence may become available to allow the Company to reach a conclusion that all or a significant portion of the valuation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allowance will no longer be needed. The exact timing and amount of the valuation allowance release are subject to change on the basis of the level of profitability that the Company is able to actually achieve.</w:t>
      </w:r>
    </w:p>
    <w:p>
      <w:pPr>
        <w:spacing w:after="0" w:line="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Due to the net operating loss carryforwards, all of the Company's United States federal and a majority of its state returns are open to examination by the Internal Revenue Service and state jurisdictions for all years since inception. For the Netherlands, India, Sweden, and the United Kingdom, all tax years remain open for examination by the local country tax authorities, for France, only 2022 and forward are open, for Australia and Singapore, only 2021 and forward are open for examination, for Brazil, Canada, Germany, and Malaysia, only 2020 and forward are open for examination, for Italy and New Zealand, only 2019 and forward are open for examination, and for Japan, only 2018 and forward remain open for examination.</w:t>
      </w:r>
    </w:p>
    <w:p>
      <w:pPr>
        <w:spacing w:after="0" w:line="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Pursuant to Section 382 of the Internal Revenue Code, the Company and Telaria, Inc. both underwent ownership changes for tax purposes (i.e. a more than 50% change in stock ownership in aggregated 5% shareholders) on April 1, 2020 due to the merger with Telaria Inc. As a result, the use of the Company's total domestic NOL carryforwards and tax credits generated prior to the ownership change will be subject to annual use limitations under Section 382 and Section 383 of the Code and comparable state income tax laws. The Company believes that the ownership change will not impact its ability to utilize substantially all of its NOLs and state research and development carryforward tax credits to the extent it will generate taxable income that can be offset by such losses. The Company reasonably expects some of its federal research and development carryforward tax credits will not be recovered prior to expiration.</w:t>
      </w:r>
    </w:p>
    <w:p>
      <w:pPr>
        <w:spacing w:after="0" w:line="6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There was no material change to the Company's unrecognized tax benefits in the nine months ended September 30, 2025 and the Company does not expect to have any material changes to unrecognized tax benefits through the end of the fiscal year.</w:t>
      </w:r>
    </w:p>
    <w:p>
      <w:pPr>
        <w:spacing w:after="0" w:line="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July 4, 2025, the President of the United States signed H.R. 1, commonly referred to as the "One Big Beautiful Bill Act" ("OBBBA")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OBBBA also includes certain changes to the U.S. taxation of foreign activity, including changes to foreign tax credits, Global Intangible Low-Taxed Income, Foreign-Derived Intangible Income, and Base Erosion and Anti-Abuse Tax amongst other changes. These changes are generally effective for tax years beginning after December 31, 2025. OBBBA changes effective for 2025 were reflected in the income tax provision for the three and nine months ended September 30, 2025. Based on current projections, the continuing impact will be a deferral of the payment of current income taxes over multiple years; however, the Company expects the net impact to its effective tax rate for 2025 to be immaterial.</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the Company's guidance or expectations with respect to future financial performance; acquisitions by the Company, or the anticipated benefits thereof; macroeconomic conditions or concerns related thereto; the growth of ad-supported programmatic connected television ("CTV"); our ability to use and collect data to provide our offerings; the scope and duration of client relationships; the fees we may charge in the future; key strategic objectives; anticipated benefits of new offerings; business mix; sales growth; benefits from supply path optimization; our ability to adapt to advancements in artificial intelligence; the development of identity solutions; client utilization of our offerings; the impact of requests for discounts, rebates, or other fee concessions; our competitive differentiation; our market share and leadership position in the industry; market conditions, trends, and opportunities; the effects of regulatory developments or antitrust rulings on competitive dynamics in our industry; our litigation against Google LLC, or the anticipated benefits thereof;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w:t>
      </w:r>
    </w:p>
    <w:p>
      <w:pPr>
        <w:spacing w:after="0" w:line="7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2024, our Quarterly Report on Form 10-Q for the period ended March 31, 2025, and subsequent filings.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50" w:lineRule="exact"/>
        <w:rPr>
          <w:sz w:val="20"/>
          <w:szCs w:val="20"/>
          <w:color w:val="auto"/>
        </w:rPr>
      </w:pPr>
    </w:p>
    <w:p>
      <w:pPr>
        <w:jc w:val="both"/>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54"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condensed consolidated financial statements and notes thereto appearing elsewhere in this Quarterly Report on Form 10-Q.</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Magnite, Inc., ("we," or "us"), provides technology solutions to automate the purchase and sale of digital advertising inventory.</w:t>
      </w:r>
    </w:p>
    <w:p>
      <w:pPr>
        <w:spacing w:after="0" w:line="9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w:t>
      </w:r>
    </w:p>
    <w:p>
      <w:pPr>
        <w:spacing w:after="0" w:line="54"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7"/>
          <w:szCs w:val="17"/>
          <w:color w:val="auto"/>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spacing w:after="0" w:line="5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recently combined streaming SSP and ad server, which we refer to as SpringServe, offers CTV sellers a holistic solution to manage and monetize their entire portfolio of CTV ad inventory, across both programmatic and direct-sold video inventory. We provide sellers with a full suite of tools to protect the consumer viewing experience and brand safety expectations, while increasing revenue opportunities, including tools for mediation and yield optimization, forecasting tools, customized ad experiences and ad formats, frequency capping, and advanced podding logic. These tools are particularly important to CTV sellers who need to provide a TV-like viewing and advertising experience for consumers.</w:t>
      </w:r>
    </w:p>
    <w:p>
      <w:pPr>
        <w:spacing w:after="0" w:line="48"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Buyers leverage our platform to reach their target audiences across thousands of sellers in a premium brand-safe environment, simplify order management and campaign tracking, and obtain actionable insights into audiences for their advertising. We believe that our scale, platform features, and omni-channel offering makes us an essential partner for buyers.</w:t>
      </w:r>
    </w:p>
    <w:p>
      <w:pPr>
        <w:spacing w:after="0" w:line="5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Company Trends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Continued Shift Toward Digital Advertising</w:t>
      </w:r>
    </w:p>
    <w:p>
      <w:pPr>
        <w:spacing w:after="0" w:line="10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Automation of Buying and Selling</w:t>
      </w:r>
    </w:p>
    <w:p>
      <w:pPr>
        <w:spacing w:after="0" w:line="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Due to the size and complexity of the digital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transactions include biddable auctions, where multiple buyers bid against each other in a real-time auction for the right to purchase a publisher's inventory, as well as reserve auctions, where publishers establish direct deals or private marketplaces with select buyers. These reserve auctions may be "guaranteed," where a buyer has negotiated a pre-established price and volume with a seller, otherwise referred to as "programmatic guaranteed."</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Convergence of TV and Digital</w:t>
      </w:r>
    </w:p>
    <w:p>
      <w:pPr>
        <w:spacing w:after="0" w:line="10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CTV viewership is growing rapidly and the pace of adoption is accelerating the transition of linear television to CTV programming. Initially, many streaming services were subscription based, but as the market has matured, the largest streaming publishers have adopted ad-supported models or hybrid models that rely on a combination of subscription fees and advertising. With the proliferation of CTV advertising inventory, we believe that brand advertisers looking to engage with streaming viewers will continue to shift their budgets from linear to CTV. Moreover, we believe that as the amount of CTV inventory continues to scale, CTV sellers will make a greater percentage of inventory available through biddable auction environments with multiple buyers rather than programmatic guaranteed, in order to attract a broader set of advertisers that have not historically advertised on linear TV. We believe that this shift, if it were to occur, would likely be beneficial to our CTV growth as biddable transactions tend to require a higher level of service and therefore carry a higher take-rate compared to reserve auctions. At the same time, we expect CTV advertisers that have historically transacted on our platform through managed service insertion orders to continue to shift budgets towards more automated solutions, which tend to carry a lower take rate; and as a result, we expect transactions through managed service insertion orders to become a smaller component of our overall business.</w:t>
      </w:r>
    </w:p>
    <w:p>
      <w:pPr>
        <w:spacing w:after="0" w:line="5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We have made and plan to continue to make significant investments in technology, sales and support related to our CTV growth initiatives, and believe CTV will be a significant driver of our revenue growth for the foreseeable future. In April 2025, we announced the introduction of our next generation SpringServe CTV platform. The new SpringServe platform combines the features and functionalities of our streaming SSP and ad server to provide a more efficient connection for buyers to premium CTV supply, while offering powerful tools and streamlined workflow for sellers through a single user interface.</w:t>
      </w:r>
    </w:p>
    <w:p>
      <w:pPr>
        <w:spacing w:after="0" w:line="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Identity Solutions</w:t>
      </w:r>
    </w:p>
    <w:p>
      <w:pPr>
        <w:spacing w:after="0" w:line="10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One of the advantages of programmatic advertising is that it enables more precise audience targeting, which is generally more effective and valuable for buyers than other types of advertising, resulting in better performance for buyers and more revenue for sellers. Historically, in desktop and mobile, one of the primary methods for delivering targeted advertisements was through the use of third-party cookies. However, in recent years the use of third-party cookies and other tracking technologies that collect user information have come under greater scrutiny due to privacy concerns, and a number of participants in the advertising technology ecosystem, in particular web browsers and device manufacturers, have taken steps to eliminate or restrict the use of these technologies.</w:t>
      </w:r>
    </w:p>
    <w:p>
      <w:pPr>
        <w:spacing w:after="0" w:line="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the long term, we believe that a decreased reliance on third-party cookies and other non-transparent tracking methods would be a positive for the industry, and offer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In CTV, where third-party cookies do not exist, this identity model already largely exists with publishers more tightly controlling access to identifiers and user data, while offering proprietary first party data segments for reaching desired audiences.</w:t>
      </w:r>
    </w:p>
    <w:p>
      <w:pPr>
        <w:spacing w:after="0" w:line="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scale and expertise in CTV position us well to take a leadership position in advancing this shift to a first-party identity model and creating additional value opportunities for our clients. Accordingly, we have invested and intend to further invest in the development and enhancement of industry leading identity and audience solutions, such as our Magnite Curator Marketplace, a self-service platform that allows buyers to create custom marketplaces that include curated pools of inventory that are enriched with the buyer's first-party or third-party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Supply Path Optimization</w:t>
      </w:r>
    </w:p>
    <w:p>
      <w:pPr>
        <w:spacing w:after="0" w:line="92"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Supply Path Optimization ("SPO") refers to efforts by buyers to consolidate the number of vendors with which they work to find the most effective and cost-efficient paths to procure media.</w:t>
      </w:r>
    </w:p>
    <w:p>
      <w:pPr>
        <w:spacing w:after="0" w:line="4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SPO efforts with buyers are important because they allow us to build deeper relationships with buyers and potentially attract unique advertising demand, which, in turn, increase revenue opportunities for our seller clients. We typically enter into SPO agreements directly with agencies or agency holding companies, which may provide for custom integrations, data flows or volume-based discounts. Under these SPO agreements, we may be designated as a preferred partner or otherwise enter into terms intended to increase the overall spend on our platform.</w:t>
      </w:r>
    </w:p>
    <w:p>
      <w:pPr>
        <w:spacing w:after="0" w:line="5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believe we are well positioned to benefit from SPO in the long run as a result of our transparency, our broad and unique inventory supply across all channels and formats, buyer tools, such as our ClearLine product offering and agency marketplaces, traffic filtering technology that reduces the cost of working with us, and brand safety measures.</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Header Bidding and Data Processing</w:t>
      </w:r>
    </w:p>
    <w:p>
      <w:pPr>
        <w:spacing w:after="0" w:line="10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Header bidding is a programmatic technique by which sellers offer inventory to multiple ad exchanges and supply side platforms, such as our platform, simultaneously. Header bidding has been rapidly adopted in recent years in the desktop and mobile channels and header bidding-like solutions have experienced modest adoption in CTV. The adoption of header bidding has created a number of challenges and technical complexities for both sellers and buyers, which require sophisticated tools to manage. In addition, header bidding has led to a significant increase in the number of ad impressions to be processed and analyzed through our platform as well as by DSPs, which can lead to increased costs if not properly addressed. We continuously work to increase the operational efficiency of our platform, so as to enable buyers and sellers to achieve their campaign and monetization objectives in a cost-effective manner.</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Regulatory Developments and Google Litigation</w:t>
      </w:r>
    </w:p>
    <w:p>
      <w:pPr>
        <w:spacing w:after="0" w:line="9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On April 17, 2025, the United States District Court for the Eastern District of Virginia (the "Court") ruled that Google LLC ("Google") had violated federal antitrust laws by willfully acquiring and maintaining monopoly power in the display publisher ad server market and display ad exchange (also called an SSP) market, and had unlawfully tied its display ad server and ad exchange. Having found Google liable, the Court is currently in the process of determining what remedies are appropriate to restore competition to the affected markets, with closing arguments scheduled to be held in November 2025. While the specific timing and nature of these remedies remains uncertain, and Google has indicated its intent to appeal the decision, we expect this ruling to have a significant positive impact on our industry and business prospects.</w:t>
      </w:r>
    </w:p>
    <w:p>
      <w:pPr>
        <w:spacing w:after="0" w:line="6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mobile and desktop SSP competes directly with Google's ad exchange for the placement of display ads within the Google display ad server, which is estimated to be used by approximately 90% of open-web publishers. We believe that the conduct found to be unlawful by the Court provided Google's ad exchange with an unfair advantage relative to rival exchanges, such as our SSP, and artificially depressed our ability to win impressions within the Google display ad server. Moreover, we believe that Google's illegal conduct foreclosed the ability of publishers to freely choose what SSPs or exchanges they worked with to monetize inventory. As such, any remedy that creates a more level playing field and increases publisher choice is likely to improve our ability to monetize a greater share of display inventory while growing our market share in open-web display.</w:t>
      </w:r>
    </w:p>
    <w:p>
      <w:pPr>
        <w:spacing w:after="0" w:line="6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September 16, 2025, in light of the Court's decision, we filed a lawsuit against Google in the U.S. District Court of the Eastern District of Virginia, seeking damages and other remedies (the "Google Action"). Our complaint alleges that Google engaged in anticompetitive conduct in the ad exchange and ad server markets in violation of federal antitrust laws, including actions that restrict publishers' ability to use competing services and favor Google's own advertising exchange, which caused us substantial harm and lost opportunity. Refer to "Our litigation with Google LLC presents potential risks that could adversely affect our business, results of operations and financial condition" in Item 1A. Risk Factors below.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Developments</w:t>
      </w:r>
    </w:p>
    <w:p>
      <w:pPr>
        <w:spacing w:after="0" w:line="10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Macroeconomic challenges such as inflation, tariffs and trade wars, the interest rate environment, global conflicts, the risk of a recession, and labor strikes, generally have a negative impact on ad budgets, which in turn may lead to slower ad spend growth through our platform. Any worsening of macroeconomic conditions in future periods would likely have a negative effect on our financial results, the magnitude of which is difficult to predict. In addition, inflation and tariffs could result in an increase in our cost base relative to our revenue and increased cost associated with our infrastructure investments. Moreover, in response to U.S. tariffs, foreign countries in which we operate may enact additional or new taxes that are applicable to our business.</w:t>
      </w:r>
    </w:p>
    <w:p>
      <w:pPr>
        <w:spacing w:after="0" w:line="6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Refer to Part I, Item 1A. "Risk Factors" in our Annual Report on Form 10-K for the year ended December 31, 2024 and Part II, Item 1A. "Risk Factors" in our Quarterly Report on Form 10-Q for the period ended March 31, 2025 for additional information related to risks associated with macroeconomic challenges.</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0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report our financial results as one operating segment. Our consolidated operating results are regularly reviewed by our chief operating decision maker, principally to make decisions about how we allocate our resources and to measure our consolidated operating performance.</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generate revenue from the use of our platform for the purchase and sale of digital advertising inventory. Generally, our revenue is based on a percentage of the ad spend that runs through our platform, although for certain clients, services, or transaction types, we may receive a fixed CPM for each impression sold, and for advertising campaigns that are transacted through insertion orders, we earn revenue based on the full amount of ad spend that runs through our platform. In addition, we may receive certain fixed monthly fees for the use of our platform or products.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w:t>
      </w:r>
    </w:p>
    <w:p>
      <w:pPr>
        <w:spacing w:after="0" w:line="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2025, our revenue reported on a gross basis was 11% and 11%, respectively, of total revenue and for the three and nine months ended September 30, 2024, our revenue reported on a gross basis was 12% and 16%, respectively, of total revenue. Any mix shift that causes an increase in the relative percentage of our revenue accounted for on a gross basis would result in a higher revenue contribution and an associated decrease in our gross margin percentage (with no underlying impact on gross profit or Contribution ex-TAC, as defined in section "Key Operating and Financial Performance Metrics"). Our revenue recognition policies are discussed in more detail in our audited consolidated financial statements and Note 2 thereto included in our Annual Report on Form 10-K for the year ended December 31, 2024.</w:t>
      </w:r>
    </w:p>
    <w:p>
      <w:pPr>
        <w:spacing w:after="0" w:line="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classify our expenses into the following categories:</w:t>
      </w:r>
    </w:p>
    <w:p>
      <w:pPr>
        <w:spacing w:after="0" w:line="10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Our cost of revenue primarily consists of cloud hosting, data center, and bandwidth costs, ad verification costs,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expense of hardware supporting our revenue-producing platform, amortization of internally-developed software costs for the development of our revenue-producing platform, amortization expense associated with acquired developed technologies, personnel costs, and software costs.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48" w:lineRule="exact"/>
        <w:rPr>
          <w:sz w:val="20"/>
          <w:szCs w:val="20"/>
          <w:color w:val="auto"/>
        </w:rPr>
      </w:pPr>
    </w:p>
    <w:p>
      <w:pPr>
        <w:ind w:right="3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Our sales and marketing expenses primarily consist of personnel costs, including salaries, bonuses, and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 well as marketing expenses such as brand marketing, travel expenses, trade shows and marketing materials, amortization expense associated with client relationships, and non-compete agreements from our business acquisitions, professional services, facilities-related costs, and depreciation expense. Our sales and support organization focuses on increasing the adoption of our solution by existing and new buyers and sellers and supports ongoing client relationships. We amortize acquired intangibles associated with client relationships from our business acquisitions over their estimated useful lives.</w:t>
      </w:r>
    </w:p>
    <w:p>
      <w:pPr>
        <w:spacing w:after="0" w:line="47"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Technology and Development</w:t>
      </w:r>
      <w:r>
        <w:rPr>
          <w:rFonts w:ascii="Times New Roman" w:cs="Times New Roman" w:eastAsia="Times New Roman" w:hAnsi="Times New Roman"/>
          <w:sz w:val="18"/>
          <w:szCs w:val="18"/>
          <w:color w:val="auto"/>
        </w:rPr>
        <w:t>. Our technology and development expenses primarily consist of personnel costs, including salaries,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as well as professional services associated with the ongoing development and maintenance of our solution, software costs, facilities-related costs, and depreciation and amortization expense.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condensed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77"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primarily consist of personnel costs, including salaries, bonuses, and stock-based compensation, associated with our executive, finance, legal, human resources, compliance, and other administrative personnel, as well as accounting and legal professional services fees, facilities-related costs, depreciation expense, bad debt expense, and other corporate-related expenses.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92"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Interest expense primarily consists of interest expense associated with our 2024 Term Loan B Facility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2021 Term Loan B Facility (defined below) and Convertible Senior Notes (defined below), and their related amortization of debt issuance costs and debt discount. Interest income primarily consists of interest earned on our cash equivalents.</w:t>
      </w:r>
    </w:p>
    <w:p>
      <w:pPr>
        <w:spacing w:after="0" w:line="52"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Foreign Currency Exchange (Gain) Loss, Net</w:t>
      </w:r>
      <w:r>
        <w:rPr>
          <w:rFonts w:ascii="Times New Roman" w:cs="Times New Roman" w:eastAsia="Times New Roman" w:hAnsi="Times New Roman"/>
          <w:sz w:val="18"/>
          <w:szCs w:val="18"/>
          <w:color w:val="auto"/>
        </w:rPr>
        <w:t>. Foreign currency exchange (gain) loss, net consists of gains and losses on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and remeasurement of monetary assets and liabilities on our balance sheet denominated in foreign currencies. Foreign currency monetary assets and liabilities primarily consists of cash and cash equivalents, accounts receivable, accounts payable, and various intercompany balances held between our subsidiaries. Our primary foreign currency exposures are currencies other than the U.S. Dollar, principally the Australian Dollar, British Pound, Canadian Dollar, Euro, Japanese Yen, and New Zealand Dollar.</w:t>
      </w:r>
    </w:p>
    <w:p>
      <w:pPr>
        <w:spacing w:after="0" w:line="62"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Loss on extinguishment of debt consists of losses associated with the refinancing of our debt facilities,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extinguishment of unamortized debt discount, debt issuance costs, and deferred financing costs.</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primarily consists of rental income from commercial office space we hold under lease and have sublet to other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0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income tax benefits, the applicability of special tax regimes, changes in foreign currency exchange rates, changes in our stock price, changes in our deferred tax assets ("DTAs") and liabilities and their valuation, changes in the laws, regulations, administrative practices, principles, and interpretations related to tax, including changes to the global tax framework, competition, and other laws and accounting rules in various jurisdictions.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3"/>
                <w:szCs w:val="13"/>
                <w:color w:val="auto"/>
              </w:rPr>
            </w:pPr>
          </w:p>
        </w:tc>
        <w:tc>
          <w:tcPr>
            <w:tcW w:w="130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tcPr>
          <w:p>
            <w:pPr>
              <w:jc w:val="right"/>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Change %</w:t>
            </w:r>
          </w:p>
        </w:tc>
        <w:tc>
          <w:tcPr>
            <w:tcW w:w="120" w:type="dxa"/>
            <w:vAlign w:val="bottom"/>
          </w:tcPr>
          <w:p>
            <w:pPr>
              <w:spacing w:after="0"/>
              <w:rPr>
                <w:sz w:val="16"/>
                <w:szCs w:val="16"/>
                <w:color w:val="auto"/>
              </w:rPr>
            </w:pPr>
          </w:p>
        </w:tc>
        <w:tc>
          <w:tcPr>
            <w:tcW w:w="110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60" w:type="dxa"/>
            <w:vAlign w:val="bottom"/>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Change %</w:t>
            </w: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179,494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162,003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508,597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474,202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69,356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191,052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13"/>
        </w:trPr>
        <w:tc>
          <w:tcPr>
            <w:tcW w:w="2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40,348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39,585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125,514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20,198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20,261</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72,981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24,551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24,490</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73,786</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expenses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154,453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146,880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462,961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463,333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0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25,041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4,098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0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20,943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(15,774)</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20,058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285 %</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28" w:lineRule="exact"/>
        <w:rPr>
          <w:sz w:val="20"/>
          <w:szCs w:val="20"/>
          <w:color w:val="auto"/>
        </w:rPr>
      </w:pPr>
    </w:p>
    <w:p>
      <w:pPr>
        <w:ind w:right="100" w:firstLine="177"/>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condensed consolidated results of operations for the specified periods as a percentage of our revenue for those periods presented:</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08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6"/>
                <w:szCs w:val="16"/>
                <w:color w:val="auto"/>
              </w:rPr>
            </w:pPr>
          </w:p>
        </w:tc>
      </w:tr>
      <w:tr>
        <w:trPr>
          <w:trHeight w:val="23"/>
        </w:trPr>
        <w:tc>
          <w:tcPr>
            <w:tcW w:w="45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0"/>
        </w:trPr>
        <w:tc>
          <w:tcPr>
            <w:tcW w:w="45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Borders>
              <w:bottom w:val="single" w:sz="8" w:color="auto"/>
            </w:tcBorders>
          </w:tcPr>
          <w:p>
            <w:pPr>
              <w:spacing w:after="0"/>
              <w:rPr>
                <w:sz w:val="16"/>
                <w:szCs w:val="16"/>
                <w:color w:val="auto"/>
              </w:rPr>
            </w:pPr>
          </w:p>
        </w:tc>
      </w:tr>
      <w:tr>
        <w:trPr>
          <w:trHeight w:val="229"/>
        </w:trPr>
        <w:tc>
          <w:tcPr>
            <w:tcW w:w="4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Cost of revenue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tcPr>
          <w:p>
            <w:pPr>
              <w:spacing w:after="0"/>
              <w:rPr>
                <w:sz w:val="20"/>
                <w:szCs w:val="20"/>
                <w:color w:val="auto"/>
              </w:rPr>
            </w:pPr>
          </w:p>
        </w:tc>
      </w:tr>
      <w:tr>
        <w:trPr>
          <w:trHeight w:val="246"/>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Sales and marketing</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shd w:val="clear" w:color="auto" w:fill="CCEEFF"/>
          </w:tcPr>
          <w:p>
            <w:pPr>
              <w:spacing w:after="0"/>
              <w:rPr>
                <w:sz w:val="21"/>
                <w:szCs w:val="21"/>
                <w:color w:val="auto"/>
              </w:rPr>
            </w:pPr>
          </w:p>
        </w:tc>
      </w:tr>
      <w:tr>
        <w:trPr>
          <w:trHeight w:val="240"/>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tcPr>
          <w:p>
            <w:pPr>
              <w:spacing w:after="0"/>
              <w:rPr>
                <w:sz w:val="20"/>
                <w:szCs w:val="20"/>
                <w:color w:val="auto"/>
              </w:rPr>
            </w:pPr>
          </w:p>
        </w:tc>
      </w:tr>
      <w:tr>
        <w:trPr>
          <w:trHeight w:val="219"/>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0"/>
        </w:trPr>
        <w:tc>
          <w:tcPr>
            <w:tcW w:w="45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Total expenses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80" w:type="dxa"/>
            <w:vAlign w:val="bottom"/>
            <w:tcBorders>
              <w:bottom w:val="single" w:sz="8" w:color="auto"/>
            </w:tcBorders>
          </w:tcPr>
          <w:p>
            <w:pPr>
              <w:spacing w:after="0"/>
              <w:rPr>
                <w:sz w:val="19"/>
                <w:szCs w:val="19"/>
                <w:color w:val="auto"/>
              </w:rPr>
            </w:pPr>
          </w:p>
        </w:tc>
      </w:tr>
      <w:tr>
        <w:trPr>
          <w:trHeight w:val="213"/>
        </w:trPr>
        <w:tc>
          <w:tcPr>
            <w:tcW w:w="4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Income from operations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8"/>
                <w:szCs w:val="18"/>
                <w:color w:val="auto"/>
              </w:rPr>
            </w:pPr>
          </w:p>
        </w:tc>
      </w:tr>
      <w:tr>
        <w:trPr>
          <w:trHeight w:val="213"/>
        </w:trPr>
        <w:tc>
          <w:tcPr>
            <w:tcW w:w="4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expense, net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Borders>
              <w:bottom w:val="single" w:sz="8" w:color="auto"/>
            </w:tcBorders>
          </w:tcPr>
          <w:p>
            <w:pPr>
              <w:spacing w:after="0"/>
              <w:rPr>
                <w:sz w:val="18"/>
                <w:szCs w:val="18"/>
                <w:color w:val="auto"/>
              </w:rPr>
            </w:pPr>
          </w:p>
        </w:tc>
      </w:tr>
      <w:tr>
        <w:trPr>
          <w:trHeight w:val="212"/>
        </w:trPr>
        <w:tc>
          <w:tcPr>
            <w:tcW w:w="4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CEEFF"/>
          </w:tcPr>
          <w:p>
            <w:pPr>
              <w:spacing w:after="0"/>
              <w:rPr>
                <w:sz w:val="18"/>
                <w:szCs w:val="18"/>
                <w:color w:val="auto"/>
              </w:rPr>
            </w:pPr>
          </w:p>
        </w:tc>
      </w:tr>
      <w:tr>
        <w:trPr>
          <w:trHeight w:val="213"/>
        </w:trPr>
        <w:tc>
          <w:tcPr>
            <w:tcW w:w="4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r>
      <w:tr>
        <w:trPr>
          <w:trHeight w:val="219"/>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bl>
    <w:p>
      <w:pPr>
        <w:jc w:val="center"/>
        <w:spacing w:after="0"/>
        <w:rPr>
          <w:sz w:val="20"/>
          <w:szCs w:val="20"/>
          <w:color w:val="auto"/>
        </w:rPr>
      </w:pPr>
      <w:r>
        <w:rPr>
          <w:rFonts w:ascii="Times New Roman" w:cs="Times New Roman" w:eastAsia="Times New Roman" w:hAnsi="Times New Roman"/>
          <w:sz w:val="16"/>
          <w:szCs w:val="16"/>
          <w:color w:val="auto"/>
        </w:rPr>
        <w:t>Note: Percentages may not sum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-107315</wp:posOffset>
            </wp:positionV>
            <wp:extent cx="42005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30, 2025 and 2024</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Revenue increased $17.5 million, or 11%, for the three months ended September 30, 2025 compared to the prior year period. Our revenue growth was primarily driven by growth in CTV and mobile revenue, which increased by $11.6 million, or 15%, and $5.1 million, or 9%, respectively.</w:t>
      </w:r>
    </w:p>
    <w:p>
      <w:pPr>
        <w:spacing w:after="0" w:line="4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Revenue increased $34.4 million, or 7%, for the nine months ended September 30, 2025 compared to the prior year period. Our revenue growth was primarily driven by growth in CTV and mobile revenue, which increased by $16.2 million, or 7%, $15.2 million, or 9%, respectively.</w:t>
      </w:r>
    </w:p>
    <w:p>
      <w:pPr>
        <w:spacing w:after="0" w:line="4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CTV revenue growth for the nine months ended September 30, 2025 compared to the respective prior year period was negatively impacted by a decline in the relative percentage of transactions reported on a gross basis, compared to on a net basis. Transactions reported on a gross basis generally result in a higher revenue contribution with an associated increase in our traffic</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acquisition costs. See "Key Operating and Financial Performance Metrics" below for a discussion of Contribution ex-TAC, which presents a year-over-year comparison of our CTV growth, without considering the impact of traffic acquisition costs related to revenue reported on a gross basis.</w:t>
      </w:r>
    </w:p>
    <w:p>
      <w:pPr>
        <w:spacing w:after="0" w:line="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subject to changes in publisher-specific take rates, and shifts in the mix of advertising spend on our platform among publishers and transaction types.</w:t>
      </w:r>
    </w:p>
    <w:p>
      <w:pPr>
        <w:spacing w:after="0" w:line="5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For the full year 2025, we believe our revenue will increase compared to the prior year period and we expect CTV and mobile to be our biggest growth drivers.</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9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Cost of revenue increased $6.8 million, or 11%, for the three months ended September 30, 2025 compared to the prior year period, primarily due to increases of $5.6 million in cloud hosting, data center, and bandwidth expenses.</w:t>
      </w:r>
    </w:p>
    <w:p>
      <w:pPr>
        <w:spacing w:after="0" w:line="4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Cost of revenue increased $6.1 million, or 3%, for the nine months ended September 30, 2025 compared to the prior year period, primarily due to increases of $8.8 million in software costs, $6.6 million in cloud hosting, data center, and bandwidth expenses, and $3.5 million in personnel costs. The increases were partially offset by a decrease of $13.4 million in traffic acquisition costs due to a decrease in revenue reported on a gross basis.</w:t>
      </w:r>
    </w:p>
    <w:p>
      <w:pPr>
        <w:spacing w:after="0" w:line="54"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Cost of revenue may fluctuate from quarter to quarter and period to period, on an absolute dollar basis and as a percentage of revenue, depending on revenue levels and the volume of transactions we process supporting those revenues, whether transactions are reported on a gross or net basis, and the timing and amounts of depreciation and amortization of equipment and software.</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0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$0.8 million, or 2%, for the three months ended September 30, 2025 compared to the prior year period, primarily due to an increase of $2.6 million in personnel costs. The increase was partially offset by a decrease of $2.4 million in depreciation and amortization, which was driven by certain acquired intangible assets becoming fully amortized in 2025.</w:t>
      </w:r>
    </w:p>
    <w:p>
      <w:pPr>
        <w:spacing w:after="0" w:line="54"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$5.3 million, or 4%, for the nine months ended September 30, 2025 compared to the prior year period, primarily due to an increase of $8.3 million in personnel costs. The increase was partially offset by a decrease of $4.3 million in depreciation and amortization for the same reasons as above.</w:t>
      </w:r>
    </w:p>
    <w:p>
      <w:pPr>
        <w:spacing w:after="0" w:line="41"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may fluctuate quarter to quarter and period to period, on an absolute dollar basis and as a percentage of revenue, based on revenue levels, the timing of our investments and seasonality in our industry and business.</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Development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Technology and development expenses were relatively flat for the three months ended September 30, 2025 compared to the prior year period.</w:t>
      </w:r>
    </w:p>
    <w:p>
      <w:pPr>
        <w:spacing w:after="0" w:line="9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Technology and development expenses decreased $8.9 million, or 12%, for the nine months ended September 30, 2025 compared to the prior year period, primarily due to decreases of $4.2 million in software costs and $3.0 million in personnel costs.</w:t>
      </w:r>
    </w:p>
    <w:p>
      <w:pPr>
        <w:spacing w:after="0" w:line="4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internally-developed capitalized projects and the timing and amounts of future capitalized internally-developed software costs.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were relatively flat for the three months ended September 30, 2025 compared to the prior year period.</w:t>
      </w:r>
    </w:p>
    <w:p>
      <w:pPr>
        <w:spacing w:after="0" w:line="77"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decreased $2.8 million, or 4%, for the nine months ended September 30, 2025 compared to the prior year period, primarily due to decreases of $3.1 million in refinancing expenses associated with our 2024 Term Loan B Facility (defined below) and $1.9 million in facilities-related costs. The decreases were partially offset by an increase of $1.8 million in personnel costs.</w:t>
      </w:r>
    </w:p>
    <w:p>
      <w:pPr>
        <w:spacing w:after="0" w:line="55" w:lineRule="exact"/>
        <w:rPr>
          <w:sz w:val="20"/>
          <w:szCs w:val="20"/>
          <w:color w:val="auto"/>
        </w:rPr>
      </w:pPr>
    </w:p>
    <w:p>
      <w:pPr>
        <w:jc w:val="both"/>
        <w:ind w:right="120" w:firstLine="648"/>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2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00" w:type="dxa"/>
            <w:vAlign w:val="bottom"/>
          </w:tcPr>
          <w:p>
            <w:pPr>
              <w:spacing w:after="0"/>
              <w:rPr>
                <w:sz w:val="16"/>
                <w:szCs w:val="16"/>
                <w:color w:val="auto"/>
              </w:rPr>
            </w:pPr>
          </w:p>
        </w:tc>
      </w:tr>
      <w:tr>
        <w:trPr>
          <w:trHeight w:val="23"/>
        </w:trPr>
        <w:tc>
          <w:tcPr>
            <w:tcW w:w="538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500" w:type="dxa"/>
            <w:vAlign w:val="bottom"/>
            <w:gridSpan w:val="3"/>
          </w:tcPr>
          <w:p>
            <w:pPr>
              <w:spacing w:after="0"/>
              <w:rPr>
                <w:sz w:val="2"/>
                <w:szCs w:val="2"/>
                <w:color w:val="auto"/>
              </w:rPr>
            </w:pPr>
          </w:p>
        </w:tc>
        <w:tc>
          <w:tcPr>
            <w:tcW w:w="1480" w:type="dxa"/>
            <w:vAlign w:val="bottom"/>
            <w:gridSpan w:val="3"/>
          </w:tcPr>
          <w:p>
            <w:pPr>
              <w:spacing w:after="0"/>
              <w:rPr>
                <w:sz w:val="2"/>
                <w:szCs w:val="2"/>
                <w:color w:val="auto"/>
              </w:rPr>
            </w:pPr>
          </w:p>
        </w:tc>
        <w:tc>
          <w:tcPr>
            <w:tcW w:w="1400" w:type="dxa"/>
            <w:vAlign w:val="bottom"/>
            <w:gridSpan w:val="2"/>
          </w:tcPr>
          <w:p>
            <w:pPr>
              <w:spacing w:after="0"/>
              <w:rPr>
                <w:sz w:val="2"/>
                <w:szCs w:val="2"/>
                <w:color w:val="auto"/>
              </w:rPr>
            </w:pPr>
          </w:p>
        </w:tc>
      </w:tr>
      <w:tr>
        <w:trPr>
          <w:trHeight w:val="190"/>
        </w:trPr>
        <w:tc>
          <w:tcPr>
            <w:tcW w:w="5380" w:type="dxa"/>
            <w:vAlign w:val="bottom"/>
          </w:tcPr>
          <w:p>
            <w:pPr>
              <w:spacing w:after="0"/>
              <w:rPr>
                <w:sz w:val="16"/>
                <w:szCs w:val="16"/>
                <w:color w:val="auto"/>
              </w:rPr>
            </w:pPr>
          </w:p>
        </w:tc>
        <w:tc>
          <w:tcPr>
            <w:tcW w:w="1480" w:type="dxa"/>
            <w:vAlign w:val="bottom"/>
            <w:tcBorders>
              <w:top w:val="single" w:sz="8" w:color="auto"/>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480" w:type="dxa"/>
            <w:vAlign w:val="bottom"/>
            <w:tcBorders>
              <w:top w:val="single" w:sz="8" w:color="auto"/>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183"/>
        </w:trPr>
        <w:tc>
          <w:tcPr>
            <w:tcW w:w="5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60" w:type="dxa"/>
            <w:vAlign w:val="bottom"/>
            <w:gridSpan w:val="3"/>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gridSpan w:val="3"/>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00" w:type="dxa"/>
            <w:vAlign w:val="bottom"/>
          </w:tcPr>
          <w:p>
            <w:pPr>
              <w:spacing w:after="0"/>
              <w:rPr>
                <w:sz w:val="15"/>
                <w:szCs w:val="15"/>
                <w:color w:val="auto"/>
              </w:rPr>
            </w:pPr>
          </w:p>
        </w:tc>
      </w:tr>
      <w:tr>
        <w:trPr>
          <w:trHeight w:val="23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21,599</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r>
      <w:tr>
        <w:trPr>
          <w:trHeight w:val="23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Interest expense, net decreased $2.2 million and $6.7 million for the three and nine months ended September 30, 2025, compared to the prior year periods, respectively. The net decreases were primarily due to a decrease in interest expense as a result of the refinancing and repricing of our term loan facilities.</w:t>
      </w:r>
    </w:p>
    <w:p>
      <w:pPr>
        <w:spacing w:after="0" w:line="4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Foreign exchange (gain) loss, net changed by $3.4 million and $5.5 million for the three and nine months ended September 30, 2025 compared to the prior year periods, respectively, due to movements in foreign currency exchange rates and the amount of foreign currency-denominated cash, receivables, and payables, which were impacted by our billings to buyers, payments to sellers, and intercompany balances.</w:t>
      </w:r>
    </w:p>
    <w:p>
      <w:pPr>
        <w:spacing w:after="0" w:line="41" w:lineRule="exact"/>
        <w:rPr>
          <w:sz w:val="20"/>
          <w:szCs w:val="20"/>
          <w:color w:val="auto"/>
        </w:rPr>
      </w:pPr>
    </w:p>
    <w:p>
      <w:pPr>
        <w:ind w:right="300" w:firstLine="648"/>
        <w:spacing w:after="0" w:line="245" w:lineRule="auto"/>
        <w:rPr>
          <w:sz w:val="20"/>
          <w:szCs w:val="20"/>
          <w:color w:val="auto"/>
        </w:rPr>
      </w:pPr>
      <w:r>
        <w:rPr>
          <w:rFonts w:ascii="Times New Roman" w:cs="Times New Roman" w:eastAsia="Times New Roman" w:hAnsi="Times New Roman"/>
          <w:sz w:val="18"/>
          <w:szCs w:val="18"/>
          <w:color w:val="auto"/>
        </w:rPr>
        <w:t>The loss on extinguishment of debt of $2.2 million for the nine months ended September 30, 2025 was due to the March 2025 repricing of our 2024 Term Loan B Facility (defined below). The loss on extinguishment of debt of $0.3 million and $7.7 million for the three and nine months ended September 30, 2024, respectively, was due to the February 2024 refinancing of our prior 2021 Term Loan B Facility (defined below) and the September 2024 repricing of our 2024 Term Loan B Facility (defined below), which are further discussed below.</w:t>
      </w:r>
    </w:p>
    <w:p>
      <w:pPr>
        <w:spacing w:after="0" w:line="140"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Other income decreased $1.2 million and $3.2 million for the three and nine months ended September 30, 2025 compared to the prior year periods, respectively, due to decreases in rental income from real estate leases for which we sublease to other tenants.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0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recorded an income tax provision of $0.9 million and $1.0 million for the three and nine months ended September 30, 2025, respectively, and an income tax provision of $1.0 million and a tax benefit of $2.2 million for the three and nine months ended September 30, 2024, respectively. The tax provision for the three and nine months ended September 30, 2025 was primarily the result of the Company's ability to recognize DTAs subject to the domestic valuation allowance and the federal, state, and foreign income tax provisions. The tax provision and benefit for the three and nine months ended September 30, 2024, respectively, was primarily the result of the Company's ability to recognize DTAs subject to the domestic valuation allowance, and the foreign income tax provision. Given our current earnings and anticipated future earnings, we believe that there is a reasonable possibility that within the next twelve months, sufficient positive evidence may become available to allow us to reach a conclusion that all or a significant portion of the valuation allowance will no longer be needed. The exact timing and amount of the valuation allowance release are subject to change on the basis of the level of profitability that we are able to actually achieve.</w:t>
      </w:r>
    </w:p>
    <w:p>
      <w:pPr>
        <w:spacing w:after="0" w:line="5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July 4, 2025, the President of the United States signed H.R. 1, commonly referred to as the "One Big Beautiful Bill Act" into law. These changes were reflected in the income tax provision for the three and nine months ended September 30, 2025. We have evaluated the tax law as it relates to our financials and determined there is no material impact on the periods presented above. Based on current projections, the continuing impact will be a deferral of the payment of current income taxes over multiple years; however, we expect the net impact to our effective tax rate for 2025 to be immaterial.</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Performance Metrics</w:t>
      </w:r>
    </w:p>
    <w:p>
      <w:pPr>
        <w:spacing w:after="0" w:line="10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to our GAAP results, we review non-GAAP financial measures, including Contribution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cost of revenue, and net income (loss) are discussed above under the headings "Components of Our Results of Operations" and "Results of Operations."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gridSpan w:val="2"/>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1"/>
                <w:szCs w:val="11"/>
                <w:color w:val="auto"/>
              </w:rPr>
            </w:pPr>
          </w:p>
        </w:tc>
        <w:tc>
          <w:tcPr>
            <w:tcW w:w="1260" w:type="dxa"/>
            <w:vAlign w:val="bottom"/>
          </w:tcPr>
          <w:p>
            <w:pPr>
              <w:jc w:val="right"/>
              <w:ind w:right="255"/>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6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1"/>
                <w:szCs w:val="11"/>
                <w:color w:val="auto"/>
              </w:rPr>
            </w:pPr>
          </w:p>
        </w:tc>
        <w:tc>
          <w:tcPr>
            <w:tcW w:w="11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12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gridSpan w:val="3"/>
            <w:vMerge w:val="continue"/>
          </w:tcPr>
          <w:p>
            <w:pPr>
              <w:spacing w:after="0"/>
              <w:rPr>
                <w:sz w:val="17"/>
                <w:szCs w:val="17"/>
                <w:color w:val="auto"/>
              </w:rPr>
            </w:pPr>
          </w:p>
        </w:tc>
        <w:tc>
          <w:tcPr>
            <w:tcW w:w="10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gridSpan w:val="3"/>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Financial Measures and non-GAAP Financial</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Measures:</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179,494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162,003</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11 %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508,597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474,202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110,138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99,459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311,489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283,150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 ex-TAC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166,779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149,428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474,583</w:t>
            </w:r>
          </w:p>
        </w:tc>
        <w:tc>
          <w:tcPr>
            <w:tcW w:w="200" w:type="dxa"/>
            <w:vAlign w:val="bottom"/>
          </w:tcPr>
          <w:p>
            <w:pPr>
              <w:spacing w:after="0"/>
              <w:rPr>
                <w:sz w:val="19"/>
                <w:szCs w:val="19"/>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426,744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5,214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(13,621)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50,564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148,362</w:t>
            </w:r>
          </w:p>
        </w:tc>
        <w:tc>
          <w:tcPr>
            <w:tcW w:w="200" w:type="dxa"/>
            <w:vAlign w:val="bottom"/>
          </w:tcPr>
          <w:p>
            <w:pPr>
              <w:spacing w:after="0"/>
              <w:rPr>
                <w:sz w:val="20"/>
                <w:szCs w:val="20"/>
                <w:color w:val="auto"/>
              </w:rPr>
            </w:pPr>
          </w:p>
        </w:tc>
        <w:tc>
          <w:tcPr>
            <w:tcW w:w="1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120,337</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Contribution ex-TAC</w:t>
      </w:r>
    </w:p>
    <w:p>
      <w:pPr>
        <w:spacing w:after="0" w:line="10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Contribution ex-TAC is calculated as gross profit plus cost of revenue excluding traffic acquisition cost ("TAC"). Traffic acquisition cost, a component of cost of revenue, represents what we must pay sellers for the sale of advertising inventory through our platform for revenue reported on a gross basis. Contribution ex-TAC is a non-GAAP financial measure that is most comparable to gross profit. Our management believes Contribution ex-TAC is a useful measure in facilitating a consistent comparison against our core business without considering the impact of traffic acquisition costs related to revenue reported on a gross basis.</w:t>
      </w:r>
    </w:p>
    <w:p>
      <w:pPr>
        <w:spacing w:after="0" w:line="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Contribution ex-TAC differently, which may make comparisons difficult. Because of these and other limitations, you should consider our non-GAAP measures only as supplemental to GAAP-based financial performance measures, including revenue, gross profit, net income (loss) and cash flows.</w:t>
      </w:r>
    </w:p>
    <w:p>
      <w:pPr>
        <w:spacing w:after="0" w:line="4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gross profit and reconciliation of gross profit to Contribution ex-TAC for the three and nine months ended September 30, 2025 and 2024:</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40" w:type="dxa"/>
            <w:vAlign w:val="bottom"/>
          </w:tcPr>
          <w:p>
            <w:pPr>
              <w:spacing w:after="0"/>
              <w:rPr>
                <w:sz w:val="11"/>
                <w:szCs w:val="11"/>
                <w:color w:val="auto"/>
              </w:rPr>
            </w:pPr>
          </w:p>
        </w:tc>
        <w:tc>
          <w:tcPr>
            <w:tcW w:w="108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gridSpan w:val="5"/>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179,494</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508,597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474,202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Cost of revenue</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62,544</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191,052</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110,138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283,150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Add back: Cost of revenue, excluding TAC</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49,969</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143,594</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ex-TAC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426,744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Sellers use our technology to monetize their content across all digital channels, including CTV, mobile, and desktop. We track the breakdown of Contribution ex-TAC across channels to better understand how our clients are transacting on our platform.</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Contribution ex-TAC by channel for the three and nine months ended September 30, 2025 and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8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Contribution ex-TAC</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460" w:type="dxa"/>
            <w:vAlign w:val="bottom"/>
            <w:gridSpan w:val="5"/>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100" w:type="dxa"/>
            <w:vAlign w:val="bottom"/>
          </w:tcPr>
          <w:p>
            <w:pPr>
              <w:jc w:val="right"/>
              <w:ind w:right="95"/>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0" w:type="dxa"/>
            <w:vAlign w:val="bottom"/>
          </w:tcPr>
          <w:p>
            <w:pPr>
              <w:spacing w:after="0"/>
              <w:rPr>
                <w:sz w:val="11"/>
                <w:szCs w:val="11"/>
                <w:color w:val="auto"/>
              </w:rPr>
            </w:pPr>
          </w:p>
        </w:tc>
        <w:tc>
          <w:tcPr>
            <w:tcW w:w="1480" w:type="dxa"/>
            <w:vAlign w:val="bottom"/>
            <w:gridSpan w:val="4"/>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80" w:type="dxa"/>
            <w:vAlign w:val="bottom"/>
          </w:tcPr>
          <w:p>
            <w:pPr>
              <w:jc w:val="right"/>
              <w:ind w:right="96"/>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1460" w:type="dxa"/>
            <w:vAlign w:val="bottom"/>
            <w:tcBorders>
              <w:bottom w:val="single" w:sz="8" w:color="auto"/>
            </w:tcBorders>
            <w:gridSpan w:val="5"/>
            <w:vMerge w:val="continue"/>
          </w:tcPr>
          <w:p>
            <w:pPr>
              <w:spacing w:after="0"/>
              <w:rPr>
                <w:sz w:val="17"/>
                <w:szCs w:val="17"/>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bottom w:val="single" w:sz="8" w:color="auto"/>
            </w:tcBorders>
            <w:gridSpan w:val="4"/>
            <w:vMerge w:val="continue"/>
          </w:tcPr>
          <w:p>
            <w:pPr>
              <w:spacing w:after="0"/>
              <w:rPr>
                <w:sz w:val="17"/>
                <w:szCs w:val="17"/>
                <w:color w:val="auto"/>
              </w:rPr>
            </w:pPr>
          </w:p>
        </w:tc>
        <w:tc>
          <w:tcPr>
            <w:tcW w:w="10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gridSpan w:val="5"/>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CTV</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182,236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Mobile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170,358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Desktop</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25,693</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74,150</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426,744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8"/>
                <w:szCs w:val="18"/>
                <w:color w:val="auto"/>
              </w:rPr>
              <w:t>37</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Contribution ex-TAC increased $17.4 million, or 12%, for the three months ended September 30, 2025 compared to the prior year period. The increase in Contribution ex-TAC was primarily due to the growth in CTV and mobile.</w:t>
      </w:r>
    </w:p>
    <w:p>
      <w:pPr>
        <w:spacing w:after="0" w:line="2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Contribution ex-TAC increased $47.8 million, or 11%, for the nine months ended September 30, 2025 compared to the prior year period. The increase in Contribution ex-TAC was primarily due to the growth drivers described above.</w:t>
      </w:r>
    </w:p>
    <w:p>
      <w:pPr>
        <w:spacing w:after="0" w:line="40"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For the remainder of 2025, we expect Contribution ex-TAC will increase compared to the prior year period, and we expect CTV will be our biggest growth driver in 2025.</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0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define Adjusted EBITDA as net income (loss) adjusted to exclude stock-based compensation expense, depreciation and amortization, including amortization of acquired intangible assets, impairment charges, interest income or expense, provision (benefit) for income taxes, and certain cash and non-cash based income or expenses that we do not consider indicative of our core operating performance, including, but not limited to foreign exchange gains and losses, acquisition and related items, gains or losses on extinguishment of debt, other debt refinancing expenses, certain litigation expenses, and non-operational real estate and other expenses (income), net. We believe Adjusted EBITDA is useful to investors in evaluating our performance for the following reasons:</w:t>
      </w:r>
    </w:p>
    <w:p>
      <w:pPr>
        <w:spacing w:after="0" w:line="66" w:lineRule="exact"/>
        <w:rPr>
          <w:sz w:val="20"/>
          <w:szCs w:val="20"/>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spacing w:after="0" w:line="40"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is also used as a metric for determining payment of cash incentive compensation.</w:t>
      </w:r>
    </w:p>
    <w:p>
      <w:pPr>
        <w:spacing w:after="0" w:line="54"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135"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54" w:lineRule="exact"/>
        <w:rPr>
          <w:sz w:val="20"/>
          <w:szCs w:val="20"/>
          <w:color w:val="auto"/>
        </w:rPr>
      </w:pPr>
    </w:p>
    <w:p>
      <w:pPr>
        <w:ind w:left="660" w:right="5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a non-cash charge and will remain an element of our long-term incentive compensation package, although we exclude it as an expense when evaluating our ongoing operating performance for a particular period.</w:t>
      </w:r>
    </w:p>
    <w:p>
      <w:pPr>
        <w:spacing w:after="0" w:line="40"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are non-cash charges related to goodwill, intangible assets and/or long-lived assets.</w:t>
      </w:r>
    </w:p>
    <w:p>
      <w:pPr>
        <w:spacing w:after="0" w:line="103"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certain cash and non-cash charges related to acquisition and related items, such as amortization of acquired intangible assets, merger, acquisition, or restructuring related severance costs, certain transaction expenses, and changes in the fair value of contingent consideration.</w:t>
      </w:r>
    </w:p>
    <w:p>
      <w:pPr>
        <w:spacing w:after="0" w:line="54"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and non-cash charges related to interest income and interest expense and certain financing transactions such as gains or losses on extinguishment of debt or other debt refinancing expenses.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requirements for income taxes and the cash impact of other income or expense.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litigation expenses for specific proceedings.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certain non-operational real estate and other (income) and expense, net.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our working capital needs, capital expenditures, or contractual commitments.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185"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 (loss), the most comparable GAAP measure, to Adjusted EBITDA for the three and nine months ended September 30, 2025 and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Pr>
          <w:p>
            <w:pPr>
              <w:spacing w:after="0"/>
              <w:rPr>
                <w:sz w:val="16"/>
                <w:szCs w:val="16"/>
                <w:color w:val="auto"/>
              </w:rPr>
            </w:pPr>
          </w:p>
        </w:tc>
      </w:tr>
      <w:tr>
        <w:trPr>
          <w:trHeight w:val="23"/>
        </w:trPr>
        <w:tc>
          <w:tcPr>
            <w:tcW w:w="540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186"/>
        </w:trPr>
        <w:tc>
          <w:tcPr>
            <w:tcW w:w="54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5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6"/>
        </w:trPr>
        <w:tc>
          <w:tcPr>
            <w:tcW w:w="5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740" w:type="dxa"/>
            <w:vAlign w:val="bottom"/>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720" w:type="dxa"/>
            <w:vAlign w:val="bottom"/>
            <w:gridSpan w:val="3"/>
            <w:shd w:val="clear" w:color="auto" w:fill="CCEEFF"/>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shd w:val="clear" w:color="auto" w:fill="CCEEFF"/>
          </w:tcPr>
          <w:p>
            <w:pPr>
              <w:spacing w:after="0"/>
              <w:rPr>
                <w:sz w:val="17"/>
                <w:szCs w:val="17"/>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100" w:type="dxa"/>
            <w:vAlign w:val="bottom"/>
          </w:tcPr>
          <w:p>
            <w:pPr>
              <w:spacing w:after="0"/>
              <w:rPr>
                <w:sz w:val="19"/>
                <w:szCs w:val="19"/>
                <w:color w:val="auto"/>
              </w:rPr>
            </w:pP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100" w:type="dxa"/>
            <w:vAlign w:val="bottom"/>
          </w:tcPr>
          <w:p>
            <w:pPr>
              <w:spacing w:after="0"/>
              <w:rPr>
                <w:sz w:val="19"/>
                <w:szCs w:val="19"/>
                <w:color w:val="auto"/>
              </w:rPr>
            </w:pPr>
          </w:p>
        </w:tc>
        <w:tc>
          <w:tcPr>
            <w:tcW w:w="66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(13,621)</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(deduct):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59,161</w:t>
            </w:r>
          </w:p>
        </w:tc>
      </w:tr>
      <w:tr>
        <w:trPr>
          <w:trHeight w:val="175"/>
        </w:trPr>
        <w:tc>
          <w:tcPr>
            <w:tcW w:w="54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Depreciation and amortization expense, excluding amortization of</w:t>
            </w: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43"/>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10,067</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27,605</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19,678</w:t>
            </w:r>
          </w:p>
        </w:tc>
      </w:tr>
      <w:tr>
        <w:trPr>
          <w:trHeight w:val="229"/>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22,662</w:t>
            </w:r>
          </w:p>
        </w:tc>
      </w:tr>
      <w:tr>
        <w:trPr>
          <w:trHeight w:val="176"/>
        </w:trPr>
        <w:tc>
          <w:tcPr>
            <w:tcW w:w="54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Merger, acquisition, and restructuring costs, excluding stock-based</w:t>
            </w: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43"/>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expense</w:t>
            </w: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21,599</w:t>
            </w: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29"/>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r>
      <w:tr>
        <w:trPr>
          <w:trHeight w:val="229"/>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debt refinancing expense</w:t>
            </w:r>
          </w:p>
        </w:tc>
        <w:tc>
          <w:tcPr>
            <w:tcW w:w="4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r>
      <w:tr>
        <w:trPr>
          <w:trHeight w:val="230"/>
        </w:trPr>
        <w:tc>
          <w:tcPr>
            <w:tcW w:w="540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Litigation expense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Non-operational real estate and other (income) expense, net</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57,171</w:t>
            </w:r>
          </w:p>
        </w:tc>
        <w:tc>
          <w:tcPr>
            <w:tcW w:w="100" w:type="dxa"/>
            <w:vAlign w:val="bottom"/>
          </w:tcPr>
          <w:p>
            <w:pPr>
              <w:spacing w:after="0"/>
              <w:rPr>
                <w:sz w:val="21"/>
                <w:szCs w:val="21"/>
                <w:color w:val="auto"/>
              </w:rPr>
            </w:pP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50,564</w:t>
            </w:r>
          </w:p>
        </w:tc>
        <w:tc>
          <w:tcPr>
            <w:tcW w:w="100" w:type="dxa"/>
            <w:vAlign w:val="bottom"/>
          </w:tcPr>
          <w:p>
            <w:pPr>
              <w:spacing w:after="0"/>
              <w:rPr>
                <w:sz w:val="21"/>
                <w:szCs w:val="21"/>
                <w:color w:val="auto"/>
              </w:rPr>
            </w:pP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148,362</w:t>
            </w:r>
          </w:p>
        </w:tc>
        <w:tc>
          <w:tcPr>
            <w:tcW w:w="100" w:type="dxa"/>
            <w:vAlign w:val="bottom"/>
          </w:tcPr>
          <w:p>
            <w:pPr>
              <w:spacing w:after="0"/>
              <w:rPr>
                <w:sz w:val="21"/>
                <w:szCs w:val="21"/>
                <w:color w:val="auto"/>
              </w:rPr>
            </w:pPr>
          </w:p>
        </w:tc>
        <w:tc>
          <w:tcPr>
            <w:tcW w:w="66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right="120" w:firstLine="6"/>
        <w:spacing w:after="0" w:line="243" w:lineRule="auto"/>
        <w:tabs>
          <w:tab w:leader="none" w:pos="152"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Litigation expense includes professional and legal expenses related to the Google Action and defense costs relating to class action privacy litigation. Amounts for the six months ended June 30, 2025 for such matters have been reclassified from "Non-operational real estate and other (income) expense, net" to conform with the current presentation. For additional information, see the "Regulatory Developments and Google Litigation" section and Part II, 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-285115</wp:posOffset>
            </wp:positionV>
            <wp:extent cx="37115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16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Adjusted EBITDA increased by $6.6 million during the three months ended September 30, 2025 compared to the prior year period and increased by $28.0 million during the nine months ended September 30, 2025 compared to the prior year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0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2025, we had cash and cash equivalents of $482.1 million, of which $69.1 million was held in foreign currency denominated cash accounts, and an aggregate gross principal amount of $566.4 million of indebtedness outstanding under our 2024 Term Loan B Facility (as defined below) and our Convertible Senior Notes (as defined below). In addition, we were party to a $175.0 million 2024 Revolving Credit Facility (as defined below), of which approximately $4.0 million was assigned to outstanding but undrawn letters of credit. See "Capital Resources" below for further information about our outstanding debt.</w:t>
      </w:r>
    </w:p>
    <w:p>
      <w:pPr>
        <w:spacing w:after="0" w:line="4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principal cash requirements for the twelve-month period following this report primarily consist of personnel costs, contractual payment obligations, including office leases, cloud hosting, data center, and bandwidth expenses, capital expenditures, payment of interest, required principal payments on our Convertible Senior Notes, which mature in March 2026, and our 2024 Term Loan B Facility, cash outlays for income taxes, and cash requirements to fund working capital. In the longer term, we would expect to have similar cash requirements, excluding the one-time payment related to the maturity of our Convertible Senior Notes, with increases in absolute dollars associated with the continued growth of our business and expansion of operations. See "Contractual Obligations and Known Future Cash Requirements" for a further discussion of our known material contractual obligations.</w:t>
      </w:r>
    </w:p>
    <w:p>
      <w:pPr>
        <w:spacing w:after="0" w:line="66"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On February 1, 2024, the Board of Directors approved a new repurchase plan (the "February 2024 Repurchase Plan"), which fully replaced the prior repurchase plan, pursuant to which we are authorized to repurchase common stock or Convertible Senior Notes, with an aggregate market value of up to $125.0 million, through February 1, 2026. During nine months ended September 30, 2025, we repurchased 1,869,700 shares of the Company's common stock for an aggregate amount of $22.9 million. As of September 30, 2025, $87.5 million remains available under the February 2024 Repurchase Plan.</w:t>
      </w:r>
    </w:p>
    <w:p>
      <w:pPr>
        <w:spacing w:after="0" w:line="4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working capital needs and cash conversion cycle, which is influenced by seasonality and by the mix of terms among our buyers and sellers and which may be negatively impacted as a result of pandemics, inflationary, recessionary and other macroeconomic challenges, can have large fluctuations due to the timing of receipts from buyers and timing of disbursements to sellers. In addition, in the event a buyer defaults on payment, we may still be required to pay sellers for the inventory purchased.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impacts from changes in working capital and capital expenditures can significantly impact our cash flows and therefore, our liquidity during any period presented.</w:t>
      </w:r>
    </w:p>
    <w:p>
      <w:pPr>
        <w:spacing w:after="0" w:line="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w:t>
      </w:r>
    </w:p>
    <w:p>
      <w:pPr>
        <w:spacing w:after="0" w:line="5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believe our existing cash and cash equivalents, cash generated from operating activities, and amounts available to borrow under our 2024 Revolving Credit Facility will be sufficient to meet our liquidity requirements for at least the next twelve months from the issuance of our financial statements. However, there are multiple factors that could impact our cash balances in the future, including the factors described above with respect to working capital and cash conversion cycles, as well as the duration and severity of events beyond our control, macroeconomic factors, and other factors set forth in Part I, Item 1A: "Risk Factors" of our Annual Report on Form 10-K for the year ended December 31, 2024.</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9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March 2021, we sold convertible senior notes ("Convertible Senior Notes") for gross proceeds of $400.0 million. The Convertible Senior Notes are senior, unsecured obligations with interest payable semi-annually in cash at a rate of 0.25% per annum in arrears on March 15 and September 15. The Convertible Senior Notes will mature on March 15, 2026, unless earlier converted, redeemed, or repurchased. The initial conversion rate is 15.6539 shares per $1,000 principal amount of notes, which represents an initial conversion price of approximately $63.88 per share of the Company’s common stock and is subject to adjustment as described in the Offering Memorandum. At September 30, 2025, the balance of the Convertible Senior Notes was $204.5 million, net of unamortized debt issuance costs of $0.5 million and is reflected as debt, current, net of debt issuance costs in the Company’s condensed balance sheet.</w:t>
      </w:r>
    </w:p>
    <w:p>
      <w:pPr>
        <w:spacing w:after="0" w:line="6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conjunction with the issuance of the Convertible Senior Notes, we entered into capped call transactions to reduce the Company's exposure to additional cash payments above principal balances in the event of a cash conversion of the Convertible Senior Notes. The Company may owe additional cash or shares to the holders of the Convertible Senior Notes upon early conversion if our stock price exceeds $91.260 per share, which is subject to certain adjustments.</w:t>
      </w:r>
    </w:p>
    <w:p>
      <w:pPr>
        <w:spacing w:after="0" w:line="58"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7"/>
          <w:szCs w:val="17"/>
          <w:color w:val="auto"/>
        </w:rPr>
        <w:t>On February 6, 2024, we entered into a credit agreement (the "2024 Credit Agreement") with Morgan Stanley Senior Funding, Inc. as our term loan administrative agent and Citibank, N.A. as our revolving facility administrative agent and collateral agent, and other lender parties thereto. The 2024 Credit Agreement provided for a $365.0 million seven-year senior secured term loan facility (the "2024 Term Loan B Facility") and a $175.0 million five-year senior secured revolving credit facility (the "2024 Revolving Credit Facility"). The proceeds from the 2024 Term Loan B Facility were used, among other things, to terminate and to repay in full the outstanding facilities under the prior credit agreement entered into in April 2021 (the "2021 Credit Agreement"), which included a term loan facility (the "2021 Term Loan B Facility") and a revolving facility (the "2021 Revolving Credit Facility").</w:t>
      </w:r>
    </w:p>
    <w:p>
      <w:pPr>
        <w:spacing w:after="0" w:line="3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September 18, 2024, we entered into Amendment No. 1 to the 2024 Credit Agreement ("Amendment No. 1"), which reduced the interest rate of the 2024 Term Loan B Facility by 75 basis points to Term SOFR plus a margin of 3.75% from the previous rate of Term SOFR plus a margin of 4.50%, and on March 18, 2025, we entered into Amendment No. 2 to the 2024 Credit Agreement ("Amendment No. 2"), which reduced the interest rate of the 2024 Term Loan B Facility by an additional 75 basis points to Term SOFR plus a margin of 3.00%. The remaining terms of the 2024 Term Loan B Facility and the 2024 Revolving Credit Facility were substantially unchanged by these amendments.</w:t>
      </w:r>
    </w:p>
    <w:p>
      <w:pPr>
        <w:spacing w:after="0" w:line="6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2025, the balance of the 2024 Term Loan B Facility was $351.7 million, net of unamortized debt discount and debt issuance costs of $9.6 million, and amounts available under the 2024 Revolving Credit Facility were $171.0 million, net of letters of credit outstanding in the amount of $4.0 million.</w:t>
      </w:r>
    </w:p>
    <w:p>
      <w:pPr>
        <w:spacing w:after="0" w:line="54"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may be diluted. If we raise additional financing by incurring indebtedness, we will be subject to increased fixed payment obligations and could also be subject to financial maintenance covenants, or restrictive covenants, such as limitations on our ability to incur additional debt, and other operating restrictions that could adversely impact our ability to conduct our business. Any future indebtedness we incur may result in terms that could be unfavorable to equity investors. An inability to raise additional capital could adversely affect our ability to achieve our business objectives.</w:t>
      </w:r>
    </w:p>
    <w:p>
      <w:pPr>
        <w:spacing w:after="0" w:line="5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cash and cash equivalents balance is affected by our results of operations, the timing of capital expenditures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including seasonality, and may be negatively impacted by certain macroeconomic challenges, such as capital market disruptions and instability of financial institutions.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4"/>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196"/>
        </w:trPr>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4"/>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120,504</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(40,669)</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(19,447)</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Our cash flows from operating activities are primarily driven by revenue generated by our business, offset by the cash costs of operations, and are significantly influenced by the timing of and fluctuations in receipts from buyers and related payments to sellers. Our future cash flows will be diminished if we cannot increase our revenue levels and manage costs appropriately.</w:t>
      </w:r>
    </w:p>
    <w:p>
      <w:pPr>
        <w:spacing w:after="0" w:line="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operating activities was $107.7 million compared to $120.5 million for the nine months ended September 30, 2024. Our operating activities included our net income of $21.6 million and non-cash adjustments of $105.8 million for the nine months ended September 30, 2025 and net loss of $13.6 million offset by non-cash adjustments of $107.7 million for the nine months ended September 30, 2024. Net changes in our working capital resulted in $19.7 million of cash used in operating activities and $26.4 million of cash provided by operating activities for the nine months ended September 30, 2025 and September 30, 2024, respectively. The net changes in working capital for both periods presented are primarily due to the timing of cash receipts from buyers and the timing of payments to sellers.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Our primary investing activities have consisted of purchases of property and equipment, and capital expenditures in support of creating and enhancing our technology infrastructure. Purchases of property and equipment and investments in internal use software development may vary from period-to-period due to the timing of the expansion of our operations, changes to headcount, and the cycles of our internal use software development.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nine months ended September 30, 2025 and 2024, our investing activities used net cash of $63.7 million and $40.7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During the nine months ended September 30, 2025 and 2024, we used cash for purchases of property and equipment of $45.1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$29.1 million, respectively, and used cash for investments in our internally developed software of $10.1 million and $11.6 million, respectively. During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ended September 30, 2025, we also used cash of $8.1 million to acquire Streamrai, Inc. (the "Streamr.ai Acquisition").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financing activities consisted of our debt refinancing and repricing activities, and transactions related to our share repurchases and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w:t>
      </w:r>
    </w:p>
    <w:p>
      <w:pPr>
        <w:spacing w:after="0" w:line="7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2025 and 2024, net cash used in financing activities was $47.0 million and $19.4 million, respectively. Cash outflows from financing activities for the nine months ended September 30, 2025 primarily included $92.6 million of payments to certain 2024 Term Loan B Facility lenders related to our Amendment No. 2 repricing activity, $27.3 million for taxes paid related to net share settlement of stock-based awards, and $22.9 million of payments related to share repurchases. The outflows were partially offset by cash proceeds primarily consisting of $92.6 million from certain 2024 Term Loan B Facility lenders related to our Amendment No. 2 repricing activity, cash proceeds from stock options exercised of $3.0 million, and cash proceeds from the employee stock purchase plan of $2.1 million. In connection with Amendment No. 2, $270.6 million of principal debt balance from Amendment No. 1 was rolled over as part of non-cash financing activities while the remaining $92.6 million principal balance from Amendment No. 1 were repaid and then reissued under Amendment No. 2 as mentioned above.</w:t>
      </w:r>
    </w:p>
    <w:p>
      <w:pPr>
        <w:spacing w:after="0" w:line="7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Cash outflows from financing activities for the nine months ended September 30, 2024 primarily included $403.1 million of payments related to paying off our 2021 Term Loan B Facility in February 2024 and repricing our 2024 Term Loan B Facility in September 2024, $17.7 million for taxes paid related to net share settlement of stock-based awards, $9.0 million of payments related to share repurchases, and $4.5 million of payments related to debt issuance costs primarily related to our 2024 Term Loan B Facility and 2024 Revolver Facility in February 2024. The outflows were partially offset by cash proceeds primarily consisting of $413.5</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million from the issuance of our 2024 Term Loan B Facility, net of debt discount, and the repricing of our 2024 Term Loan B Facility in September 2024, and cash proceeds from the employee stock purchase plan of $2.0 million. In connection with Amendment No. 1, $312.0 million of the principal balance was rolled over as part of non-cash financing activities while the remaining $52.1 million principal debt balance was repaid and reissued.</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Known Future Cash Requirements</w:t>
      </w:r>
    </w:p>
    <w:p>
      <w:pPr>
        <w:spacing w:after="0" w:line="10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commitments as of September 30, 2025 consist of obligations under our Convertible Senior Notes, 2024 Term Loan B Facility, 2024 Revolving Credit Facility, leases for our various office facilities, including our corporate headquarters in New York, New York and offices in Los Angeles, California, and operating lease agreements, including data centers, cloud hosting services that expire at various times through 2033, and the indemnification holdback associated with the Streamr.ai Acquisition. In certain cases, the terms of the lease agreements provide for rental payments on a graduated basis.</w:t>
      </w:r>
    </w:p>
    <w:p>
      <w:pPr>
        <w:spacing w:after="0" w:line="58"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future lease obligations, payments of principal and interest under our debt agreements, and other future payments due under non-cancelable agreements at September 30, 2025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Remaining 2025</w:t>
            </w: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6"/>
                <w:szCs w:val="16"/>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8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Lease liabilities associated with leases</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8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included in right-of-use lease assets as</w:t>
            </w:r>
          </w:p>
        </w:tc>
        <w:tc>
          <w:tcPr>
            <w:tcW w:w="34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21,885</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16,384</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78,148</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September 30, 2025</w:t>
            </w:r>
          </w:p>
        </w:tc>
        <w:tc>
          <w:tcPr>
            <w:tcW w:w="3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Obligations for leases not included in</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Lease Liabilities as of September 30,</w:t>
            </w:r>
          </w:p>
        </w:tc>
        <w:tc>
          <w:tcPr>
            <w:tcW w:w="3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205,067</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Convertible Senior Notes</w:t>
            </w:r>
          </w:p>
        </w:tc>
        <w:tc>
          <w:tcPr>
            <w:tcW w:w="3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2024 Term Loan B Facility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361,361</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w w:val="99"/>
              </w:rPr>
              <w:t xml:space="preserve">Interest, 2024 Term Loan B Facility </w:t>
            </w:r>
            <w:r>
              <w:rPr>
                <w:rFonts w:ascii="Times New Roman" w:cs="Times New Roman" w:eastAsia="Times New Roman" w:hAnsi="Times New Roman"/>
                <w:sz w:val="23"/>
                <w:szCs w:val="23"/>
                <w:color w:val="auto"/>
                <w:w w:val="99"/>
                <w:vertAlign w:val="superscript"/>
              </w:rPr>
              <w:t>(2)</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137,039</w:t>
            </w:r>
          </w:p>
        </w:tc>
        <w:tc>
          <w:tcPr>
            <w:tcW w:w="0" w:type="dxa"/>
            <w:vAlign w:val="bottom"/>
          </w:tcPr>
          <w:p>
            <w:pPr>
              <w:spacing w:after="0"/>
              <w:rPr>
                <w:sz w:val="1"/>
                <w:szCs w:val="1"/>
                <w:color w:val="auto"/>
              </w:rPr>
            </w:pPr>
          </w:p>
        </w:tc>
      </w:tr>
      <w:tr>
        <w:trPr>
          <w:trHeight w:val="184"/>
        </w:trPr>
        <w:tc>
          <w:tcPr>
            <w:tcW w:w="2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Contractual fees related to the 2024</w:t>
            </w: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Term Loan B Facility and the 2024</w:t>
            </w:r>
          </w:p>
        </w:tc>
        <w:tc>
          <w:tcPr>
            <w:tcW w:w="3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Revolving Credit Facility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Indemnification claims holdback</w:t>
            </w:r>
          </w:p>
        </w:tc>
        <w:tc>
          <w:tcPr>
            <w:tcW w:w="3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non-cancelable obligations</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226,415</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372,100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114,658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56,870</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383,588</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1,019,751</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80" w:hanging="154"/>
        <w:spacing w:after="0"/>
        <w:tabs>
          <w:tab w:leader="none" w:pos="18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only customary scheduled loan amortization payments and excludes currently unknown prepayment amounts that may be required, per terms of the 2024 Credit Agreement.</w:t>
      </w:r>
    </w:p>
    <w:p>
      <w:pPr>
        <w:spacing w:after="0" w:line="41"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payments are based on an assumed rate of 7.16%, which was the rate as of September 30, 2025 for the associated 2024 Term Loan B Facility.</w:t>
      </w:r>
    </w:p>
    <w:p>
      <w:pPr>
        <w:spacing w:after="0" w:line="41" w:lineRule="exact"/>
        <w:rPr>
          <w:rFonts w:ascii="Times New Roman" w:cs="Times New Roman" w:eastAsia="Times New Roman" w:hAnsi="Times New Roman"/>
          <w:sz w:val="9"/>
          <w:szCs w:val="9"/>
          <w:color w:val="auto"/>
        </w:rPr>
      </w:pPr>
    </w:p>
    <w:p>
      <w:pPr>
        <w:ind w:left="20" w:right="640" w:firstLine="6"/>
        <w:spacing w:after="0" w:line="261" w:lineRule="auto"/>
        <w:tabs>
          <w:tab w:leader="none" w:pos="165"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estimated fees based on current available amounts under our 2024 Revolving Credit Facility and using the current commitment rate as of September 30, 2025, fees based on outstanding but undrawn letters of credit as of September 30, 2025, and fees owed to our administrative agents for both facilities under the 2024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-464185</wp:posOffset>
            </wp:positionV>
            <wp:extent cx="53320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32095" cy="8890"/>
                    </a:xfrm>
                    <a:prstGeom prst="rect">
                      <a:avLst/>
                    </a:prstGeom>
                    <a:noFill/>
                  </pic:spPr>
                </pic:pic>
              </a:graphicData>
            </a:graphic>
          </wp:anchor>
        </w:drawing>
      </w:r>
    </w:p>
    <w:p>
      <w:pPr>
        <w:spacing w:after="0" w:line="14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Obligations for leases not included in the lease liabilities as of September 30, 2025 include commitments under agreements for office space and data centers that have not commenced as of September 30, 2025.</w:t>
      </w:r>
    </w:p>
    <w:p>
      <w:pPr>
        <w:spacing w:after="0" w:line="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Payments associated with our Convertible Senior Notes, 2024 Term Loan B, and 2024 Revolving Credit Facility are based on contractual terms and intended timing of repayments of current and long-term debt and associated interest and required fees.</w:t>
      </w:r>
    </w:p>
    <w:p>
      <w:pPr>
        <w:spacing w:after="0" w:line="4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Other non-cancelable obligations above consist of agreements in the normal course of business that are in excess of one year as of September 30, 2025. The amounts above include commitments under a cloud-managed services agreement, under which we have a non-cancelable commitment from July 2025 to June 2028 containing minimum spend amounts for each twelve-month period (i.e. July 2025 to June 2026, July 2026 to June 2027, and July 2027 to June 2028) as well as an additional minimum spend amount over the entire three-year term. The table above approximates the manner in which we expect to fulfill the obligation.</w:t>
      </w:r>
    </w:p>
    <w:p>
      <w:pPr>
        <w:spacing w:after="0" w:line="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September 30,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4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following assumptions and estimates have the greatest potential impact on our condensed consolidated financial statements: (i) the determination of revenue recognition as net versus gross in our revenue arrangements and (ii) the determination of amounts to capitalize and the estimated useful lives of internal-use software development costs. There have been no significant changes in our accounting policies or estimates from those disclosed in our audited consolidated financial statements and notes thereto for the year ended December 31, 2024 included in our Annual Report on Form 10-K.</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refer to Note 1 to our condensed consolidated financial statements included in this Quarterly Report on Form 10-Q.</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0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certain global macroeconomic challenges and market conditions.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9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funds, but may from time to time also include other money market instruments such as commercial paper or U.S. treasury bills,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short maturity, our portfolio’s fair value is relatively insensitive to interest rate changes, however, interest income earned will vary as interest rates change.</w:t>
      </w:r>
    </w:p>
    <w:p>
      <w:pPr>
        <w:spacing w:after="0" w:line="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do not have economic interest rate expense exposure on our Convertible Senior Notes due to their fixed interest rate nature. The amount paid upon redemption or maturity, before considering any potential additional amount owed due to increases in our underlying share price above the conversion price, is not based on changes in any interest rate index or underlying market interest rates. It is fixed at 100% of the principal amount of the Convertible Senior Notes plus unpaid interest. Since the Convertible Senior Notes bear a fixed interest rate, we are not exposed to interest rate risk on those notes, however, the fair value of those notes will change as market interest rates change.</w:t>
      </w:r>
    </w:p>
    <w:p>
      <w:pPr>
        <w:spacing w:after="0" w:line="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2024 Term Loan B Facility bears a floating rate of interest that resets periodically, subject to a 0% floor on that floating rate, according to the terms of the agreement (the "SOFR Floor"). Our financial results have been exposed to changes in the underlying base interest rate on that debt because the underlying base interest rate resets above the floor on such underlying interest rate. The fair value of the 2024 Term Loan B Facility may fluctuate when the underlying base interest rate fluctuates below the floor or when the rate of return demanded by our loan investors changes relative to when the loans were issued. As of September 30, 2025, the Company had no outstanding borrowings under the 2024 Revolving Credit Facility. Should the company borrow under the 2024 Revolving Credit Facility at any point in the future, any associated borrowings would have a floating underlying base rate of interest that would expose the Company to interest rate risk.</w:t>
      </w:r>
    </w:p>
    <w:p>
      <w:pPr>
        <w:spacing w:after="0" w:line="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do not believe that an increase or decrease in interest rates of 100 basis points would have a material effect on our operating results or financial condition. The annualized impact to interest expense for each 100 basis points increase above the SOFR Floor on our 2024 Term Loan B Facility is approximately $3.6 million. The actual impact to our financial results of the same increase in interest rates is expected to be lower depending on the timing and magnitude of such rate changes relative to our SOFR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Floor, and will be partially offset by higher interest income earned on our cash and cash equivalent balances over the same period. In future periods, we will continue to evaluate our investment opportunities and policy relative to our overall objectives.</w:t>
      </w:r>
    </w:p>
    <w:p>
      <w:pPr>
        <w:spacing w:after="0" w:line="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With regard to all debt currently outstanding, the Company is potentially exposed to refinancing risk in the future, should the Company seek to refinance its debt or raise new debt. As such, the type, cost, and terms of any new debt potentially raised in the future may differ from that of our existing debt agreements.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0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As a U.S. based company that does business around the globe, we have foreign currency risks related to our revenue and expenses denominated in currencies other than the U.S. Dollar, principally the Australian Dollar, British Pound, Canadian Dollar, Euro, Japanese Yen, and New Zealand Dollar. Foreign exchange rate volatility is influenced by many factors that we cannot forecast with reliable accuracy. In the event our non-U.S. Dollar denominated revenue and expenses increase, or the volatility of the foreign currencies that we transact in increases, our operating results may be more greatly affected by fluctuations in the exchange rates of those foreign currencies. In addition,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 currency-denominated monetary assets and liabilities at September 30, 2025 and December 31, 2024, including intercompany balances, would result in a foreign currency loss of approximately $8.2 million and $10.8 million, respectively. At this time we do not, but we may in the future, enter into derivatives or other financial instruments in an attempt to hedge our foreign currency exchange risk.</w:t>
      </w:r>
    </w:p>
    <w:p>
      <w:pPr>
        <w:spacing w:after="0" w:line="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do not believe that cost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 This risk of cost inflation is distinct from the risk that inflation throughout the broader economy could lead to reduced ad spend and indirectly harm our business, financial condition, and results of operations. For a discussion of the indirect results of inflation on our business, see "Macroeconomic Developments."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9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September 30, 2025, our disclosure controls and procedures were effective at the reasonable assurance level.</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three months ended September 30, 2025 that have materially affected, or are reasonably likely to materially affect, our internal control over financial reporting.</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degree of compliance with policies or procedures may deteriorate. Because of the inherent limitations in a cost-effective control system, misstatements due to error or fraud may occur and not be detected.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claims relating to our collection or use of data, regulatory investigations, audits by taxing authorities, or enforcement proceedings, and claims by persons whose employment has been terminated. For example, we have recently been subject to lawsuits alleging violation of various privacy statutes. Additionally, on September 16, 2025, we filed the Google Action. For additional information, refer to the "Regulatory Developments and Google Litigation" section in Part I, Item 2. Management's Discussion and Analysis of Financial Condition and Results of Operations.</w:t>
      </w:r>
    </w:p>
    <w:p>
      <w:pPr>
        <w:spacing w:after="0" w:line="6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Such matters are subject to many uncertainties, and outcomes are not predictable with assurance. Consequently, we are unable to ascertain the ultimate aggregate amount of monetary liability or awards, amounts which may be covered by insurance or recoverable from third parties, or the financial impact with respect to such matters as of September 30, 2025. However, based on our knowledge as of September 30, 2025,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4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Refer to Note 10 to our condensed consolidated financial statements included in this Quarterly Report on Form 10-Q for additional information related to legal proceedings.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We describe risks associated with our business in Part I, Item 1A: "Risk Factors" of our Annual Report on Form 10-K for the year ended December 31, 2024 and in Part II, Item 1A "Risk Factors" of our Quarterly Report on Form 10-Q for the period ended March 31, 2025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w:t>
      </w:r>
    </w:p>
    <w:p>
      <w:pPr>
        <w:spacing w:after="0" w:line="70"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The following risk factor supplements the Risk Factors contained in our Annual Report on Form 10-K for the year ended December 31, 2024 and in our Quarterly Report on Form 10-Q for the period ended March 31, 2025. Except as set forth below, there are no additional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In addition, the economic impact of macroeconomic challenges, such as inflation, global conflict, capital market disruptions and the instability of financial institutions, the risk of a recession, and other macroeconomic factors may amplify many of the risks described in our risk factors. Accordingly, you are advised to consider additional sources of information and exercise your own judgment in addition to the information we provide.</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litigation with Google LLC presents potential risks that could adversely affect our business, results of operations and financial condition.</w:t>
      </w:r>
    </w:p>
    <w:p>
      <w:pPr>
        <w:spacing w:after="0" w:line="1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16, 2025, we filed a lawsuit in the U.S. District Court for the Eastern District of Virginia against Google LLC ("Google") seeking financial damages and other remedies (the "Google Action") in light of the U.S. District Court’s ruling that Google had engaged in unlawful anticompetitive practices with respect to certain ad tech markets. Google is a significant participant in the digital advertising ecosystem and both a major partner and competitor to Magnite and a significant portion of our revenue is generated through our relationship with Google. The Google Action is in its early stages, and the outcome and timing of the Google Action is uncertain and difficult to predict. The Google Action presents several risks to our business, including the potential for retaliatory actions by Google. Any such actions could disrupt our ability to serve our customers and partners, reduce our revenue, and harm our relationships with publishers and advertisers. The Google Action may be costly, protracted, and divert management's attention and resources from our business operations. Any damages awarded may not be commensurate with our expectations, and we may not receive any monetary damages at all. The existence of the Google Action and any potential retaliatory measures could also negatively affect our reputation and our ability to compete, potentially causing our business, financial condition, and results of operations to be materially and adversely affected.</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6" w:lineRule="exact"/>
        <w:rPr>
          <w:sz w:val="20"/>
          <w:szCs w:val="20"/>
          <w:color w:val="auto"/>
        </w:rPr>
      </w:pPr>
    </w:p>
    <w:p>
      <w:pPr>
        <w:ind w:left="180" w:right="7500" w:firstLine="476"/>
        <w:spacing w:after="0" w:line="394" w:lineRule="auto"/>
        <w:tabs>
          <w:tab w:leader="none" w:pos="903"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Recent Sales of Unregistered Securities </w:t>
      </w:r>
      <w:r>
        <w:rPr>
          <w:rFonts w:ascii="Times New Roman" w:cs="Times New Roman" w:eastAsia="Times New Roman" w:hAnsi="Times New Roman"/>
          <w:sz w:val="18"/>
          <w:szCs w:val="18"/>
          <w:color w:val="auto"/>
        </w:rPr>
        <w:t>None (except as previously disclosed).</w:t>
      </w:r>
    </w:p>
    <w:p>
      <w:pPr>
        <w:spacing w:after="0" w:line="22" w:lineRule="exact"/>
        <w:rPr>
          <w:rFonts w:ascii="Times New Roman" w:cs="Times New Roman" w:eastAsia="Times New Roman" w:hAnsi="Times New Roman"/>
          <w:sz w:val="18"/>
          <w:szCs w:val="18"/>
          <w:i w:val="1"/>
          <w:iCs w:val="1"/>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Use of Proceeds</w:t>
      </w:r>
    </w:p>
    <w:p>
      <w:pPr>
        <w:spacing w:after="0" w:line="1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 Purchases of Equity Securities by the Company and Affiliated Purchasers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repurchases during the quarter ended September 30, 2025 were as follows (in thousands, except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0" w:type="dxa"/>
            <w:vAlign w:val="bottom"/>
          </w:tcPr>
          <w:p>
            <w:pPr>
              <w:spacing w:after="0"/>
              <w:rPr>
                <w:sz w:val="17"/>
                <w:szCs w:val="17"/>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17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60" w:type="dxa"/>
            <w:vAlign w:val="bottom"/>
          </w:tcPr>
          <w:p>
            <w:pPr>
              <w:spacing w:after="0"/>
              <w:rPr>
                <w:sz w:val="16"/>
                <w:szCs w:val="16"/>
                <w:color w:val="auto"/>
              </w:rPr>
            </w:pPr>
          </w:p>
        </w:tc>
        <w:tc>
          <w:tcPr>
            <w:tcW w:w="17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 Price per</w:t>
            </w:r>
          </w:p>
        </w:tc>
        <w:tc>
          <w:tcPr>
            <w:tcW w:w="1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as part of a</w:t>
            </w:r>
          </w:p>
        </w:tc>
        <w:tc>
          <w:tcPr>
            <w:tcW w:w="19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Value that May Yet be</w:t>
            </w:r>
          </w:p>
        </w:tc>
        <w:tc>
          <w:tcPr>
            <w:tcW w:w="0" w:type="dxa"/>
            <w:vAlign w:val="bottom"/>
          </w:tcPr>
          <w:p>
            <w:pPr>
              <w:spacing w:after="0"/>
              <w:rPr>
                <w:sz w:val="1"/>
                <w:szCs w:val="1"/>
                <w:color w:val="auto"/>
              </w:rPr>
            </w:pPr>
          </w:p>
        </w:tc>
      </w:tr>
      <w:tr>
        <w:trPr>
          <w:trHeight w:val="175"/>
        </w:trPr>
        <w:tc>
          <w:tcPr>
            <w:tcW w:w="3640" w:type="dxa"/>
            <w:vAlign w:val="bottom"/>
            <w:vMerge w:val="restart"/>
          </w:tcPr>
          <w:p>
            <w:pPr>
              <w:ind w:left="15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220" w:type="dxa"/>
            <w:vAlign w:val="bottom"/>
          </w:tcPr>
          <w:p>
            <w:pPr>
              <w:spacing w:after="0"/>
              <w:rPr>
                <w:sz w:val="15"/>
                <w:szCs w:val="15"/>
                <w:color w:val="auto"/>
              </w:rPr>
            </w:pPr>
          </w:p>
        </w:tc>
        <w:tc>
          <w:tcPr>
            <w:tcW w:w="17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Purchased Under the</w:t>
            </w:r>
          </w:p>
        </w:tc>
        <w:tc>
          <w:tcPr>
            <w:tcW w:w="0" w:type="dxa"/>
            <w:vAlign w:val="bottom"/>
          </w:tcPr>
          <w:p>
            <w:pPr>
              <w:spacing w:after="0"/>
              <w:rPr>
                <w:sz w:val="1"/>
                <w:szCs w:val="1"/>
                <w:color w:val="auto"/>
              </w:rPr>
            </w:pPr>
          </w:p>
        </w:tc>
      </w:tr>
      <w:tr>
        <w:trPr>
          <w:trHeight w:val="230"/>
        </w:trPr>
        <w:tc>
          <w:tcPr>
            <w:tcW w:w="3640" w:type="dxa"/>
            <w:vAlign w:val="bottom"/>
            <w:vMerge w:val="continue"/>
          </w:tcPr>
          <w:p>
            <w:pPr>
              <w:spacing w:after="0"/>
              <w:rPr>
                <w:sz w:val="19"/>
                <w:szCs w:val="19"/>
                <w:color w:val="auto"/>
              </w:rPr>
            </w:pP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60" w:type="dxa"/>
            <w:vAlign w:val="bottom"/>
          </w:tcPr>
          <w:p>
            <w:pPr>
              <w:spacing w:after="0"/>
              <w:rPr>
                <w:sz w:val="19"/>
                <w:szCs w:val="19"/>
                <w:color w:val="auto"/>
              </w:rPr>
            </w:pPr>
          </w:p>
        </w:tc>
        <w:tc>
          <w:tcPr>
            <w:tcW w:w="17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220" w:type="dxa"/>
            <w:vAlign w:val="bottom"/>
          </w:tcPr>
          <w:p>
            <w:pPr>
              <w:spacing w:after="0"/>
              <w:rPr>
                <w:sz w:val="19"/>
                <w:szCs w:val="19"/>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July 1 - July 31, 2025</w:t>
            </w:r>
          </w:p>
        </w:tc>
        <w:tc>
          <w:tcPr>
            <w:tcW w:w="1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Equity withholding</w:t>
            </w:r>
            <w:r>
              <w:rPr>
                <w:rFonts w:ascii="Times New Roman" w:cs="Times New Roman" w:eastAsia="Times New Roman" w:hAnsi="Times New Roman"/>
                <w:sz w:val="23"/>
                <w:szCs w:val="23"/>
                <w:color w:val="auto"/>
                <w:vertAlign w:val="superscript"/>
              </w:rPr>
              <w:t>(1)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23.11</w:t>
            </w:r>
          </w:p>
        </w:tc>
        <w:tc>
          <w:tcPr>
            <w:tcW w:w="1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August 1 - August 31, 2025</w:t>
            </w:r>
          </w:p>
        </w:tc>
        <w:tc>
          <w:tcPr>
            <w:tcW w:w="1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Equity withholding</w:t>
            </w:r>
            <w:r>
              <w:rPr>
                <w:rFonts w:ascii="Times New Roman" w:cs="Times New Roman" w:eastAsia="Times New Roman" w:hAnsi="Times New Roman"/>
                <w:sz w:val="23"/>
                <w:szCs w:val="23"/>
                <w:color w:val="auto"/>
                <w:vertAlign w:val="superscript"/>
              </w:rPr>
              <w:t>(1)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1 - September 30, 2025</w:t>
            </w:r>
          </w:p>
        </w:tc>
        <w:tc>
          <w:tcPr>
            <w:tcW w:w="1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Equity withholding</w:t>
            </w:r>
            <w:r>
              <w:rPr>
                <w:rFonts w:ascii="Times New Roman" w:cs="Times New Roman" w:eastAsia="Times New Roman" w:hAnsi="Times New Roman"/>
                <w:sz w:val="23"/>
                <w:szCs w:val="23"/>
                <w:color w:val="auto"/>
                <w:vertAlign w:val="superscript"/>
              </w:rPr>
              <w:t>(1)</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60" w:firstLine="8"/>
        <w:spacing w:after="0" w:line="255" w:lineRule="auto"/>
        <w:tabs>
          <w:tab w:leader="none" w:pos="181"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Upon vesting of most restricted stock units or stock awards,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Trading Plans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third quarter of 2025, the following trading plans were adopted or terminated by our Section 16 officers or directors: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Date Plan</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Intended to</w:t>
            </w:r>
          </w:p>
        </w:tc>
        <w:tc>
          <w:tcPr>
            <w:tcW w:w="0" w:type="dxa"/>
            <w:vAlign w:val="bottom"/>
          </w:tcPr>
          <w:p>
            <w:pPr>
              <w:spacing w:after="0"/>
              <w:rPr>
                <w:sz w:val="1"/>
                <w:szCs w:val="1"/>
                <w:color w:val="auto"/>
              </w:rPr>
            </w:pPr>
          </w:p>
        </w:tc>
      </w:tr>
      <w:tr>
        <w:trPr>
          <w:trHeight w:val="184"/>
        </w:trPr>
        <w:tc>
          <w:tcPr>
            <w:tcW w:w="16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Officer Name</w:t>
            </w:r>
          </w:p>
        </w:tc>
        <w:tc>
          <w:tcPr>
            <w:tcW w:w="17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Officer Title</w:t>
            </w:r>
          </w:p>
        </w:tc>
        <w:tc>
          <w:tcPr>
            <w:tcW w:w="1820" w:type="dxa"/>
            <w:vAlign w:val="bottom"/>
            <w:gridSpan w:val="2"/>
            <w:vMerge w:val="continue"/>
          </w:tcPr>
          <w:p>
            <w:pPr>
              <w:spacing w:after="0"/>
              <w:rPr>
                <w:sz w:val="16"/>
                <w:szCs w:val="16"/>
                <w:color w:val="auto"/>
              </w:rPr>
            </w:pPr>
          </w:p>
        </w:tc>
        <w:tc>
          <w:tcPr>
            <w:tcW w:w="2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Duration of Plan</w:t>
            </w:r>
          </w:p>
        </w:tc>
        <w:tc>
          <w:tcPr>
            <w:tcW w:w="2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Shares to be Purchased or Sold</w:t>
            </w:r>
          </w:p>
        </w:tc>
        <w:tc>
          <w:tcPr>
            <w:tcW w:w="13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Satisfy Rule</w:t>
            </w:r>
          </w:p>
        </w:tc>
        <w:tc>
          <w:tcPr>
            <w:tcW w:w="0" w:type="dxa"/>
            <w:vAlign w:val="bottom"/>
          </w:tcPr>
          <w:p>
            <w:pPr>
              <w:spacing w:after="0"/>
              <w:rPr>
                <w:sz w:val="1"/>
                <w:szCs w:val="1"/>
                <w:color w:val="auto"/>
              </w:rPr>
            </w:pPr>
          </w:p>
        </w:tc>
      </w:tr>
      <w:tr>
        <w:trPr>
          <w:trHeight w:val="230"/>
        </w:trPr>
        <w:tc>
          <w:tcPr>
            <w:tcW w:w="1680" w:type="dxa"/>
            <w:vAlign w:val="bottom"/>
            <w:gridSpan w:val="2"/>
            <w:vMerge w:val="continue"/>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Adopted/Terminated</w:t>
            </w:r>
          </w:p>
        </w:tc>
        <w:tc>
          <w:tcPr>
            <w:tcW w:w="2120" w:type="dxa"/>
            <w:vAlign w:val="bottom"/>
            <w:gridSpan w:val="2"/>
            <w:vMerge w:val="continue"/>
          </w:tcPr>
          <w:p>
            <w:pPr>
              <w:spacing w:after="0"/>
              <w:rPr>
                <w:sz w:val="19"/>
                <w:szCs w:val="19"/>
                <w:color w:val="auto"/>
              </w:rPr>
            </w:pPr>
          </w:p>
        </w:tc>
        <w:tc>
          <w:tcPr>
            <w:tcW w:w="2580" w:type="dxa"/>
            <w:vAlign w:val="bottom"/>
            <w:gridSpan w:val="2"/>
            <w:vMerge w:val="continue"/>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10b5-1(c)?</w:t>
            </w:r>
          </w:p>
        </w:tc>
        <w:tc>
          <w:tcPr>
            <w:tcW w:w="0" w:type="dxa"/>
            <w:vAlign w:val="bottom"/>
          </w:tcPr>
          <w:p>
            <w:pPr>
              <w:spacing w:after="0"/>
              <w:rPr>
                <w:sz w:val="1"/>
                <w:szCs w:val="1"/>
                <w:color w:val="auto"/>
              </w:rPr>
            </w:pPr>
          </w:p>
        </w:tc>
      </w:tr>
      <w:tr>
        <w:trPr>
          <w:trHeight w:val="178"/>
        </w:trPr>
        <w:tc>
          <w:tcPr>
            <w:tcW w:w="1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Chief Financial</w:t>
            </w:r>
          </w:p>
        </w:tc>
        <w:tc>
          <w:tcPr>
            <w:tcW w:w="10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rPr>
              <w:t>Adopted August 13,</w:t>
            </w:r>
          </w:p>
        </w:tc>
        <w:tc>
          <w:tcPr>
            <w:tcW w:w="8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November 20, 2025 -</w:t>
            </w:r>
          </w:p>
        </w:tc>
        <w:tc>
          <w:tcPr>
            <w:tcW w:w="80" w:type="dxa"/>
            <w:vAlign w:val="bottom"/>
            <w:tcBorders>
              <w:top w:val="single" w:sz="8" w:color="CCEEFF"/>
            </w:tcBorders>
            <w:shd w:val="clear" w:color="auto" w:fill="CCEEFF"/>
          </w:tcPr>
          <w:p>
            <w:pPr>
              <w:spacing w:after="0"/>
              <w:rPr>
                <w:sz w:val="15"/>
                <w:szCs w:val="15"/>
                <w:color w:val="auto"/>
              </w:rPr>
            </w:pPr>
          </w:p>
        </w:tc>
        <w:tc>
          <w:tcPr>
            <w:tcW w:w="248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Sell up to 62,760, subject to</w:t>
            </w:r>
          </w:p>
        </w:tc>
        <w:tc>
          <w:tcPr>
            <w:tcW w:w="10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Day</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11, 2026</w:t>
            </w: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conditions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Adopted August 18,</w:t>
            </w:r>
          </w:p>
        </w:tc>
        <w:tc>
          <w:tcPr>
            <w:tcW w:w="21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December 1, 2025 -</w:t>
            </w:r>
          </w:p>
        </w:tc>
        <w:tc>
          <w:tcPr>
            <w:tcW w:w="25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Sell up to 321,228*, subject to</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Adam Soroca</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Product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20"/>
                <w:szCs w:val="20"/>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May 29, 2026</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certain conditions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184"/>
        </w:trPr>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Adopted August 20,</w:t>
            </w:r>
          </w:p>
        </w:tc>
        <w:tc>
          <w:tcPr>
            <w:tcW w:w="212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November 19, 2025 -</w:t>
            </w:r>
          </w:p>
        </w:tc>
        <w:tc>
          <w:tcPr>
            <w:tcW w:w="25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Sell up to 50,000, subject to</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Caine</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October 30, 2026</w:t>
            </w: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conditions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Adopted August 28,</w:t>
            </w:r>
          </w:p>
        </w:tc>
        <w:tc>
          <w:tcPr>
            <w:tcW w:w="21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November 28, 2025 -</w:t>
            </w:r>
          </w:p>
        </w:tc>
        <w:tc>
          <w:tcPr>
            <w:tcW w:w="25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Sell up to 77,382, subject to</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Katie Evans</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Operations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20"/>
                <w:szCs w:val="20"/>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August 28, 2026</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certain conditions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184"/>
        </w:trPr>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Adopted</w:t>
            </w:r>
          </w:p>
        </w:tc>
        <w:tc>
          <w:tcPr>
            <w:tcW w:w="212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December 10, 2025 -</w:t>
            </w:r>
          </w:p>
        </w:tc>
        <w:tc>
          <w:tcPr>
            <w:tcW w:w="25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Sell up to 336,944*, subject to</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Sean Buckley</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Revenue</w:t>
            </w:r>
          </w:p>
        </w:tc>
        <w:tc>
          <w:tcPr>
            <w:tcW w:w="1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10, 2025</w:t>
            </w:r>
          </w:p>
        </w:tc>
        <w:tc>
          <w:tcPr>
            <w:tcW w:w="2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December 8, 2026</w:t>
            </w: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conditions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Chief Technology</w:t>
            </w:r>
          </w:p>
        </w:tc>
        <w:tc>
          <w:tcPr>
            <w:tcW w:w="18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Adopted</w:t>
            </w:r>
          </w:p>
        </w:tc>
        <w:tc>
          <w:tcPr>
            <w:tcW w:w="21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December 11, 2025 -</w:t>
            </w:r>
          </w:p>
        </w:tc>
        <w:tc>
          <w:tcPr>
            <w:tcW w:w="25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Sell up to 48,221, subject to</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Buonasera</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11, 2025</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11, 2026</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certain conditions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w:t>
            </w:r>
          </w:p>
        </w:tc>
        <w:tc>
          <w:tcPr>
            <w:tcW w:w="1820" w:type="dxa"/>
            <w:vAlign w:val="bottom"/>
            <w:gridSpan w:val="2"/>
            <w:shd w:val="clear" w:color="auto" w:fill="CCEEFF"/>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8"/>
              </w:rPr>
              <w:t>Terminated July 15,</w:t>
            </w:r>
          </w:p>
        </w:tc>
        <w:tc>
          <w:tcPr>
            <w:tcW w:w="2120" w:type="dxa"/>
            <w:vAlign w:val="bottom"/>
            <w:gridSpan w:val="2"/>
            <w:shd w:val="clear" w:color="auto" w:fill="CCEEFF"/>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rPr>
              <w:t>June 15, 2025 - May 31,</w:t>
            </w:r>
          </w:p>
        </w:tc>
        <w:tc>
          <w:tcPr>
            <w:tcW w:w="25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Sell up to 460,000, subject to</w:t>
            </w: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Barrett</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 and Director</w:t>
            </w:r>
          </w:p>
        </w:tc>
        <w:tc>
          <w:tcPr>
            <w:tcW w:w="1740" w:type="dxa"/>
            <w:vAlign w:val="bottom"/>
            <w:shd w:val="clear" w:color="auto" w:fill="CCEEFF"/>
          </w:tcPr>
          <w:p>
            <w:pPr>
              <w:jc w:val="center"/>
              <w:spacing w:after="0" w:line="237" w:lineRule="exact"/>
              <w:rPr>
                <w:sz w:val="20"/>
                <w:szCs w:val="20"/>
                <w:color w:val="auto"/>
              </w:rPr>
            </w:pPr>
            <w:r>
              <w:rPr>
                <w:rFonts w:ascii="Times New Roman" w:cs="Times New Roman" w:eastAsia="Times New Roman" w:hAnsi="Times New Roman"/>
                <w:sz w:val="18"/>
                <w:szCs w:val="18"/>
                <w:color w:val="auto"/>
                <w:w w:val="92"/>
              </w:rPr>
              <w:t xml:space="preserve">2025 </w:t>
            </w:r>
            <w:r>
              <w:rPr>
                <w:rFonts w:ascii="Times New Roman" w:cs="Times New Roman" w:eastAsia="Times New Roman" w:hAnsi="Times New Roman"/>
                <w:sz w:val="23"/>
                <w:szCs w:val="23"/>
                <w:color w:val="auto"/>
                <w:w w:val="92"/>
                <w:vertAlign w:val="superscript"/>
              </w:rPr>
              <w:t>(1)</w:t>
            </w:r>
          </w:p>
        </w:tc>
        <w:tc>
          <w:tcPr>
            <w:tcW w:w="80" w:type="dxa"/>
            <w:vAlign w:val="bottom"/>
            <w:shd w:val="clear" w:color="auto" w:fill="CCEEFF"/>
          </w:tcPr>
          <w:p>
            <w:pPr>
              <w:spacing w:after="0"/>
              <w:rPr>
                <w:sz w:val="20"/>
                <w:szCs w:val="20"/>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8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conditions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*Represents a combination of previously vested shares and gross amounts of shares that will vest over the duration of the plan (shares that will actually be sold under the plan are net of tax withholding).</w:t>
      </w:r>
    </w:p>
    <w:p>
      <w:pPr>
        <w:spacing w:after="0" w:line="197"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Mr. Barrett’s plan was terminated following the sale of all vested RSUs eligible for sale in his account.</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70"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4"/>
                <w:szCs w:val="24"/>
                <w:color w:val="auto"/>
              </w:rPr>
            </w:pPr>
          </w:p>
        </w:tc>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7"/>
        </w:trPr>
        <w:tc>
          <w:tcPr>
            <w:tcW w:w="2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760" w:type="dxa"/>
            <w:vAlign w:val="bottom"/>
            <w:tcBorders>
              <w:top w:val="single" w:sz="8" w:color="auto"/>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First Amendment to the Sublease between Zillow Group, Inc. and Magnite, Inc., effective August 31, 2025.</w:t>
            </w:r>
          </w:p>
        </w:tc>
        <w:tc>
          <w:tcPr>
            <w:tcW w:w="1100" w:type="dxa"/>
            <w:vAlign w:val="bottom"/>
            <w:tcBorders>
              <w:top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13a-14(a) and 15d-14(a), as adopted pursuant</w:t>
            </w: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13a-14(a) and 15d-14(a), as adopted pursuant</w:t>
            </w: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23"/>
                <w:szCs w:val="23"/>
                <w:color w:val="auto"/>
                <w:vertAlign w:val="superscript"/>
              </w:rPr>
              <w:t>(1)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and Principal Financial Officer Pursuant to 18 U.S.C. Section 1350, as</w:t>
            </w: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3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gridSpan w:val="2"/>
            <w:shd w:val="clear" w:color="auto" w:fill="0000FF"/>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8"/>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 *</w:t>
            </w:r>
          </w:p>
        </w:tc>
        <w:tc>
          <w:tcPr>
            <w:tcW w:w="20" w:type="dxa"/>
            <w:vAlign w:val="bottom"/>
          </w:tcPr>
          <w:p>
            <w:pPr>
              <w:spacing w:after="0"/>
              <w:rPr>
                <w:sz w:val="20"/>
                <w:szCs w:val="20"/>
                <w:color w:val="auto"/>
              </w:rPr>
            </w:pPr>
          </w:p>
        </w:tc>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 *</w:t>
            </w:r>
          </w:p>
        </w:tc>
        <w:tc>
          <w:tcPr>
            <w:tcW w:w="20" w:type="dxa"/>
            <w:vAlign w:val="bottom"/>
          </w:tcPr>
          <w:p>
            <w:pPr>
              <w:spacing w:after="0"/>
              <w:rPr>
                <w:sz w:val="19"/>
                <w:szCs w:val="19"/>
                <w:color w:val="auto"/>
              </w:rPr>
            </w:pPr>
          </w:p>
        </w:tc>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Schema Linkbase Document</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 *</w:t>
            </w:r>
          </w:p>
        </w:tc>
        <w:tc>
          <w:tcPr>
            <w:tcW w:w="20" w:type="dxa"/>
            <w:vAlign w:val="bottom"/>
          </w:tcPr>
          <w:p>
            <w:pPr>
              <w:spacing w:after="0"/>
              <w:rPr>
                <w:sz w:val="19"/>
                <w:szCs w:val="19"/>
                <w:color w:val="auto"/>
              </w:rPr>
            </w:pPr>
          </w:p>
        </w:tc>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 *</w:t>
            </w:r>
          </w:p>
        </w:tc>
        <w:tc>
          <w:tcPr>
            <w:tcW w:w="20" w:type="dxa"/>
            <w:vAlign w:val="bottom"/>
          </w:tcPr>
          <w:p>
            <w:pPr>
              <w:spacing w:after="0"/>
              <w:rPr>
                <w:sz w:val="19"/>
                <w:szCs w:val="19"/>
                <w:color w:val="auto"/>
              </w:rPr>
            </w:pPr>
          </w:p>
        </w:tc>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 *</w:t>
            </w:r>
          </w:p>
        </w:tc>
        <w:tc>
          <w:tcPr>
            <w:tcW w:w="20" w:type="dxa"/>
            <w:vAlign w:val="bottom"/>
          </w:tcPr>
          <w:p>
            <w:pPr>
              <w:spacing w:after="0"/>
              <w:rPr>
                <w:sz w:val="19"/>
                <w:szCs w:val="19"/>
                <w:color w:val="auto"/>
              </w:rPr>
            </w:pPr>
          </w:p>
        </w:tc>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0" w:type="dxa"/>
            <w:vAlign w:val="bottom"/>
          </w:tcPr>
          <w:p>
            <w:pPr>
              <w:spacing w:after="0"/>
              <w:rPr>
                <w:sz w:val="1"/>
                <w:szCs w:val="1"/>
                <w:color w:val="auto"/>
              </w:rPr>
            </w:pPr>
          </w:p>
        </w:tc>
      </w:tr>
      <w:tr>
        <w:trPr>
          <w:trHeight w:val="234"/>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 *</w:t>
            </w:r>
          </w:p>
        </w:tc>
        <w:tc>
          <w:tcPr>
            <w:tcW w:w="20" w:type="dxa"/>
            <w:vAlign w:val="bottom"/>
          </w:tcPr>
          <w:p>
            <w:pPr>
              <w:spacing w:after="0"/>
              <w:rPr>
                <w:sz w:val="20"/>
                <w:szCs w:val="20"/>
                <w:color w:val="auto"/>
              </w:rPr>
            </w:pPr>
          </w:p>
        </w:tc>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0" w:type="dxa"/>
            <w:vAlign w:val="bottom"/>
          </w:tcPr>
          <w:p>
            <w:pPr>
              <w:spacing w:after="0"/>
              <w:rPr>
                <w:sz w:val="1"/>
                <w:szCs w:val="1"/>
                <w:color w:val="auto"/>
              </w:rPr>
            </w:pPr>
          </w:p>
        </w:tc>
      </w:tr>
      <w:tr>
        <w:trPr>
          <w:trHeight w:val="257"/>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117" w:lineRule="exact"/>
        <w:rPr>
          <w:sz w:val="20"/>
          <w:szCs w:val="20"/>
          <w:color w:val="auto"/>
        </w:rPr>
      </w:pPr>
    </w:p>
    <w:p>
      <w:pPr>
        <w:ind w:right="60" w:firstLine="8"/>
        <w:spacing w:after="0" w:line="239" w:lineRule="auto"/>
        <w:tabs>
          <w:tab w:leader="none" w:pos="253"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MAGNITE, INC. (Registrant)</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34290</wp:posOffset>
            </wp:positionV>
            <wp:extent cx="3497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David Day</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 and Duly Authorized Officer)</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November 5, 2025</w:t>
      </w:r>
    </w:p>
    <w:p>
      <w:pPr>
        <w:sectPr>
          <w:pgSz w:w="11900" w:h="16838" w:orient="portrait"/>
          <w:cols w:equalWidth="0" w:num="1">
            <w:col w:w="10460"/>
          </w:cols>
          <w:pgMar w:left="320" w:top="121" w:right="11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SUBLEASE</w:t>
      </w:r>
    </w:p>
    <w:p>
      <w:pPr>
        <w:spacing w:after="0" w:line="26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This First Amendment to Sublease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made and entered into August 4, 2025 by and between ZILLOW GROUP, INC., a Washington corporation (“</w:t>
      </w:r>
      <w:r>
        <w:rPr>
          <w:rFonts w:ascii="Times New Roman" w:cs="Times New Roman" w:eastAsia="Times New Roman" w:hAnsi="Times New Roman"/>
          <w:sz w:val="20"/>
          <w:szCs w:val="20"/>
          <w:u w:val="single" w:color="auto"/>
          <w:color w:val="auto"/>
        </w:rPr>
        <w:t>Sublandlord</w:t>
      </w:r>
      <w:r>
        <w:rPr>
          <w:rFonts w:ascii="Times New Roman" w:cs="Times New Roman" w:eastAsia="Times New Roman" w:hAnsi="Times New Roman"/>
          <w:sz w:val="20"/>
          <w:szCs w:val="20"/>
          <w:color w:val="auto"/>
        </w:rPr>
        <w:t>”), and MAGNITE, INC., a Delaware corporation (“</w:t>
      </w:r>
      <w:r>
        <w:rPr>
          <w:rFonts w:ascii="Times New Roman" w:cs="Times New Roman" w:eastAsia="Times New Roman" w:hAnsi="Times New Roman"/>
          <w:sz w:val="20"/>
          <w:szCs w:val="20"/>
          <w:u w:val="single" w:color="auto"/>
          <w:color w:val="auto"/>
        </w:rPr>
        <w:t>Subtenant</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47" w:lineRule="exact"/>
        <w:rPr>
          <w:sz w:val="20"/>
          <w:szCs w:val="20"/>
          <w:color w:val="auto"/>
        </w:rPr>
      </w:pPr>
    </w:p>
    <w:p>
      <w:pPr>
        <w:jc w:val="both"/>
        <w:ind w:firstLine="656"/>
        <w:spacing w:after="0" w:line="268" w:lineRule="auto"/>
        <w:tabs>
          <w:tab w:leader="none" w:pos="111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Sublandlord and Subtenant are parties to that certain Sublease dated September 21, 2021 (“</w:t>
      </w:r>
      <w:r>
        <w:rPr>
          <w:rFonts w:ascii="Times New Roman" w:cs="Times New Roman" w:eastAsia="Times New Roman" w:hAnsi="Times New Roman"/>
          <w:sz w:val="20"/>
          <w:szCs w:val="20"/>
          <w:u w:val="single" w:color="auto"/>
          <w:color w:val="auto"/>
        </w:rPr>
        <w:t>Sublease</w:t>
      </w:r>
      <w:r>
        <w:rPr>
          <w:rFonts w:ascii="Times New Roman" w:cs="Times New Roman" w:eastAsia="Times New Roman" w:hAnsi="Times New Roman"/>
          <w:sz w:val="20"/>
          <w:szCs w:val="20"/>
          <w:color w:val="auto"/>
        </w:rPr>
        <w:t>”) whereby Sublandlord leases to Subtenant approximately 27,040 rentable square feet (“</w:t>
      </w:r>
      <w:r>
        <w:rPr>
          <w:rFonts w:ascii="Times New Roman" w:cs="Times New Roman" w:eastAsia="Times New Roman" w:hAnsi="Times New Roman"/>
          <w:sz w:val="20"/>
          <w:szCs w:val="20"/>
          <w:u w:val="single" w:color="auto"/>
          <w:color w:val="auto"/>
        </w:rPr>
        <w:t>Original Premises</w:t>
      </w:r>
      <w:r>
        <w:rPr>
          <w:rFonts w:ascii="Times New Roman" w:cs="Times New Roman" w:eastAsia="Times New Roman" w:hAnsi="Times New Roman"/>
          <w:sz w:val="20"/>
          <w:szCs w:val="20"/>
          <w:color w:val="auto"/>
        </w:rPr>
        <w:t>”) consisting of the entire 9th floor of the Master Lease Premises (as defined in the Sublease), as more particularly described in the Sublease.</w:t>
      </w:r>
    </w:p>
    <w:p>
      <w:pPr>
        <w:spacing w:after="0" w:line="188" w:lineRule="exact"/>
        <w:rPr>
          <w:rFonts w:ascii="Times New Roman" w:cs="Times New Roman" w:eastAsia="Times New Roman" w:hAnsi="Times New Roman"/>
          <w:sz w:val="20"/>
          <w:szCs w:val="20"/>
          <w:color w:val="auto"/>
        </w:rPr>
      </w:pPr>
    </w:p>
    <w:p>
      <w:pPr>
        <w:jc w:val="both"/>
        <w:ind w:firstLine="656"/>
        <w:spacing w:after="0" w:line="261" w:lineRule="auto"/>
        <w:tabs>
          <w:tab w:leader="none" w:pos="12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Subtenant desires to expand the Original Premises by adding to the Sublease as part of the Premises that certain space consisting of the entire 8th floor of the Master Lease Premises, containing approximately 27,040 rentable square feet (the “</w:t>
      </w:r>
      <w:r>
        <w:rPr>
          <w:rFonts w:ascii="Times New Roman" w:cs="Times New Roman" w:eastAsia="Times New Roman" w:hAnsi="Times New Roman"/>
          <w:sz w:val="20"/>
          <w:szCs w:val="20"/>
          <w:u w:val="single" w:color="auto"/>
          <w:color w:val="auto"/>
        </w:rPr>
        <w:t>Expansion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Space</w:t>
      </w:r>
      <w:r>
        <w:rPr>
          <w:rFonts w:ascii="Times New Roman" w:cs="Times New Roman" w:eastAsia="Times New Roman" w:hAnsi="Times New Roman"/>
          <w:sz w:val="20"/>
          <w:szCs w:val="20"/>
          <w:color w:val="auto"/>
        </w:rPr>
        <w:t>”).</w:t>
      </w:r>
    </w:p>
    <w:p>
      <w:pPr>
        <w:spacing w:after="0" w:line="208" w:lineRule="exact"/>
        <w:rPr>
          <w:rFonts w:ascii="Times New Roman" w:cs="Times New Roman" w:eastAsia="Times New Roman" w:hAnsi="Times New Roman"/>
          <w:sz w:val="20"/>
          <w:szCs w:val="20"/>
          <w:color w:val="auto"/>
        </w:rPr>
      </w:pPr>
    </w:p>
    <w:p>
      <w:pPr>
        <w:ind w:right="20" w:firstLine="656"/>
        <w:spacing w:after="0" w:line="283" w:lineRule="auto"/>
        <w:tabs>
          <w:tab w:leader="none" w:pos="106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Sublandlord and Subtenant now desire to amend the Sublease to reflect their agreements concerning addition of the Expansion Space as part of the Premises, and other modifications as provided herein.</w:t>
      </w:r>
    </w:p>
    <w:p>
      <w:pPr>
        <w:spacing w:after="0" w:line="173"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capitalized terms used in this Amendment shall have the meanings ascribed to them in the Sublease, unless otherwise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here.</w:t>
      </w:r>
    </w:p>
    <w:p>
      <w:pPr>
        <w:spacing w:after="0" w:line="227" w:lineRule="exact"/>
        <w:rPr>
          <w:sz w:val="20"/>
          <w:szCs w:val="20"/>
          <w:color w:val="auto"/>
        </w:rPr>
      </w:pPr>
    </w:p>
    <w:p>
      <w:pPr>
        <w:ind w:firstLine="236"/>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mutual covenants, promises and conditions hereinafter set forth, the receipt and sufficiency of which are hereby acknowledged, the parties agree as follows: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43"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Recitals</w:t>
      </w:r>
      <w:r>
        <w:rPr>
          <w:rFonts w:ascii="Times New Roman" w:cs="Times New Roman" w:eastAsia="Times New Roman" w:hAnsi="Times New Roman"/>
          <w:sz w:val="20"/>
          <w:szCs w:val="20"/>
          <w:color w:val="auto"/>
        </w:rPr>
        <w:t>. The above recitals are incorporated herein by reference.</w:t>
      </w:r>
    </w:p>
    <w:p>
      <w:pPr>
        <w:spacing w:after="0" w:line="256" w:lineRule="exact"/>
        <w:rPr>
          <w:rFonts w:ascii="Times New Roman" w:cs="Times New Roman" w:eastAsia="Times New Roman" w:hAnsi="Times New Roman"/>
          <w:sz w:val="20"/>
          <w:szCs w:val="20"/>
          <w:color w:val="auto"/>
        </w:rPr>
      </w:pPr>
    </w:p>
    <w:p>
      <w:pPr>
        <w:jc w:val="both"/>
        <w:ind w:firstLine="656"/>
        <w:spacing w:after="0" w:line="251" w:lineRule="auto"/>
        <w:tabs>
          <w:tab w:leader="none" w:pos="129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Expansion of Premises</w:t>
      </w:r>
      <w:r>
        <w:rPr>
          <w:rFonts w:ascii="Times New Roman" w:cs="Times New Roman" w:eastAsia="Times New Roman" w:hAnsi="Times New Roman"/>
          <w:sz w:val="20"/>
          <w:szCs w:val="20"/>
          <w:color w:val="auto"/>
        </w:rPr>
        <w:t>. Effective on the Expansion Space Delivery Date (defined below) (the “</w:t>
      </w:r>
      <w:r>
        <w:rPr>
          <w:rFonts w:ascii="Times New Roman" w:cs="Times New Roman" w:eastAsia="Times New Roman" w:hAnsi="Times New Roman"/>
          <w:sz w:val="20"/>
          <w:szCs w:val="20"/>
          <w:u w:val="single" w:color="auto"/>
          <w:color w:val="auto"/>
        </w:rPr>
        <w:t>Expansion Space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Commencement Date</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u w:val="single" w:color="auto"/>
          <w:color w:val="auto"/>
        </w:rPr>
        <w:t>Premises</w:t>
      </w:r>
      <w:r>
        <w:rPr>
          <w:rFonts w:ascii="Times New Roman" w:cs="Times New Roman" w:eastAsia="Times New Roman" w:hAnsi="Times New Roman"/>
          <w:sz w:val="20"/>
          <w:szCs w:val="20"/>
          <w:color w:val="auto"/>
        </w:rPr>
        <w:t xml:space="preserve">” is amended to mean (i) the Original Premises and (ii) the Expansion Space, which consist of a total of 54,080 rentable square feet, except where distinctions are otherwise noted herein or would be necessary to correctly express the intent of the parties that provisions apply only to one portion of the Premises. The Expansion Space is depicted on the floor plan attached as </w:t>
      </w:r>
      <w:r>
        <w:rPr>
          <w:rFonts w:ascii="Times New Roman" w:cs="Times New Roman" w:eastAsia="Times New Roman" w:hAnsi="Times New Roman"/>
          <w:sz w:val="20"/>
          <w:szCs w:val="20"/>
          <w:b w:val="1"/>
          <w:bCs w:val="1"/>
          <w:u w:val="single" w:color="auto"/>
          <w:color w:val="auto"/>
        </w:rPr>
        <w:t>Exhibit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this Amendment. The Expansion Space Delivery Date means the date that Sublandlord delivers possession of the Expansion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Space to Subtenant with (i) the Expansion Space Delivery Conditions fully satisfied by Sublandlord, or the date the Expansion Space Delivery Conditions would have been fully satisfied but for a Subtenant Delay (defined below), and (ii) the Landlord’s First Amendment Consent (defined below) having been executed by Landlord and a copy delivered to Subtenant, and (iii) the existing subtenant in the Expansion Space having vacated and surrendered possession of the Expansion Space to Sublandlord and Sublandlord having obtained legal possession of the Expansion Space. The parties anticipate that the Expansion Space Delivery Date (i.e.,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13" w:right="339" w:bottom="1440" w:gutter="0" w:footer="0" w:header="0"/>
        </w:sectPr>
      </w:pPr>
    </w:p>
    <w:bookmarkStart w:id="50" w:name="page51"/>
    <w:bookmarkEnd w:id="50"/>
    <w:p>
      <w:pPr>
        <w:jc w:val="both"/>
        <w:spacing w:after="0" w:line="253" w:lineRule="auto"/>
        <w:rPr>
          <w:sz w:val="20"/>
          <w:szCs w:val="20"/>
          <w:color w:val="auto"/>
        </w:rPr>
      </w:pPr>
      <w:r>
        <w:rPr>
          <w:rFonts w:ascii="Times New Roman" w:cs="Times New Roman" w:eastAsia="Times New Roman" w:hAnsi="Times New Roman"/>
          <w:sz w:val="20"/>
          <w:szCs w:val="20"/>
          <w:color w:val="auto"/>
        </w:rPr>
        <w:t>the Expansion Space Commencement Date) will be November 1, 2025; and Sublandlord covenants that it shall use good-faith and diligent efforts to satisfy the Expansion Space Delivery Conditions and other requirements of this Section 2 and deliver the Expansion Space to Subtenant by November 1, 2025. Notwithstanding the foregoing, in the event Sublandlord is unable to deliver the Expansion Space to Subtenant in accordance with this Section 2 by January 31, 2026, either Sublandlord or Subtenant shall be permitted to terminate this Amendment by written notice delivered to the other party at any time thereafter but before the date Sublandlord delivers the Expansion Space to Subtenant in accordance with this Section 2.</w:t>
      </w:r>
    </w:p>
    <w:p>
      <w:pPr>
        <w:spacing w:after="0" w:line="215" w:lineRule="exact"/>
        <w:rPr>
          <w:sz w:val="20"/>
          <w:szCs w:val="20"/>
          <w:color w:val="auto"/>
        </w:rPr>
      </w:pPr>
    </w:p>
    <w:p>
      <w:pPr>
        <w:jc w:val="both"/>
        <w:ind w:firstLine="656"/>
        <w:spacing w:after="0" w:line="262" w:lineRule="auto"/>
        <w:tabs>
          <w:tab w:leader="none" w:pos="1296"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Delivery of Expansion Space</w:t>
      </w:r>
      <w:r>
        <w:rPr>
          <w:rFonts w:ascii="Times New Roman" w:cs="Times New Roman" w:eastAsia="Times New Roman" w:hAnsi="Times New Roman"/>
          <w:sz w:val="19"/>
          <w:szCs w:val="19"/>
          <w:color w:val="auto"/>
        </w:rPr>
        <w:t>. Subject in all events to receipt of the First Amendment Consent pursuant to Section 8 hereof,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Sublandlord shall deliver possession of the Expansion Space to Subtenant on the Expansion Space Commencement Date in its “AS-IS, WHERE IS, WITH ALL FAULTS” condition and without any representations, warranties or any obligations on the part of Sublandlord to perform any alterations, repairs or improvements to the Expansion Space, provided that Sublandlord shall, at Sublandlord’s sole cost and expense, cause the Premises to be in broom clean, code-compliant condition, free of all debris except the Expansion Space FF&amp;E (as defined below) with the Rejected FF&amp;E (defined below) removed (collectively, the “</w:t>
      </w:r>
      <w:r>
        <w:rPr>
          <w:rFonts w:ascii="Times New Roman" w:cs="Times New Roman" w:eastAsia="Times New Roman" w:hAnsi="Times New Roman"/>
          <w:sz w:val="19"/>
          <w:szCs w:val="19"/>
          <w:u w:val="single" w:color="auto"/>
          <w:color w:val="auto"/>
        </w:rPr>
        <w:t>Expansion Space Delivery Conditions</w:t>
      </w:r>
      <w:r>
        <w:rPr>
          <w:rFonts w:ascii="Times New Roman" w:cs="Times New Roman" w:eastAsia="Times New Roman" w:hAnsi="Times New Roman"/>
          <w:sz w:val="19"/>
          <w:szCs w:val="19"/>
          <w:color w:val="auto"/>
        </w:rPr>
        <w:t>”). Any other alterations or improvements desired by Subtenant to the Expansion Space shall be performed at Subtenant’s sole cost and expense in accordance with the Sublease, including without limitation Section 5 of the Sublease. At expiration or earlier termination of the Sublease, Subtenant shall have no obligation or responsibility to remove and restore the staircase between the eighth and nineth floors or any component or aspect thereof, nor contribute or reimburse for the cost thereof, but instead all such obligations and responsibilities shall remain with Sublandlord in accordance with Article 6 and any other applicable provisions of the Master Lease. Notwithstanding anything to the contrary herein, Sublandlord shall not be obligated to deliver possession of the Expansion Space to Subtenant until Sublandlord has received from Subtenant</w:t>
      </w:r>
    </w:p>
    <w:p>
      <w:pPr>
        <w:spacing w:after="0" w:line="5" w:lineRule="exact"/>
        <w:rPr>
          <w:rFonts w:ascii="Times New Roman" w:cs="Times New Roman" w:eastAsia="Times New Roman" w:hAnsi="Times New Roman"/>
          <w:sz w:val="19"/>
          <w:szCs w:val="19"/>
          <w:color w:val="auto"/>
        </w:rPr>
      </w:pPr>
    </w:p>
    <w:p>
      <w:pPr>
        <w:jc w:val="both"/>
        <w:ind w:firstLine="8"/>
        <w:spacing w:after="0" w:line="249" w:lineRule="auto"/>
        <w:tabs>
          <w:tab w:leader="none" w:pos="25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increased Letter of Credit required under Section 7 of this Amendment and (ii) updated certificates of insurance as required by the Sublease, acknowledging the addition of the Expansion Space to the Premises. Further, notwithstanding anything to the contrary herein, Subtenant acknowledges and agrees that the Expansion Space is currently occupied by an existing subtenant whose sublease expires October 31, 2025 and that Sublandlord’s delivery of the Expansion Space is contingent upon Sublandlord’s obtaining legal possession of the Expansion Space following expiration of such subtenant’s sublease. Subtenant shall have a period of thirty (30) days following the Expansion Space Commencement Date to notify Sublandlord if, in Subtenant’s good faith determination, any of the Expansion Space Delivery Conditions are not satisfied. If Subtenant identifies any matters pursuant to the preceding sentence, Sublandlord and Subtenant shall conduct a joint walk-through inspection of the Expansion Space in good faith to agree on a scope of work to correct the same. Sublandlord shall promptly correct the conditions identified and agreed-upon during the walk-through inspection at Sublandlord’s sole cost and expense; provided, for avoidance of doubt, in the event the parties agree that further work is needed to satisfy the Expansion Space Delivery Conditions, there will be no retroactive change to the timing of the Expansion Space Commencement Date.</w:t>
      </w:r>
    </w:p>
    <w:p>
      <w:pPr>
        <w:spacing w:after="0" w:line="204"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6"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Early Access to Expansion Space</w:t>
      </w:r>
      <w:r>
        <w:rPr>
          <w:rFonts w:ascii="Times New Roman" w:cs="Times New Roman" w:eastAsia="Times New Roman" w:hAnsi="Times New Roman"/>
          <w:sz w:val="20"/>
          <w:szCs w:val="20"/>
          <w:color w:val="auto"/>
        </w:rPr>
        <w:t>. Provided Subtenant has caused the Letter of Credit to be increased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7 below, sixty (60) days prior to the Expansion Space Commencement Date, but in no event later than September 2, 2025, Subtenant and its agents, employees, consultants, contractors and/or subcontractors shall have the right to enter the Expansion Space to (i) install Subtenant’s telephone and telecommunication wiring and cabling in the Expansion Space and (ii) subject to Landlord’s consent and Subtenant’s compliance with all applicable provisions in the Master Lease, remove the glass wall separation between the Original Premises and Expansion Space located on the eighth (8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floor landing; provided that such entry or performance of work shall be at Subtenant’s sole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51" w:name="page52"/>
    <w:bookmarkEnd w:id="51"/>
    <w:p>
      <w:pPr>
        <w:jc w:val="both"/>
        <w:spacing w:after="0" w:line="265" w:lineRule="auto"/>
        <w:rPr>
          <w:sz w:val="20"/>
          <w:szCs w:val="20"/>
          <w:color w:val="auto"/>
        </w:rPr>
      </w:pPr>
      <w:r>
        <w:rPr>
          <w:rFonts w:ascii="Times New Roman" w:cs="Times New Roman" w:eastAsia="Times New Roman" w:hAnsi="Times New Roman"/>
          <w:sz w:val="19"/>
          <w:szCs w:val="19"/>
          <w:color w:val="auto"/>
        </w:rPr>
        <w:t>cost and expense and shall not unreasonably interfere with Sublandlord performing the work required to satisfy the Expansion Space Delivery Conditions and that Subtenant shall not utilize the Expansion Space for office space until after the Expansion Space Commencement Date. Any act by Subtenant or any of its agents, employees, consultants, contractors and/or subcontractors that materially interferes with Sublandlord’s performance of the work required to satisfy the Expansion Space Delivery Conditions shall be deemed a “</w:t>
      </w:r>
      <w:r>
        <w:rPr>
          <w:rFonts w:ascii="Times New Roman" w:cs="Times New Roman" w:eastAsia="Times New Roman" w:hAnsi="Times New Roman"/>
          <w:sz w:val="19"/>
          <w:szCs w:val="19"/>
          <w:u w:val="single" w:color="auto"/>
          <w:color w:val="auto"/>
        </w:rPr>
        <w:t>Subtenant Delay</w:t>
      </w:r>
      <w:r>
        <w:rPr>
          <w:rFonts w:ascii="Times New Roman" w:cs="Times New Roman" w:eastAsia="Times New Roman" w:hAnsi="Times New Roman"/>
          <w:sz w:val="19"/>
          <w:szCs w:val="19"/>
          <w:color w:val="auto"/>
        </w:rPr>
        <w:t>” for purposes of determining the Expansion Space Delivery Date. Any entry into the Expansion Space by Subtenant or any of its agents, employees, consultants, contractors and/or subcontractors prior to the Expansion Space Commencement Date shall be at the sole risk of Subtenant. If Subtenant or any of its agents, employees, consultants, contractors or subcontractors enter the Expansion Space prior to the Expansion Space Commencement Date as provided above, then such entry shall be upon all the terms and conditions of this Amendment (including, without limitation, Subtenant’s obligations regarding indemnity and insurance), except that Subtenant shall not be obligated to pay any Rent. In the event the Expansion Space Commencement Date does not occur for any reason, Subtenant shall be solely responsible for the removal and restoration of any work performed by Subtenant or any of its agents, employees, consultants, contractors in the Expansion Space prior to the Expansion Space Commencement Date, which obligation shall survive any termination of this Amendment.</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5. </w:t>
      </w:r>
      <w:r>
        <w:rPr>
          <w:rFonts w:ascii="Times New Roman" w:cs="Times New Roman" w:eastAsia="Times New Roman" w:hAnsi="Times New Roman"/>
          <w:sz w:val="20"/>
          <w:szCs w:val="20"/>
          <w:b w:val="1"/>
          <w:bCs w:val="1"/>
          <w:color w:val="auto"/>
        </w:rPr>
        <w:t>Expansion Space FF&amp;E</w:t>
      </w:r>
      <w:r>
        <w:rPr>
          <w:rFonts w:ascii="Times New Roman" w:cs="Times New Roman" w:eastAsia="Times New Roman" w:hAnsi="Times New Roman"/>
          <w:sz w:val="20"/>
          <w:szCs w:val="20"/>
          <w:color w:val="auto"/>
        </w:rPr>
        <w:t xml:space="preserve">. On the Expansion Space Commencement Date, Sublandlord shall convey to Subtenant the furniture, fixtures, and equipment set forth on </w:t>
      </w:r>
      <w:r>
        <w:rPr>
          <w:rFonts w:ascii="Times New Roman" w:cs="Times New Roman" w:eastAsia="Times New Roman" w:hAnsi="Times New Roman"/>
          <w:sz w:val="20"/>
          <w:szCs w:val="20"/>
          <w:b w:val="1"/>
          <w:bCs w:val="1"/>
          <w:u w:val="single" w:color="auto"/>
          <w:color w:val="auto"/>
        </w:rPr>
        <w:t>Exhibit 2</w:t>
      </w:r>
      <w:r>
        <w:rPr>
          <w:rFonts w:ascii="Times New Roman" w:cs="Times New Roman" w:eastAsia="Times New Roman" w:hAnsi="Times New Roman"/>
          <w:sz w:val="20"/>
          <w:szCs w:val="20"/>
          <w:color w:val="auto"/>
        </w:rPr>
        <w:t xml:space="preserve"> attached hereto, excluding the Rejected FF&amp;E (collectively, the “</w:t>
      </w:r>
      <w:r>
        <w:rPr>
          <w:rFonts w:ascii="Times New Roman" w:cs="Times New Roman" w:eastAsia="Times New Roman" w:hAnsi="Times New Roman"/>
          <w:sz w:val="20"/>
          <w:szCs w:val="20"/>
          <w:u w:val="single" w:color="auto"/>
          <w:color w:val="auto"/>
        </w:rPr>
        <w:t>Expansion Space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FF&amp;E</w:t>
      </w:r>
      <w:r>
        <w:rPr>
          <w:rFonts w:ascii="Times New Roman" w:cs="Times New Roman" w:eastAsia="Times New Roman" w:hAnsi="Times New Roman"/>
          <w:sz w:val="20"/>
          <w:szCs w:val="20"/>
          <w:color w:val="auto"/>
        </w:rPr>
        <w:t xml:space="preserve">”) by the delivery by Sublandlord of a bill of sale substantially in the form attached to the Sublease as </w:t>
      </w:r>
      <w:r>
        <w:rPr>
          <w:rFonts w:ascii="Times New Roman" w:cs="Times New Roman" w:eastAsia="Times New Roman" w:hAnsi="Times New Roman"/>
          <w:sz w:val="20"/>
          <w:szCs w:val="20"/>
          <w:b w:val="1"/>
          <w:bCs w:val="1"/>
          <w:u w:val="single" w:color="auto"/>
          <w:color w:val="auto"/>
        </w:rPr>
        <w:t>Exhibit G</w:t>
      </w:r>
      <w:r>
        <w:rPr>
          <w:rFonts w:ascii="Times New Roman" w:cs="Times New Roman" w:eastAsia="Times New Roman" w:hAnsi="Times New Roman"/>
          <w:sz w:val="20"/>
          <w:szCs w:val="20"/>
          <w:color w:val="auto"/>
        </w:rPr>
        <w:t>. The purchase price of the Expansion Space FF&amp;E shall be One Dollar ($1.00). Effective on the Expansion Space Commencement Date, the term “</w:t>
      </w:r>
      <w:r>
        <w:rPr>
          <w:rFonts w:ascii="Times New Roman" w:cs="Times New Roman" w:eastAsia="Times New Roman" w:hAnsi="Times New Roman"/>
          <w:sz w:val="20"/>
          <w:szCs w:val="20"/>
          <w:u w:val="single" w:color="auto"/>
          <w:color w:val="auto"/>
        </w:rPr>
        <w:t>FF&amp;E</w:t>
      </w:r>
      <w:r>
        <w:rPr>
          <w:rFonts w:ascii="Times New Roman" w:cs="Times New Roman" w:eastAsia="Times New Roman" w:hAnsi="Times New Roman"/>
          <w:sz w:val="20"/>
          <w:szCs w:val="20"/>
          <w:color w:val="auto"/>
        </w:rPr>
        <w:t>” is amended to include the Expansion Space FF&amp;E. At least sixty (60) days prior to the Expansion Space Commencement Date, Subtenant shall provide Sublandlord with a list of items of Expansion Space FF&amp;E that Subtenant wants removed from the Expansion Space (the “</w:t>
      </w:r>
      <w:r>
        <w:rPr>
          <w:rFonts w:ascii="Times New Roman" w:cs="Times New Roman" w:eastAsia="Times New Roman" w:hAnsi="Times New Roman"/>
          <w:sz w:val="20"/>
          <w:szCs w:val="20"/>
          <w:u w:val="single" w:color="auto"/>
          <w:color w:val="auto"/>
        </w:rPr>
        <w:t>Rejected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FF&amp;E</w:t>
      </w:r>
      <w:r>
        <w:rPr>
          <w:rFonts w:ascii="Times New Roman" w:cs="Times New Roman" w:eastAsia="Times New Roman" w:hAnsi="Times New Roman"/>
          <w:sz w:val="20"/>
          <w:szCs w:val="20"/>
          <w:color w:val="auto"/>
        </w:rPr>
        <w:t>”), and Sublandlord, at Sublandlord cost and expense, shall remove all such items prior to the Expansion Space Delivery Date.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6.</w:t>
            </w:r>
          </w:p>
        </w:tc>
        <w:tc>
          <w:tcPr>
            <w:tcW w:w="10220" w:type="dxa"/>
            <w:vAlign w:val="bottom"/>
            <w:gridSpan w:val="7"/>
          </w:tcPr>
          <w:p>
            <w:pPr>
              <w:ind w:left="280"/>
              <w:spacing w:after="0"/>
              <w:rPr>
                <w:sz w:val="20"/>
                <w:szCs w:val="20"/>
                <w:color w:val="auto"/>
              </w:rPr>
            </w:pPr>
            <w:r>
              <w:rPr>
                <w:rFonts w:ascii="Times New Roman" w:cs="Times New Roman" w:eastAsia="Times New Roman" w:hAnsi="Times New Roman"/>
                <w:sz w:val="20"/>
                <w:szCs w:val="20"/>
                <w:b w:val="1"/>
                <w:bCs w:val="1"/>
                <w:color w:val="auto"/>
                <w:w w:val="99"/>
              </w:rPr>
              <w:t>Amendments to Rent</w:t>
            </w:r>
            <w:r>
              <w:rPr>
                <w:rFonts w:ascii="Times New Roman" w:cs="Times New Roman" w:eastAsia="Times New Roman" w:hAnsi="Times New Roman"/>
                <w:sz w:val="20"/>
                <w:szCs w:val="20"/>
                <w:color w:val="auto"/>
                <w:w w:val="99"/>
              </w:rPr>
              <w:t>. Commencing on the Expansion Space Commencement Date and continuing throughout the Sublease</w:t>
            </w:r>
          </w:p>
        </w:tc>
      </w:tr>
      <w:tr>
        <w:trPr>
          <w:trHeight w:val="258"/>
        </w:trPr>
        <w:tc>
          <w:tcPr>
            <w:tcW w:w="83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Term, the Rent provisions of the Sublease are amended in the following respects:</w:t>
            </w:r>
          </w:p>
        </w:tc>
        <w:tc>
          <w:tcPr>
            <w:tcW w:w="28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457"/>
        </w:trPr>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w:t>
            </w:r>
          </w:p>
        </w:tc>
        <w:tc>
          <w:tcPr>
            <w:tcW w:w="938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Subtenant will pay to Sublandlord, in accordance with the terms and conditions of the Sublease, base rent for the</w:t>
            </w:r>
          </w:p>
        </w:tc>
      </w:tr>
      <w:tr>
        <w:trPr>
          <w:trHeight w:val="212"/>
        </w:trPr>
        <w:tc>
          <w:tcPr>
            <w:tcW w:w="8360" w:type="dxa"/>
            <w:vAlign w:val="bottom"/>
            <w:gridSpan w:val="7"/>
          </w:tcPr>
          <w:p>
            <w:pPr>
              <w:spacing w:after="0" w:line="212" w:lineRule="exact"/>
              <w:rPr>
                <w:sz w:val="20"/>
                <w:szCs w:val="20"/>
                <w:color w:val="auto"/>
              </w:rPr>
            </w:pPr>
            <w:r>
              <w:rPr>
                <w:rFonts w:ascii="Times New Roman" w:cs="Times New Roman" w:eastAsia="Times New Roman" w:hAnsi="Times New Roman"/>
                <w:sz w:val="20"/>
                <w:szCs w:val="20"/>
                <w:color w:val="auto"/>
              </w:rPr>
              <w:t>Expansion Space (the “Expansion Space Base Rent”) in the amounts set forth in the following table:</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04"/>
        </w:trPr>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80" w:type="dxa"/>
            <w:vAlign w:val="bottom"/>
            <w:gridSpan w:val="2"/>
          </w:tcPr>
          <w:p>
            <w:pPr>
              <w:spacing w:after="0"/>
              <w:rPr>
                <w:sz w:val="24"/>
                <w:szCs w:val="24"/>
                <w:color w:val="auto"/>
              </w:rPr>
            </w:pPr>
          </w:p>
        </w:tc>
      </w:tr>
      <w:tr>
        <w:trPr>
          <w:trHeight w:val="183"/>
        </w:trPr>
        <w:tc>
          <w:tcPr>
            <w:tcW w:w="100" w:type="dxa"/>
            <w:vAlign w:val="bottom"/>
            <w:tcBorders>
              <w:right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ind w:left="81"/>
              <w:spacing w:after="0" w:line="183" w:lineRule="exact"/>
              <w:rPr>
                <w:sz w:val="20"/>
                <w:szCs w:val="20"/>
                <w:color w:val="auto"/>
              </w:rPr>
            </w:pPr>
            <w:r>
              <w:rPr>
                <w:rFonts w:ascii="Times New Roman" w:cs="Times New Roman" w:eastAsia="Times New Roman" w:hAnsi="Times New Roman"/>
                <w:sz w:val="20"/>
                <w:szCs w:val="20"/>
                <w:color w:val="auto"/>
              </w:rPr>
              <w:t>Months</w:t>
            </w:r>
          </w:p>
        </w:tc>
        <w:tc>
          <w:tcPr>
            <w:tcW w:w="1120" w:type="dxa"/>
            <w:vAlign w:val="bottom"/>
            <w:tcBorders>
              <w:top w:val="single" w:sz="8" w:color="auto"/>
              <w:right w:val="single" w:sz="8" w:color="auto"/>
            </w:tcBorders>
          </w:tcPr>
          <w:p>
            <w:pPr>
              <w:spacing w:after="0"/>
              <w:rPr>
                <w:sz w:val="15"/>
                <w:szCs w:val="15"/>
                <w:color w:val="auto"/>
              </w:rPr>
            </w:pPr>
          </w:p>
        </w:tc>
        <w:tc>
          <w:tcPr>
            <w:tcW w:w="2800" w:type="dxa"/>
            <w:vAlign w:val="bottom"/>
            <w:tcBorders>
              <w:top w:val="single" w:sz="8" w:color="auto"/>
              <w:right w:val="single" w:sz="8" w:color="auto"/>
            </w:tcBorders>
            <w:gridSpan w:val="2"/>
          </w:tcPr>
          <w:p>
            <w:pPr>
              <w:jc w:val="center"/>
              <w:spacing w:after="0" w:line="183" w:lineRule="exact"/>
              <w:rPr>
                <w:sz w:val="20"/>
                <w:szCs w:val="20"/>
                <w:color w:val="auto"/>
              </w:rPr>
            </w:pPr>
            <w:r>
              <w:rPr>
                <w:rFonts w:ascii="Times New Roman" w:cs="Times New Roman" w:eastAsia="Times New Roman" w:hAnsi="Times New Roman"/>
                <w:sz w:val="20"/>
                <w:szCs w:val="20"/>
                <w:color w:val="auto"/>
                <w:w w:val="99"/>
              </w:rPr>
              <w:t>Expansion Space Base Rent per</w:t>
            </w:r>
          </w:p>
        </w:tc>
        <w:tc>
          <w:tcPr>
            <w:tcW w:w="2580" w:type="dxa"/>
            <w:vAlign w:val="bottom"/>
            <w:tcBorders>
              <w:top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20"/>
                <w:szCs w:val="20"/>
                <w:color w:val="auto"/>
                <w:w w:val="99"/>
              </w:rPr>
              <w:t>Expansion Space Base Rent</w:t>
            </w:r>
          </w:p>
        </w:tc>
        <w:tc>
          <w:tcPr>
            <w:tcW w:w="2800" w:type="dxa"/>
            <w:vAlign w:val="bottom"/>
            <w:tcBorders>
              <w:top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20"/>
                <w:szCs w:val="20"/>
                <w:color w:val="auto"/>
                <w:w w:val="99"/>
              </w:rPr>
              <w:t>Expansion Space Base Rent per</w:t>
            </w:r>
          </w:p>
        </w:tc>
        <w:tc>
          <w:tcPr>
            <w:tcW w:w="80" w:type="dxa"/>
            <w:vAlign w:val="bottom"/>
          </w:tcPr>
          <w:p>
            <w:pPr>
              <w:spacing w:after="0"/>
              <w:rPr>
                <w:sz w:val="15"/>
                <w:szCs w:val="15"/>
                <w:color w:val="auto"/>
              </w:rPr>
            </w:pPr>
          </w:p>
        </w:tc>
      </w:tr>
      <w:tr>
        <w:trPr>
          <w:trHeight w:val="256"/>
        </w:trPr>
        <w:tc>
          <w:tcPr>
            <w:tcW w:w="100" w:type="dxa"/>
            <w:vAlign w:val="bottom"/>
            <w:tcBorders>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jc w:val="center"/>
              <w:ind w:right="1041"/>
              <w:spacing w:after="0"/>
              <w:rPr>
                <w:sz w:val="20"/>
                <w:szCs w:val="20"/>
                <w:color w:val="auto"/>
              </w:rPr>
            </w:pPr>
            <w:r>
              <w:rPr>
                <w:rFonts w:ascii="Times New Roman" w:cs="Times New Roman" w:eastAsia="Times New Roman" w:hAnsi="Times New Roman"/>
                <w:sz w:val="20"/>
                <w:szCs w:val="20"/>
                <w:color w:val="auto"/>
              </w:rPr>
              <w:t>RSF</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per Annum</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Month</w:t>
            </w:r>
          </w:p>
        </w:tc>
        <w:tc>
          <w:tcPr>
            <w:tcW w:w="80" w:type="dxa"/>
            <w:vAlign w:val="bottom"/>
          </w:tcPr>
          <w:p>
            <w:pPr>
              <w:spacing w:after="0"/>
              <w:rPr>
                <w:sz w:val="22"/>
                <w:szCs w:val="22"/>
                <w:color w:val="auto"/>
              </w:rPr>
            </w:pPr>
          </w:p>
        </w:tc>
      </w:tr>
      <w:tr>
        <w:trPr>
          <w:trHeight w:val="250"/>
        </w:trPr>
        <w:tc>
          <w:tcPr>
            <w:tcW w:w="100" w:type="dxa"/>
            <w:vAlign w:val="bottom"/>
            <w:tcBorders>
              <w:right w:val="single" w:sz="8" w:color="auto"/>
            </w:tcBorders>
          </w:tcPr>
          <w:p>
            <w:pPr>
              <w:spacing w:after="0"/>
              <w:rPr>
                <w:sz w:val="21"/>
                <w:szCs w:val="21"/>
                <w:color w:val="auto"/>
              </w:rPr>
            </w:pPr>
          </w:p>
        </w:tc>
        <w:tc>
          <w:tcPr>
            <w:tcW w:w="28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March 1, 2026** – April 29, 2030</w:t>
            </w:r>
          </w:p>
        </w:tc>
        <w:tc>
          <w:tcPr>
            <w:tcW w:w="28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8"/>
              </w:rPr>
              <w:t>$62.00</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$1,676,480.00</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$139,706.67</w:t>
            </w:r>
          </w:p>
        </w:tc>
        <w:tc>
          <w:tcPr>
            <w:tcW w:w="80" w:type="dxa"/>
            <w:vAlign w:val="bottom"/>
          </w:tcPr>
          <w:p>
            <w:pPr>
              <w:spacing w:after="0"/>
              <w:rPr>
                <w:sz w:val="21"/>
                <w:szCs w:val="21"/>
                <w:color w:val="auto"/>
              </w:rPr>
            </w:pPr>
          </w:p>
        </w:tc>
      </w:tr>
    </w:tbl>
    <w:p>
      <w:pPr>
        <w:spacing w:after="0" w:line="3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Subtenant’s obligation to pay Expansion Space Base Rent shall commence on March 1, 2026 provided that Sublandlord delivers the Expansion Space to Subtenant in accordance with Section 2 above no later than November 1, 2025. Because the parties have negotiated and agreed that the initial four (4) months of the term of the Sublease for the Expansion Space shall be a Base Rent free period for Subtenant, in the event the Expansion Space Delivery Date is delayed beyond November 1, 2025 for any reason, except solely a Subtenant Delay, the March 1, 2026 commencement date for Subtenant to begin paying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52" w:name="page53"/>
    <w:bookmarkEnd w:id="52"/>
    <w:p>
      <w:pPr>
        <w:spacing w:after="0" w:line="283" w:lineRule="auto"/>
        <w:rPr>
          <w:sz w:val="20"/>
          <w:szCs w:val="20"/>
          <w:color w:val="auto"/>
        </w:rPr>
      </w:pPr>
      <w:r>
        <w:rPr>
          <w:rFonts w:ascii="Times New Roman" w:cs="Times New Roman" w:eastAsia="Times New Roman" w:hAnsi="Times New Roman"/>
          <w:sz w:val="20"/>
          <w:szCs w:val="20"/>
          <w:color w:val="auto"/>
        </w:rPr>
        <w:t>Expansion Space Base Rent shall be extended day-for-day for each day that the Expansion Space Delivery Date is delayed beyond November 1, 2025.</w:t>
      </w:r>
    </w:p>
    <w:p>
      <w:pPr>
        <w:spacing w:after="0" w:line="173" w:lineRule="exact"/>
        <w:rPr>
          <w:sz w:val="20"/>
          <w:szCs w:val="20"/>
          <w:color w:val="auto"/>
        </w:rPr>
      </w:pPr>
    </w:p>
    <w:p>
      <w:pPr>
        <w:ind w:left="1960" w:hanging="656"/>
        <w:spacing w:after="0"/>
        <w:tabs>
          <w:tab w:leader="none" w:pos="1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clarity, the Base Rent table for the Original Premises for the Sublease Term is included herein (the “</w:t>
      </w:r>
      <w:r>
        <w:rPr>
          <w:rFonts w:ascii="Times New Roman" w:cs="Times New Roman" w:eastAsia="Times New Roman" w:hAnsi="Times New Roman"/>
          <w:sz w:val="20"/>
          <w:szCs w:val="20"/>
          <w:u w:val="single" w:color="auto"/>
          <w:color w:val="auto"/>
        </w:rPr>
        <w:t>Original</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Premises Base Rent</w:t>
      </w:r>
      <w:r>
        <w:rPr>
          <w:rFonts w:ascii="Times New Roman" w:cs="Times New Roman" w:eastAsia="Times New Roman" w:hAnsi="Times New Roman"/>
          <w:sz w:val="20"/>
          <w:szCs w:val="20"/>
          <w:color w:val="auto"/>
        </w:rPr>
        <w:t>”):</w:t>
      </w:r>
    </w:p>
    <w:p>
      <w:pPr>
        <w:spacing w:after="0" w:line="257" w:lineRule="exact"/>
        <w:rPr>
          <w:sz w:val="20"/>
          <w:szCs w:val="20"/>
          <w:color w:val="auto"/>
        </w:rPr>
      </w:pPr>
    </w:p>
    <w:tbl>
      <w:tblPr>
        <w:tblLayout w:type="fixed"/>
        <w:tblInd w:w="90" w:type="dxa"/>
        <w:tblCellMar>
          <w:top w:w="0" w:type="dxa"/>
          <w:left w:w="0" w:type="dxa"/>
          <w:bottom w:w="0" w:type="dxa"/>
          <w:right w:w="0" w:type="dxa"/>
        </w:tblCellMar>
      </w:tblPr>
      <w:tr>
        <w:trPr>
          <w:trHeight w:val="207"/>
        </w:trPr>
        <w:tc>
          <w:tcPr>
            <w:tcW w:w="1760" w:type="dxa"/>
            <w:vAlign w:val="bottom"/>
            <w:tcBorders>
              <w:top w:val="single" w:sz="8" w:color="auto"/>
              <w:left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Months</w:t>
            </w:r>
          </w:p>
        </w:tc>
        <w:tc>
          <w:tcPr>
            <w:tcW w:w="1140" w:type="dxa"/>
            <w:vAlign w:val="bottom"/>
            <w:tcBorders>
              <w:top w:val="single" w:sz="8" w:color="auto"/>
              <w:right w:val="single" w:sz="8" w:color="auto"/>
            </w:tcBorders>
          </w:tcPr>
          <w:p>
            <w:pPr>
              <w:spacing w:after="0"/>
              <w:rPr>
                <w:sz w:val="17"/>
                <w:szCs w:val="17"/>
                <w:color w:val="auto"/>
              </w:rPr>
            </w:pPr>
          </w:p>
        </w:tc>
        <w:tc>
          <w:tcPr>
            <w:tcW w:w="2800" w:type="dxa"/>
            <w:vAlign w:val="bottom"/>
            <w:tcBorders>
              <w:top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Original Premises Base Rent per</w:t>
            </w:r>
          </w:p>
        </w:tc>
        <w:tc>
          <w:tcPr>
            <w:tcW w:w="2580" w:type="dxa"/>
            <w:vAlign w:val="bottom"/>
            <w:tcBorders>
              <w:top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Original Premises Base Rent</w:t>
            </w:r>
          </w:p>
        </w:tc>
        <w:tc>
          <w:tcPr>
            <w:tcW w:w="2800" w:type="dxa"/>
            <w:vAlign w:val="bottom"/>
            <w:tcBorders>
              <w:top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Original Premises Base Rent per</w:t>
            </w:r>
          </w:p>
        </w:tc>
      </w:tr>
      <w:tr>
        <w:trPr>
          <w:trHeight w:val="252"/>
        </w:trPr>
        <w:tc>
          <w:tcPr>
            <w:tcW w:w="1760" w:type="dxa"/>
            <w:vAlign w:val="bottom"/>
            <w:tcBorders>
              <w:left w:val="single" w:sz="8" w:color="auto"/>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RSF</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per Annum</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Month</w:t>
            </w:r>
          </w:p>
        </w:tc>
      </w:tr>
      <w:tr>
        <w:trPr>
          <w:trHeight w:val="187"/>
        </w:trPr>
        <w:tc>
          <w:tcPr>
            <w:tcW w:w="1760" w:type="dxa"/>
            <w:vAlign w:val="bottom"/>
            <w:tcBorders>
              <w:left w:val="single" w:sz="8" w:color="auto"/>
            </w:tcBorders>
          </w:tcPr>
          <w:p>
            <w:pPr>
              <w:jc w:val="right"/>
              <w:spacing w:after="0" w:line="186" w:lineRule="exact"/>
              <w:rPr>
                <w:sz w:val="20"/>
                <w:szCs w:val="20"/>
                <w:color w:val="auto"/>
              </w:rPr>
            </w:pPr>
            <w:r>
              <w:rPr>
                <w:rFonts w:ascii="Times New Roman" w:cs="Times New Roman" w:eastAsia="Times New Roman" w:hAnsi="Times New Roman"/>
                <w:sz w:val="20"/>
                <w:szCs w:val="20"/>
                <w:color w:val="auto"/>
              </w:rPr>
              <w:t>November 15, 2021</w:t>
            </w:r>
          </w:p>
        </w:tc>
        <w:tc>
          <w:tcPr>
            <w:tcW w:w="1140" w:type="dxa"/>
            <w:vAlign w:val="bottom"/>
            <w:tcBorders>
              <w:right w:val="single" w:sz="8" w:color="auto"/>
            </w:tcBorders>
          </w:tcPr>
          <w:p>
            <w:pPr>
              <w:ind w:left="20"/>
              <w:spacing w:after="0" w:line="186" w:lineRule="exact"/>
              <w:rPr>
                <w:sz w:val="20"/>
                <w:szCs w:val="20"/>
                <w:color w:val="auto"/>
              </w:rPr>
            </w:pPr>
            <w:r>
              <w:rPr>
                <w:rFonts w:ascii="Times New Roman" w:cs="Times New Roman" w:eastAsia="Times New Roman" w:hAnsi="Times New Roman"/>
                <w:sz w:val="20"/>
                <w:szCs w:val="20"/>
                <w:color w:val="auto"/>
              </w:rPr>
              <w:t>– November</w:t>
            </w:r>
          </w:p>
        </w:tc>
        <w:tc>
          <w:tcPr>
            <w:tcW w:w="280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8"/>
              </w:rPr>
              <w:t>$66.00</w:t>
            </w:r>
          </w:p>
        </w:tc>
        <w:tc>
          <w:tcPr>
            <w:tcW w:w="258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$1,784,640.00</w:t>
            </w:r>
          </w:p>
        </w:tc>
        <w:tc>
          <w:tcPr>
            <w:tcW w:w="280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$148,720.00</w:t>
            </w:r>
          </w:p>
        </w:tc>
      </w:tr>
      <w:tr>
        <w:trPr>
          <w:trHeight w:val="252"/>
        </w:trPr>
        <w:tc>
          <w:tcPr>
            <w:tcW w:w="2900" w:type="dxa"/>
            <w:vAlign w:val="bottom"/>
            <w:tcBorders>
              <w:left w:val="single" w:sz="8" w:color="auto"/>
              <w:bottom w:val="single" w:sz="8" w:color="auto"/>
              <w:right w:val="single" w:sz="8" w:color="auto"/>
            </w:tcBorders>
            <w:gridSpan w:val="2"/>
          </w:tcPr>
          <w:p>
            <w:pPr>
              <w:jc w:val="right"/>
              <w:ind w:right="1001"/>
              <w:spacing w:after="0"/>
              <w:rPr>
                <w:sz w:val="20"/>
                <w:szCs w:val="20"/>
                <w:color w:val="auto"/>
              </w:rPr>
            </w:pPr>
            <w:r>
              <w:rPr>
                <w:rFonts w:ascii="Times New Roman" w:cs="Times New Roman" w:eastAsia="Times New Roman" w:hAnsi="Times New Roman"/>
                <w:sz w:val="20"/>
                <w:szCs w:val="20"/>
                <w:color w:val="auto"/>
              </w:rPr>
              <w:t>30, 2026</w:t>
            </w:r>
          </w:p>
        </w:tc>
        <w:tc>
          <w:tcPr>
            <w:tcW w:w="2800" w:type="dxa"/>
            <w:vAlign w:val="bottom"/>
            <w:tcBorders>
              <w:bottom w:val="single" w:sz="8" w:color="auto"/>
              <w:right w:val="single" w:sz="8" w:color="auto"/>
            </w:tcBorders>
          </w:tcPr>
          <w:p>
            <w:pPr>
              <w:spacing w:after="0"/>
              <w:rPr>
                <w:sz w:val="21"/>
                <w:szCs w:val="21"/>
                <w:color w:val="auto"/>
              </w:rPr>
            </w:pPr>
          </w:p>
        </w:tc>
        <w:tc>
          <w:tcPr>
            <w:tcW w:w="2580" w:type="dxa"/>
            <w:vAlign w:val="bottom"/>
            <w:tcBorders>
              <w:bottom w:val="single" w:sz="8" w:color="auto"/>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spacing w:after="0"/>
              <w:rPr>
                <w:sz w:val="21"/>
                <w:szCs w:val="21"/>
                <w:color w:val="auto"/>
              </w:rPr>
            </w:pPr>
          </w:p>
        </w:tc>
      </w:tr>
      <w:tr>
        <w:trPr>
          <w:trHeight w:val="187"/>
        </w:trPr>
        <w:tc>
          <w:tcPr>
            <w:tcW w:w="1760" w:type="dxa"/>
            <w:vAlign w:val="bottom"/>
            <w:tcBorders>
              <w:left w:val="single" w:sz="8" w:color="auto"/>
            </w:tcBorders>
          </w:tcPr>
          <w:p>
            <w:pPr>
              <w:jc w:val="right"/>
              <w:spacing w:after="0" w:line="186" w:lineRule="exact"/>
              <w:rPr>
                <w:sz w:val="20"/>
                <w:szCs w:val="20"/>
                <w:color w:val="auto"/>
              </w:rPr>
            </w:pPr>
            <w:r>
              <w:rPr>
                <w:rFonts w:ascii="Times New Roman" w:cs="Times New Roman" w:eastAsia="Times New Roman" w:hAnsi="Times New Roman"/>
                <w:sz w:val="20"/>
                <w:szCs w:val="20"/>
                <w:color w:val="auto"/>
              </w:rPr>
              <w:t>December 1, 2026</w:t>
            </w:r>
          </w:p>
        </w:tc>
        <w:tc>
          <w:tcPr>
            <w:tcW w:w="1140" w:type="dxa"/>
            <w:vAlign w:val="bottom"/>
            <w:tcBorders>
              <w:right w:val="single" w:sz="8" w:color="auto"/>
            </w:tcBorders>
          </w:tcPr>
          <w:p>
            <w:pPr>
              <w:ind w:left="20"/>
              <w:spacing w:after="0" w:line="186" w:lineRule="exact"/>
              <w:rPr>
                <w:sz w:val="20"/>
                <w:szCs w:val="20"/>
                <w:color w:val="auto"/>
              </w:rPr>
            </w:pPr>
            <w:r>
              <w:rPr>
                <w:rFonts w:ascii="Times New Roman" w:cs="Times New Roman" w:eastAsia="Times New Roman" w:hAnsi="Times New Roman"/>
                <w:sz w:val="20"/>
                <w:szCs w:val="20"/>
                <w:color w:val="auto"/>
              </w:rPr>
              <w:t>– April 29,</w:t>
            </w:r>
          </w:p>
        </w:tc>
        <w:tc>
          <w:tcPr>
            <w:tcW w:w="280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8"/>
              </w:rPr>
              <w:t>$71.00</w:t>
            </w:r>
          </w:p>
        </w:tc>
        <w:tc>
          <w:tcPr>
            <w:tcW w:w="258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$1,919,840.00</w:t>
            </w:r>
          </w:p>
        </w:tc>
        <w:tc>
          <w:tcPr>
            <w:tcW w:w="280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$159,986.67</w:t>
            </w:r>
          </w:p>
        </w:tc>
      </w:tr>
      <w:tr>
        <w:trPr>
          <w:trHeight w:val="252"/>
        </w:trPr>
        <w:tc>
          <w:tcPr>
            <w:tcW w:w="1760" w:type="dxa"/>
            <w:vAlign w:val="bottom"/>
            <w:tcBorders>
              <w:left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2030</w:t>
            </w:r>
          </w:p>
        </w:tc>
        <w:tc>
          <w:tcPr>
            <w:tcW w:w="1140" w:type="dxa"/>
            <w:vAlign w:val="bottom"/>
            <w:tcBorders>
              <w:bottom w:val="single" w:sz="8" w:color="auto"/>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spacing w:after="0"/>
              <w:rPr>
                <w:sz w:val="21"/>
                <w:szCs w:val="21"/>
                <w:color w:val="auto"/>
              </w:rPr>
            </w:pPr>
          </w:p>
        </w:tc>
        <w:tc>
          <w:tcPr>
            <w:tcW w:w="2580" w:type="dxa"/>
            <w:vAlign w:val="bottom"/>
            <w:tcBorders>
              <w:bottom w:val="single" w:sz="8" w:color="auto"/>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spacing w:after="0"/>
              <w:rPr>
                <w:sz w:val="21"/>
                <w:szCs w:val="21"/>
                <w:color w:val="auto"/>
              </w:rPr>
            </w:pPr>
          </w:p>
        </w:tc>
      </w:tr>
    </w:tbl>
    <w:p>
      <w:pPr>
        <w:spacing w:after="0" w:line="315" w:lineRule="exact"/>
        <w:rPr>
          <w:sz w:val="20"/>
          <w:szCs w:val="20"/>
          <w:color w:val="auto"/>
        </w:rPr>
      </w:pPr>
    </w:p>
    <w:p>
      <w:pPr>
        <w:jc w:val="both"/>
        <w:ind w:firstLine="1304"/>
        <w:spacing w:after="0" w:line="261" w:lineRule="auto"/>
        <w:tabs>
          <w:tab w:leader="none" w:pos="1933"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Base Rent</w:t>
      </w:r>
      <w:r>
        <w:rPr>
          <w:rFonts w:ascii="Times New Roman" w:cs="Times New Roman" w:eastAsia="Times New Roman" w:hAnsi="Times New Roman"/>
          <w:sz w:val="20"/>
          <w:szCs w:val="20"/>
          <w:color w:val="auto"/>
        </w:rPr>
        <w:t>” as used in the Sublease is amended to mean the aggregate of the Expansion Space Base Rent and the Original Premises Base Rent. Subtenant shall pay to Sublandlord at the times when due and in the manner specified in the Sublease all “</w:t>
      </w:r>
      <w:r>
        <w:rPr>
          <w:rFonts w:ascii="Times New Roman" w:cs="Times New Roman" w:eastAsia="Times New Roman" w:hAnsi="Times New Roman"/>
          <w:sz w:val="20"/>
          <w:szCs w:val="20"/>
          <w:u w:val="single" w:color="auto"/>
          <w:color w:val="auto"/>
        </w:rPr>
        <w:t>Rent</w:t>
      </w:r>
      <w:r>
        <w:rPr>
          <w:rFonts w:ascii="Times New Roman" w:cs="Times New Roman" w:eastAsia="Times New Roman" w:hAnsi="Times New Roman"/>
          <w:sz w:val="20"/>
          <w:szCs w:val="20"/>
          <w:color w:val="auto"/>
        </w:rPr>
        <w:t>” as defined in the Sublease, for the Expansion Space, in addition to all Rent payable with respect to the Original Premises.</w:t>
      </w:r>
    </w:p>
    <w:p>
      <w:pPr>
        <w:spacing w:after="0" w:line="208"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44"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Subtenant’s payment of Additional Rent, Section 3 of the Sublease is amended as follows: (1) all references to “Premises” in Sections 3(c)(i) and (ii) of the Sublease are deleted and replaced with “Original Premises”; and (2) the following new Sections 3(c)(iii) and (iv) are added to the Sublease:</w:t>
      </w:r>
    </w:p>
    <w:p>
      <w:pPr>
        <w:spacing w:after="0" w:line="208" w:lineRule="exact"/>
        <w:rPr>
          <w:rFonts w:ascii="Times New Roman" w:cs="Times New Roman" w:eastAsia="Times New Roman" w:hAnsi="Times New Roman"/>
          <w:sz w:val="20"/>
          <w:szCs w:val="20"/>
          <w:color w:val="auto"/>
        </w:rPr>
      </w:pPr>
    </w:p>
    <w:p>
      <w:pPr>
        <w:jc w:val="both"/>
        <w:ind w:left="1960" w:hanging="8"/>
        <w:spacing w:after="0" w:line="271" w:lineRule="auto"/>
        <w:tabs>
          <w:tab w:leader="none" w:pos="2608" w:val="left"/>
        </w:tabs>
        <w:numPr>
          <w:ilvl w:val="2"/>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Tenant’s Tax Payment and Tenant’s BID Payment as applicable solely to the Expansion Space (“Tenant’s Share”, as applicable to Subtenant for the Expansion Space, being 4.012%); provided, however, that for purposes of Subtenant’s obligation hereunder, “Base Tax Factor” shall mean the average of Taxes for the fiscal year commencing July 1, 2025 and ending June 30, 2026 and the fiscal year commencing July 1, 2026 and ending June 30, 2027; and</w:t>
      </w:r>
    </w:p>
    <w:p>
      <w:pPr>
        <w:spacing w:after="0" w:line="201" w:lineRule="exact"/>
        <w:rPr>
          <w:rFonts w:ascii="Times New Roman" w:cs="Times New Roman" w:eastAsia="Times New Roman" w:hAnsi="Times New Roman"/>
          <w:sz w:val="19"/>
          <w:szCs w:val="19"/>
          <w:color w:val="auto"/>
        </w:rPr>
      </w:pPr>
    </w:p>
    <w:p>
      <w:pPr>
        <w:jc w:val="both"/>
        <w:ind w:left="1960" w:hanging="8"/>
        <w:spacing w:after="0" w:line="253" w:lineRule="auto"/>
        <w:tabs>
          <w:tab w:leader="none" w:pos="2597"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Tenant’s Operating Payment as applicable solely to the Expansion Space (“Tenant’s Share”, as applicable to Subtenant for the Expansion Space, being 4.012%); provided, however, that for purposes of Subtenant’s obligation hereunder, (i) such payment obligation shall commence as of January 1, 2027 and (ii) “Base Operating Factor” shall mean the Operating Expenses paid or incurred for the calendar year commencing January 1, 2026 and ending December 31, 2026.</w:t>
      </w:r>
    </w:p>
    <w:p>
      <w:pPr>
        <w:spacing w:after="0" w:line="214" w:lineRule="exact"/>
        <w:rPr>
          <w:rFonts w:ascii="Times New Roman" w:cs="Times New Roman" w:eastAsia="Times New Roman" w:hAnsi="Times New Roman"/>
          <w:sz w:val="20"/>
          <w:szCs w:val="20"/>
          <w:color w:val="auto"/>
        </w:rPr>
      </w:pPr>
    </w:p>
    <w:p>
      <w:pPr>
        <w:jc w:val="both"/>
        <w:ind w:firstLine="656"/>
        <w:spacing w:after="0" w:line="263" w:lineRule="auto"/>
        <w:tabs>
          <w:tab w:leader="none" w:pos="129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Security Deposit</w:t>
      </w:r>
      <w:r>
        <w:rPr>
          <w:rFonts w:ascii="Times New Roman" w:cs="Times New Roman" w:eastAsia="Times New Roman" w:hAnsi="Times New Roman"/>
          <w:sz w:val="20"/>
          <w:szCs w:val="20"/>
          <w:color w:val="auto"/>
        </w:rPr>
        <w:t>. No later than the earlier of (i) the date Subtenant accesses the Expansion Space pursuant to Section 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hereon or (ii) the Expansion Space Commencement Date, Subtenant shall cause the Letter of Credit to be increased by $279,413.34 such that the total amount is $793,173.34, to serve as Subtenant’s security deposit pursuant to Section 24 of the Sublease.</w:t>
      </w:r>
    </w:p>
    <w:p>
      <w:pPr>
        <w:spacing w:after="0" w:line="202" w:lineRule="exact"/>
        <w:rPr>
          <w:rFonts w:ascii="Times New Roman" w:cs="Times New Roman" w:eastAsia="Times New Roman" w:hAnsi="Times New Roman"/>
          <w:sz w:val="20"/>
          <w:szCs w:val="20"/>
          <w:color w:val="auto"/>
        </w:rPr>
      </w:pPr>
    </w:p>
    <w:p>
      <w:pPr>
        <w:jc w:val="both"/>
        <w:ind w:right="20" w:firstLine="656"/>
        <w:spacing w:after="0" w:line="263" w:lineRule="auto"/>
        <w:tabs>
          <w:tab w:leader="none" w:pos="129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Landlord’s Consent. </w:t>
      </w:r>
      <w:r>
        <w:rPr>
          <w:rFonts w:ascii="Times New Roman" w:cs="Times New Roman" w:eastAsia="Times New Roman" w:hAnsi="Times New Roman"/>
          <w:sz w:val="20"/>
          <w:szCs w:val="20"/>
          <w:color w:val="auto"/>
        </w:rPr>
        <w:t>Landlord’s written consent to this Amendment, which consent shall be evidenced on substantially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same form as the Landlord’s consent provided in connection with the Sublease (the “</w:t>
      </w:r>
      <w:r>
        <w:rPr>
          <w:rFonts w:ascii="Times New Roman" w:cs="Times New Roman" w:eastAsia="Times New Roman" w:hAnsi="Times New Roman"/>
          <w:sz w:val="20"/>
          <w:szCs w:val="20"/>
          <w:u w:val="single" w:color="auto"/>
          <w:color w:val="auto"/>
        </w:rPr>
        <w:t>First Amendment Consent</w:t>
      </w:r>
      <w:r>
        <w:rPr>
          <w:rFonts w:ascii="Times New Roman" w:cs="Times New Roman" w:eastAsia="Times New Roman" w:hAnsi="Times New Roman"/>
          <w:sz w:val="20"/>
          <w:szCs w:val="20"/>
          <w:color w:val="auto"/>
        </w:rPr>
        <w:t>”) is a condition precedent to the effectiveness of this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53" w:name="page54"/>
    <w:bookmarkEnd w:id="53"/>
    <w:p>
      <w:pPr>
        <w:jc w:val="both"/>
        <w:spacing w:after="0" w:line="258" w:lineRule="auto"/>
        <w:rPr>
          <w:sz w:val="20"/>
          <w:szCs w:val="20"/>
          <w:color w:val="auto"/>
        </w:rPr>
      </w:pPr>
      <w:r>
        <w:rPr>
          <w:rFonts w:ascii="Times New Roman" w:cs="Times New Roman" w:eastAsia="Times New Roman" w:hAnsi="Times New Roman"/>
          <w:sz w:val="20"/>
          <w:szCs w:val="20"/>
          <w:color w:val="auto"/>
        </w:rPr>
        <w:t>Amendment. This Amendment will not become effective until Sublandlord and Subtenant receive Landlord’s written consent. Sublandlord will be responsible for fees or costs charged by Landlord in connection with the First Amendment Consent. Sublandlord agrees to use commercially reasonable, good faith efforts to obtain the First Amendment Consent as soon as reasonably possible following mutual execution of this Amendment.</w:t>
      </w:r>
    </w:p>
    <w:p>
      <w:pPr>
        <w:spacing w:after="0" w:line="195"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Miscellaneous</w:t>
      </w:r>
      <w:r>
        <w:rPr>
          <w:rFonts w:ascii="Times New Roman" w:cs="Times New Roman" w:eastAsia="Times New Roman" w:hAnsi="Times New Roman"/>
          <w:sz w:val="20"/>
          <w:szCs w:val="20"/>
          <w:color w:val="auto"/>
        </w:rPr>
        <w:t>.</w:t>
      </w:r>
    </w:p>
    <w:p>
      <w:pPr>
        <w:spacing w:after="0" w:line="260"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3"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Continuing Effect</w:t>
      </w:r>
      <w:r>
        <w:rPr>
          <w:rFonts w:ascii="Times New Roman" w:cs="Times New Roman" w:eastAsia="Times New Roman" w:hAnsi="Times New Roman"/>
          <w:sz w:val="20"/>
          <w:szCs w:val="20"/>
          <w:color w:val="auto"/>
        </w:rPr>
        <w:t>. Except as specifically provided in this Amendment, the provisions of the Sublease shall remain unchanged and in full force and effect and, as further modified by this First Amendment, is expressly reaffirmed, ratified and confirmed by the parties hereto. In the event of a conflict between the Sublease and this Amendment, this Amendment shall control. From and after the date hereof, references to the “</w:t>
      </w:r>
      <w:r>
        <w:rPr>
          <w:rFonts w:ascii="Times New Roman" w:cs="Times New Roman" w:eastAsia="Times New Roman" w:hAnsi="Times New Roman"/>
          <w:sz w:val="20"/>
          <w:szCs w:val="20"/>
          <w:u w:val="single" w:color="auto"/>
          <w:color w:val="auto"/>
        </w:rPr>
        <w:t>Sublease</w:t>
      </w:r>
      <w:r>
        <w:rPr>
          <w:rFonts w:ascii="Times New Roman" w:cs="Times New Roman" w:eastAsia="Times New Roman" w:hAnsi="Times New Roman"/>
          <w:sz w:val="20"/>
          <w:szCs w:val="20"/>
          <w:color w:val="auto"/>
        </w:rPr>
        <w:t>” (including, without limitation, any and all references contained in this Amendment) shall mean the Sublease, as amended by this Amendment.</w:t>
      </w:r>
    </w:p>
    <w:p>
      <w:pPr>
        <w:spacing w:after="0" w:line="218"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4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Sublease</w:t>
      </w:r>
      <w:r>
        <w:rPr>
          <w:rFonts w:ascii="Times New Roman" w:cs="Times New Roman" w:eastAsia="Times New Roman" w:hAnsi="Times New Roman"/>
          <w:sz w:val="20"/>
          <w:szCs w:val="20"/>
          <w:color w:val="auto"/>
        </w:rPr>
        <w:t>. As of the date hereof, Subtenant acknowledges and agrees based on Subtenant’s current actual knowledge without inquiry or investigation and without any duty to do so, that Sublandlord has performed all obligations required of Sublandlord under the Sublease and that, to Subtenant’s current actual knowledge without inquiry or investigation and without any duty to do so, there are no offsets, counterclaims or defenses of Subtenant existing against Sublandlord. Subtenant further acknowledges and agrees based on Subtenant’s current actual knowledge without inquiry or investigation and without any duty to do so, that no events have occurred that, with the passage of time or the giving of notice, or both, would constitute a basis for an offset, counterclaim, or defense against Sublandlord, and that the Sublease is in full force and effect.</w:t>
      </w:r>
    </w:p>
    <w:p>
      <w:pPr>
        <w:spacing w:after="0" w:line="206" w:lineRule="exact"/>
        <w:rPr>
          <w:rFonts w:ascii="Times New Roman" w:cs="Times New Roman" w:eastAsia="Times New Roman" w:hAnsi="Times New Roman"/>
          <w:sz w:val="20"/>
          <w:szCs w:val="20"/>
          <w:color w:val="auto"/>
        </w:rPr>
      </w:pPr>
    </w:p>
    <w:p>
      <w:pPr>
        <w:jc w:val="both"/>
        <w:ind w:right="20" w:firstLine="1304"/>
        <w:spacing w:after="0" w:line="261" w:lineRule="auto"/>
        <w:tabs>
          <w:tab w:leader="none" w:pos="1933"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Each party represents and warrants that it has the full power, authority, and legal right to execute and deliver this Amendment on behalf of such party and that this Amendment constitutes the legal, valid and binding obligations of such party, its heirs, representatives, successors and assigns, enforceable against such party or parties in accordance with its terms.</w:t>
      </w:r>
    </w:p>
    <w:p>
      <w:pPr>
        <w:spacing w:after="0" w:line="208"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4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Electronic Signature</w:t>
      </w:r>
      <w:r>
        <w:rPr>
          <w:rFonts w:ascii="Times New Roman" w:cs="Times New Roman" w:eastAsia="Times New Roman" w:hAnsi="Times New Roman"/>
          <w:sz w:val="20"/>
          <w:szCs w:val="20"/>
          <w:color w:val="auto"/>
        </w:rPr>
        <w:t>. To facilitate execution of this Amendment, this Amendment may be executed in one or more counterparts as may be convenient or required, and an executed copy of this Amendment delivered electronically by e-mail shall have the effect of an original, executed instrument, provided that fully-executed original counterparts shall nevertheless be required. This Amendment may be executed using electronic signature technology (e.g., via DocuSign or similar electronic signature technology), and such electronic signatures shall be treated, for purposes of validity, enforceability and admissibility, the same as handwritten signatures.</w:t>
      </w:r>
    </w:p>
    <w:p>
      <w:pPr>
        <w:spacing w:after="0" w:line="218" w:lineRule="exact"/>
        <w:rPr>
          <w:rFonts w:ascii="Times New Roman" w:cs="Times New Roman" w:eastAsia="Times New Roman" w:hAnsi="Times New Roman"/>
          <w:sz w:val="20"/>
          <w:szCs w:val="20"/>
          <w:color w:val="auto"/>
        </w:rPr>
      </w:pPr>
    </w:p>
    <w:p>
      <w:pPr>
        <w:jc w:val="both"/>
        <w:ind w:firstLine="1304"/>
        <w:spacing w:after="0" w:line="251" w:lineRule="auto"/>
        <w:tabs>
          <w:tab w:leader="none" w:pos="1933"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Brokers</w:t>
      </w:r>
      <w:r>
        <w:rPr>
          <w:rFonts w:ascii="Times New Roman" w:cs="Times New Roman" w:eastAsia="Times New Roman" w:hAnsi="Times New Roman"/>
          <w:sz w:val="20"/>
          <w:szCs w:val="20"/>
          <w:color w:val="auto"/>
        </w:rPr>
        <w:t>. Subtenant represents to Sublandlord that is has not dealt, directly or indirectly, in connection with this Amendment, with any broker or person entitled to claim a commission or leasing fees, other than Niel V. King III and Conor Kenny of CBRE (“</w:t>
      </w:r>
      <w:r>
        <w:rPr>
          <w:rFonts w:ascii="Times New Roman" w:cs="Times New Roman" w:eastAsia="Times New Roman" w:hAnsi="Times New Roman"/>
          <w:sz w:val="20"/>
          <w:szCs w:val="20"/>
          <w:u w:val="single" w:color="auto"/>
          <w:color w:val="auto"/>
        </w:rPr>
        <w:t>Tenant’s Broker</w:t>
      </w:r>
      <w:r>
        <w:rPr>
          <w:rFonts w:ascii="Times New Roman" w:cs="Times New Roman" w:eastAsia="Times New Roman" w:hAnsi="Times New Roman"/>
          <w:sz w:val="20"/>
          <w:szCs w:val="20"/>
          <w:color w:val="auto"/>
        </w:rPr>
        <w:t>”) and that it knows of no other real estate broker or agent who is entitled to a commission in connection with this Amendment. Subtenant agrees to indemnify and defend Sublandlord against and hold Sublandlord harmless from any and all claims, demands, losses, liabilities, lawsuits, judgments, costs and expenses (including, without limitation, attorneys’ fees) with respect to any leasing commission or equivalent compensation alleged to be owing on account of any dealings with any real estate broker or agent, other than Tenant’s Broker. Sublandlord shall pay to Tenant’s Broker the commission due pursuant to a separate agreement, which obligation shall survive the expiration or earlier termination of this Amendment.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54" w:name="page55"/>
    <w:bookmarkEnd w:id="54"/>
    <w:p>
      <w:pPr>
        <w:spacing w:after="0" w:line="216" w:lineRule="exact"/>
        <w:rPr>
          <w:sz w:val="20"/>
          <w:szCs w:val="20"/>
          <w:color w:val="auto"/>
        </w:rPr>
      </w:pPr>
    </w:p>
    <w:p>
      <w:pPr>
        <w:ind w:left="1940" w:hanging="636"/>
        <w:spacing w:after="0"/>
        <w:tabs>
          <w:tab w:leader="none" w:pos="19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Recording</w:t>
      </w:r>
      <w:r>
        <w:rPr>
          <w:rFonts w:ascii="Times New Roman" w:cs="Times New Roman" w:eastAsia="Times New Roman" w:hAnsi="Times New Roman"/>
          <w:sz w:val="20"/>
          <w:szCs w:val="20"/>
          <w:color w:val="auto"/>
        </w:rPr>
        <w:t>. This Amendment shall not be recorded in any public record or filing.</w:t>
      </w:r>
    </w:p>
    <w:p>
      <w:pPr>
        <w:spacing w:after="0" w:line="256"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4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If any party commences an action against another party hereto arising out of or in connection with this Amendment, the substantially prevailing party shall be entitled to recover from the substantially non-prevailing party the costs and expenses of such action, including, without limitation, reasonable attorneys’ fees and court costs.</w:t>
      </w:r>
    </w:p>
    <w:p>
      <w:pPr>
        <w:spacing w:after="0" w:line="19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Exhibits</w:t>
      </w:r>
      <w:r>
        <w:rPr>
          <w:rFonts w:ascii="Times New Roman" w:cs="Times New Roman" w:eastAsia="Times New Roman" w:hAnsi="Times New Roman"/>
          <w:sz w:val="20"/>
          <w:szCs w:val="20"/>
          <w:color w:val="auto"/>
        </w:rPr>
        <w:t>. The following Exhibits are attached to this Amendment and made a part hereof:</w:t>
      </w:r>
    </w:p>
    <w:p>
      <w:pPr>
        <w:spacing w:after="0" w:line="28"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20"/>
          <w:szCs w:val="20"/>
          <w:b w:val="1"/>
          <w:bCs w:val="1"/>
          <w:u w:val="single" w:color="auto"/>
          <w:color w:val="auto"/>
        </w:rPr>
        <w:t>Exhibit 1</w:t>
      </w:r>
      <w:r>
        <w:rPr>
          <w:sz w:val="20"/>
          <w:szCs w:val="20"/>
          <w:color w:val="auto"/>
        </w:rPr>
        <w:tab/>
      </w:r>
      <w:r>
        <w:rPr>
          <w:rFonts w:ascii="Times New Roman" w:cs="Times New Roman" w:eastAsia="Times New Roman" w:hAnsi="Times New Roman"/>
          <w:sz w:val="19"/>
          <w:szCs w:val="19"/>
          <w:color w:val="auto"/>
        </w:rPr>
        <w:t>Floor Plan of Expansion Space</w:t>
      </w:r>
    </w:p>
    <w:p>
      <w:pPr>
        <w:spacing w:after="0" w:line="237"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20"/>
          <w:szCs w:val="20"/>
          <w:b w:val="1"/>
          <w:bCs w:val="1"/>
          <w:u w:val="single" w:color="auto"/>
          <w:color w:val="auto"/>
        </w:rPr>
        <w:t>Exhibit 2</w:t>
      </w:r>
      <w:r>
        <w:rPr>
          <w:sz w:val="20"/>
          <w:szCs w:val="20"/>
          <w:color w:val="auto"/>
        </w:rPr>
        <w:tab/>
      </w:r>
      <w:r>
        <w:rPr>
          <w:rFonts w:ascii="Times New Roman" w:cs="Times New Roman" w:eastAsia="Times New Roman" w:hAnsi="Times New Roman"/>
          <w:sz w:val="19"/>
          <w:szCs w:val="19"/>
          <w:color w:val="auto"/>
        </w:rPr>
        <w:t>Expansion Space FF&amp;E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instrument as of the date first written above.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SUBLANDLORD</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ZILLOW GROUP,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Washington corporation</w:t>
      </w:r>
    </w:p>
    <w:p>
      <w:pPr>
        <w:spacing w:after="0" w:line="2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Thea Handelman</w:t>
      </w:r>
    </w:p>
    <w:p>
      <w:pPr>
        <w:spacing w:after="0" w:line="2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Thea Handelman</w:t>
      </w:r>
    </w:p>
    <w:p>
      <w:pPr>
        <w:spacing w:after="0" w:line="1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VP, Tax, Real Estate, and Finance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SUBTENANT</w:t>
      </w:r>
      <w:r>
        <w:rPr>
          <w:rFonts w:ascii="Times New Roman" w:cs="Times New Roman" w:eastAsia="Times New Roman" w:hAnsi="Times New Roman"/>
          <w:sz w:val="20"/>
          <w:szCs w:val="20"/>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MAGNITE,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3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/s/Michael Barrett</w:t>
      </w:r>
    </w:p>
    <w:p>
      <w:pPr>
        <w:spacing w:after="0" w:line="2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Michael Barrett</w:t>
      </w:r>
    </w:p>
    <w:p>
      <w:pPr>
        <w:spacing w:after="0" w:line="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139"/>
          </w:cols>
          <w:pgMar w:left="320" w:top="1413" w:right="144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FLOOR PLAN OF EXPANSION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9019"/>
          </w:cols>
          <w:pgMar w:left="1440" w:top="1409" w:right="144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EXHIBIT 2</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EXPANSION SPACE FF&amp;E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9019"/>
          </w:cols>
          <w:pgMar w:left="1440" w:top="1409" w:right="1440" w:bottom="1440" w:gutter="0" w:footer="0" w:header="0"/>
        </w:sectPr>
      </w:pPr>
    </w:p>
    <w:bookmarkStart w:id="58" w:name="page59"/>
    <w:bookmarkEnd w:id="58"/>
    <w:p>
      <w:pPr>
        <w:ind w:left="992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Exchange Act Rules 13a-14(a) and 15d-14(a),</w:t>
      </w:r>
    </w:p>
    <w:p>
      <w:pPr>
        <w:spacing w:after="0" w:line="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Barrett, certify that:</w:t>
      </w:r>
    </w:p>
    <w:p>
      <w:pPr>
        <w:spacing w:after="0" w:line="275"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Quarterly Report on Form 10-Q of Magnite, Inc.;</w:t>
      </w:r>
    </w:p>
    <w:p>
      <w:pPr>
        <w:spacing w:after="0" w:line="252" w:lineRule="exact"/>
        <w:rPr>
          <w:rFonts w:ascii="Times New Roman" w:cs="Times New Roman" w:eastAsia="Times New Roman" w:hAnsi="Times New Roman"/>
          <w:sz w:val="18"/>
          <w:szCs w:val="18"/>
          <w:color w:val="auto"/>
        </w:rPr>
      </w:pPr>
    </w:p>
    <w:p>
      <w:pPr>
        <w:ind w:left="1300" w:right="40" w:hanging="644"/>
        <w:spacing w:after="0" w:line="268"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rFonts w:ascii="Times New Roman" w:cs="Times New Roman" w:eastAsia="Times New Roman" w:hAnsi="Times New Roman"/>
          <w:sz w:val="18"/>
          <w:szCs w:val="18"/>
          <w:color w:val="auto"/>
        </w:rPr>
      </w:pPr>
    </w:p>
    <w:p>
      <w:pPr>
        <w:ind w:left="1300" w:right="460" w:hanging="644"/>
        <w:spacing w:after="0" w:line="268"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Times New Roman" w:cs="Times New Roman" w:eastAsia="Times New Roman" w:hAnsi="Times New Roman"/>
          <w:sz w:val="18"/>
          <w:szCs w:val="18"/>
          <w:color w:val="auto"/>
        </w:rPr>
      </w:pPr>
    </w:p>
    <w:p>
      <w:pPr>
        <w:ind w:left="1300" w:right="100" w:hanging="644"/>
        <w:spacing w:after="0" w:line="25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3" w:lineRule="exact"/>
        <w:rPr>
          <w:rFonts w:ascii="Times New Roman" w:cs="Times New Roman" w:eastAsia="Times New Roman" w:hAnsi="Times New Roman"/>
          <w:sz w:val="18"/>
          <w:szCs w:val="18"/>
          <w:color w:val="auto"/>
        </w:rPr>
      </w:pPr>
    </w:p>
    <w:p>
      <w:pPr>
        <w:ind w:left="1800" w:right="320" w:hanging="496"/>
        <w:spacing w:after="0" w:line="281" w:lineRule="auto"/>
        <w:tabs>
          <w:tab w:leader="none" w:pos="1606"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6"/>
          <w:szCs w:val="16"/>
          <w:color w:val="auto"/>
        </w:rPr>
      </w:pPr>
    </w:p>
    <w:p>
      <w:pPr>
        <w:ind w:left="1800" w:right="520" w:hanging="496"/>
        <w:spacing w:after="0" w:line="272" w:lineRule="auto"/>
        <w:tabs>
          <w:tab w:leader="none" w:pos="1615"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4" w:lineRule="exact"/>
        <w:rPr>
          <w:rFonts w:ascii="Times New Roman" w:cs="Times New Roman" w:eastAsia="Times New Roman" w:hAnsi="Times New Roman"/>
          <w:sz w:val="16"/>
          <w:szCs w:val="16"/>
          <w:color w:val="auto"/>
        </w:rPr>
      </w:pPr>
    </w:p>
    <w:p>
      <w:pPr>
        <w:ind w:left="1800" w:hanging="496"/>
        <w:spacing w:after="0" w:line="298" w:lineRule="auto"/>
        <w:tabs>
          <w:tab w:leader="none" w:pos="1606"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1800" w:right="20" w:hanging="496"/>
        <w:spacing w:after="0" w:line="281" w:lineRule="auto"/>
        <w:tabs>
          <w:tab w:leader="none" w:pos="1615"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6"/>
          <w:szCs w:val="16"/>
          <w:color w:val="auto"/>
        </w:rPr>
      </w:pPr>
    </w:p>
    <w:p>
      <w:pPr>
        <w:ind w:left="1300" w:right="220" w:hanging="644"/>
        <w:spacing w:after="0" w:line="268"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1" w:lineRule="exact"/>
        <w:rPr>
          <w:rFonts w:ascii="Times New Roman" w:cs="Times New Roman" w:eastAsia="Times New Roman" w:hAnsi="Times New Roman"/>
          <w:sz w:val="18"/>
          <w:szCs w:val="18"/>
          <w:color w:val="auto"/>
        </w:rPr>
      </w:pPr>
    </w:p>
    <w:p>
      <w:pPr>
        <w:ind w:left="1800" w:right="300" w:hanging="496"/>
        <w:spacing w:after="0" w:line="298" w:lineRule="auto"/>
        <w:tabs>
          <w:tab w:leader="none" w:pos="1647"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4" w:lineRule="exact"/>
        <w:rPr>
          <w:rFonts w:ascii="Times New Roman" w:cs="Times New Roman" w:eastAsia="Times New Roman" w:hAnsi="Times New Roman"/>
          <w:sz w:val="16"/>
          <w:szCs w:val="16"/>
          <w:color w:val="auto"/>
        </w:rPr>
      </w:pPr>
    </w:p>
    <w:p>
      <w:pPr>
        <w:ind w:left="1800" w:right="220" w:hanging="456"/>
        <w:spacing w:after="0" w:line="298" w:lineRule="auto"/>
        <w:tabs>
          <w:tab w:leader="none" w:pos="1696" w:val="left"/>
        </w:tabs>
        <w:numPr>
          <w:ilvl w:val="2"/>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tbl>
      <w:tblPr>
        <w:tblLayout w:type="fixed"/>
        <w:tblInd w:w="1040" w:type="dxa"/>
        <w:tblCellMar>
          <w:top w:w="0" w:type="dxa"/>
          <w:left w:w="0" w:type="dxa"/>
          <w:bottom w:w="0" w:type="dxa"/>
          <w:right w:w="0" w:type="dxa"/>
        </w:tblCellMar>
      </w:tblPr>
      <w:tr>
        <w:trPr>
          <w:trHeight w:val="213"/>
        </w:trPr>
        <w:tc>
          <w:tcPr>
            <w:tcW w:w="566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Signature:</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Michael Barrett</w:t>
            </w:r>
          </w:p>
        </w:tc>
        <w:tc>
          <w:tcPr>
            <w:tcW w:w="0" w:type="dxa"/>
            <w:vAlign w:val="bottom"/>
          </w:tcPr>
          <w:p>
            <w:pPr>
              <w:spacing w:after="0"/>
              <w:rPr>
                <w:sz w:val="1"/>
                <w:szCs w:val="1"/>
                <w:color w:val="auto"/>
              </w:rPr>
            </w:pPr>
          </w:p>
        </w:tc>
      </w:tr>
      <w:tr>
        <w:trPr>
          <w:trHeight w:val="239"/>
        </w:trPr>
        <w:tc>
          <w:tcPr>
            <w:tcW w:w="5660" w:type="dxa"/>
            <w:vAlign w:val="bottom"/>
          </w:tcPr>
          <w:p>
            <w:pPr>
              <w:spacing w:after="0"/>
              <w:rPr>
                <w:sz w:val="20"/>
                <w:szCs w:val="20"/>
                <w:color w:val="auto"/>
              </w:rPr>
            </w:pPr>
          </w:p>
        </w:tc>
        <w:tc>
          <w:tcPr>
            <w:tcW w:w="35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Michael Barrett</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35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Chief Executive Officer</w:t>
            </w:r>
          </w:p>
        </w:tc>
        <w:tc>
          <w:tcPr>
            <w:tcW w:w="0" w:type="dxa"/>
            <w:vAlign w:val="bottom"/>
          </w:tcPr>
          <w:p>
            <w:pPr>
              <w:spacing w:after="0"/>
              <w:rPr>
                <w:sz w:val="1"/>
                <w:szCs w:val="1"/>
                <w:color w:val="auto"/>
              </w:rPr>
            </w:pPr>
          </w:p>
        </w:tc>
      </w:tr>
      <w:tr>
        <w:trPr>
          <w:trHeight w:val="210"/>
        </w:trPr>
        <w:tc>
          <w:tcPr>
            <w:tcW w:w="5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Date November 5, 2025</w:t>
            </w:r>
          </w:p>
        </w:tc>
        <w:tc>
          <w:tcPr>
            <w:tcW w:w="35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0" w:type="dxa"/>
            <w:vAlign w:val="bottom"/>
          </w:tcPr>
          <w:p>
            <w:pPr>
              <w:spacing w:after="0"/>
              <w:rPr>
                <w:sz w:val="1"/>
                <w:szCs w:val="1"/>
                <w:color w:val="auto"/>
              </w:rPr>
            </w:pPr>
          </w:p>
        </w:tc>
      </w:tr>
      <w:tr>
        <w:trPr>
          <w:trHeight w:val="54"/>
        </w:trPr>
        <w:tc>
          <w:tcPr>
            <w:tcW w:w="5660" w:type="dxa"/>
            <w:vAlign w:val="bottom"/>
            <w:vMerge w:val="continue"/>
          </w:tcPr>
          <w:p>
            <w:pPr>
              <w:spacing w:after="0"/>
              <w:rPr>
                <w:sz w:val="4"/>
                <w:szCs w:val="4"/>
                <w:color w:val="auto"/>
              </w:rPr>
            </w:pPr>
          </w:p>
        </w:tc>
        <w:tc>
          <w:tcPr>
            <w:tcW w:w="35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93" w:right="359" w:bottom="1440" w:gutter="0" w:footer="0" w:header="0"/>
        </w:sectPr>
      </w:pPr>
    </w:p>
    <w:bookmarkStart w:id="59" w:name="page60"/>
    <w:bookmarkEnd w:id="59"/>
    <w:p>
      <w:pPr>
        <w:ind w:left="958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spacing w:after="0" w:line="2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Exchange Act Rules 13a-14(a) and 15d-14(a),</w:t>
      </w:r>
    </w:p>
    <w:p>
      <w:pPr>
        <w:spacing w:after="0" w:line="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David Day, certify that:</w:t>
      </w:r>
    </w:p>
    <w:p>
      <w:pPr>
        <w:spacing w:after="0" w:line="275" w:lineRule="exact"/>
        <w:rPr>
          <w:sz w:val="20"/>
          <w:szCs w:val="20"/>
          <w:color w:val="auto"/>
        </w:rPr>
      </w:pPr>
    </w:p>
    <w:p>
      <w:pPr>
        <w:ind w:left="960" w:hanging="482"/>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Quarterly Report on Form 10-Q of Magnite, Inc.;</w:t>
      </w:r>
    </w:p>
    <w:p>
      <w:pPr>
        <w:spacing w:after="0" w:line="252" w:lineRule="exact"/>
        <w:rPr>
          <w:rFonts w:ascii="Times New Roman" w:cs="Times New Roman" w:eastAsia="Times New Roman" w:hAnsi="Times New Roman"/>
          <w:sz w:val="18"/>
          <w:szCs w:val="18"/>
          <w:color w:val="auto"/>
        </w:rPr>
      </w:pPr>
    </w:p>
    <w:p>
      <w:pPr>
        <w:ind w:left="960" w:right="40" w:hanging="482"/>
        <w:spacing w:after="0" w:line="268"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rFonts w:ascii="Times New Roman" w:cs="Times New Roman" w:eastAsia="Times New Roman" w:hAnsi="Times New Roman"/>
          <w:sz w:val="18"/>
          <w:szCs w:val="18"/>
          <w:color w:val="auto"/>
        </w:rPr>
      </w:pPr>
    </w:p>
    <w:p>
      <w:pPr>
        <w:ind w:left="960" w:right="460" w:hanging="482"/>
        <w:spacing w:after="0" w:line="268"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Times New Roman" w:cs="Times New Roman" w:eastAsia="Times New Roman" w:hAnsi="Times New Roman"/>
          <w:sz w:val="18"/>
          <w:szCs w:val="18"/>
          <w:color w:val="auto"/>
        </w:rPr>
      </w:pPr>
    </w:p>
    <w:p>
      <w:pPr>
        <w:ind w:left="960" w:right="100" w:hanging="482"/>
        <w:spacing w:after="0" w:line="256"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Times New Roman" w:cs="Times New Roman" w:eastAsia="Times New Roman" w:hAnsi="Times New Roman"/>
          <w:sz w:val="18"/>
          <w:szCs w:val="18"/>
          <w:color w:val="auto"/>
        </w:rPr>
      </w:pPr>
    </w:p>
    <w:p>
      <w:pPr>
        <w:ind w:left="1620" w:right="80" w:hanging="494"/>
        <w:spacing w:after="0" w:line="272" w:lineRule="auto"/>
        <w:tabs>
          <w:tab w:leader="none" w:pos="1611"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Times New Roman" w:cs="Times New Roman" w:eastAsia="Times New Roman" w:hAnsi="Times New Roman"/>
          <w:sz w:val="16"/>
          <w:szCs w:val="16"/>
          <w:color w:val="auto"/>
        </w:rPr>
      </w:pPr>
    </w:p>
    <w:p>
      <w:pPr>
        <w:ind w:left="1620" w:right="360" w:hanging="494"/>
        <w:spacing w:after="0" w:line="272" w:lineRule="auto"/>
        <w:tabs>
          <w:tab w:leader="none" w:pos="162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Times New Roman" w:cs="Times New Roman" w:eastAsia="Times New Roman" w:hAnsi="Times New Roman"/>
          <w:sz w:val="16"/>
          <w:szCs w:val="16"/>
          <w:color w:val="auto"/>
        </w:rPr>
      </w:pPr>
    </w:p>
    <w:p>
      <w:pPr>
        <w:jc w:val="both"/>
        <w:ind w:left="1620" w:right="540" w:hanging="494"/>
        <w:spacing w:after="0" w:line="280" w:lineRule="auto"/>
        <w:tabs>
          <w:tab w:leader="none" w:pos="1611"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1620" w:right="80" w:hanging="494"/>
        <w:spacing w:after="0" w:line="272" w:lineRule="auto"/>
        <w:tabs>
          <w:tab w:leader="none" w:pos="162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4" w:lineRule="exact"/>
        <w:rPr>
          <w:rFonts w:ascii="Times New Roman" w:cs="Times New Roman" w:eastAsia="Times New Roman" w:hAnsi="Times New Roman"/>
          <w:sz w:val="16"/>
          <w:szCs w:val="16"/>
          <w:color w:val="auto"/>
        </w:rPr>
      </w:pPr>
    </w:p>
    <w:p>
      <w:pPr>
        <w:ind w:left="960" w:right="360" w:hanging="482"/>
        <w:spacing w:after="0" w:line="298" w:lineRule="auto"/>
        <w:tabs>
          <w:tab w:leader="none" w:pos="81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6"/>
          <w:szCs w:val="16"/>
          <w:color w:val="auto"/>
        </w:rPr>
      </w:pPr>
    </w:p>
    <w:p>
      <w:pPr>
        <w:ind w:left="1620" w:hanging="494"/>
        <w:spacing w:after="0" w:line="280" w:lineRule="auto"/>
        <w:tabs>
          <w:tab w:leader="none" w:pos="1611"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1620" w:right="460" w:hanging="494"/>
        <w:spacing w:after="0" w:line="280" w:lineRule="auto"/>
        <w:tabs>
          <w:tab w:leader="none" w:pos="162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9" w:lineRule="exact"/>
        <w:rPr>
          <w:sz w:val="20"/>
          <w:szCs w:val="20"/>
          <w:color w:val="auto"/>
        </w:rPr>
      </w:pPr>
    </w:p>
    <w:tbl>
      <w:tblPr>
        <w:tblLayout w:type="fixed"/>
        <w:tblInd w:w="700" w:type="dxa"/>
        <w:tblCellMar>
          <w:top w:w="0" w:type="dxa"/>
          <w:left w:w="0" w:type="dxa"/>
          <w:bottom w:w="0" w:type="dxa"/>
          <w:right w:w="0" w:type="dxa"/>
        </w:tblCellMar>
      </w:tblPr>
      <w:tr>
        <w:trPr>
          <w:trHeight w:val="213"/>
        </w:trPr>
        <w:tc>
          <w:tcPr>
            <w:tcW w:w="566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Signature:</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David Day</w:t>
            </w:r>
          </w:p>
        </w:tc>
        <w:tc>
          <w:tcPr>
            <w:tcW w:w="0" w:type="dxa"/>
            <w:vAlign w:val="bottom"/>
          </w:tcPr>
          <w:p>
            <w:pPr>
              <w:spacing w:after="0"/>
              <w:rPr>
                <w:sz w:val="1"/>
                <w:szCs w:val="1"/>
                <w:color w:val="auto"/>
              </w:rPr>
            </w:pPr>
          </w:p>
        </w:tc>
      </w:tr>
      <w:tr>
        <w:trPr>
          <w:trHeight w:val="239"/>
        </w:trPr>
        <w:tc>
          <w:tcPr>
            <w:tcW w:w="5660" w:type="dxa"/>
            <w:vAlign w:val="bottom"/>
          </w:tcPr>
          <w:p>
            <w:pPr>
              <w:spacing w:after="0"/>
              <w:rPr>
                <w:sz w:val="20"/>
                <w:szCs w:val="20"/>
                <w:color w:val="auto"/>
              </w:rPr>
            </w:pPr>
          </w:p>
        </w:tc>
        <w:tc>
          <w:tcPr>
            <w:tcW w:w="35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David Day</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35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10"/>
        </w:trPr>
        <w:tc>
          <w:tcPr>
            <w:tcW w:w="5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Date November 5, 2025</w:t>
            </w:r>
          </w:p>
        </w:tc>
        <w:tc>
          <w:tcPr>
            <w:tcW w:w="35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0" w:type="dxa"/>
            <w:vAlign w:val="bottom"/>
          </w:tcPr>
          <w:p>
            <w:pPr>
              <w:spacing w:after="0"/>
              <w:rPr>
                <w:sz w:val="1"/>
                <w:szCs w:val="1"/>
                <w:color w:val="auto"/>
              </w:rPr>
            </w:pPr>
          </w:p>
        </w:tc>
      </w:tr>
      <w:tr>
        <w:trPr>
          <w:trHeight w:val="54"/>
        </w:trPr>
        <w:tc>
          <w:tcPr>
            <w:tcW w:w="5660" w:type="dxa"/>
            <w:vAlign w:val="bottom"/>
            <w:vMerge w:val="continue"/>
          </w:tcPr>
          <w:p>
            <w:pPr>
              <w:spacing w:after="0"/>
              <w:rPr>
                <w:sz w:val="4"/>
                <w:szCs w:val="4"/>
                <w:color w:val="auto"/>
              </w:rPr>
            </w:pPr>
          </w:p>
        </w:tc>
        <w:tc>
          <w:tcPr>
            <w:tcW w:w="35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660" w:top="893" w:right="359" w:bottom="1440" w:gutter="0" w:footer="0" w:header="0"/>
        </w:sectPr>
      </w:pPr>
    </w:p>
    <w:bookmarkStart w:id="60" w:name="page61"/>
    <w:bookmarkEnd w:id="60"/>
    <w:p>
      <w:pPr>
        <w:ind w:left="10040"/>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34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CERTIFICATIONS OF PRINCIPAL EXECUTIVE OFFICER AND PRINCIPAL FINANCIAL OFFICER PURSUANT TO 18 U.S.C.</w:t>
      </w:r>
    </w:p>
    <w:p>
      <w:pPr>
        <w:spacing w:after="0" w:line="10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SECTION 1350,</w:t>
      </w:r>
    </w:p>
    <w:p>
      <w:pPr>
        <w:spacing w:after="0" w:line="10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Section 906 of the Sarbanes-Oxley Act of 2002 (18 U.S.C. 1350), Michael Barrett, Chief Executive Officer (Principal Executive Officer) of Magnite,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and David Day, Chief Financial Officer (Principal Financial Officer) of the Company, each hereby certifies that, to the best of his knowledge:</w:t>
      </w:r>
    </w:p>
    <w:p>
      <w:pPr>
        <w:spacing w:after="0" w:line="370" w:lineRule="exact"/>
        <w:rPr>
          <w:sz w:val="20"/>
          <w:szCs w:val="20"/>
          <w:color w:val="auto"/>
        </w:rPr>
      </w:pPr>
    </w:p>
    <w:p>
      <w:pPr>
        <w:ind w:left="660" w:right="300" w:hanging="328"/>
        <w:spacing w:after="0" w:line="374"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Quarterly Report on Form 10-Q for the quarter ended September 30, 2025, to which this certification is attached as Exhibit 32 (the "Report"), fully complies with the requirements of Section 13(a) or 15(d) of the Securities Exchange Act of 1934; and</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5, 2025</w:t>
      </w:r>
    </w:p>
    <w:p>
      <w:pPr>
        <w:spacing w:after="0" w:line="32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20320</wp:posOffset>
            </wp:positionV>
            <wp:extent cx="23488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8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color w:val="auto"/>
        </w:rPr>
        <w:t>Michael Barrett</w:t>
      </w:r>
    </w:p>
    <w:p>
      <w:pPr>
        <w:spacing w:after="0" w:line="2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20320</wp:posOffset>
            </wp:positionV>
            <wp:extent cx="23488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6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color w:val="auto"/>
        </w:rPr>
        <w:t>David Day</w:t>
      </w:r>
    </w:p>
    <w:p>
      <w:pPr>
        <w:spacing w:after="0" w:line="2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
        <w:spacing w:after="0" w:line="404" w:lineRule="auto"/>
        <w:rPr>
          <w:sz w:val="20"/>
          <w:szCs w:val="20"/>
          <w:color w:val="auto"/>
        </w:rPr>
      </w:pPr>
      <w:r>
        <w:rPr>
          <w:rFonts w:ascii="Times New Roman" w:cs="Times New Roman" w:eastAsia="Times New Roman" w:hAnsi="Times New Roman"/>
          <w:sz w:val="16"/>
          <w:szCs w:val="16"/>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0760"/>
      </w:cols>
      <w:pgMar w:left="320" w:top="934"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212"/>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upperLetter"/>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lowerRoman"/>
      <w:start w:val="1"/>
    </w:lvl>
    <w:lvl w:ilvl="1">
      <w:lvlJc w:val="left"/>
      <w:lvlText w:val="%2."/>
      <w:numFmt w:val="decimal"/>
      <w:start w:val="3"/>
    </w:lvl>
  </w:abstractNum>
  <w:abstractNum w:abstractNumId="16">
    <w:nsid w:val="628C895D"/>
    <w:multiLevelType w:val="hybridMultilevel"/>
    <w:lvl w:ilvl="0">
      <w:lvlJc w:val="left"/>
      <w:lvlText w:val="(%1)"/>
      <w:numFmt w:val="lowerRoman"/>
      <w:start w:val="1"/>
    </w:lvl>
    <w:lvl w:ilvl="1">
      <w:lvlJc w:val="left"/>
      <w:lvlText w:val="%2."/>
      <w:numFmt w:val="decimal"/>
      <w:start w:val="4"/>
    </w:lvl>
  </w:abstractNum>
  <w:abstractNum w:abstractNumId="17">
    <w:nsid w:val="333AB105"/>
    <w:multiLevelType w:val="hybridMultilevel"/>
    <w:lvl w:ilvl="0">
      <w:lvlJc w:val="left"/>
      <w:lvlText w:val="%1."/>
      <w:numFmt w:val="lowerLetter"/>
      <w:start w:val="2"/>
    </w:lvl>
  </w:abstractNum>
  <w:abstractNum w:abstractNumId="18">
    <w:nsid w:val="721DA31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3"/>
    </w:lvl>
  </w:abstractNum>
  <w:abstractNum w:abstractNumId="19">
    <w:nsid w:val="2443A85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0">
    <w:nsid w:val="2D1D5AE9"/>
    <w:multiLevelType w:val="hybridMultilevel"/>
    <w:lvl w:ilvl="0">
      <w:lvlJc w:val="left"/>
      <w:lvlText w:val="%1."/>
      <w:numFmt w:val="decimal"/>
      <w:start w:val="9"/>
    </w:lvl>
    <w:lvl w:ilvl="1">
      <w:lvlJc w:val="left"/>
      <w:lvlText w:val="%2."/>
      <w:numFmt w:val="lowerLetter"/>
      <w:start w:val="1"/>
    </w:lvl>
  </w:abstractNum>
  <w:abstractNum w:abstractNumId="21">
    <w:nsid w:val="6763845E"/>
    <w:multiLevelType w:val="hybridMultilevel"/>
    <w:lvl w:ilvl="0">
      <w:lvlJc w:val="left"/>
      <w:lvlText w:val="%1."/>
      <w:numFmt w:val="lowerLetter"/>
      <w:start w:val="6"/>
    </w:lvl>
  </w:abstractNum>
  <w:abstractNum w:abstractNumId="22">
    <w:nsid w:val="75A2A8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2025-11-05T16:03:50Z</dcterms:created>
  <dcterms:modified xsi:type="dcterms:W3CDTF">2025-11-05T16:03:50Z</dcterms:modified>
</cp:coreProperties>
</file>