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4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_____________ to _____________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001-36384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1250 Broadway, 9th Floor</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(212) 243-2769</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10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1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00"/>
        <w:jc w:val="left"/>
        <w:rPr/>
      </w:pPr>
      <w:r>
        <w:rPr>
          <w:rFonts w:ascii="Times New Roman;serif" w:hAnsi="Times New Roman;serif"/>
          <w:b w:val="false"/>
          <w:color w:val="000000"/>
          <w:sz w:val="20"/>
        </w:rPr>
        <w:t xml:space="preserve">Indicate by check mark whether the registrant is a shell company (as defined in Rule 12b-2 of the Act).   </w:t>
      </w:r>
      <w:r>
        <w:rPr>
          <w:color w:val="000000"/>
        </w:rPr>
        <w:t xml:space="preserve">☐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tbl>
      <w:tblPr>
        <w:tblW w:w="6116"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776"/>
        <w:gridCol w:w="776"/>
        <w:gridCol w:w="1103"/>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as of April 29, 2026</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143,215,003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QUARTERLY REPORT ON 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11"/>
        <w:gridCol w:w="280"/>
        <w:gridCol w:w="285"/>
        <w:gridCol w:w="2805"/>
        <w:gridCol w:w="2805"/>
        <w:gridCol w:w="2810"/>
        <w:gridCol w:w="236"/>
        <w:gridCol w:w="236"/>
        <w:gridCol w:w="337"/>
      </w:tblGrid>
      <w:tr>
        <w:trPr/>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0">
              <w:r>
                <w:rPr>
                  <w:rStyle w:val="InternetLink"/>
                  <w:rFonts w:ascii="Times New Roman;serif" w:hAnsi="Times New Roman;serif"/>
                  <w:b w:val="false"/>
                  <w:color w:val="0000FF"/>
                  <w:sz w:val="20"/>
                  <w:u w:val="single"/>
                </w:rPr>
                <w:t>FINANCIAL INFORMATION</w:t>
              </w:r>
            </w:hyperlink>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430b712c26c4879b28e2ecf78ace6da_10">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3">
              <w:r>
                <w:rPr>
                  <w:rStyle w:val="InternetLink"/>
                  <w:rFonts w:ascii="Times New Roman;serif" w:hAnsi="Times New Roman;serif"/>
                  <w:b w:val="false"/>
                  <w:color w:val="0000FF"/>
                  <w:sz w:val="20"/>
                  <w:u w:val="single"/>
                </w:rPr>
                <w:t>Condensed Consolidated Financial Statements (Unaudited)</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3">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6">
              <w:r>
                <w:rPr>
                  <w:rStyle w:val="InternetLink"/>
                  <w:rFonts w:ascii="Times New Roman;serif" w:hAnsi="Times New Roman;serif"/>
                  <w:b w:val="false"/>
                  <w:color w:val="000080"/>
                  <w:sz w:val="20"/>
                  <w:u w:val="single"/>
                </w:rPr>
                <w:t xml:space="preserve">Condensed Consolidated Balance Sheets as of </w:t>
              </w:r>
            </w:hyperlink>
            <w:hyperlink w:anchor="ic430b712c26c4879b28e2ecf78ace6da_16">
              <w:r>
                <w:rPr>
                  <w:rStyle w:val="InternetLink"/>
                  <w:rFonts w:ascii="Times New Roman;serif" w:hAnsi="Times New Roman;serif"/>
                  <w:b w:val="false"/>
                  <w:color w:val="000080"/>
                  <w:sz w:val="20"/>
                  <w:u w:val="single"/>
                </w:rPr>
                <w:t>March 31</w:t>
              </w:r>
            </w:hyperlink>
            <w:hyperlink w:anchor="ic430b712c26c4879b28e2ecf78ace6da_16">
              <w:r>
                <w:rPr>
                  <w:rStyle w:val="InternetLink"/>
                  <w:rFonts w:ascii="Times New Roman;serif" w:hAnsi="Times New Roman;serif"/>
                  <w:b w:val="false"/>
                  <w:color w:val="000080"/>
                  <w:sz w:val="20"/>
                  <w:u w:val="single"/>
                </w:rPr>
                <w:t>, 202</w:t>
              </w:r>
            </w:hyperlink>
            <w:hyperlink w:anchor="ic430b712c26c4879b28e2ecf78ace6da_16">
              <w:r>
                <w:rPr>
                  <w:rStyle w:val="InternetLink"/>
                  <w:rFonts w:ascii="Times New Roman;serif" w:hAnsi="Times New Roman;serif"/>
                  <w:b w:val="false"/>
                  <w:color w:val="000080"/>
                  <w:sz w:val="20"/>
                  <w:u w:val="single"/>
                </w:rPr>
                <w:t>6</w:t>
              </w:r>
            </w:hyperlink>
            <w:hyperlink w:anchor="ic430b712c26c4879b28e2ecf78ace6da_16">
              <w:r>
                <w:rPr>
                  <w:rStyle w:val="InternetLink"/>
                  <w:rFonts w:ascii="Times New Roman;serif" w:hAnsi="Times New Roman;serif"/>
                  <w:b w:val="false"/>
                  <w:color w:val="000080"/>
                  <w:sz w:val="20"/>
                  <w:u w:val="single"/>
                </w:rPr>
                <w:t xml:space="preserve"> and December 31, 202</w:t>
              </w:r>
            </w:hyperlink>
            <w:hyperlink w:anchor="ic430b712c26c4879b28e2ecf78ace6da_16">
              <w:r>
                <w:rPr>
                  <w:rStyle w:val="InternetLink"/>
                  <w:rFonts w:ascii="Times New Roman;serif" w:hAnsi="Times New Roman;serif"/>
                  <w:b w:val="false"/>
                  <w:color w:val="000080"/>
                  <w:sz w:val="20"/>
                  <w:u w:val="single"/>
                </w:rPr>
                <w:t>5</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6">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9">
              <w:r>
                <w:rPr>
                  <w:rStyle w:val="InternetLink"/>
                  <w:rFonts w:ascii="Times New Roman;serif" w:hAnsi="Times New Roman;serif"/>
                  <w:b w:val="false"/>
                  <w:color w:val="000080"/>
                  <w:sz w:val="20"/>
                  <w:u w:val="single"/>
                </w:rPr>
                <w:t xml:space="preserve">Condensed Consolidated Statements of Operations for the Three </w:t>
              </w:r>
            </w:hyperlink>
            <w:hyperlink w:anchor="ic430b712c26c4879b28e2ecf78ace6da_19">
              <w:r>
                <w:rPr>
                  <w:rStyle w:val="InternetLink"/>
                  <w:rFonts w:ascii="Times New Roman;serif" w:hAnsi="Times New Roman;serif"/>
                  <w:b w:val="false"/>
                  <w:color w:val="000080"/>
                  <w:sz w:val="20"/>
                  <w:u w:val="single"/>
                </w:rPr>
                <w:t xml:space="preserve">Months Ended </w:t>
              </w:r>
            </w:hyperlink>
            <w:r>
              <w:rPr>
                <w:rFonts w:ascii="Times New Roman;serif" w:hAnsi="Times New Roman;serif"/>
                <w:b w:val="false"/>
                <w:color w:val="000000"/>
                <w:sz w:val="20"/>
              </w:rPr>
              <w:t>March 31</w:t>
            </w:r>
            <w:hyperlink w:anchor="ic430b712c26c4879b28e2ecf78ace6da_19">
              <w:r>
                <w:rPr>
                  <w:rStyle w:val="InternetLink"/>
                  <w:rFonts w:ascii="Times New Roman;serif" w:hAnsi="Times New Roman;serif"/>
                  <w:b w:val="false"/>
                  <w:color w:val="000080"/>
                  <w:sz w:val="20"/>
                  <w:u w:val="single"/>
                </w:rPr>
                <w:t>, 202</w:t>
              </w:r>
            </w:hyperlink>
            <w:hyperlink w:anchor="ic430b712c26c4879b28e2ecf78ace6da_19">
              <w:r>
                <w:rPr>
                  <w:rStyle w:val="InternetLink"/>
                  <w:rFonts w:ascii="Times New Roman;serif" w:hAnsi="Times New Roman;serif"/>
                  <w:b w:val="false"/>
                  <w:color w:val="000080"/>
                  <w:sz w:val="20"/>
                  <w:u w:val="single"/>
                </w:rPr>
                <w:t>6</w:t>
              </w:r>
            </w:hyperlink>
            <w:hyperlink w:anchor="ic430b712c26c4879b28e2ecf78ace6da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rPr>
              <w:t>March</w:t>
            </w:r>
            <w:hyperlink w:anchor="ic430b712c26c4879b28e2ecf78ace6da_19">
              <w:r>
                <w:rPr>
                  <w:rStyle w:val="InternetLink"/>
                  <w:color w:val="0000FF"/>
                  <w:u w:val="single"/>
                </w:rPr>
                <w:t xml:space="preserve"> </w:t>
              </w:r>
            </w:hyperlink>
            <w:hyperlink w:anchor="ic430b712c26c4879b28e2ecf78ace6da_19">
              <w:r>
                <w:rPr>
                  <w:rStyle w:val="InternetLink"/>
                  <w:rFonts w:ascii="Times New Roman;serif" w:hAnsi="Times New Roman;serif"/>
                  <w:b w:val="false"/>
                  <w:color w:val="0000FF"/>
                  <w:sz w:val="20"/>
                  <w:u w:val="single"/>
                </w:rPr>
                <w:t>3</w:t>
              </w:r>
            </w:hyperlink>
            <w:hyperlink w:anchor="ic430b712c26c4879b28e2ecf78ace6da_19">
              <w:r>
                <w:rPr>
                  <w:rStyle w:val="InternetLink"/>
                  <w:rFonts w:ascii="Times New Roman;serif" w:hAnsi="Times New Roman;serif"/>
                  <w:b w:val="false"/>
                  <w:color w:val="000080"/>
                  <w:sz w:val="20"/>
                  <w:u w:val="single"/>
                </w:rPr>
                <w:t>1</w:t>
              </w:r>
            </w:hyperlink>
            <w:hyperlink w:anchor="ic430b712c26c4879b28e2ecf78ace6da_19">
              <w:r>
                <w:rPr>
                  <w:rStyle w:val="InternetLink"/>
                  <w:rFonts w:ascii="Times New Roman;serif" w:hAnsi="Times New Roman;serif"/>
                  <w:b w:val="false"/>
                  <w:color w:val="000080"/>
                  <w:sz w:val="20"/>
                  <w:u w:val="single"/>
                </w:rPr>
                <w:t>, 202</w:t>
              </w:r>
            </w:hyperlink>
            <w:hyperlink w:anchor="ic430b712c26c4879b28e2ecf78ace6da_19">
              <w:r>
                <w:rPr>
                  <w:rStyle w:val="InternetLink"/>
                  <w:rFonts w:ascii="Times New Roman;serif" w:hAnsi="Times New Roman;serif"/>
                  <w:b w:val="false"/>
                  <w:color w:val="000080"/>
                  <w:sz w:val="20"/>
                  <w:u w:val="single"/>
                </w:rPr>
                <w:t>5</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9">
              <w:r>
                <w:rPr>
                  <w:rStyle w:val="InternetLink"/>
                  <w:rFonts w:ascii="Times New Roman;serif" w:hAnsi="Times New Roman;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22">
              <w:r>
                <w:rPr>
                  <w:rStyle w:val="InternetLink"/>
                  <w:rFonts w:ascii="Times New Roman;serif" w:hAnsi="Times New Roman;serif"/>
                  <w:b w:val="false"/>
                  <w:color w:val="000080"/>
                  <w:sz w:val="20"/>
                  <w:u w:val="single"/>
                </w:rPr>
                <w:t xml:space="preserve">Condensed Consolidated Statements of Comprehensive Income (Loss) for the Three </w:t>
              </w:r>
            </w:hyperlink>
            <w:hyperlink w:anchor="ic430b712c26c4879b28e2ecf78ace6da_22">
              <w:r>
                <w:rPr>
                  <w:rStyle w:val="InternetLink"/>
                  <w:rFonts w:ascii="Times New Roman;serif" w:hAnsi="Times New Roman;serif"/>
                  <w:b w:val="false"/>
                  <w:color w:val="000080"/>
                  <w:sz w:val="20"/>
                  <w:u w:val="single"/>
                </w:rPr>
                <w:t xml:space="preserve">Months Ended </w:t>
              </w:r>
            </w:hyperlink>
            <w:r>
              <w:rPr>
                <w:rFonts w:ascii="Times New Roman;serif" w:hAnsi="Times New Roman;serif"/>
                <w:b w:val="false"/>
                <w:color w:val="000000"/>
                <w:sz w:val="20"/>
              </w:rPr>
              <w:t>March 31</w:t>
            </w:r>
            <w:hyperlink w:anchor="ic430b712c26c4879b28e2ecf78ace6da_22">
              <w:r>
                <w:rPr>
                  <w:rStyle w:val="InternetLink"/>
                  <w:rFonts w:ascii="Times New Roman;serif" w:hAnsi="Times New Roman;serif"/>
                  <w:b w:val="false"/>
                  <w:color w:val="000080"/>
                  <w:sz w:val="20"/>
                  <w:u w:val="single"/>
                </w:rPr>
                <w:t>, 202</w:t>
              </w:r>
            </w:hyperlink>
            <w:hyperlink w:anchor="ic430b712c26c4879b28e2ecf78ace6da_22">
              <w:r>
                <w:rPr>
                  <w:rStyle w:val="InternetLink"/>
                  <w:rFonts w:ascii="Times New Roman;serif" w:hAnsi="Times New Roman;serif"/>
                  <w:b w:val="false"/>
                  <w:color w:val="000080"/>
                  <w:sz w:val="20"/>
                  <w:u w:val="single"/>
                </w:rPr>
                <w:t>6</w:t>
              </w:r>
            </w:hyperlink>
            <w:hyperlink w:anchor="ic430b712c26c4879b28e2ecf78ace6da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rPr>
              <w:t>March 31</w:t>
            </w:r>
            <w:hyperlink w:anchor="ic430b712c26c4879b28e2ecf78ace6da_22">
              <w:r>
                <w:rPr>
                  <w:rStyle w:val="InternetLink"/>
                  <w:rFonts w:ascii="Times New Roman;serif" w:hAnsi="Times New Roman;serif"/>
                  <w:b w:val="false"/>
                  <w:color w:val="000080"/>
                  <w:sz w:val="20"/>
                  <w:u w:val="single"/>
                </w:rPr>
                <w:t>, 202</w:t>
              </w:r>
            </w:hyperlink>
            <w:hyperlink w:anchor="ic430b712c26c4879b28e2ecf78ace6da_22">
              <w:r>
                <w:rPr>
                  <w:rStyle w:val="InternetLink"/>
                  <w:rFonts w:ascii="Times New Roman;serif" w:hAnsi="Times New Roman;serif"/>
                  <w:b w:val="false"/>
                  <w:color w:val="000080"/>
                  <w:sz w:val="20"/>
                  <w:u w:val="single"/>
                </w:rPr>
                <w:t>5</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22">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25">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c430b712c26c4879b28e2ecf78ace6da_25">
              <w:r>
                <w:rPr>
                  <w:rStyle w:val="InternetLink"/>
                  <w:rFonts w:ascii="Times New Roman;serif" w:hAnsi="Times New Roman;serif"/>
                  <w:b w:val="false"/>
                  <w:color w:val="000080"/>
                  <w:sz w:val="20"/>
                  <w:u w:val="single"/>
                </w:rPr>
                <w:t xml:space="preserve">Months Ended </w:t>
              </w:r>
            </w:hyperlink>
            <w:r>
              <w:rPr>
                <w:rFonts w:ascii="Times New Roman;serif" w:hAnsi="Times New Roman;serif"/>
                <w:b w:val="false"/>
                <w:color w:val="000000"/>
                <w:sz w:val="20"/>
              </w:rPr>
              <w:t>March 31</w:t>
            </w:r>
            <w:hyperlink w:anchor="ic430b712c26c4879b28e2ecf78ace6da_25">
              <w:r>
                <w:rPr>
                  <w:rStyle w:val="InternetLink"/>
                  <w:rFonts w:ascii="Times New Roman;serif" w:hAnsi="Times New Roman;serif"/>
                  <w:b w:val="false"/>
                  <w:color w:val="000080"/>
                  <w:sz w:val="20"/>
                  <w:u w:val="single"/>
                </w:rPr>
                <w:t>, 202</w:t>
              </w:r>
            </w:hyperlink>
            <w:hyperlink w:anchor="ic430b712c26c4879b28e2ecf78ace6da_25">
              <w:r>
                <w:rPr>
                  <w:rStyle w:val="InternetLink"/>
                  <w:rFonts w:ascii="Times New Roman;serif" w:hAnsi="Times New Roman;serif"/>
                  <w:b w:val="false"/>
                  <w:color w:val="000080"/>
                  <w:sz w:val="20"/>
                  <w:u w:val="single"/>
                </w:rPr>
                <w:t>6</w:t>
              </w:r>
            </w:hyperlink>
            <w:hyperlink w:anchor="ic430b712c26c4879b28e2ecf78ace6da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rPr>
              <w:t>March 31</w:t>
            </w:r>
            <w:hyperlink w:anchor="ic430b712c26c4879b28e2ecf78ace6da_25">
              <w:r>
                <w:rPr>
                  <w:rStyle w:val="InternetLink"/>
                  <w:rFonts w:ascii="Times New Roman;serif" w:hAnsi="Times New Roman;serif"/>
                  <w:b w:val="false"/>
                  <w:color w:val="000080"/>
                  <w:sz w:val="20"/>
                  <w:u w:val="single"/>
                </w:rPr>
                <w:t>, 202</w:t>
              </w:r>
            </w:hyperlink>
            <w:hyperlink w:anchor="ic430b712c26c4879b28e2ecf78ace6da_25">
              <w:r>
                <w:rPr>
                  <w:rStyle w:val="InternetLink"/>
                  <w:rFonts w:ascii="Times New Roman;serif" w:hAnsi="Times New Roman;serif"/>
                  <w:b w:val="false"/>
                  <w:color w:val="000080"/>
                  <w:sz w:val="20"/>
                  <w:u w:val="single"/>
                </w:rPr>
                <w:t>5</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25">
              <w:r>
                <w:rPr>
                  <w:rStyle w:val="InternetLink"/>
                  <w:rFonts w:ascii="Times New Roman;serif" w:hAnsi="Times New Roman;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28">
              <w:r>
                <w:rPr>
                  <w:rStyle w:val="InternetLink"/>
                  <w:rFonts w:ascii="Times New Roman;serif" w:hAnsi="Times New Roman;serif"/>
                  <w:b w:val="false"/>
                  <w:color w:val="000080"/>
                  <w:sz w:val="20"/>
                  <w:u w:val="single"/>
                </w:rPr>
                <w:t xml:space="preserve">Condensed Consolidated Statements of Cash Flows for the </w:t>
              </w:r>
            </w:hyperlink>
            <w:hyperlink w:anchor="ic430b712c26c4879b28e2ecf78ace6da_28">
              <w:r>
                <w:rPr>
                  <w:rStyle w:val="InternetLink"/>
                  <w:rFonts w:ascii="Times New Roman;serif" w:hAnsi="Times New Roman;serif"/>
                  <w:b w:val="false"/>
                  <w:color w:val="000080"/>
                  <w:sz w:val="20"/>
                  <w:u w:val="single"/>
                </w:rPr>
                <w:t>Three</w:t>
              </w:r>
            </w:hyperlink>
            <w:hyperlink w:anchor="ic430b712c26c4879b28e2ecf78ace6da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rPr>
              <w:t>March 31</w:t>
            </w:r>
            <w:hyperlink w:anchor="ic430b712c26c4879b28e2ecf78ace6da_28">
              <w:r>
                <w:rPr>
                  <w:rStyle w:val="InternetLink"/>
                  <w:rFonts w:ascii="Times New Roman;serif" w:hAnsi="Times New Roman;serif"/>
                  <w:b w:val="false"/>
                  <w:color w:val="000080"/>
                  <w:sz w:val="20"/>
                  <w:u w:val="single"/>
                </w:rPr>
                <w:t>, 202</w:t>
              </w:r>
            </w:hyperlink>
            <w:hyperlink w:anchor="ic430b712c26c4879b28e2ecf78ace6da_28">
              <w:r>
                <w:rPr>
                  <w:rStyle w:val="InternetLink"/>
                  <w:rFonts w:ascii="Times New Roman;serif" w:hAnsi="Times New Roman;serif"/>
                  <w:b w:val="false"/>
                  <w:color w:val="000080"/>
                  <w:sz w:val="20"/>
                  <w:u w:val="single"/>
                </w:rPr>
                <w:t>6</w:t>
              </w:r>
            </w:hyperlink>
            <w:hyperlink w:anchor="ic430b712c26c4879b28e2ecf78ace6da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rPr>
              <w:t>March 31</w:t>
            </w:r>
            <w:hyperlink w:anchor="ic430b712c26c4879b28e2ecf78ace6da_28">
              <w:r>
                <w:rPr>
                  <w:rStyle w:val="InternetLink"/>
                  <w:rFonts w:ascii="Times New Roman;serif" w:hAnsi="Times New Roman;serif"/>
                  <w:b w:val="false"/>
                  <w:color w:val="000080"/>
                  <w:sz w:val="20"/>
                  <w:u w:val="single"/>
                </w:rPr>
                <w:t>, 202</w:t>
              </w:r>
            </w:hyperlink>
            <w:hyperlink w:anchor="ic430b712c26c4879b28e2ecf78ace6da_28">
              <w:r>
                <w:rPr>
                  <w:rStyle w:val="InternetLink"/>
                  <w:rFonts w:ascii="Times New Roman;serif" w:hAnsi="Times New Roman;serif"/>
                  <w:b w:val="false"/>
                  <w:color w:val="000080"/>
                  <w:sz w:val="20"/>
                  <w:u w:val="single"/>
                </w:rPr>
                <w:t>5</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28">
              <w:r>
                <w:rPr>
                  <w:rStyle w:val="InternetLink"/>
                  <w:rFonts w:ascii="Times New Roman;serif" w:hAnsi="Times New Roman;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34">
              <w:r>
                <w:rPr>
                  <w:rStyle w:val="InternetLink"/>
                  <w:rFonts w:ascii="Times New Roman;serif" w:hAnsi="Times New Roman;serif"/>
                  <w:b w:val="false"/>
                  <w:color w:val="0000FF"/>
                  <w:sz w:val="20"/>
                  <w:u w:val="single"/>
                </w:rPr>
                <w:t>Notes to Condensed Consolidated Financial Statements</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34">
              <w:r>
                <w:rPr>
                  <w:rStyle w:val="InternetLink"/>
                  <w:rFonts w:ascii="Times New Roman;serif" w:hAnsi="Times New Roman;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97">
              <w:r>
                <w:rPr>
                  <w:rStyle w:val="InternetLink"/>
                  <w:rFonts w:ascii="Times New Roman;serif" w:hAnsi="Times New Roman;serif"/>
                  <w:b w:val="false"/>
                  <w:color w:val="0000FF"/>
                  <w:sz w:val="20"/>
                  <w:u w:val="singl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30">
              <w:r>
                <w:rPr>
                  <w:rStyle w:val="InternetLink"/>
                  <w:rFonts w:ascii="Times New Roman;serif" w:hAnsi="Times New Roman;serif"/>
                  <w:b w:val="false"/>
                  <w:color w:val="0000FF"/>
                  <w:sz w:val="20"/>
                  <w:u w:val="single"/>
                </w:rPr>
                <w:t>Quantitative and Qualitative Disclosures About Market Risk</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30">
              <w:r>
                <w:rPr>
                  <w:rStyle w:val="InternetLink"/>
                  <w:rFonts w:ascii="Times New Roman;serif" w:hAnsi="Times New Roman;serif"/>
                  <w:b w:val="false"/>
                  <w:color w:val="0000FF"/>
                  <w:sz w:val="20"/>
                  <w:u w:val="singl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33">
              <w:r>
                <w:rPr>
                  <w:rStyle w:val="InternetLink"/>
                  <w:rFonts w:ascii="Times New Roman;serif" w:hAnsi="Times New Roman;serif"/>
                  <w:b w:val="false"/>
                  <w:color w:val="0000FF"/>
                  <w:sz w:val="20"/>
                  <w:u w:val="single"/>
                </w:rPr>
                <w:t>Controls and Procedures</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33">
              <w:r>
                <w:rPr>
                  <w:rStyle w:val="InternetLink"/>
                  <w:rFonts w:ascii="Times New Roman;serif" w:hAnsi="Times New Roman;serif"/>
                  <w:b w:val="false"/>
                  <w:color w:val="0000FF"/>
                  <w:sz w:val="20"/>
                  <w:u w:val="single"/>
                </w:rPr>
                <w:t>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36">
              <w:r>
                <w:rPr>
                  <w:rStyle w:val="InternetLink"/>
                  <w:rFonts w:ascii="Times New Roman;serif" w:hAnsi="Times New Roman;serif"/>
                  <w:b w:val="false"/>
                  <w:color w:val="0000FF"/>
                  <w:sz w:val="20"/>
                  <w:u w:val="single"/>
                </w:rPr>
                <w:t>OTHER INFORMATION</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36">
              <w:r>
                <w:rPr>
                  <w:rStyle w:val="InternetLink"/>
                  <w:rFonts w:ascii="Times New Roman;serif" w:hAnsi="Times New Roman;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39">
              <w:r>
                <w:rPr>
                  <w:rStyle w:val="InternetLink"/>
                  <w:rFonts w:ascii="Times New Roman;serif" w:hAnsi="Times New Roman;serif"/>
                  <w:b w:val="false"/>
                  <w:color w:val="0000FF"/>
                  <w:sz w:val="20"/>
                  <w:u w:val="single"/>
                </w:rPr>
                <w:t>Legal Proceedings</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39">
              <w:r>
                <w:rPr>
                  <w:rStyle w:val="InternetLink"/>
                  <w:rFonts w:ascii="Times New Roman;serif" w:hAnsi="Times New Roman;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42">
              <w:r>
                <w:rPr>
                  <w:rStyle w:val="InternetLink"/>
                  <w:rFonts w:ascii="Times New Roman;serif" w:hAnsi="Times New Roman;serif"/>
                  <w:b w:val="false"/>
                  <w:color w:val="0000FF"/>
                  <w:sz w:val="20"/>
                  <w:u w:val="single"/>
                </w:rPr>
                <w:t>Risk Factors</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42">
              <w:r>
                <w:rPr>
                  <w:rStyle w:val="InternetLink"/>
                  <w:rFonts w:ascii="Times New Roman;serif" w:hAnsi="Times New Roman;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45">
              <w:r>
                <w:rPr>
                  <w:rStyle w:val="InternetLink"/>
                  <w:rFonts w:ascii="Times New Roman;serif" w:hAnsi="Times New Roman;serif"/>
                  <w:b w:val="false"/>
                  <w:color w:val="0000FF"/>
                  <w:sz w:val="20"/>
                  <w:u w:val="single"/>
                </w:rPr>
                <w:t>Unregistered Sales of Equity Securities and Use of Proceeds</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45">
              <w:r>
                <w:rPr>
                  <w:rStyle w:val="InternetLink"/>
                  <w:rFonts w:ascii="Times New Roman;serif" w:hAnsi="Times New Roman;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48">
              <w:r>
                <w:rPr>
                  <w:rStyle w:val="InternetLink"/>
                  <w:rFonts w:ascii="Times New Roman;serif" w:hAnsi="Times New Roman;serif"/>
                  <w:b w:val="false"/>
                  <w:color w:val="0000FF"/>
                  <w:sz w:val="20"/>
                  <w:u w:val="single"/>
                </w:rPr>
                <w:t>Other Information</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48">
              <w:r>
                <w:rPr>
                  <w:rStyle w:val="InternetLink"/>
                  <w:rFonts w:ascii="Times New Roman;serif" w:hAnsi="Times New Roman;serif"/>
                  <w:b w:val="false"/>
                  <w:color w:val="0000FF"/>
                  <w:sz w:val="20"/>
                  <w:u w:val="singl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54">
              <w:r>
                <w:rPr>
                  <w:rStyle w:val="InternetLink"/>
                  <w:rFonts w:ascii="Times New Roman;serif" w:hAnsi="Times New Roman;serif"/>
                  <w:b w:val="false"/>
                  <w:color w:val="0000FF"/>
                  <w:sz w:val="20"/>
                  <w:u w:val="single"/>
                </w:rPr>
                <w:t>Exhibits</w:t>
              </w:r>
            </w:hyperlink>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54">
              <w:r>
                <w:rPr>
                  <w:rStyle w:val="InternetLink"/>
                  <w:rFonts w:ascii="Times New Roman;serif" w:hAnsi="Times New Roman;serif"/>
                  <w:b w:val="false"/>
                  <w:color w:val="0000FF"/>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30b712c26c4879b28e2ecf78ace6da_157">
              <w:r>
                <w:rPr>
                  <w:rStyle w:val="InternetLink"/>
                  <w:rFonts w:ascii="Times New Roman;serif" w:hAnsi="Times New Roman;serif"/>
                  <w:b w:val="false"/>
                  <w:strike w:val="false"/>
                  <w:dstrike w:val="false"/>
                  <w:color w:val="0000FF"/>
                  <w:sz w:val="20"/>
                  <w:u w:val="none"/>
                  <w:effect w:val="none"/>
                </w:rPr>
                <w:t>Signatures</w:t>
              </w:r>
            </w:hyperlink>
          </w:p>
        </w:tc>
        <w:tc>
          <w:tcPr>
            <w:tcW w:w="8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30b712c26c4879b28e2ecf78ace6da_157">
              <w:r>
                <w:rPr>
                  <w:rStyle w:val="InternetLink"/>
                  <w:rFonts w:ascii="Times New Roman;serif" w:hAnsi="Times New Roman;serif"/>
                  <w:b w:val="false"/>
                  <w:color w:val="0000FF"/>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right"/>
        <w:tblInd w:w="0" w:type="dxa"/>
        <w:tblLayout w:type="fixed"/>
        <w:tblCellMar>
          <w:top w:w="28" w:type="dxa"/>
          <w:left w:w="28" w:type="dxa"/>
          <w:bottom w:w="28" w:type="dxa"/>
          <w:right w:w="28" w:type="dxa"/>
        </w:tblCellMar>
      </w:tblPr>
      <w:tblGrid>
        <w:gridCol w:w="2970"/>
        <w:gridCol w:w="2054"/>
        <w:gridCol w:w="2060"/>
        <w:gridCol w:w="398"/>
        <w:gridCol w:w="461"/>
        <w:gridCol w:w="470"/>
        <w:gridCol w:w="109"/>
        <w:gridCol w:w="109"/>
        <w:gridCol w:w="109"/>
        <w:gridCol w:w="486"/>
        <w:gridCol w:w="418"/>
        <w:gridCol w:w="561"/>
      </w:tblGrid>
      <w:tr>
        <w:trPr/>
        <w:tc>
          <w:tcPr>
            <w:tcW w:w="2970"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7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553,362</w:t>
            </w:r>
          </w:p>
        </w:tc>
      </w:tr>
      <w:tr>
        <w:trPr/>
        <w:tc>
          <w:tcPr>
            <w:tcW w:w="7084"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1,301,955</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1,881,578</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net</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82,494</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1,841,736</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50,085</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2,242,025</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10,000 shares authorized at March 31, 2026 and December 31, 2025; 0 shares issued and outstanding at March 31, 2026 and December 31, 2025</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500,000 shares authorized at March 31, 2026 and December 31, 2025; 143,301 and 142,964 shares issued and outstanding at March 31, 2026 and December 31, 2025, respectively</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1,440,358</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r>
      <w:tr>
        <w:trPr/>
        <w:tc>
          <w:tcPr>
            <w:tcW w:w="7084"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(516,559)</w:t>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922,350</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85" w:type="dxa"/>
        <w:jc w:val="left"/>
        <w:tblInd w:w="0" w:type="dxa"/>
        <w:tblLayout w:type="fixed"/>
        <w:tblCellMar>
          <w:top w:w="28" w:type="dxa"/>
          <w:left w:w="28" w:type="dxa"/>
          <w:bottom w:w="28" w:type="dxa"/>
          <w:right w:w="28" w:type="dxa"/>
        </w:tblCellMar>
      </w:tblPr>
      <w:tblGrid>
        <w:gridCol w:w="2077"/>
        <w:gridCol w:w="1834"/>
        <w:gridCol w:w="1848"/>
        <w:gridCol w:w="232"/>
        <w:gridCol w:w="908"/>
        <w:gridCol w:w="119"/>
        <w:gridCol w:w="109"/>
        <w:gridCol w:w="109"/>
        <w:gridCol w:w="109"/>
        <w:gridCol w:w="232"/>
        <w:gridCol w:w="908"/>
        <w:gridCol w:w="119"/>
        <w:gridCol w:w="109"/>
        <w:gridCol w:w="109"/>
        <w:gridCol w:w="109"/>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net income (loss) per share:</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148,077 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141,852 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761" w:type="dxa"/>
        <w:jc w:val="left"/>
        <w:tblInd w:w="0" w:type="dxa"/>
        <w:tblLayout w:type="fixed"/>
        <w:tblCellMar>
          <w:top w:w="28" w:type="dxa"/>
          <w:left w:w="28" w:type="dxa"/>
          <w:bottom w:w="28" w:type="dxa"/>
          <w:right w:w="28" w:type="dxa"/>
        </w:tblCellMar>
      </w:tblPr>
      <w:tblGrid>
        <w:gridCol w:w="1244"/>
        <w:gridCol w:w="1091"/>
        <w:gridCol w:w="1100"/>
        <w:gridCol w:w="284"/>
        <w:gridCol w:w="829"/>
        <w:gridCol w:w="146"/>
        <w:gridCol w:w="109"/>
        <w:gridCol w:w="109"/>
        <w:gridCol w:w="109"/>
        <w:gridCol w:w="263"/>
        <w:gridCol w:w="861"/>
        <w:gridCol w:w="135"/>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442"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85"/>
        <w:gridCol w:w="286"/>
        <w:gridCol w:w="196"/>
        <w:gridCol w:w="109"/>
        <w:gridCol w:w="109"/>
        <w:gridCol w:w="109"/>
        <w:gridCol w:w="215"/>
        <w:gridCol w:w="446"/>
        <w:gridCol w:w="109"/>
        <w:gridCol w:w="109"/>
        <w:gridCol w:w="109"/>
        <w:gridCol w:w="109"/>
        <w:gridCol w:w="206"/>
        <w:gridCol w:w="774"/>
        <w:gridCol w:w="116"/>
        <w:gridCol w:w="109"/>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141,476 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741,753 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224"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85"/>
        <w:gridCol w:w="286"/>
        <w:gridCol w:w="196"/>
        <w:gridCol w:w="109"/>
        <w:gridCol w:w="109"/>
        <w:gridCol w:w="109"/>
        <w:gridCol w:w="215"/>
        <w:gridCol w:w="446"/>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922,350 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143,301 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917,907 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22" w:type="dxa"/>
        <w:jc w:val="center"/>
        <w:tblInd w:w="0" w:type="dxa"/>
        <w:tblLayout w:type="fixed"/>
        <w:tblCellMar>
          <w:top w:w="28" w:type="dxa"/>
          <w:left w:w="28" w:type="dxa"/>
          <w:bottom w:w="28" w:type="dxa"/>
          <w:right w:w="28" w:type="dxa"/>
        </w:tblCellMar>
      </w:tblPr>
      <w:tblGrid>
        <w:gridCol w:w="2512"/>
        <w:gridCol w:w="2206"/>
        <w:gridCol w:w="2212"/>
        <w:gridCol w:w="237"/>
        <w:gridCol w:w="891"/>
        <w:gridCol w:w="132"/>
        <w:gridCol w:w="109"/>
        <w:gridCol w:w="109"/>
        <w:gridCol w:w="109"/>
        <w:gridCol w:w="235"/>
        <w:gridCol w:w="885"/>
        <w:gridCol w:w="185"/>
      </w:tblGrid>
      <w:tr>
        <w:trPr/>
        <w:tc>
          <w:tcPr>
            <w:tcW w:w="251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provided by operating activities: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 loss,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(166,353)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 use software development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Term Loan B Facility refinancing and repricing activities, net of debt discount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Term Loan B Facility from refinancing and repricing activities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debt issuance costs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(235,077)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(39,450)</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(368,714)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483,220 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184,648 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429,708 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35"/>
        <w:gridCol w:w="2312"/>
        <w:gridCol w:w="2321"/>
        <w:gridCol w:w="251"/>
        <w:gridCol w:w="829"/>
        <w:gridCol w:w="139"/>
        <w:gridCol w:w="109"/>
        <w:gridCol w:w="109"/>
        <w:gridCol w:w="109"/>
        <w:gridCol w:w="231"/>
        <w:gridCol w:w="871"/>
        <w:gridCol w:w="129"/>
        <w:gridCol w:w="160"/>
      </w:tblGrid>
      <w:tr>
        <w:trPr/>
        <w:tc>
          <w:tcPr>
            <w:tcW w:w="2635"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0" w:type="dxa"/>
            <w:tcBorders/>
          </w:tcPr>
          <w:p>
            <w:pPr>
              <w:pStyle w:val="TableContents"/>
              <w:bidi w:val="0"/>
              <w:spacing w:before="0" w:after="283"/>
              <w:jc w:val="left"/>
              <w:rPr>
                <w:sz w:val="4"/>
                <w:szCs w:val="4"/>
              </w:rPr>
            </w:pPr>
            <w:r>
              <w:rPr>
                <w:sz w:val="4"/>
                <w:szCs w:val="4"/>
              </w:rPr>
            </w:r>
          </w:p>
        </w:tc>
      </w:tr>
      <w:tr>
        <w:trPr/>
        <w:tc>
          <w:tcPr>
            <w:tcW w:w="7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OTHER CASH FLOW INFORMATION:</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assets financed by accounts payable and accrued expenses and other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stock-based compensation</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reduction and corresponding non-cash adjustment to operating lease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financing activity related to Amendment Nos. 1 and 2 to the 2024 Credit Agreement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Note 1—Organization and Summary of Significant Accounting Policies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Magnite, Inc. ("Magnite" or the "Company") was formed in Delaware and began operations on April 20, 2007. 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provides technology solutions to automate the purchase and sale of digital advertising inventory for buyers and sellers globally, across all channels, formats and auction types. The Company's platform features applications and services for sellers of digital advertising inventory, or publishers, that own and operate connected television ("CTV") channels, applications, websites,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buyers and sellers of digital advertising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reach their target audiences across thousands of sellers.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Summary of Significant Accounting Policies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2026 are not necessarily indicative of the results that may be expected for any future interim period, the year ending December 31, 2026, or for any future year.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at December 31, 2025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2025 included in its 2025 Annual Report on Form 10-K.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Company's accounting policies from those disclosed in its audited consolidated financial statements and notes thereto for the year ended December 31, 2025 included in its Annual Report on Form 10-K, except for the adoption of Accounting Standard Update ("ASU") 2025-05 as described in "Recently Adopted Accounting Standards" below.</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determined that the Company operates as one operating segment and one reportable segment. The Company’s chief operating decision maker ("CODM")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The Company’s CODM reviews financial information on a consolidated basis, principally to make decisions about how to allocate resources and to measure the Company’s performance. The CODM reviews consolidated net income (loss), which is the measure of financial profit and loss most closely aligned with generally accepted accounting principles. The CODM considers budget-to-actual variances for this measure, predominantly in the annual budget, forecasting process, and quarterly results assessment. The CODM does not review any balance sheet information at any other level than on a consolidated basis and does not review any income statement information at any other level than on a consolidated basis with the exception of revenue by geography and by channel (refer to Note 3). The significant expense information regularly provided to the CODM is the same as that included in the face of the Company's consolidated income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serif" w:hAnsi="Times New Roman;serif"/>
          <w:b w:val="false"/>
          <w:color w:val="212529"/>
          <w:sz w:val="20"/>
        </w:rPr>
        <w:t>Actual results could differ materially from these estimates.</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ASU 2025-05, Financial Instruments - Credit Losses (Topic 326) - Measurement of Credit Losses for Accounts Receivable and Contract Assets ("ASU 2025-05"), which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ASU 2025-05 is effective for annual periods beginning after December 15, 2025 and for interim periods within those annual reporting periods on a prospective basis. Early adoption is permitted. The Company adopted ASU 2025-05 as of January 1, 2026 on a prospective basis. As permitted by ASU 2025-05, the Company elected the practical expedient to assume that current conditions as of the balance sheet date do not change for the remaining life of its current accounts receivable when developing reasonable and supportable forecasts. The adoption of ASU 2025-05 did not have a material impact on the Company's consolidated financial statements and disclosures.</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 Disaggregation of Income Statement Expenses ("ASU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ASU 2024-03 on its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 Targeted Improvements to the Accounting for Internal-Use Software ("ASU 2025-06"), which modernizes and simplifies the recognition and disclosure framework for internal-use software costs by changing from a project-stage approach to a more judgment-based approach. ASU 2025-06 is effective for annual periods beginning after December 15, 2027 and for interim periods within those annual reporting periods on a prospective basis. Early adoption is permitted. The Company is currently evaluating the impact of adopting ASU 2025-06 on its financial statements and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believe there are any other recently issued and effective or not yet effective pronouncements that would have or are expected to have a material impact on the Company’s present or future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Note 2—Net Income (Loss) Per Share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basic and diluted net income (loss) per share: </w:t>
      </w:r>
    </w:p>
    <w:tbl>
      <w:tblPr>
        <w:tblW w:w="10205" w:type="dxa"/>
        <w:jc w:val="left"/>
        <w:tblInd w:w="0" w:type="dxa"/>
        <w:tblLayout w:type="fixed"/>
        <w:tblCellMar>
          <w:top w:w="28" w:type="dxa"/>
          <w:left w:w="28" w:type="dxa"/>
          <w:bottom w:w="28" w:type="dxa"/>
          <w:right w:w="28" w:type="dxa"/>
        </w:tblCellMar>
      </w:tblPr>
      <w:tblGrid>
        <w:gridCol w:w="2609"/>
        <w:gridCol w:w="2179"/>
        <w:gridCol w:w="2186"/>
        <w:gridCol w:w="272"/>
        <w:gridCol w:w="796"/>
        <w:gridCol w:w="140"/>
        <w:gridCol w:w="109"/>
        <w:gridCol w:w="109"/>
        <w:gridCol w:w="109"/>
        <w:gridCol w:w="255"/>
        <w:gridCol w:w="825"/>
        <w:gridCol w:w="131"/>
        <w:gridCol w:w="109"/>
        <w:gridCol w:w="109"/>
        <w:gridCol w:w="109"/>
        <w:gridCol w:w="158"/>
      </w:tblGrid>
      <w:tr>
        <w:trPr/>
        <w:tc>
          <w:tcPr>
            <w:tcW w:w="26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485" w:type="dxa"/>
            <w:gridSpan w:val="4"/>
            <w:tcBorders/>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basic net income (loss) per share</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used to calculate diluted income (loss) per share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basic net income (loss) per share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restricted stock units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common stock options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performance stock units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Employee Stock Purchase Plan ("ESPP") shares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(loss) per share</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2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weighted-average shares have been excluded from the calculation of diluted net income (loss) per share attributable to common stockholders for each period presented because they were anti-dilutive: </w:t>
      </w:r>
    </w:p>
    <w:tbl>
      <w:tblPr>
        <w:tblW w:w="8822" w:type="dxa"/>
        <w:jc w:val="center"/>
        <w:tblInd w:w="0" w:type="dxa"/>
        <w:tblLayout w:type="fixed"/>
        <w:tblCellMar>
          <w:top w:w="28" w:type="dxa"/>
          <w:left w:w="28" w:type="dxa"/>
          <w:bottom w:w="28" w:type="dxa"/>
          <w:right w:w="28" w:type="dxa"/>
        </w:tblCellMar>
      </w:tblPr>
      <w:tblGrid>
        <w:gridCol w:w="1858"/>
        <w:gridCol w:w="1634"/>
        <w:gridCol w:w="1637"/>
        <w:gridCol w:w="109"/>
        <w:gridCol w:w="419"/>
        <w:gridCol w:w="419"/>
        <w:gridCol w:w="421"/>
        <w:gridCol w:w="195"/>
        <w:gridCol w:w="195"/>
        <w:gridCol w:w="195"/>
        <w:gridCol w:w="419"/>
        <w:gridCol w:w="419"/>
        <w:gridCol w:w="421"/>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 shares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excluded from diluted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achievement levels for the performance stock units as of March 31, 2026, using actual achievement levels for the tranches for which the performance period had been completed and expected achievement levels for ongoing performance periods:</w:t>
      </w:r>
    </w:p>
    <w:tbl>
      <w:tblPr>
        <w:tblW w:w="8844" w:type="dxa"/>
        <w:jc w:val="left"/>
        <w:tblInd w:w="0" w:type="dxa"/>
        <w:tblLayout w:type="fixed"/>
        <w:tblCellMar>
          <w:top w:w="28" w:type="dxa"/>
          <w:left w:w="28" w:type="dxa"/>
          <w:bottom w:w="28" w:type="dxa"/>
          <w:right w:w="28" w:type="dxa"/>
        </w:tblCellMar>
      </w:tblPr>
      <w:tblGrid>
        <w:gridCol w:w="710"/>
        <w:gridCol w:w="622"/>
        <w:gridCol w:w="628"/>
        <w:gridCol w:w="190"/>
        <w:gridCol w:w="190"/>
        <w:gridCol w:w="190"/>
        <w:gridCol w:w="565"/>
        <w:gridCol w:w="565"/>
        <w:gridCol w:w="568"/>
        <w:gridCol w:w="190"/>
        <w:gridCol w:w="190"/>
        <w:gridCol w:w="190"/>
        <w:gridCol w:w="565"/>
        <w:gridCol w:w="565"/>
        <w:gridCol w:w="568"/>
        <w:gridCol w:w="190"/>
        <w:gridCol w:w="190"/>
        <w:gridCol w:w="190"/>
        <w:gridCol w:w="520"/>
        <w:gridCol w:w="520"/>
        <w:gridCol w:w="738"/>
      </w:tblGrid>
      <w:tr>
        <w:trPr/>
        <w:tc>
          <w:tcPr>
            <w:tcW w:w="71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1</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2</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3</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Award Year:</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8844"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The performance stock units granted during 2023 vested on January 1, 2026 with an achievement of approximately 126%.</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achievement levels for the performance stock units as of March 31, 2025, using actual achievement levels for the tranches for which the performance period had been completed and expected achievement levels for ongoing performance periods:</w:t>
      </w:r>
    </w:p>
    <w:tbl>
      <w:tblPr>
        <w:tblW w:w="5072"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24"/>
        <w:gridCol w:w="324"/>
        <w:gridCol w:w="326"/>
        <w:gridCol w:w="109"/>
        <w:gridCol w:w="109"/>
        <w:gridCol w:w="109"/>
        <w:gridCol w:w="324"/>
        <w:gridCol w:w="324"/>
        <w:gridCol w:w="326"/>
        <w:gridCol w:w="109"/>
        <w:gridCol w:w="109"/>
        <w:gridCol w:w="109"/>
        <w:gridCol w:w="298"/>
        <w:gridCol w:w="298"/>
        <w:gridCol w:w="423"/>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3</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Award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expected and actual achievement levels as of March 31, 2026 and 2025 are included in the calculation of weighted-average shares in the net income (loss) per share tables above. Refer to Note 11 for additional information related to performance stock units.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number of shares that would be issuable assuming conversion of all of the Convertible Senior Notes (as defined in Note 9) was approximately 2,639,414 and 3,210,098, respectively, and were excluded from the calculation of diluted net income (loss) per share because they were anti-dilutive. The Convertible Senior Notes had an initial conversion rate of 15.6539 shares of common stock per $1,000 principal amount of the Convertible Senior Notes, which was subject to anti-dilution adjustments in certain circumstances. On March 15, 2026, the Convertible Senior Notes matured, and no Convertible Senior Notes remained outstanding at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3—Revenue</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recognized on a net basis and on a gross basis for the three months ended March 31, 2026 and 2025: </w:t>
      </w:r>
    </w:p>
    <w:tbl>
      <w:tblPr>
        <w:tblW w:w="6683" w:type="dxa"/>
        <w:jc w:val="left"/>
        <w:tblInd w:w="0" w:type="dxa"/>
        <w:tblLayout w:type="fixed"/>
        <w:tblCellMar>
          <w:top w:w="28" w:type="dxa"/>
          <w:left w:w="28" w:type="dxa"/>
          <w:bottom w:w="28" w:type="dxa"/>
          <w:right w:w="28" w:type="dxa"/>
        </w:tblCellMar>
      </w:tblPr>
      <w:tblGrid>
        <w:gridCol w:w="368"/>
        <w:gridCol w:w="325"/>
        <w:gridCol w:w="326"/>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09"/>
        <w:gridCol w:w="109"/>
        <w:gridCol w:w="109"/>
        <w:gridCol w:w="109"/>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by channel for the three months ended March 31, 2026 and 2025:</w:t>
      </w:r>
    </w:p>
    <w:tbl>
      <w:tblPr>
        <w:tblW w:w="6534" w:type="dxa"/>
        <w:jc w:val="left"/>
        <w:tblInd w:w="0" w:type="dxa"/>
        <w:tblLayout w:type="fixed"/>
        <w:tblCellMar>
          <w:top w:w="28" w:type="dxa"/>
          <w:left w:w="28" w:type="dxa"/>
          <w:bottom w:w="28" w:type="dxa"/>
          <w:right w:w="28" w:type="dxa"/>
        </w:tblCellMar>
      </w:tblPr>
      <w:tblGrid>
        <w:gridCol w:w="315"/>
        <w:gridCol w:w="277"/>
        <w:gridCol w:w="278"/>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geographic location, based on the location of the Company's sellers for the three months ended March 31, 2026 and 2025:</w:t>
      </w:r>
    </w:p>
    <w:tbl>
      <w:tblPr>
        <w:tblW w:w="6863"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(refer to Note 7). Accordingly, both accounts receivable and accounts payable appear large in relation to revenue reported on a net basis.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recorded at the invoiced amount, are unsecured, and do not bear interest. The allowance for credit losses is reviewed quarterly, requires judgment, and is based on the best estimate of the amount of expected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credit losses. Accounts receivable are presented net of an allowance for credit losses of $4.3 million at March 31, 2026, and $4.0 million at December 31, 2025. Accounts receivable are written off against the allowance for credit losses when the Company determines amounts are no longer collectible.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$2.3 million and $2.2 million as of March 31, 2026 and December 31, 2025,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activity in the allowance for credit losses for the three months ended March 31, 2026 and 2025:</w:t>
      </w:r>
    </w:p>
    <w:tbl>
      <w:tblPr>
        <w:tblW w:w="8081" w:type="dxa"/>
        <w:jc w:val="left"/>
        <w:tblInd w:w="0" w:type="dxa"/>
        <w:tblLayout w:type="fixed"/>
        <w:tblCellMar>
          <w:top w:w="28" w:type="dxa"/>
          <w:left w:w="28" w:type="dxa"/>
          <w:bottom w:w="28" w:type="dxa"/>
          <w:right w:w="28" w:type="dxa"/>
        </w:tblCellMar>
      </w:tblPr>
      <w:tblGrid>
        <w:gridCol w:w="1723"/>
        <w:gridCol w:w="1511"/>
        <w:gridCol w:w="1521"/>
        <w:gridCol w:w="284"/>
        <w:gridCol w:w="829"/>
        <w:gridCol w:w="146"/>
        <w:gridCol w:w="109"/>
        <w:gridCol w:w="109"/>
        <w:gridCol w:w="109"/>
        <w:gridCol w:w="284"/>
        <w:gridCol w:w="829"/>
        <w:gridCol w:w="146"/>
        <w:gridCol w:w="109"/>
        <w:gridCol w:w="109"/>
        <w:gridCol w:w="109"/>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balance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provision for expected credit losses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previous write-offs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ending balance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provision for expected credit losses associated with accounts receivable and the offsetting impact of the change to contra seller payables related to recoveries of uncollected buyer receivables result in the amount of bad debt expense or recoveries the Company recognizes each period. During the three months ended March 31, 2026 and 2025, the activity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 associated with accounts receivable and the activity of contra seller payables related to recoveries of uncollected buyer receivables were immaterial, which resulted in immaterial amounts of bad debt expense or recovery recognized in the respective periods.</w:t>
      </w:r>
    </w:p>
    <w:p>
      <w:pPr>
        <w:pStyle w:val="TextBody"/>
        <w:bidi w:val="0"/>
        <w:spacing w:before="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Note 4—Fair Value Measurements </w:t>
      </w:r>
    </w:p>
    <w:p>
      <w:pPr>
        <w:pStyle w:val="TextBody"/>
        <w:bidi w:val="0"/>
        <w:spacing w:lineRule="auto" w:line="288" w:before="100" w:after="120"/>
        <w:ind w:left="0" w:right="0" w:firstLine="720"/>
        <w:jc w:val="left"/>
        <w:rPr/>
      </w:pPr>
      <w:r>
        <w:rPr>
          <w:rFonts w:ascii="Times New Roman;serif" w:hAnsi="Times New Roman;serif"/>
          <w:b/>
          <w:i/>
          <w:color w:val="000000"/>
          <w:sz w:val="20"/>
        </w:rPr>
        <w:t>Recurring Fair Value Measurements</w:t>
      </w:r>
      <w:r>
        <w:rPr>
          <w:color w:val="000000"/>
        </w:rPr>
        <w: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83"/>
        <w:ind w:left="0" w:right="0" w:hanging="540"/>
        <w:jc w:val="left"/>
        <w:rPr/>
      </w:pPr>
      <w:r>
        <w:rPr>
          <w:color w:val="000000"/>
        </w:rPr>
        <w:t>•</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83"/>
        <w:ind w:left="0" w:right="0" w:hanging="540"/>
        <w:jc w:val="left"/>
        <w:rPr/>
      </w:pPr>
      <w:r>
        <w:rPr>
          <w:color w:val="000000"/>
        </w:rPr>
        <w:t>•</w:t>
      </w:r>
      <w:r>
        <w:rPr>
          <w:rFonts w:ascii="Times New Roman;serif" w:hAnsi="Times New Roman;serif"/>
          <w:b w:val="false"/>
          <w:color w:val="000000"/>
          <w:sz w:val="20"/>
        </w:rPr>
        <w:t>Level 3 – Unobservable inputs.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March 31, 2026:</w:t>
      </w:r>
    </w:p>
    <w:tbl>
      <w:tblPr>
        <w:tblW w:w="8214" w:type="dxa"/>
        <w:jc w:val="center"/>
        <w:tblInd w:w="0" w:type="dxa"/>
        <w:tblLayout w:type="fixed"/>
        <w:tblCellMar>
          <w:top w:w="28" w:type="dxa"/>
          <w:left w:w="28" w:type="dxa"/>
          <w:bottom w:w="28" w:type="dxa"/>
          <w:right w:w="28" w:type="dxa"/>
        </w:tblCellMar>
      </w:tblPr>
      <w:tblGrid>
        <w:gridCol w:w="548"/>
        <w:gridCol w:w="481"/>
        <w:gridCol w:w="485"/>
        <w:gridCol w:w="211"/>
        <w:gridCol w:w="721"/>
        <w:gridCol w:w="109"/>
        <w:gridCol w:w="109"/>
        <w:gridCol w:w="109"/>
        <w:gridCol w:w="109"/>
        <w:gridCol w:w="310"/>
        <w:gridCol w:w="1060"/>
        <w:gridCol w:w="160"/>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December 31, 2025:</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and December 31, 2025, cash equivalents of $18.2 million and $342.8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 had debt outstanding under its 2024 Term Loan B Facility and at December 31, 2025, the Company also had debt outstanding under its Convertible Senior Notes (as defined in Note 9) included in its balance sheets. On March 15, 2026, the Convertible Senior Notes matured and the Company repaid the outstanding principal balance of $205.1 million in full with cash on hand. No Convertible Senior Notes remained outstanding at March 31, 2026. The estimated fair value of the Company's Convertible Senior Notes was $199.2 million as of December 31, 2025. The estimated fair value of Convertible Senior Notes is based on market rates and the closing trading price of the Convertible Senior Notes as of December 31, 2025 and is classified as Level 2 in the fair value hierarchy. At March 31, 2026 and December 31, 2025, the estimated fair value of the Company's 2024 Term Loan B Facility was $357.7 million and $360.0 million, respectively. The estimated fair value is based on borrowing rates currently available to the Company for financing with similar terms and is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5—Property and Equipment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Major classes of property and equipment were as follows:</w:t>
      </w:r>
    </w:p>
    <w:tbl>
      <w:tblPr>
        <w:tblW w:w="6804" w:type="dxa"/>
        <w:jc w:val="left"/>
        <w:tblInd w:w="0" w:type="dxa"/>
        <w:tblLayout w:type="fixed"/>
        <w:tblCellMar>
          <w:top w:w="28" w:type="dxa"/>
          <w:left w:w="28" w:type="dxa"/>
          <w:bottom w:w="28" w:type="dxa"/>
          <w:right w:w="28" w:type="dxa"/>
        </w:tblCellMar>
      </w:tblPr>
      <w:tblGrid>
        <w:gridCol w:w="1331"/>
        <w:gridCol w:w="1168"/>
        <w:gridCol w:w="1175"/>
        <w:gridCol w:w="232"/>
        <w:gridCol w:w="908"/>
        <w:gridCol w:w="119"/>
        <w:gridCol w:w="109"/>
        <w:gridCol w:w="109"/>
        <w:gridCol w:w="109"/>
        <w:gridCol w:w="273"/>
        <w:gridCol w:w="1072"/>
        <w:gridCol w:w="1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 and network hardware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property and equipment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totaled $8.0 million and $5.0 million for the three months ended March 31, 2026 and 2025, respectively.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by geographical region was as follows:</w:t>
      </w:r>
    </w:p>
    <w:tbl>
      <w:tblPr>
        <w:tblW w:w="4329" w:type="dxa"/>
        <w:jc w:val="left"/>
        <w:tblInd w:w="0" w:type="dxa"/>
        <w:tblLayout w:type="fixed"/>
        <w:tblCellMar>
          <w:top w:w="28" w:type="dxa"/>
          <w:left w:w="28" w:type="dxa"/>
          <w:bottom w:w="28" w:type="dxa"/>
          <w:right w:w="28" w:type="dxa"/>
        </w:tblCellMar>
      </w:tblPr>
      <w:tblGrid>
        <w:gridCol w:w="435"/>
        <w:gridCol w:w="381"/>
        <w:gridCol w:w="383"/>
        <w:gridCol w:w="232"/>
        <w:gridCol w:w="908"/>
        <w:gridCol w:w="119"/>
        <w:gridCol w:w="109"/>
        <w:gridCol w:w="109"/>
        <w:gridCol w:w="109"/>
        <w:gridCol w:w="273"/>
        <w:gridCol w:w="1072"/>
        <w:gridCol w:w="19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6—Intangible Assets</w:t>
      </w:r>
    </w:p>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as of March 31, 2026 and December 31, 2025 included the following:</w:t>
      </w:r>
    </w:p>
    <w:tbl>
      <w:tblPr>
        <w:tblW w:w="7389" w:type="dxa"/>
        <w:jc w:val="left"/>
        <w:tblInd w:w="0" w:type="dxa"/>
        <w:tblLayout w:type="fixed"/>
        <w:tblCellMar>
          <w:top w:w="28" w:type="dxa"/>
          <w:left w:w="28" w:type="dxa"/>
          <w:bottom w:w="28" w:type="dxa"/>
          <w:right w:w="28" w:type="dxa"/>
        </w:tblCellMar>
      </w:tblPr>
      <w:tblGrid>
        <w:gridCol w:w="1544"/>
        <w:gridCol w:w="1353"/>
        <w:gridCol w:w="1362"/>
        <w:gridCol w:w="232"/>
        <w:gridCol w:w="908"/>
        <w:gridCol w:w="119"/>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gross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amortization—intangible assets: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amortization—intangible assets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for the three months ended March 31, 2026 and 2025 was $2.6 million and $7.4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associated with the Company's intangible assets was as follows as of March 31, 2026:</w:t>
      </w:r>
    </w:p>
    <w:tbl>
      <w:tblPr>
        <w:tblW w:w="2654" w:type="dxa"/>
        <w:jc w:val="left"/>
        <w:tblInd w:w="0" w:type="dxa"/>
        <w:tblLayout w:type="fixed"/>
        <w:tblCellMar>
          <w:top w:w="28" w:type="dxa"/>
          <w:left w:w="28" w:type="dxa"/>
          <w:bottom w:w="28" w:type="dxa"/>
          <w:right w:w="28" w:type="dxa"/>
        </w:tblCellMar>
      </w:tblPr>
      <w:tblGrid>
        <w:gridCol w:w="537"/>
        <w:gridCol w:w="471"/>
        <w:gridCol w:w="477"/>
        <w:gridCol w:w="251"/>
        <w:gridCol w:w="735"/>
        <w:gridCol w:w="183"/>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7—Accounts Payable and Accrued Expenses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included the following:</w:t>
      </w:r>
    </w:p>
    <w:tbl>
      <w:tblPr>
        <w:tblW w:w="6798" w:type="dxa"/>
        <w:jc w:val="left"/>
        <w:tblInd w:w="0" w:type="dxa"/>
        <w:tblLayout w:type="fixed"/>
        <w:tblCellMar>
          <w:top w:w="28" w:type="dxa"/>
          <w:left w:w="28" w:type="dxa"/>
          <w:bottom w:w="28" w:type="dxa"/>
          <w:right w:w="28" w:type="dxa"/>
        </w:tblCellMar>
      </w:tblPr>
      <w:tblGrid>
        <w:gridCol w:w="1315"/>
        <w:gridCol w:w="1156"/>
        <w:gridCol w:w="1159"/>
        <w:gridCol w:w="211"/>
        <w:gridCol w:w="976"/>
        <w:gridCol w:w="109"/>
        <w:gridCol w:w="109"/>
        <w:gridCol w:w="109"/>
        <w:gridCol w:w="109"/>
        <w:gridCol w:w="243"/>
        <w:gridCol w:w="1125"/>
        <w:gridCol w:w="177"/>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payable—seller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payable—trade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employee-related payables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holdback - indemnification claims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8—Lease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4.3 years and 4.2 years as of March 31, 2026 and December 31, 2025, respectively. As of March 31, 2026 and December 31, 2025, a weighted average discount rate of 6.09% and 6.03%, respectively, has been applied to the remaining lease payments to calculate the lease liabilities included within the condensed consolidated balance sheets.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expense was $6.7 million and $5.1 million for the three months ended March 31, 2026 and 2025, respectively. The Company recognized variable lease expense of $1.3 million and $0.9 million for the three months ended March 31, 2026 and 2025,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lease liabilities was $6.2 million and $4.9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maturity of the Company's lease liabilities associated with leases included in the lease liabilities and right-of-use ("ROU") assets were as follows as of March 31, 2026 (in thousands):</w:t>
      </w:r>
    </w:p>
    <w:tbl>
      <w:tblPr>
        <w:tblW w:w="4191" w:type="dxa"/>
        <w:jc w:val="left"/>
        <w:tblInd w:w="0" w:type="dxa"/>
        <w:tblLayout w:type="fixed"/>
        <w:tblCellMar>
          <w:top w:w="28" w:type="dxa"/>
          <w:left w:w="28" w:type="dxa"/>
          <w:bottom w:w="28" w:type="dxa"/>
          <w:right w:w="28" w:type="dxa"/>
        </w:tblCellMar>
      </w:tblPr>
      <w:tblGrid>
        <w:gridCol w:w="1123"/>
        <w:gridCol w:w="989"/>
        <w:gridCol w:w="993"/>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 (undiscounted)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lease liabilities included in these consolidated financial statements, the Company entered into agreements for office space and data centers that had not commenced as of March 31, 2026; therefore, the leases were not included in the lease liabilities and ROU assets balance as of March 31, 2026. The Company has future commitments totaling $34.1 million over a weighted average term of 7.9 years related to these agreements, of which $32.8 million relate to one lease that will commence in 2030 over 8.2 years.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right-of-use assets by geographical region were as follows:</w:t>
      </w:r>
    </w:p>
    <w:tbl>
      <w:tblPr>
        <w:tblW w:w="4331" w:type="dxa"/>
        <w:jc w:val="left"/>
        <w:tblInd w:w="0" w:type="dxa"/>
        <w:tblLayout w:type="fixed"/>
        <w:tblCellMar>
          <w:top w:w="28" w:type="dxa"/>
          <w:left w:w="28" w:type="dxa"/>
          <w:bottom w:w="28" w:type="dxa"/>
          <w:right w:w="28" w:type="dxa"/>
        </w:tblCellMar>
      </w:tblPr>
      <w:tblGrid>
        <w:gridCol w:w="435"/>
        <w:gridCol w:w="381"/>
        <w:gridCol w:w="383"/>
        <w:gridCol w:w="255"/>
        <w:gridCol w:w="873"/>
        <w:gridCol w:w="132"/>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9—Debt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 and long term debt as of March 31, 2026 and December 31, 2025 consisted of the following:</w:t>
      </w:r>
    </w:p>
    <w:tbl>
      <w:tblPr>
        <w:tblW w:w="7915" w:type="dxa"/>
        <w:jc w:val="center"/>
        <w:tblInd w:w="0" w:type="dxa"/>
        <w:tblLayout w:type="fixed"/>
        <w:tblCellMar>
          <w:top w:w="28" w:type="dxa"/>
          <w:left w:w="28" w:type="dxa"/>
          <w:bottom w:w="28" w:type="dxa"/>
          <w:right w:w="28" w:type="dxa"/>
        </w:tblCellMar>
      </w:tblPr>
      <w:tblGrid>
        <w:gridCol w:w="1736"/>
        <w:gridCol w:w="1522"/>
        <w:gridCol w:w="1527"/>
        <w:gridCol w:w="232"/>
        <w:gridCol w:w="908"/>
        <w:gridCol w:w="119"/>
        <w:gridCol w:w="109"/>
        <w:gridCol w:w="109"/>
        <w:gridCol w:w="109"/>
        <w:gridCol w:w="273"/>
        <w:gridCol w:w="1072"/>
        <w:gridCol w:w="199"/>
      </w:tblGrid>
      <w:tr>
        <w:trPr/>
        <w:tc>
          <w:tcPr>
            <w:tcW w:w="17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Convertible Senior Notes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2024 Term Loan B Facility</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 Presentation:</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350,849 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130"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principal amount of the Company's debt were as follows as of March 31, 2026 (in thousands):</w:t>
      </w:r>
    </w:p>
    <w:tbl>
      <w:tblPr>
        <w:tblW w:w="2676" w:type="dxa"/>
        <w:jc w:val="left"/>
        <w:tblInd w:w="0" w:type="dxa"/>
        <w:tblLayout w:type="fixed"/>
        <w:tblCellMar>
          <w:top w:w="28" w:type="dxa"/>
          <w:left w:w="28" w:type="dxa"/>
          <w:bottom w:w="28" w:type="dxa"/>
          <w:right w:w="28" w:type="dxa"/>
        </w:tblCellMar>
      </w:tblPr>
      <w:tblGrid>
        <w:gridCol w:w="537"/>
        <w:gridCol w:w="473"/>
        <w:gridCol w:w="475"/>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discount and debt issuance costs is computed using the effective interest method and is included in interest expense in the condensed consolidated statement of operations. Amortization of the debt discount and debt issuance costs associated with the Company's indebtedness totaled $0.7 million and $0.8 million for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Convertible Senior Notes and Capped Call Transactions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repurchased $194.9 million of principal balance of its Convertible Senior Notes in the open market with cash on hand for $165.5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Convertible Senior Notes matured on March 15, 2026, and the Company repaid the outstanding principal balance of $205.1 million in full with cash on hand. No Convertible Senior Notes remained outstanding as of March 31, 2026.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Convertible Senior Notes, the Company entered into privately negotiated capped call transactions with various financial institutions (the "Capped Call Transactions"). The cost of the Capped Call Transactions were recorded as a reduction of the Company's additional paid-in capital in the accompanying consolidated financial statements. The Capped Call Transactions expired as of March 15,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Convertible Senior Notes for the three months ended March 31, 2026 and 2025 (in thousands, except interest rates):</w:t>
      </w:r>
    </w:p>
    <w:tbl>
      <w:tblPr>
        <w:tblW w:w="6325" w:type="dxa"/>
        <w:jc w:val="left"/>
        <w:tblInd w:w="0" w:type="dxa"/>
        <w:tblLayout w:type="fixed"/>
        <w:tblCellMar>
          <w:top w:w="28" w:type="dxa"/>
          <w:left w:w="28" w:type="dxa"/>
          <w:bottom w:w="28" w:type="dxa"/>
          <w:right w:w="28" w:type="dxa"/>
        </w:tblCellMar>
      </w:tblPr>
      <w:tblGrid>
        <w:gridCol w:w="1085"/>
        <w:gridCol w:w="954"/>
        <w:gridCol w:w="960"/>
        <w:gridCol w:w="280"/>
        <w:gridCol w:w="619"/>
        <w:gridCol w:w="360"/>
        <w:gridCol w:w="109"/>
        <w:gridCol w:w="109"/>
        <w:gridCol w:w="109"/>
        <w:gridCol w:w="280"/>
        <w:gridCol w:w="619"/>
        <w:gridCol w:w="360"/>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7"/>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8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2021 and 2024 Credit Agreements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6, 2024, the Company refinanced the Amended 2021 Credit Agreement and entered into a new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included a $365.0 million seven-year senior secured term loan facility (the "2024 Term Loan B Facility"), which will mature in February 2031 and a $175.0 million five-year senior secured revolving credit facility (the "2024 Revolving Credit Facility"), which will mature in February 2029. The Company primarily used the proceeds from the 2024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18, 2024, the Company entered into Amendment No. 1 to the 2024 Credit Agreement ("Amendment No. 1"), which reduced the interest rate of the 2024 Term Loan B Facility by 75 basis points to Term SOFR (as defined in the 2024 Credit Agreement) plus a margin of 3.75% from the previous rate of Term SOFR plus a margin of 4.50%, and on March 18, 2025, the Company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contractual interest rate related to the 2024 Term Loan B Facility was 6.67%.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 1.00. As of March 31, 2026, no amounts were outstanding under the 2024 Revolving Credit Facility and the Company was in compliance with its debt covenants. At March 31, 2026, amounts available under the 2024 Revolving Credit Facility were $170.9 million, net of letters of credit outstanding in the amount of $4.1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2 was $363.2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March 31,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outstanding under the Company's 2024 Term Loan B Facility at March 31, 2026 and December 31, 2025:</w:t>
      </w:r>
    </w:p>
    <w:tbl>
      <w:tblPr>
        <w:tblW w:w="8804" w:type="dxa"/>
        <w:jc w:val="left"/>
        <w:tblInd w:w="0" w:type="dxa"/>
        <w:tblLayout w:type="fixed"/>
        <w:tblCellMar>
          <w:top w:w="28" w:type="dxa"/>
          <w:left w:w="28" w:type="dxa"/>
          <w:bottom w:w="28" w:type="dxa"/>
          <w:right w:w="28" w:type="dxa"/>
        </w:tblCellMar>
      </w:tblPr>
      <w:tblGrid>
        <w:gridCol w:w="2015"/>
        <w:gridCol w:w="1771"/>
        <w:gridCol w:w="1779"/>
        <w:gridCol w:w="232"/>
        <w:gridCol w:w="908"/>
        <w:gridCol w:w="119"/>
        <w:gridCol w:w="109"/>
        <w:gridCol w:w="109"/>
        <w:gridCol w:w="109"/>
        <w:gridCol w:w="276"/>
        <w:gridCol w:w="1081"/>
        <w:gridCol w:w="142"/>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 net of debt discount and issuance costs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350,849 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980" w:type="dxa"/>
            <w:gridSpan w:val="7"/>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March 18, 2025 Debt Repricing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analyzed the changes of Amendment No. 2 on a lender-by-lender basis and determined that the transaction would primarily be accounted for as a modification, with a portion of it accounted for as debt extinguishment and new debt issuance. As a result, the Company recognized a loss on extinguishment of $2.2 million related to $1.0 million of unamortized debt discount and $1.1 million of unamortized debt issuance costs related to the portion of the 2024 Term Loan B Facility that was extinguished. The Company paid $1.1 million in third-party fees related to Amendment No. 2 of which an immaterial amount was capitalized as debt issuance costs and $1.0 million was included in general and administrative expenses in the Company's condensed consolidated statement of operations for the three months ended March 31, 2025. As part of Amendment No. 2, most of the 2024 Term Loan B lenders decided to roll their loan balances over from Amendment No. 1 to Amendment No. 2, while some decided to cash out and reassign their loan balances. On March 18, 2025, $270.6 million of the 2024 Term Loan B principal balance from Amendment No. 1 was rolled over to Amendment No. 2 as part of non-cash financing activities while $92.6 million of the 2024 Term Loan B Facility principal balance from Amendment No. 1 was repaid and then reissued as part of Amendment No. 2.</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2024 Term Loan B Facility and the 2021 Term Loan B Facility (in thousands, except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tbl>
      <w:tblPr>
        <w:tblW w:w="6327" w:type="dxa"/>
        <w:jc w:val="left"/>
        <w:tblInd w:w="0" w:type="dxa"/>
        <w:tblLayout w:type="fixed"/>
        <w:tblCellMar>
          <w:top w:w="28" w:type="dxa"/>
          <w:left w:w="28" w:type="dxa"/>
          <w:bottom w:w="28" w:type="dxa"/>
          <w:right w:w="28" w:type="dxa"/>
        </w:tblCellMar>
      </w:tblPr>
      <w:tblGrid>
        <w:gridCol w:w="1085"/>
        <w:gridCol w:w="954"/>
        <w:gridCol w:w="960"/>
        <w:gridCol w:w="242"/>
        <w:gridCol w:w="707"/>
        <w:gridCol w:w="311"/>
        <w:gridCol w:w="109"/>
        <w:gridCol w:w="109"/>
        <w:gridCol w:w="109"/>
        <w:gridCol w:w="242"/>
        <w:gridCol w:w="707"/>
        <w:gridCol w:w="311"/>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9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for the 2024 Term Loan B Facility debt discount and debt issuance costs was as follows as of March 31, 2026 (in thousands):</w:t>
      </w:r>
    </w:p>
    <w:tbl>
      <w:tblPr>
        <w:tblW w:w="4511" w:type="dxa"/>
        <w:jc w:val="left"/>
        <w:tblInd w:w="0" w:type="dxa"/>
        <w:tblLayout w:type="fixed"/>
        <w:tblCellMar>
          <w:top w:w="28" w:type="dxa"/>
          <w:left w:w="28" w:type="dxa"/>
          <w:bottom w:w="28" w:type="dxa"/>
          <w:right w:w="28" w:type="dxa"/>
        </w:tblCellMar>
      </w:tblPr>
      <w:tblGrid>
        <w:gridCol w:w="537"/>
        <w:gridCol w:w="471"/>
        <w:gridCol w:w="477"/>
        <w:gridCol w:w="253"/>
        <w:gridCol w:w="741"/>
        <w:gridCol w:w="131"/>
        <w:gridCol w:w="109"/>
        <w:gridCol w:w="109"/>
        <w:gridCol w:w="109"/>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Total Interest Expense and Interest Income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contractual interest expense and amortization of debt discount, debt issuance costs, and deferred financing costs related to the Company's debt facilities under its 2024 Credit Agreement and Amended 2021 Credit Agreement as well as its Convertible Senior Notes. Interest income primarily consists of interest earned on the Company's cash equivalents. The following includes interest expense and interest income, as presented within interest expense, net in the condensed consolidated statement of operations (in thousands):</w:t>
      </w:r>
    </w:p>
    <w:tbl>
      <w:tblPr>
        <w:tblW w:w="5096" w:type="dxa"/>
        <w:jc w:val="left"/>
        <w:tblInd w:w="0" w:type="dxa"/>
        <w:tblLayout w:type="fixed"/>
        <w:tblCellMar>
          <w:top w:w="28" w:type="dxa"/>
          <w:left w:w="28" w:type="dxa"/>
          <w:bottom w:w="28" w:type="dxa"/>
          <w:right w:w="28" w:type="dxa"/>
        </w:tblCellMar>
      </w:tblPr>
      <w:tblGrid>
        <w:gridCol w:w="641"/>
        <w:gridCol w:w="562"/>
        <w:gridCol w:w="567"/>
        <w:gridCol w:w="284"/>
        <w:gridCol w:w="829"/>
        <w:gridCol w:w="146"/>
        <w:gridCol w:w="109"/>
        <w:gridCol w:w="109"/>
        <w:gridCol w:w="109"/>
        <w:gridCol w:w="284"/>
        <w:gridCol w:w="829"/>
        <w:gridCol w:w="146"/>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10—Commitments and Contingencies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commitments under non-cancelable operating leases for facilities and its managed data center facilities (refer to Note 8).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$4.1 million and $4.0 million, respectively, of letters of credit associated with office leases available for borrowing, on which there were no outstanding borrowings as of either date.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non-cancelable contractual obligations with various parties, primarily related to cloud-managed service agreements, software service agreements, and data center providers. As of March 31, 2026, the Company's outstanding non-cancelable contractual obligations with a remaining term in excess of one year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tbl>
      <w:tblPr>
        <w:tblW w:w="2675" w:type="dxa"/>
        <w:jc w:val="left"/>
        <w:tblInd w:w="0" w:type="dxa"/>
        <w:tblLayout w:type="fixed"/>
        <w:tblCellMar>
          <w:top w:w="28" w:type="dxa"/>
          <w:left w:w="28" w:type="dxa"/>
          <w:bottom w:w="28" w:type="dxa"/>
          <w:right w:w="28" w:type="dxa"/>
        </w:tblCellMar>
      </w:tblPr>
      <w:tblGrid>
        <w:gridCol w:w="537"/>
        <w:gridCol w:w="473"/>
        <w:gridCol w:w="474"/>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amounts above include commitments under a cloud-managed services agreement, under which the Company has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the Company expects to fulfill the obligation.</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Guarantees and Indemnification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Litigation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claims relating to our collection or use of data, regulatory investigations, audits by taxing authorities, or enforcement proceedings, and claims by persons whose employment has been terminated. For example, the Company has recently been subject to class action lawsuits alleging violations of various privacy statutes. Additionally, on September 16, 2025, the Company filed a lawsuit against Google LLC ("Google") in the U.S. District Court of the Eastern District of Virginia. The complaint alleges that Google has engaged in anticompetitive conduct in the ad exchange and ad server markets in violation of federal antitrust laws, including actions that restrict publishers' ability to use competing services and favor Google's own advertising exchange. Magnite seeks monetary damages, an injunction, structural relief, and reimbursement of reasonable costs and expenses. Magnite intends to pursue its claims vigorously, but cannot predict the outcome of this matter.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management is unable to ascertain the ultimate aggregate amount of monetary liability or awards, amounts which may be covered by insurance or recoverable from third parties, or the financial impact with respect to such matters as of March 31, 2026. However, based on management’s knowledge as of March 31, 2026, management believes that the final resolution of these matters known at such date, individually and in the aggregate, will not have a material adverse effect upon the Company’s condensed consolidated financial position, results of operations or cash flows.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Employment Contracts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11—Stock-Based Compensation</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stock option activity for the three months ended March 31, 2026 was as follows: </w:t>
      </w:r>
    </w:p>
    <w:tbl>
      <w:tblPr>
        <w:tblW w:w="10205" w:type="dxa"/>
        <w:jc w:val="left"/>
        <w:tblInd w:w="0" w:type="dxa"/>
        <w:tblLayout w:type="fixed"/>
        <w:tblCellMar>
          <w:top w:w="28" w:type="dxa"/>
          <w:left w:w="28" w:type="dxa"/>
          <w:bottom w:w="28" w:type="dxa"/>
          <w:right w:w="28" w:type="dxa"/>
        </w:tblCellMar>
      </w:tblPr>
      <w:tblGrid>
        <w:gridCol w:w="768"/>
        <w:gridCol w:w="674"/>
        <w:gridCol w:w="678"/>
        <w:gridCol w:w="544"/>
        <w:gridCol w:w="441"/>
        <w:gridCol w:w="393"/>
        <w:gridCol w:w="109"/>
        <w:gridCol w:w="109"/>
        <w:gridCol w:w="109"/>
        <w:gridCol w:w="414"/>
        <w:gridCol w:w="1209"/>
        <w:gridCol w:w="213"/>
        <w:gridCol w:w="109"/>
        <w:gridCol w:w="109"/>
        <w:gridCol w:w="109"/>
        <w:gridCol w:w="705"/>
        <w:gridCol w:w="705"/>
        <w:gridCol w:w="707"/>
        <w:gridCol w:w="109"/>
        <w:gridCol w:w="109"/>
        <w:gridCol w:w="109"/>
        <w:gridCol w:w="326"/>
        <w:gridCol w:w="1118"/>
        <w:gridCol w:w="169"/>
        <w:gridCol w:w="160"/>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137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had unrecognized stock-based compensation expense relating to unvested stock options of approximately $2.1 million, which is expected to be recognized over a weighted-average period of 2.7 years.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stock options that contain service conditions using the Black-Scholes option pricing model. The grant date fair value of options granted during the three months ended March 31, 2026 and 2025 was $10.64 and $11.40, respectively, per share. The weighted-average input assumptions used by the Company were as follows:</w:t>
      </w:r>
    </w:p>
    <w:tbl>
      <w:tblPr>
        <w:tblW w:w="5686" w:type="dxa"/>
        <w:jc w:val="left"/>
        <w:tblInd w:w="0" w:type="dxa"/>
        <w:tblLayout w:type="fixed"/>
        <w:tblCellMar>
          <w:top w:w="28" w:type="dxa"/>
          <w:left w:w="28" w:type="dxa"/>
          <w:bottom w:w="28" w:type="dxa"/>
          <w:right w:w="28" w:type="dxa"/>
        </w:tblCellMar>
      </w:tblPr>
      <w:tblGrid>
        <w:gridCol w:w="755"/>
        <w:gridCol w:w="663"/>
        <w:gridCol w:w="666"/>
        <w:gridCol w:w="109"/>
        <w:gridCol w:w="109"/>
        <w:gridCol w:w="247"/>
        <w:gridCol w:w="247"/>
        <w:gridCol w:w="280"/>
        <w:gridCol w:w="280"/>
        <w:gridCol w:w="699"/>
        <w:gridCol w:w="109"/>
        <w:gridCol w:w="109"/>
        <w:gridCol w:w="109"/>
        <w:gridCol w:w="264"/>
        <w:gridCol w:w="264"/>
        <w:gridCol w:w="77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631"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ind w:left="0" w:right="0" w:firstLine="720"/>
        <w:jc w:val="left"/>
        <w:rPr/>
      </w:pPr>
      <w:r>
        <w:rPr/>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restricted stock unit ("RSU") activity for the three months ended March 31, 2026 was as follows: </w:t>
      </w:r>
    </w:p>
    <w:tbl>
      <w:tblPr>
        <w:tblW w:w="10205" w:type="dxa"/>
        <w:jc w:val="left"/>
        <w:tblInd w:w="0" w:type="dxa"/>
        <w:tblLayout w:type="fixed"/>
        <w:tblCellMar>
          <w:top w:w="28" w:type="dxa"/>
          <w:left w:w="28" w:type="dxa"/>
          <w:bottom w:w="28" w:type="dxa"/>
          <w:right w:w="28" w:type="dxa"/>
        </w:tblCellMar>
      </w:tblPr>
      <w:tblGrid>
        <w:gridCol w:w="1934"/>
        <w:gridCol w:w="1700"/>
        <w:gridCol w:w="1705"/>
        <w:gridCol w:w="469"/>
        <w:gridCol w:w="464"/>
        <w:gridCol w:w="459"/>
        <w:gridCol w:w="109"/>
        <w:gridCol w:w="109"/>
        <w:gridCol w:w="109"/>
        <w:gridCol w:w="675"/>
        <w:gridCol w:w="1972"/>
        <w:gridCol w:w="500"/>
      </w:tblGrid>
      <w:tr>
        <w:trPr/>
        <w:tc>
          <w:tcPr>
            <w:tcW w:w="193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at December 31, 2025</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and unvested at March 31, 2026</w:t>
            </w:r>
          </w:p>
        </w:tc>
        <w:tc>
          <w:tcPr>
            <w:tcW w:w="9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per share of restricted stock units granted during the three months ended March 31, 2026 and 2025 was $16.11 and $16.21,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restricted stock units that vested and were released during the three months ended March 31, 2026 and 2025 was $23.0 million and $48.1 million, respectively, based on their respective vesting dates. At March 31, 2026, the intrinsic value of unvested restricted stock units was $139.2 million. At March 31, 2026, the Company had unrecognized stock-based compensation expense relating to unvested restricted stock units of approximately $150.9 million, which is expected to be recognized over a weighted-average period of 2.8 years.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 stock units ("PSU") to select executive employees that vest based on share price metrics tied to total shareholder return ("TSR") relative to a peer group, subject to a time-based service component. Between 0% and 150%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of the performance stock units will vest at the end of the performance period, which is generally on the third anniversary of the PSU grant date.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PSUs is based on the grant date fair value and the number of shares assuming a performance measurement of 100%. The compensation expense will not be reversed if the performance metrics are not met.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granted PSUs with an aggregate target of 373,653 shares, assuming a performance measurement of 100%. The amount of shares that will ultimately vest will be determined based on the Company's TSR relative to the TSRs of a peer group for the three year-period beginning January 1, 2026, as well as certain interim measurements based on relative TSR for the one-year and two-year periods beginning on January 1, 2026.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PSU activity for the three months ended March 31, 2026 was as follows:</w:t>
      </w:r>
    </w:p>
    <w:tbl>
      <w:tblPr>
        <w:tblW w:w="10205" w:type="dxa"/>
        <w:jc w:val="left"/>
        <w:tblInd w:w="0" w:type="dxa"/>
        <w:tblLayout w:type="fixed"/>
        <w:tblCellMar>
          <w:top w:w="28" w:type="dxa"/>
          <w:left w:w="28" w:type="dxa"/>
          <w:bottom w:w="28" w:type="dxa"/>
          <w:right w:w="28" w:type="dxa"/>
        </w:tblCellMar>
      </w:tblPr>
      <w:tblGrid>
        <w:gridCol w:w="1326"/>
        <w:gridCol w:w="1164"/>
        <w:gridCol w:w="1170"/>
        <w:gridCol w:w="689"/>
        <w:gridCol w:w="651"/>
        <w:gridCol w:w="605"/>
        <w:gridCol w:w="159"/>
        <w:gridCol w:w="159"/>
        <w:gridCol w:w="159"/>
        <w:gridCol w:w="884"/>
        <w:gridCol w:w="2584"/>
        <w:gridCol w:w="655"/>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 *</w:t>
            </w:r>
          </w:p>
        </w:tc>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released *</w:t>
            </w:r>
          </w:p>
        </w:tc>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9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123"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9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PSUs granted and weighted-average grant date fair value include 125 shares issued above the target shares for a PSU that vested and was released during the three months ended March 31, 2026.</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 date fair value for the PSUs was estimated using a Monte-Carlo simulation model. The grant date fair value of PSUs granted during the three months ended March 31, 2026 and March 31, 2025 was $20.35 and $20.93, respectively, per share. The weighted-average input assumptions used by the Company were as follows:</w:t>
      </w:r>
    </w:p>
    <w:tbl>
      <w:tblPr>
        <w:tblW w:w="8627" w:type="dxa"/>
        <w:jc w:val="left"/>
        <w:tblInd w:w="0" w:type="dxa"/>
        <w:tblLayout w:type="fixed"/>
        <w:tblCellMar>
          <w:top w:w="28" w:type="dxa"/>
          <w:left w:w="28" w:type="dxa"/>
          <w:bottom w:w="28" w:type="dxa"/>
          <w:right w:w="28" w:type="dxa"/>
        </w:tblCellMar>
      </w:tblPr>
      <w:tblGrid>
        <w:gridCol w:w="1822"/>
        <w:gridCol w:w="1597"/>
        <w:gridCol w:w="1606"/>
        <w:gridCol w:w="109"/>
        <w:gridCol w:w="109"/>
        <w:gridCol w:w="247"/>
        <w:gridCol w:w="247"/>
        <w:gridCol w:w="280"/>
        <w:gridCol w:w="280"/>
        <w:gridCol w:w="699"/>
        <w:gridCol w:w="109"/>
        <w:gridCol w:w="109"/>
        <w:gridCol w:w="109"/>
        <w:gridCol w:w="264"/>
        <w:gridCol w:w="264"/>
        <w:gridCol w:w="776"/>
      </w:tblGrid>
      <w:tr>
        <w:trPr/>
        <w:tc>
          <w:tcPr>
            <w:tcW w:w="182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631" w:type="dxa"/>
            <w:gridSpan w:val="6"/>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fair value of PSUs that vested and were released was $9.7 million and $1.9 million, respectively, based on their respective vesting dates. At March 31, 2026, the intrinsic value of unvested performance stock units based on expected achievement levels was $11.4 million. As of March 31, 2026, the Company had unrecognized stock-based compensation expense relating to unvested PSUs of approximately $12.9 million, which will be recognized over a weighted-average period of 1.4 years.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Stock-Based Compensation Expense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recorded in the condensed consolidated statements of operations was as follows: </w:t>
      </w:r>
    </w:p>
    <w:tbl>
      <w:tblPr>
        <w:tblW w:w="6777" w:type="dxa"/>
        <w:jc w:val="center"/>
        <w:tblInd w:w="0" w:type="dxa"/>
        <w:tblLayout w:type="fixed"/>
        <w:tblCellMar>
          <w:top w:w="28" w:type="dxa"/>
          <w:left w:w="28" w:type="dxa"/>
          <w:bottom w:w="28" w:type="dxa"/>
          <w:right w:w="28" w:type="dxa"/>
        </w:tblCellMar>
      </w:tblPr>
      <w:tblGrid>
        <w:gridCol w:w="1247"/>
        <w:gridCol w:w="1099"/>
        <w:gridCol w:w="1103"/>
        <w:gridCol w:w="255"/>
        <w:gridCol w:w="873"/>
        <w:gridCol w:w="132"/>
        <w:gridCol w:w="109"/>
        <w:gridCol w:w="109"/>
        <w:gridCol w:w="109"/>
        <w:gridCol w:w="255"/>
        <w:gridCol w:w="873"/>
        <w:gridCol w:w="132"/>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 aggregate of 12,953,675 shares remained available for future grants under the Magnite, Inc. Amended and Restated 2014 Equity Incentive Plan (the "Amended and Restated 2014 Equity Incentive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has reserved 3,959,114 shares of its common stock for issuance under the Magnite, Inc. Amended and Restated 2014 Employee Stock Purchase Plan (the "Amended and Restated 2014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12—Income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and nondeductible executive compensation.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an income tax benefit of $0.7 million and $0.9 million for the three months ended March 31, 2026, and 2025, respectively. The tax benefit for the three months ended March 31, 2026 was primarily the result of the vesting of share-based awards. The tax benefit for the three months ended March 31, 2025 was primarily the result of the Company's ability to recognize deferred tax assets ("DTAs") subject to the domestic valuation allowance and the federal, state, and foreign income tax provisions. The Company continues to maintain a partial valuation allowance against certain state and foreign DTAs where it is not more likely than not that such assets will be realized.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released a majority of the domestic and foreign valuation allowances during the quarter ended December 31, 2025. The Company continues to maintain a partial valuation allowance on certain DTAs until there is sufficient evidence to support the reversal of all or some additional portion of these allowances. The exact timing and amount of future valuation allowance releases are dependent upon when sufficient evidence exists to support their realization.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net operating loss ("NOL") carryforwards, all of the Company's United States federal and a majority of its state returns are open to examination by the Internal Revenue Service and state jurisdictions for all years since inception. For India, Netherlands, Sweden, and the United Kingdom, all tax years remain open for examination by the local country tax authorities, for France, only 2023 and forward are open, for Australia and Singapore, only 2022 and forward are open for examination, for Brazil, Canada, Germany, Malaysia and New Zealand, only 2021 and forward are open for examination, for Italy, only 2020 and forward are open for examination, and for Japan, only 2019 and forward remain open for examination.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382 of the Internal Revenue Code (the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some of its federal research and development carryforward tax credits will not be recovered prior to expiration.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was no material change to the Company's unrecognized tax benefits in the three months ended March 31, 2026 and the Company does not expect to have any material changes to unrecognized tax benefits through the end of the fiscal year.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of the United States signed H.R. 1, commonly referred to as the "One Big Beautiful Bill Act" ("OBBBA")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OBBBA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2025. OBBBA changes effective for 2025 were reflected in the income tax provision for the year ended December 31, 2025, and the OBBBA changes effective for 2026 are reflected in the Company's estimated effective tax rate for the three months ended March 31, 2026. Based on current projections, the continuing impact is expected to be a deferral of the payment of current income taxes over multiple years; however, the Company expects the net impact to its effective tax rate for 2026 to be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("AI"); the development of identity solutions; client utilization of our offerings; the impact of requests for discounts, rebates, or other fee concessions; our competitive differentiation; our market share and leadership position in the industry; market conditions, trends, and opportunities; the effects of regulatory developments or antitrust rulings on competitive dynamics in our industry; our litigation against Google LLC, or the anticipated benefits thereof;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outcomes, performance or achievements, or the timing thereof, to be materially different from expectations or results projected or implied by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We discuss many of these risks, uncertainties, and additional factors that could cause actual results, outcomes, or timing thereof,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2025,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or outcomes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our unaudited condensed consolidated financial statements and notes thereto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we announced the introduction of our next generation SpringServe CTV platform, which combines the features and functionalities of our streaming SSP and ad server. Our SpringServe platform offers CTV sellers a holistic solution to manage and monetize their entire portfolio of CTV ad inventory, across both programmatic and direct-sold video inventory, while providing a more efficient connection for buyers to premium CTV supply. We provide sellers with a full suite of tools to protect the consumer viewing experience and brand safety expectations, while increasing revenue opportunities, including tools for mediation and yield optimization, forecasting and planning, customized ad experiences and formats, dynamic ad insertion to serve live streaming events and advanced podding logic to manage competitive separation. These tools are particularly important to CTV sellers who need to provide a TV-like viewing and advertising experience for consumers.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Buyers leverage our platform to reach their target audiences across thousands of sellers in a premium brand-safe environment. We offer a suite of tools designed to help buyers discover and curate inventory, simplify workflow and execute on their campaign objectives in a cost effective manner. For instance, our ClearLine product provides buyers with direct access to premium CTV inventory and integrated curation capabilities, enabling buyers to build custom deal packages that can be enriched with high-fidelity first-party or third-party data.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on a worldwide basis, with an established operating presence in North America, Australia and Europe, and a developing presence in Asia and South America. Our non-U.S. subsidiaries and operations perform primarily sales, marketing, and service functions. </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Industry and Company Trends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Continued Shift Toward Digital Advertising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Automation of Buying and Selling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transactions include biddable auctions, where multiple buyers bid against each other in a real-time auction for the right to purchase a publisher's inventory, as well as reserve auctions, where publishers establish direct deals or private marketplaces with select buyers. These reserve auctions may also be guaranteed, where a buyer has negotiated a pre-established price and volume with a seller.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Convergence of TV and Digital</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it will become increasingly more accessible to small and medium sized businesses, many of whom have no experience advertising on linear TV. We believe this transition is likely to be accelerated by advancements in AI, and in September 2025 we completed the acquisition of Streamrai, Inc. ("Streamer.ai"), a self-service platform that specializes in artificial intelligence tools that make CTV advertising accessible to small and medium-sized businesses. The Streamr.ai technology leverages generative AI to automate the creation of broadcast-quality video ads and streamline campaign setup, allowing advertisers to launch CTV campaigns in significantly less time and at significantly less cost than traditional methods.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advertiser base for CTV expands and diversifies, we believe CTV sellers will make a greater percentage of inventory available through biddable auction environments with multiple buyers rather than programmatic guaranteed. We believe that this shift, if it were to occur, would likely be beneficial to our CTV growth as biddable transactions tend to require a higher level of service and therefore carry a higher take-rate compared to reserve auctions.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and plan to continue to make significant investments in technology, sales and support related to our CTV growth initiatives, and believe CTV will be the most significant driver of our revenue growth for the foreseeable future.</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Identity Solutions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have taken steps to eliminate or restrict the use of these technologies.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long term, we believe that a decreased reliance on third-party cookies and other non-transparent tracking methods would be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 such as our Magnite Curator Marketplace, a self-service solution integrated within ClearLine. The Magnite Curator Marketplace allows the creation of custom deal packages for buyers that include curated pools of premium inventory that can be enriched with the curator's first-party or third-party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Supply Path Optimization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Supply Path Optimization ("SPO") refers to efforts by buyers to consolidate the number of vendors with which they work to find the most effective and cost-efficient paths to procure media.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SPO efforts with buyers are important because they allow us to build deeper relationships with buyers and potentially attract unique advertising demand, which, in turn, increase revenue opportunities for our seller clients. We typically enter into SPO agreements directly with agencies or agency holding companies, as well as brands and DSPs, which may provide for custom integrations, data flows or volume-based discounts. Under these SPO agreements, we may be designated as a preferred partner or otherwise enter into terms intended to increase the overall spend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we are well positioned to benefit from SPO in the long run as a result of our transparency, our broad and unique inventory supply across all channels and formats, buyer tools, such as our ClearLine product offering and buyer marketplaces, traffic filtering technology that reduces the cost of working with us, and brand safety measures.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Header Bidding and Data Processing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Header bidding is a programmatic technique by which sellers offer inventory to multiple ad exchanges and supply side platforms, such as our platform, simultaneously. Header bidding has been adopted in the desktop and mobile channels, largely as a counterweight to Google's dominance in the display ad server market. The adoption of header bidding in desktop and mobile display has created a number of challenges and technical complexities for both sellers and buyers, which require sophisticated tools to manage.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CTV, solutions similar to header bidding that are geared towards increasing demand competition have largely been built directly within the ad server. For instance, our SpringServe CTV platform enables sellers to offer their inventory to multiple programmatic demand sources to compete in a unified auction.</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Regulatory Developments and Google Litigation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17, 2025, the United States District Court for the Eastern District of Virginia (the "Court") ruled that Google LLC ("Google") had violated federal antitrust laws by willfully acquiring and maintaining monopoly power in the display publisher ad server market and display ad exchange (also called an SSP) market, and had unlawfully tied its display ad server and ad exchange. Having found Google liable, the Court held closing arguments in November 2025 to determine what remedies are appropriate to restore competition to the affected markets. While the specific timing and nature of these remedies remains uncertain, and Google has indicated its intent to appeal the decision, we expect this ruling to have a significant positive impact on our industry and business prospects.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mobile and desktop SSP competes directly with Google's ad exchange for the placement of display ads within the Google display ad server, which is estimated to be used by approximately 90% of open-web publishers. We believe that the conduct found to be unlawful by the Court provided Google's ad exchange with an unfair advantage relative to rival exchanges, such as our SSP, and artificially depressed our ability to win impressions within the Google display ad server. Moreover, we believe that Google's illegal conduct foreclosed the ability of publishers to freely choose what SSPs or exchanges they worked with to monetize inventory. As such, any remedy that creates a more level playing field and increases publisher choice is likely to improve our ability to monetize a greater share of display inventory while growing our market share in open-web display.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2025, in light of the Court's decision, we filed a lawsuit against Google in the U.S. District Court of the Eastern District of Virginia, seeking damages and other remedies (the "Google Action"). Our complaint alleges that Google engaged in anticompetitive conduct in the ad exchange and ad server markets in violation of federal antitrust laws, including actions that restrict publishers' ability to use competing services and favor Google's own advertising exchange, which caused us substantial harm and lost opportunity.</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Macroeconomic Developments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Macroeconomic challenges such as inflation, tariffs and trade wars, the interest rate environment, global conflicts, the risk of a recession, labor strikes, and significant volatility in commodity prices, including the price of oil,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inflation and tariffs could result in an increase in our cost base relative to our revenue and increased cost associated with our infrastructure investments. Moreover, in response to U.S. tariffs, foreign countries in which we operate may enact additional or new taxes that are applicable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Part I, Item 1A. "Risk Factors" in our Annual Report on Form 10-K for the year ended December 31, 2025 for additional information related to risks associated with macroeconomic challenges.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operating performance.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our revenue reported on a gross basis was 4% and 11%, respectively, of total revenue. The decline in our revenue reported on a gross basis as a percentage of our revenue is primarily due to declines in our managed service business, which is accounted for on a gross basis, as advertisers continue to shift budgets towards more automated solutions.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recognition policies are discussed in more detail in our audited consolidated financial statements and Note 2 thereto included in our Annual Report on Form 10-K for the year ended December 31, 2025.</w:t>
      </w:r>
    </w:p>
    <w:p>
      <w:pPr>
        <w:pStyle w:val="TextBody"/>
        <w:bidi w:val="0"/>
        <w:spacing w:lineRule="auto" w:line="26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Expenses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Our cost of revenue primarily consists of cloud hosting, data center, and bandwidth costs, ad verification costs, depreciation and 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primarily consist of personnel costs, including salaries, bonuses, and stock-based compensation, 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pStyle w:val="TextBody"/>
        <w:bidi w:val="0"/>
        <w:spacing w:lineRule="auto" w:line="268" w:before="0" w:after="0"/>
        <w:ind w:left="0" w:right="0" w:firstLine="720"/>
        <w:jc w:val="left"/>
        <w:rPr/>
      </w:pPr>
      <w:r>
        <w:rPr>
          <w:rFonts w:ascii="Times New Roman;serif" w:hAnsi="Times New Roman;serif"/>
          <w:b w:val="false"/>
          <w:i/>
          <w:color w:val="000000"/>
          <w:sz w:val="20"/>
        </w:rPr>
        <w:t>Technology and Development</w:t>
      </w:r>
      <w:r>
        <w:rPr>
          <w:rFonts w:ascii="Times New Roman;serif" w:hAnsi="Times New Roman;serif"/>
          <w:b w:val="false"/>
          <w:color w:val="000000"/>
          <w:sz w:val="20"/>
        </w:rPr>
        <w:t>. Our technology and development expenses primarily consist of personnel costs, including salaries, bonuses, and 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primarily consist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Interest (Income) Expense, Net.</w:t>
      </w:r>
      <w:r>
        <w:rPr>
          <w:color w:val="000000"/>
        </w:rPr>
        <w:t xml:space="preserve"> </w:t>
      </w:r>
      <w:r>
        <w:rPr>
          <w:rFonts w:ascii="Times New Roman;serif" w:hAnsi="Times New Roman;serif"/>
          <w:b w:val="false"/>
          <w:color w:val="000000"/>
          <w:sz w:val="20"/>
        </w:rPr>
        <w:t xml:space="preserve">Interest expense primarily consists of interest expense associated with our 2024 Term Loan B Facility (defined below), 2021 Term Loan B Facility (defined below) and Convertible Senior Notes (defined below), and their related amortization of debt issuance costs and debt discount. Interest income primarily consists of interest earned on our cash equivalents. </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Foreign Currency Exchange (Gain) Loss, Net</w:t>
      </w:r>
      <w:r>
        <w:rPr>
          <w:rFonts w:ascii="Times New Roman;serif" w:hAnsi="Times New Roman;serif"/>
          <w:b w:val="false"/>
          <w:color w:val="000000"/>
          <w:sz w:val="20"/>
        </w:rPr>
        <w:t>. Foreign currency exchange (gain) loss, net consists of gains and losses on foreign currency 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Euro, Japanese Yen, and New Zealand Dollar.</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 xml:space="preserve">Loss on Extinguishment of Debt. </w:t>
      </w:r>
      <w:r>
        <w:rPr>
          <w:rFonts w:ascii="Times New Roman;serif" w:hAnsi="Times New Roman;serif"/>
          <w:b w:val="false"/>
          <w:color w:val="000000"/>
          <w:sz w:val="20"/>
        </w:rPr>
        <w:t>Loss on extinguishment of debt consists of losses associated with the refinancing of our debt facilities, including the extinguishment of unamortized debt discount, debt issuance costs, and deferred financing costs.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 xml:space="preserve">Other Income. </w:t>
      </w:r>
      <w:r>
        <w:rPr>
          <w:rFonts w:ascii="Times New Roman;serif" w:hAnsi="Times New Roman;serif"/>
          <w:b w:val="false"/>
          <w:color w:val="000000"/>
          <w:sz w:val="20"/>
        </w:rPr>
        <w:t>Other income primarily consists of rental income from commercial office space we hold under lease and have sublet to other tenants.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The following table sets forth our condensed consolidated results of operations:</w:t>
      </w:r>
    </w:p>
    <w:tbl>
      <w:tblPr>
        <w:tblW w:w="7259" w:type="dxa"/>
        <w:jc w:val="center"/>
        <w:tblInd w:w="0" w:type="dxa"/>
        <w:tblLayout w:type="fixed"/>
        <w:tblCellMar>
          <w:top w:w="28" w:type="dxa"/>
          <w:left w:w="28" w:type="dxa"/>
          <w:bottom w:w="28" w:type="dxa"/>
          <w:right w:w="28" w:type="dxa"/>
        </w:tblCellMar>
      </w:tblPr>
      <w:tblGrid>
        <w:gridCol w:w="920"/>
        <w:gridCol w:w="811"/>
        <w:gridCol w:w="819"/>
        <w:gridCol w:w="237"/>
        <w:gridCol w:w="891"/>
        <w:gridCol w:w="132"/>
        <w:gridCol w:w="109"/>
        <w:gridCol w:w="109"/>
        <w:gridCol w:w="109"/>
        <w:gridCol w:w="237"/>
        <w:gridCol w:w="891"/>
        <w:gridCol w:w="132"/>
        <w:gridCol w:w="109"/>
        <w:gridCol w:w="109"/>
        <w:gridCol w:w="109"/>
        <w:gridCol w:w="223"/>
        <w:gridCol w:w="183"/>
        <w:gridCol w:w="430"/>
        <w:gridCol w:w="109"/>
        <w:gridCol w:w="109"/>
        <w:gridCol w:w="109"/>
        <w:gridCol w:w="109"/>
        <w:gridCol w:w="109"/>
        <w:gridCol w:w="154"/>
      </w:tblGrid>
      <w:tr>
        <w:trPr/>
        <w:tc>
          <w:tcPr>
            <w:tcW w:w="92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100" w:after="100"/>
        <w:jc w:val="center"/>
        <w:rPr/>
      </w:pPr>
      <w:r>
        <w:rPr/>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The following table sets forth our condensed consolidated results of operations for the specified periods as a percentage of our revenue for those periods presented:</w:t>
      </w:r>
    </w:p>
    <w:tbl>
      <w:tblPr>
        <w:tblW w:w="5925" w:type="dxa"/>
        <w:jc w:val="center"/>
        <w:tblInd w:w="0" w:type="dxa"/>
        <w:tblLayout w:type="fixed"/>
        <w:tblCellMar>
          <w:top w:w="28" w:type="dxa"/>
          <w:left w:w="28" w:type="dxa"/>
          <w:bottom w:w="28" w:type="dxa"/>
          <w:right w:w="28" w:type="dxa"/>
        </w:tblCellMar>
      </w:tblPr>
      <w:tblGrid>
        <w:gridCol w:w="922"/>
        <w:gridCol w:w="810"/>
        <w:gridCol w:w="817"/>
        <w:gridCol w:w="257"/>
        <w:gridCol w:w="257"/>
        <w:gridCol w:w="746"/>
        <w:gridCol w:w="125"/>
        <w:gridCol w:w="125"/>
        <w:gridCol w:w="125"/>
        <w:gridCol w:w="257"/>
        <w:gridCol w:w="257"/>
        <w:gridCol w:w="746"/>
        <w:gridCol w:w="109"/>
        <w:gridCol w:w="109"/>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Note: Percentages may not sum due to rounding.</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March 31, 2026 and 2025</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$8.6 million, or 6%, for the three months ended March 31, 2026 compared to the prior year period. Our revenue growth was driven by growth in CTV, which increased by $12.8 million, or 18%. This increase was partially offset by a decline in revenue from mobile and desktop of $2.9 million, or 5%, and $1.4 million, or 6%, respectively.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CTV revenue growth for the three months ended March 31, 2026 compared to the prior year period was negatively impacted by a decline in the relative percentage of transactions reported on a gross basis, compared to on a net basis. Transactions reported on a gross basis generally result in a higher revenue contribution with an associated increase in our traffic acquisition costs. See "Key Operating and Financial Performance Metrics" below for a discussion of Contribution ex-TAC, which presents a year-over-year comparison of our CTV growth, without considering the impact of traffic acquisition costs related to revenue reported on a gross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full year 2026, we believe our revenue should increase compared to the prior year period and we expect CTV to be our biggest growth driver.</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expenses decreased $2.4 million, or 4%, for the three months ended March 31, 2026 compared to the prior year period, primarily due to a decrease of $6.5 million in traffic acquisition costs due to a decrease in revenue reported on a gross basis. This decrease was partially offset by increases of $2.6 million in cloud hosting, data center, and bandwidth expenses and $1.1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may fluctuate from quarter to quarter and period to period, on an absolute dollar basis and as a percentage of revenue, depending on revenue levels and the volume of transactions we process supporting those revenues, whether transactions are reported on a gross or net basis, and the timing and amounts of depreciation and amortization of equipment and software.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Sales and Marketing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decreased $2.0 million, or 4%, for the three months ended March 31, 2026 compared to the prior year period, primarily due to a decrease of $2.3 million in depreciation and amortization, which was driven by certain acquired intangible assets becoming fully amortized in 2025.</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may fluctuate quarter to quarter and period to period, based on the timing of our investments and seasonality in our industry and business.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Technology and Development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increased $2.9 million, or 13%, for the three months ended March 31, 2026 compared to the prior year period, primarily due to increases of $1.7 million in event and travel-related expenses and $1.2 million in personnel costs.</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may fluctuate from quarter to quarter and period to period based on the timing and amounts of technology and development efforts, the timing and the rate of the amortization of internally-developed capitalized projects and the timing and amounts of future capitalized internally-developed software costs.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$1.0 million, or 4%, for the three months ended March 31, 2026 compared to the prior year period, primarily due to increases of $1.0 million in professional services expenses.</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tbl>
      <w:tblPr>
        <w:tblW w:w="6131" w:type="dxa"/>
        <w:jc w:val="left"/>
        <w:tblInd w:w="0" w:type="dxa"/>
        <w:tblLayout w:type="fixed"/>
        <w:tblCellMar>
          <w:top w:w="28" w:type="dxa"/>
          <w:left w:w="28" w:type="dxa"/>
          <w:bottom w:w="28" w:type="dxa"/>
          <w:right w:w="28" w:type="dxa"/>
        </w:tblCellMar>
      </w:tblPr>
      <w:tblGrid>
        <w:gridCol w:w="1016"/>
        <w:gridCol w:w="892"/>
        <w:gridCol w:w="897"/>
        <w:gridCol w:w="284"/>
        <w:gridCol w:w="829"/>
        <w:gridCol w:w="146"/>
        <w:gridCol w:w="109"/>
        <w:gridCol w:w="109"/>
        <w:gridCol w:w="109"/>
        <w:gridCol w:w="284"/>
        <w:gridCol w:w="829"/>
        <w:gridCol w:w="146"/>
        <w:gridCol w:w="109"/>
        <w:gridCol w:w="109"/>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$0.6 million for the three months ended March 31, 2026, compared to the prior year period. The net decreases were primarily due to a decrease in interest expense as a result of the repricing of our term loan facilities.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loss, net decreased by $2.4 million for the three months ended March 31, 2026 compared to the prior year period due to movements in foreign currency exchange rates and the amount of foreign currency-denominated cash, receivables, and payables, which were impacted by our billings to buyers, payments to sellers, and intercompany balances.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loss on extinguishment of debt of $2.2 million for the three months ended March 31, 2025, was due to the March 2025 repricing of our 2024 Term Loan B Facility (defined below).</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was relatively flat for the three months ended March 31, 2026 compared to the prior year period as we had similar levels of sublease activity.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Provision (Benefit) for Income Taxes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an income tax benefit of $0.7 million and $0.9 million for the three months ended March 31, 2026 and 2025, respectively. The tax benefit for the three months ended March 31, 2026 was primarily the result of the vesting of share-based awards. The tax benefit for the three months ended March 31, 2025 was primarily the result of the Company's ability to recognize deferred tax assets subject to the domestic valuation allowance and the federal, state, and foreign income tax provisions.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of the United States signed H.R. 1, commonly referred to as the "One Big Beautiful Bill Act" into law. These changes were reflected in the income tax provision for the three months ended March 31, 2026. We have evaluated the tax law as it relates to our financials and determined there is no material impact on the periods presented above. Based on current projections, the continuing impact will be a deferral of the payment of current income taxes over multiple years; however, we expect the net impact to our effective tax rate for 2026 to be immaterial. We will continue to monitor for any impact of future guidance.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and Financial Performance Metrics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cost of revenue, and net income (loss) are discussed above under the headings "Components of Our Results of Operations" and "Results of Operations." </w:t>
      </w:r>
    </w:p>
    <w:tbl>
      <w:tblPr>
        <w:tblW w:w="9389" w:type="dxa"/>
        <w:jc w:val="left"/>
        <w:tblInd w:w="0" w:type="dxa"/>
        <w:tblLayout w:type="fixed"/>
        <w:tblCellMar>
          <w:top w:w="28" w:type="dxa"/>
          <w:left w:w="28" w:type="dxa"/>
          <w:bottom w:w="28" w:type="dxa"/>
          <w:right w:w="28" w:type="dxa"/>
        </w:tblCellMar>
      </w:tblPr>
      <w:tblGrid>
        <w:gridCol w:w="1682"/>
        <w:gridCol w:w="1479"/>
        <w:gridCol w:w="1488"/>
        <w:gridCol w:w="232"/>
        <w:gridCol w:w="908"/>
        <w:gridCol w:w="119"/>
        <w:gridCol w:w="109"/>
        <w:gridCol w:w="109"/>
        <w:gridCol w:w="109"/>
        <w:gridCol w:w="232"/>
        <w:gridCol w:w="908"/>
        <w:gridCol w:w="119"/>
        <w:gridCol w:w="109"/>
        <w:gridCol w:w="109"/>
        <w:gridCol w:w="109"/>
        <w:gridCol w:w="193"/>
        <w:gridCol w:w="193"/>
        <w:gridCol w:w="483"/>
        <w:gridCol w:w="109"/>
        <w:gridCol w:w="109"/>
        <w:gridCol w:w="109"/>
        <w:gridCol w:w="109"/>
        <w:gridCol w:w="109"/>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Measures and non-GAAP Financial Measures: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200" w:after="100"/>
        <w:ind w:left="0" w:right="0" w:firstLine="720"/>
        <w:jc w:val="left"/>
        <w:rPr>
          <w:rFonts w:ascii="Times New Roman;serif" w:hAnsi="Times New Roman;serif"/>
          <w:b/>
          <w:color w:val="000000"/>
          <w:sz w:val="20"/>
        </w:rPr>
      </w:pPr>
      <w:r>
        <w:rPr>
          <w:rFonts w:ascii="Times New Roman;serif" w:hAnsi="Times New Roman;serif"/>
          <w:b/>
          <w:color w:val="000000"/>
          <w:sz w:val="20"/>
        </w:rPr>
        <w:t>Contribution ex-TAC</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gross profit and reconciliation of gross profit to Contribution ex-TAC for the three months ended March 31, 2026 and 2025: </w:t>
      </w:r>
    </w:p>
    <w:p>
      <w:pPr>
        <w:pStyle w:val="TextBody"/>
        <w:bidi w:val="0"/>
        <w:spacing w:before="0" w:after="0"/>
        <w:ind w:left="0" w:right="0" w:firstLine="720"/>
        <w:jc w:val="left"/>
        <w:rPr/>
      </w:pPr>
      <w:r>
        <w:rPr/>
      </w:r>
    </w:p>
    <w:tbl>
      <w:tblPr>
        <w:tblW w:w="8369" w:type="dxa"/>
        <w:jc w:val="left"/>
        <w:tblInd w:w="0" w:type="dxa"/>
        <w:tblLayout w:type="fixed"/>
        <w:tblCellMar>
          <w:top w:w="28" w:type="dxa"/>
          <w:left w:w="28" w:type="dxa"/>
          <w:bottom w:w="28" w:type="dxa"/>
          <w:right w:w="28" w:type="dxa"/>
        </w:tblCellMar>
      </w:tblPr>
      <w:tblGrid>
        <w:gridCol w:w="1311"/>
        <w:gridCol w:w="1157"/>
        <w:gridCol w:w="1161"/>
        <w:gridCol w:w="232"/>
        <w:gridCol w:w="908"/>
        <w:gridCol w:w="119"/>
        <w:gridCol w:w="109"/>
        <w:gridCol w:w="109"/>
        <w:gridCol w:w="109"/>
        <w:gridCol w:w="232"/>
        <w:gridCol w:w="908"/>
        <w:gridCol w:w="119"/>
        <w:gridCol w:w="109"/>
        <w:gridCol w:w="109"/>
        <w:gridCol w:w="109"/>
        <w:gridCol w:w="193"/>
        <w:gridCol w:w="193"/>
        <w:gridCol w:w="483"/>
        <w:gridCol w:w="109"/>
        <w:gridCol w:w="109"/>
        <w:gridCol w:w="109"/>
        <w:gridCol w:w="109"/>
        <w:gridCol w:w="109"/>
        <w:gridCol w:w="154"/>
      </w:tblGrid>
      <w:tr>
        <w:trPr/>
        <w:tc>
          <w:tcPr>
            <w:tcW w:w="131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Cost of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Cost of revenue, excluding TAC</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Sellers use our technology to monetize their content across all digital channels, including CTV, mobile, and desktop. We track the breakdown of Contribution ex-TAC across channels to better understand how our clients are transacting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Contribution ex-TAC by channel for the three months ended March 31, 2026 and 2025:</w:t>
      </w:r>
    </w:p>
    <w:tbl>
      <w:tblPr>
        <w:tblW w:w="5497" w:type="dxa"/>
        <w:jc w:val="left"/>
        <w:tblInd w:w="0" w:type="dxa"/>
        <w:tblLayout w:type="fixed"/>
        <w:tblCellMar>
          <w:top w:w="28" w:type="dxa"/>
          <w:left w:w="28" w:type="dxa"/>
          <w:bottom w:w="28" w:type="dxa"/>
          <w:right w:w="28" w:type="dxa"/>
        </w:tblCellMar>
      </w:tblPr>
      <w:tblGrid>
        <w:gridCol w:w="315"/>
        <w:gridCol w:w="277"/>
        <w:gridCol w:w="278"/>
        <w:gridCol w:w="211"/>
        <w:gridCol w:w="826"/>
        <w:gridCol w:w="109"/>
        <w:gridCol w:w="109"/>
        <w:gridCol w:w="109"/>
        <w:gridCol w:w="109"/>
        <w:gridCol w:w="232"/>
        <w:gridCol w:w="908"/>
        <w:gridCol w:w="119"/>
        <w:gridCol w:w="109"/>
        <w:gridCol w:w="109"/>
        <w:gridCol w:w="109"/>
        <w:gridCol w:w="193"/>
        <w:gridCol w:w="193"/>
        <w:gridCol w:w="483"/>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Contribution ex-TAC</w:t>
            </w:r>
          </w:p>
        </w:tc>
        <w:tc>
          <w:tcPr>
            <w:tcW w:w="699" w:type="dxa"/>
            <w:gridSpan w:val="6"/>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Contribution ex-TAC increased $15.1 million, or 10%, for the three months ended March 31, 2026 compared to the prior year period.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remainder of 2026, we expect Contribution ex-TAC will increase compared to the prior year period and we expect CTV will be our biggest growth driver.</w:t>
      </w:r>
    </w:p>
    <w:p>
      <w:pPr>
        <w:pStyle w:val="TextBody"/>
        <w:bidi w:val="0"/>
        <w:spacing w:lineRule="auto" w:line="288" w:before="200" w:after="100"/>
        <w:ind w:left="0" w:right="0" w:firstLine="72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stock-based compensation expense, depreciation and amortization, including amortization of acquired intangible assets, impairment charges, interest income or expense, provision (benefit) for income taxes, and certain cash and non-cash based income or expenses that we do not consider indicative of our core operating performance, including, but not limited to foreign exchange gains and losses, acquisition and related items, gains or losses on extinguishment of debt, other debt refinancing expenses, certain litigation expenses, and non-operational real estate and other expenses (income), net. We believe Adjusted EBITDA is useful to investors in evaluating our performance for the following reasons: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certain cash and non-cash charges related to acquisition and related items, such as amortization of acquired intangible assets, merger, acquisition, or restructuring related severance costs, certain transaction expenses, and changes in the fair value of contingent consideration.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cash and non-cash charges related to interest income and interest expense and certain financing transactions such as gains or losses on extinguishment of debt or other debt refinancing expenses.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litigation expenses for specific proceedings.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certain non-operational real estate and other (income) and expense, net.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changes in our working capital needs, capital expenditures, or contractual commitments.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Other companies may calculate Adjusted EBITDA differently than we do, limiting its usefulness as a comparative measure.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the most comparable GAAP measure, to Adjusted EBITDA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410"/>
        <w:gridCol w:w="1969"/>
        <w:gridCol w:w="1846"/>
        <w:gridCol w:w="310"/>
        <w:gridCol w:w="1061"/>
        <w:gridCol w:w="160"/>
        <w:gridCol w:w="144"/>
        <w:gridCol w:w="144"/>
        <w:gridCol w:w="144"/>
        <w:gridCol w:w="310"/>
        <w:gridCol w:w="1061"/>
        <w:gridCol w:w="160"/>
        <w:gridCol w:w="109"/>
        <w:gridCol w:w="109"/>
        <w:gridCol w:w="109"/>
        <w:gridCol w:w="159"/>
      </w:tblGrid>
      <w:tr>
        <w:trPr/>
        <w:tc>
          <w:tcPr>
            <w:tcW w:w="2410"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43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 expense</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excluding amortization of acquired intangible assets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acquired intangibles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debt refinancing expense</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expense </w:t>
            </w:r>
            <w:r>
              <w:rPr>
                <w:rFonts w:ascii="Times New Roman;serif" w:hAnsi="Times New Roman;serif"/>
                <w:b w:val="false"/>
                <w:color w:val="000000"/>
                <w:sz w:val="13"/>
              </w:rPr>
              <w:t>(1)</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Non-operational real estate and other (income) expense,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Litigation expense includes professional and legal expenses related to the Google Action and defense costs relating to class action privacy litigation. For additional information, see the "Regulatory Developments and Google Litigation" section and Part II, Item 1. "Legal Proceedings."</w:t>
            </w:r>
          </w:p>
        </w:tc>
        <w:tc>
          <w:tcPr>
            <w:tcW w:w="486"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increased by $6.1 million during the three months ended March 31, 2026 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cash and cash equivalents of $184.6 million, of which $51.5 million was held in foreign currency denominated cash and cash equivalents accounts, and an aggregate gross principal amount of $359.5 million of indebtedness outstanding under our 2024 Term Loan B Facility (as defined below). In addition, we were party to a $175.0 million 2024 Revolving Credit Facility (as defined below), of which approximately $4.1 million was assigned to outstanding but undrawn letters of credit. See "Capital Resources" below for further information about our outstanding debt.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known principal cash requirements for the twelve-month period following this report primarily consist of personnel costs, contractual payment obligations, including office leases, cloud hosting, data center, and bandwidth expenses, capital expenditures, payment of interest, required principal payments on our 2024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 2024, the Board of Directors approved a repurchase plan (the "2024 Repurchase Plan"), pursuant to which we were authorized to repurchase common stock or Convertible Senior Notes, with an aggregate market value of up to $125.0 million, through February 1, 2026. From January 1, 2026 to February 1, 2026, we repurchased 33,800 shares of the Company's common stock for an aggregate amount of $0.5 million pursuant to the 2024 Repurchase Plan. As of February 1, 2026, $63.7 million was available under the 2024 Repurchase Plan, which subsequently expired.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23, 2026, the Board of Directors approved a new repurchase plan (the "2026 Repurchase Plan"), which authorized the repurchase of common stock with an aggregate market value of up to $200.0 million, through February 29, 2028. During three months ended March 31, 2026, we repurchased 1,063,217 shares of the Company's common stock for an aggregate amount of $14.0 million pursuant to the 2026 Repurchase Plan. As of March 31, 2026, $186.0 million was available under the 2026 Repurchase Plan.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2025.</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sold convertible senior notes ("Convertible Senior Notes") for gross proceeds of $400.0 million. On March 15, 2026, the Convertible Senior Notes matured, and the Company repaid the outstanding principal balance of $205.1 million in full with cash on hand. No Convertible Senior Notes remained outstanding as of March 31,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issuance of the Convertible Senior Notes, we entered into capped call transactions to reduce the Company's exposure to additional cash payments above principal balances in the event of a cash conversion of the Convertible Senior Notes. As of March 15, 2026, the capped call transactions have expired.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which included a term loan facility and a revolving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18, 2024, we entered into Amendment No. 1 to the 2024 Credit Agreement ("Amendment No. 1"), which reduced the interest rate of the 2024 Term Loan B Facility by 75 basis points to Term SOFR plus a margin of 3.75% from the previous rate of Term SOFR plus a margin of 4.50%, and on March 18, 2025, we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balance of the 2024 Term Loan B Facility was $350.8 million, net of unamortized debt discount and debt issuance costs of $8.7 million, and amounts available under the 2024 Revolving Credit Facility were $170.9 million, net of letters of credit outstanding in the amount of $4.1 million.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TextBody"/>
        <w:bidi w:val="0"/>
        <w:spacing w:lineRule="auto" w:line="288" w:before="100" w:after="100"/>
        <w:jc w:val="left"/>
        <w:rPr/>
      </w:pPr>
      <w:r>
        <w:rPr>
          <w:color w:val="000000"/>
        </w:rPr>
        <w:t>    </w:t>
      </w:r>
      <w:r>
        <w:rPr>
          <w:rFonts w:ascii="Times New Roman;serif" w:hAnsi="Times New Roman;serif"/>
          <w:b/>
          <w:i/>
          <w:color w:val="000000"/>
          <w:sz w:val="20"/>
        </w:rPr>
        <w:t xml:space="preserve">Cash Flows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8051" w:type="dxa"/>
        <w:jc w:val="center"/>
        <w:tblInd w:w="0" w:type="dxa"/>
        <w:tblLayout w:type="fixed"/>
        <w:tblCellMar>
          <w:top w:w="28" w:type="dxa"/>
          <w:left w:w="28" w:type="dxa"/>
          <w:bottom w:w="28" w:type="dxa"/>
          <w:right w:w="28" w:type="dxa"/>
        </w:tblCellMar>
      </w:tblPr>
      <w:tblGrid>
        <w:gridCol w:w="1867"/>
        <w:gridCol w:w="1644"/>
        <w:gridCol w:w="1649"/>
        <w:gridCol w:w="217"/>
        <w:gridCol w:w="930"/>
        <w:gridCol w:w="112"/>
        <w:gridCol w:w="109"/>
        <w:gridCol w:w="109"/>
        <w:gridCol w:w="109"/>
        <w:gridCol w:w="237"/>
        <w:gridCol w:w="895"/>
        <w:gridCol w:w="173"/>
      </w:tblGrid>
      <w:tr>
        <w:trPr/>
        <w:tc>
          <w:tcPr>
            <w:tcW w:w="186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(used in) provided by operating activities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(368,714)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(53,512)</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and timing of fluctuations of receipts and payments appropriately.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net cash used in operating activities was $120.8 million compared to net cash provided by operating activities of $2.6 million for the three months ended March 31, 2025. Our operating activities included our net income of $4.4 million and non-cash adjustments of $31.2 million for the three months ended March 31, 2026 and net loss of $9.6 million offset by non-cash adjustments of $44.0 million for the three months ended March 31, 2025. Net changes in our working capital resulted in $156.4 million of cash used in operating activities and $31.8 million of cash used in operating activities for the three months ended March 31, 2026 and March 31, 2025, respectively. The net changes in working capital for both periods presented were primarily due to the timing of cash receipts from buyers and the timing of payments to sellers. </w:t>
      </w:r>
    </w:p>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our investing activities used net cash of $13.1 million and $17.2 million, respectively. During the three months ended March 31, 2026 and 2025, we used cash for purchases of property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equipment of $9.4 million and $14.4 million, respectively, and used cash for investments in our internally developed software of $3.7 million and $2.8 million, respectively.</w:t>
      </w:r>
    </w:p>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consisted of repayment of amounts borrowed under our Term Loan B Facility, repayment of our Convertible Senior Notes and transactions related to our share repurchases and equity plans.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net cash used in financing activities was $235.1 million and $39.5 million, respectively. Cash outflows from financing activities for the three months ended March 31, 2026 primarily included a $205.1 million payment to settle matured Convertible Senior Notes, $14.6 million for taxes paid related to net share settlement of stock-based awards, and $14.5 million of payments related to share repurchases.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outflows from financing activities for the three months ended March 31, 2025 primarily included $92.6 million of payments to certain 2024 Term Loan B Facility lenders related to our Amendment No. 2 repricing activity, $20.3 million for taxes paid related to net share settlement of stock-based awards, and $19.2 million of payments related to share repurchases. The outflows were partially offset by cash proceeds primarily consisting of $92.6 million from certain 2024 Term Loan B Facility lenders related to our Amendment No. 2 repricing activity. In connection with Amendment No. 2, $270.6 million of principal debt balance from Amendment No. 1 was rolled over as part of non-cash financing activities while the remaining $92.6 million principal balance from Amendment No. 1 were repaid and then reissued under Amendment No. 2 as mentioned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Contractual Obligations and Known Future Cash Requirements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commitments as of March 31, 2026 consist of obligations under our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2038, and the indemnification holdback associated with the Streamr.ai Acquisition. In certain cases, the terms of the lease agreements provide for rental payments on a graduated basis.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future lease obligations, payments of principal and interest under our debt agreements, and other future payments due under non-cancelable agreements at March 31, 2026 (in thousands):</w:t>
      </w:r>
    </w:p>
    <w:tbl>
      <w:tblPr>
        <w:tblW w:w="11140" w:type="dxa"/>
        <w:jc w:val="left"/>
        <w:tblInd w:w="0" w:type="dxa"/>
        <w:tblLayout w:type="fixed"/>
        <w:tblCellMar>
          <w:top w:w="28" w:type="dxa"/>
          <w:left w:w="28" w:type="dxa"/>
          <w:bottom w:w="28" w:type="dxa"/>
          <w:right w:w="28" w:type="dxa"/>
        </w:tblCellMar>
      </w:tblPr>
      <w:tblGrid>
        <w:gridCol w:w="746"/>
        <w:gridCol w:w="339"/>
        <w:gridCol w:w="34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associated with leases included in right-of-use lease assets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Lease Liabilities as of March 31,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2024 Term Loan B Facility</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2024 Term Loan B Facility</w:t>
            </w:r>
            <w:r>
              <w:rPr>
                <w:color w:val="000000"/>
              </w:rPr>
              <w:t xml:space="preserv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Contractual fees related to the 2024 Term Loan B Facility and the 2024 Revolving Credit Facility</w:t>
            </w:r>
            <w:r>
              <w:rPr>
                <w:color w:val="000000"/>
              </w:rPr>
              <w:t xml:space="preserve">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Indemnification claims holdback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non-cancelable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140"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only customary scheduled loan amortization payments and excludes currently unknown prepayment amounts that may be required, per terms of the 2024 Credit Agreement.</w:t>
            </w:r>
          </w:p>
        </w:tc>
      </w:tr>
      <w:tr>
        <w:trPr/>
        <w:tc>
          <w:tcPr>
            <w:tcW w:w="11140" w:type="dxa"/>
            <w:gridSpan w:val="4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Interest payments are based on an assumed rate of 6.67%, which was the rate as of March 31, 2026 for the associated 2024 Term Loan B Facility.</w:t>
            </w:r>
          </w:p>
        </w:tc>
      </w:tr>
      <w:tr>
        <w:trPr/>
        <w:tc>
          <w:tcPr>
            <w:tcW w:w="11140" w:type="dxa"/>
            <w:gridSpan w:val="4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estimated fees based on current available amounts under our 2024 Revolving Credit Facility and using the current commitment rate as of March 31, 2026, fees based on outstanding but undrawn letters of credit as of March 31, 2026, and fees owed to our administrative agents for both facilities under the 2024 Credit Agreement.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the lease liabilities as of March 31, 2026 include commitments under agreements for office space and data centers that have not commenced as of March 31,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associated with our 2024 Term Loan B and 2024 Revolving Credit Facility are based on contractual terms and intended timing of repayments of current and long-term debt and associated interest and required fees.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non-cancelable obligations above consist of agreements in the normal course of business that are in excess of one year as of March 31, 2026. The amounts above include commitments under a cloud-managed services agreement, under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have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we expect to fulfill the obligation.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2025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recent accounting pronouncements, refer to Note 1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both in the United States and internationally, and we are exposed to market risks in the ordinary course of our business. These risks include primarily interest rate, foreign currency exchange, and inflation risks. The risks below may be further exacerbated by the effects of certain global macroeconomic challenges and market conditions.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March 31, 2026,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U.S. based company that does business around the globe, we have foreign currency risks related to our revenue and expenses denominated in currencies other than the U.S. Dollar, principally the Australian Dollar, British Pound,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March 31, 2026 and December 31, 2025, including intercompany balances, would result in a foreign currency loss of approximately $9.6 million and $7.7 million, respectively. At this time we do not, but we may in the future, enter into derivatives or other financial instruments in an attempt to hedge our foreign currency exchange risk.</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2026, our disclosure controls and procedures were effective at the reasonable assurance level.</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March 31, 2026 that have materially affected, or are reasonably likely to materially affect, our internal control over financial reporting.</w:t>
      </w:r>
    </w:p>
    <w:p>
      <w:pPr>
        <w:pStyle w:val="TextBody"/>
        <w:bidi w:val="0"/>
        <w:spacing w:lineRule="auto" w:line="288" w:before="100" w:after="283"/>
        <w:ind w:left="0" w:right="0" w:firstLine="720"/>
        <w:jc w:val="left"/>
        <w:rPr/>
      </w:pPr>
      <w:r>
        <w:rPr>
          <w:rFonts w:ascii="Times New Roman;serif" w:hAnsi="Times New Roman;serif"/>
          <w:b/>
          <w:i/>
          <w:color w:val="000000"/>
          <w:sz w:val="20"/>
        </w:rPr>
        <w:t xml:space="preserve">Inherent Limitations on Effectiveness of Controls </w:t>
      </w:r>
      <w:r>
        <w:rPr>
          <w:color w:val="000000"/>
        </w:rPr>
        <w: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claims relating to our collection or use of data, regulatory investigations, audits by taxing authorities, or enforcement proceedings, and claims by persons whose employment has been terminated. For example, we have recently been subject to class action lawsuits alleging violations of various privacy statutes. Additionally, on September 16, 2025, we filed the Google Action. For additional information, refer to the "Regulatory Developments and Google Litigation" section in Part I, Item 2. Management's Discussion and Analysis of Financial Condition and 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we are unable to ascertain the ultimate aggregate amount of monetary liability or awards, amounts which may be covered by insurance or recoverable from third parties, or the financial impact with respect to such matters as of March 31, 2026. However, based on our knowledge as of March 31, 2026, we believe that the final resolution of such matters pending at the time of this report, individually and in the aggregate, will not have a material adverse effect upon our condensed consolidated financial position, results of operations or 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10 to our condensed consolidated financial statements included in this Quarterly Report on Form 10-Q for additional information related to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We describe risks associated with our business in Part I, Item 1A: "Risk Factors" of our Annual Report on Form 10-K for the year ended December 31, 2025.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pStyle w:val="TextBody"/>
        <w:bidi w:val="0"/>
        <w:spacing w:before="100" w:after="100"/>
        <w:ind w:left="0" w:right="0" w:firstLine="72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there have been no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addition,the economic impact of macroeconomic challenges, such as inflation, global conflict, capital market disruptions, the instability of financial institutions, the risk of a recession, significant volatility in commodity prices, including the price of oil, and their macroeconomic factors may amplify many of the risks described in our Risk Factors. Accordingly, you are advised to consider additional sources of information and exercise your own judgment in addition to the information we provide.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Recent Sales of Unregistered Securities</w:t>
      </w:r>
    </w:p>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 xml:space="preserve">None.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 Use of Proceeds</w:t>
      </w:r>
    </w:p>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 Purchases of Equity Securities by the Company and Affiliated Purchasers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repurchases during the quarter ended March 31, 2026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660"/>
        <w:gridCol w:w="425"/>
        <w:gridCol w:w="428"/>
        <w:gridCol w:w="109"/>
        <w:gridCol w:w="109"/>
        <w:gridCol w:w="109"/>
        <w:gridCol w:w="474"/>
        <w:gridCol w:w="474"/>
        <w:gridCol w:w="476"/>
        <w:gridCol w:w="109"/>
        <w:gridCol w:w="109"/>
        <w:gridCol w:w="109"/>
        <w:gridCol w:w="270"/>
        <w:gridCol w:w="789"/>
        <w:gridCol w:w="139"/>
        <w:gridCol w:w="109"/>
        <w:gridCol w:w="109"/>
        <w:gridCol w:w="109"/>
        <w:gridCol w:w="734"/>
        <w:gridCol w:w="734"/>
        <w:gridCol w:w="736"/>
        <w:gridCol w:w="109"/>
        <w:gridCol w:w="109"/>
        <w:gridCol w:w="109"/>
        <w:gridCol w:w="451"/>
        <w:gridCol w:w="1768"/>
        <w:gridCol w:w="339"/>
      </w:tblGrid>
      <w:tr>
        <w:trPr/>
        <w:tc>
          <w:tcPr>
            <w:tcW w:w="6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that May Yet be Purchased Under the Program</w:t>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January 1 -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February 1 -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1 -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pStyle w:val="TextBody"/>
        <w:bidi w:val="0"/>
        <w:spacing w:lineRule="auto" w:line="288" w:before="100" w:after="1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On February 1, 2024, our Board of Directors approved a share repurchase program (the "2024 Repurchase Plan") under which the Company was authorized to repurchase common stock or Convertible Senior Notes, with an aggregate market value of up to $125.0 million, through February 1, 2026. Shares repurchased under the 2024 Repurchase Plan through February 1, 2026 have been subsequently retired, which was recorded as a reduction in additional paid in capital. The average price per share purchased under the 2024 Repurchase Plan includes broker commission costs. The 2024 Repurchase Plan expired on February 1, 2026. The amounts above do not include the 1% excise tax on stock repurchases enacted by the Inflation Reduction Act of 2022.</w:t>
      </w:r>
    </w:p>
    <w:p>
      <w:pPr>
        <w:pStyle w:val="TextBody"/>
        <w:bidi w:val="0"/>
        <w:spacing w:lineRule="auto" w:line="288" w:before="100" w:after="10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On February 23, 2026, our Board of Directors approved a new repurchase plan (the "2026 Repurchase Plan") under which the Company is authorized to repurchase common stock, with an aggregate market value of up to $200.0 million, through February 29, 2028. Shares repurchased under the 2026 Repurchase Plan in the quarter ended March 31, 2026 have been subsequently retired, which was recorded as a reduction in additional paid in capital. The average price per share purchased under the 2026 Repurchase Plan includes broker commission costs. As of March 31, 2026, $186.0 million remains available under the 2026 Repurchase Plan. The amounts above do not include the 1% excise tax on stock repurchases enacted by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375"/>
        <w:gridCol w:w="279"/>
        <w:gridCol w:w="281"/>
        <w:gridCol w:w="109"/>
        <w:gridCol w:w="109"/>
        <w:gridCol w:w="109"/>
        <w:gridCol w:w="592"/>
        <w:gridCol w:w="420"/>
        <w:gridCol w:w="422"/>
        <w:gridCol w:w="109"/>
        <w:gridCol w:w="109"/>
        <w:gridCol w:w="109"/>
        <w:gridCol w:w="497"/>
        <w:gridCol w:w="497"/>
        <w:gridCol w:w="498"/>
        <w:gridCol w:w="109"/>
        <w:gridCol w:w="109"/>
        <w:gridCol w:w="109"/>
        <w:gridCol w:w="601"/>
        <w:gridCol w:w="537"/>
        <w:gridCol w:w="439"/>
        <w:gridCol w:w="109"/>
        <w:gridCol w:w="109"/>
        <w:gridCol w:w="109"/>
        <w:gridCol w:w="573"/>
        <w:gridCol w:w="573"/>
        <w:gridCol w:w="575"/>
        <w:gridCol w:w="109"/>
        <w:gridCol w:w="109"/>
        <w:gridCol w:w="109"/>
        <w:gridCol w:w="410"/>
        <w:gridCol w:w="410"/>
        <w:gridCol w:w="591"/>
      </w:tblGrid>
      <w:tr>
        <w:trPr/>
        <w:tc>
          <w:tcPr>
            <w:tcW w:w="3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Intended to Satisfy Rule 10b5-1(c)?</w:t>
            </w:r>
          </w:p>
        </w:tc>
      </w:tr>
      <w:tr>
        <w:trPr/>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Soroca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Former Chief Product Officer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March 09,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8, 2026 - December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298,259*,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Pearson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March 09,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8, 2026 - March 9,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10,766, subject to certain conditions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March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15, 2026 - March 17,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686,160*,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00"/>
        <w:jc w:val="left"/>
        <w:rPr>
          <w:rFonts w:ascii="Times New Roman;serif" w:hAnsi="Times New Roman;serif"/>
          <w:b w:val="false"/>
          <w:color w:val="000000"/>
          <w:sz w:val="20"/>
        </w:rPr>
      </w:pPr>
      <w:r>
        <w:rPr>
          <w:rFonts w:ascii="Times New Roman;serif" w:hAnsi="Times New Roman;serif"/>
          <w:b w:val="false"/>
          <w:color w:val="000000"/>
          <w:sz w:val="20"/>
        </w:rPr>
        <w:t>*Represents a combination of previously vested shares and gross amounts of shares that will vest over the duration of the plan (shares that will actually be sold under the plan are net of tax withholding).</w:t>
      </w:r>
    </w:p>
    <w:p>
      <w:pPr>
        <w:pStyle w:val="TextBody"/>
        <w:bidi w:val="0"/>
        <w:spacing w:lineRule="auto" w:line="288" w:before="100" w:after="1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Mr. Soroca ceased serving as our Chief Product Officer effective April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2689"/>
        <w:gridCol w:w="2607"/>
        <w:gridCol w:w="372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6.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12026.htm">
              <w:r>
                <w:rPr>
                  <w:rStyle w:val="InternetLink"/>
                  <w:rFonts w:ascii="Times New Roman;serif" w:hAnsi="Times New Roman;serif"/>
                  <w:b w:val="false"/>
                  <w:color w:val="0000FF"/>
                  <w:sz w:val="20"/>
                  <w:u w:val="single"/>
                </w:rPr>
                <w:t xml:space="preserve">Certification of the Principal Executive Officer and Principal Financial Officer Pursuant to 18 U.S.C. Section 1350, as adopted pursuant to Section 906 of the Sarbanes-Oxley Act of 2002. </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the instance document does not appear in the Interactive Data File because its XBRL tags are embedded within the Inline XBRL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00" w:after="200"/>
        <w:jc w:val="left"/>
        <w:rPr>
          <w:color w:val="006EBF"/>
        </w:rPr>
      </w:pPr>
      <w:r>
        <w:rPr>
          <w:color w:val="006EBF"/>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jc w:val="left"/>
        <w:rPr/>
      </w:pPr>
      <w:r>
        <w:rPr>
          <w:rFonts w:ascii="Times New Roman;serif" w:hAnsi="Times New Roman;serif"/>
          <w:b w:val="false"/>
          <w:color w:val="000000"/>
          <w:sz w:val="13"/>
        </w:rPr>
        <w:t>(1)    </w:t>
      </w:r>
      <w:r>
        <w:rPr>
          <w:rFonts w:ascii="Times New Roman;serif" w:hAnsi="Times New Roman;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c430b712c26c4879b28e2ecf78ace6d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344" w:type="dxa"/>
        <w:jc w:val="center"/>
        <w:tblInd w:w="0" w:type="dxa"/>
        <w:tblLayout w:type="fixed"/>
        <w:tblCellMar>
          <w:top w:w="28" w:type="dxa"/>
          <w:left w:w="28" w:type="dxa"/>
          <w:bottom w:w="28" w:type="dxa"/>
          <w:right w:w="28" w:type="dxa"/>
        </w:tblCellMar>
      </w:tblPr>
      <w:tblGrid>
        <w:gridCol w:w="568"/>
        <w:gridCol w:w="502"/>
        <w:gridCol w:w="505"/>
        <w:gridCol w:w="1394"/>
        <w:gridCol w:w="1394"/>
        <w:gridCol w:w="1981"/>
      </w:tblGrid>
      <w:tr>
        <w:trPr/>
        <w:tc>
          <w:tcPr>
            <w:tcW w:w="56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MAGNITE, INC. (Registrant)</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Day</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Day</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18"/>
        </w:rPr>
        <w:t>I have reviewed this Quarterly Report on Form 10-Q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a. </w:t>
      </w:r>
      <w:r>
        <w:rPr>
          <w:color w:val="000000"/>
        </w:rPr>
        <w:t>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erif" w:hAnsi="Times New Roman;serif"/>
          <w:b w:val="false"/>
          <w:color w:val="000000"/>
          <w:sz w:val="18"/>
        </w:rPr>
        <w:t xml:space="preserve">b. </w:t>
      </w:r>
      <w:r>
        <w:rPr>
          <w:color w:val="000000"/>
        </w:rPr>
        <w:t>    </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4422" w:type="dxa"/>
        <w:jc w:val="center"/>
        <w:tblInd w:w="0" w:type="dxa"/>
        <w:tblLayout w:type="fixed"/>
        <w:tblCellMar>
          <w:top w:w="28" w:type="dxa"/>
          <w:left w:w="28" w:type="dxa"/>
          <w:bottom w:w="28" w:type="dxa"/>
          <w:right w:w="28" w:type="dxa"/>
        </w:tblCellMar>
      </w:tblPr>
      <w:tblGrid>
        <w:gridCol w:w="509"/>
        <w:gridCol w:w="447"/>
        <w:gridCol w:w="453"/>
        <w:gridCol w:w="274"/>
        <w:gridCol w:w="274"/>
        <w:gridCol w:w="276"/>
        <w:gridCol w:w="638"/>
        <w:gridCol w:w="638"/>
        <w:gridCol w:w="913"/>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18"/>
        </w:rPr>
        <w:t>I have reviewed this Quarterly Report on Form 10-Q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5. </w:t>
      </w:r>
      <w:r>
        <w:rPr>
          <w:color w:val="000000"/>
        </w:rPr>
        <w:t>    </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378" w:type="dxa"/>
        <w:jc w:val="center"/>
        <w:tblInd w:w="0" w:type="dxa"/>
        <w:tblLayout w:type="fixed"/>
        <w:tblCellMar>
          <w:top w:w="28" w:type="dxa"/>
          <w:left w:w="28" w:type="dxa"/>
          <w:bottom w:w="28" w:type="dxa"/>
          <w:right w:w="28" w:type="dxa"/>
        </w:tblCellMar>
      </w:tblPr>
      <w:tblGrid>
        <w:gridCol w:w="509"/>
        <w:gridCol w:w="447"/>
        <w:gridCol w:w="453"/>
        <w:gridCol w:w="274"/>
        <w:gridCol w:w="274"/>
        <w:gridCol w:w="276"/>
        <w:gridCol w:w="627"/>
        <w:gridCol w:w="627"/>
        <w:gridCol w:w="891"/>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Day</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David Day</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18"/>
        </w:rPr>
      </w:pPr>
      <w:r>
        <w:rPr>
          <w:rFonts w:ascii="Times New Roman;serif" w:hAnsi="Times New Roman;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erif" w:hAnsi="Times New Roman;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(18 U.S.C. 1350), Michael Barrett,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18"/>
        </w:rPr>
        <w:t>Our Quarterly Report on Form 10-Q for the quarter ended March 31, 2026,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May 6, 2026 </w:t>
      </w:r>
    </w:p>
    <w:p>
      <w:pPr>
        <w:pStyle w:val="TextBody"/>
        <w:bidi w:val="0"/>
        <w:spacing w:before="0" w:after="0"/>
        <w:jc w:val="left"/>
        <w:rPr/>
      </w:pPr>
      <w:r>
        <w:rPr/>
      </w:r>
    </w:p>
    <w:tbl>
      <w:tblPr>
        <w:tblW w:w="2531" w:type="dxa"/>
        <w:jc w:val="center"/>
        <w:tblInd w:w="0" w:type="dxa"/>
        <w:tblLayout w:type="fixed"/>
        <w:tblCellMar>
          <w:top w:w="28" w:type="dxa"/>
          <w:left w:w="28" w:type="dxa"/>
          <w:bottom w:w="28" w:type="dxa"/>
          <w:right w:w="28" w:type="dxa"/>
        </w:tblCellMar>
      </w:tblPr>
      <w:tblGrid>
        <w:gridCol w:w="124"/>
        <w:gridCol w:w="109"/>
        <w:gridCol w:w="109"/>
        <w:gridCol w:w="638"/>
        <w:gridCol w:w="638"/>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20" w:after="280"/>
        <w:jc w:val="left"/>
        <w:rPr/>
      </w:pPr>
      <w:r>
        <w:rPr/>
      </w:r>
    </w:p>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David Day</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20" w:after="283"/>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23836</Words>
  <Characters>132378</Characters>
  <CharactersWithSpaces>154887</CharactersWithSpaces>
  <Paragraphs>2447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