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240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1120"/>
        <w:spacing w:after="0"/>
        <w:tabs>
          <w:tab w:leader="none" w:pos="736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23"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12181 Bluff Creek Drive, 4th Floor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 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357"/>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80" w:type="dxa"/>
            <w:vAlign w:val="bottom"/>
          </w:tcPr>
          <w:p>
            <w:pPr>
              <w:spacing w:after="0"/>
              <w:rPr>
                <w:sz w:val="20"/>
                <w:szCs w:val="20"/>
                <w:color w:val="auto"/>
              </w:rPr>
            </w:pP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Emerging growth company x</w:t>
            </w:r>
          </w:p>
        </w:tc>
        <w:tc>
          <w:tcPr>
            <w:tcW w:w="3580" w:type="dxa"/>
            <w:vAlign w:val="bottom"/>
          </w:tcPr>
          <w:p>
            <w:pPr>
              <w:spacing w:after="0"/>
              <w:rPr>
                <w:sz w:val="24"/>
                <w:szCs w:val="24"/>
                <w:color w:val="auto"/>
              </w:rPr>
            </w:pPr>
          </w:p>
        </w:tc>
      </w:tr>
    </w:tbl>
    <w:p>
      <w:pPr>
        <w:spacing w:after="0" w:line="18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ind w:right="23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 o Yes x No Indicate the number of shares outstanding of each of the registrant's classes of common stock, as of the latest practicable date.</w:t>
      </w:r>
    </w:p>
    <w:p>
      <w:pPr>
        <w:spacing w:after="0" w:line="178" w:lineRule="exact"/>
        <w:rPr>
          <w:sz w:val="24"/>
          <w:szCs w:val="24"/>
          <w:color w:val="auto"/>
        </w:rPr>
      </w:pPr>
    </w:p>
    <w:p>
      <w:pPr>
        <w:ind w:left="3380"/>
        <w:spacing w:after="0"/>
        <w:tabs>
          <w:tab w:leader="none" w:pos="668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April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37465</wp:posOffset>
            </wp:positionV>
            <wp:extent cx="5325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82" w:lineRule="exact"/>
        <w:rPr>
          <w:sz w:val="24"/>
          <w:szCs w:val="24"/>
          <w:color w:val="auto"/>
        </w:rPr>
      </w:pPr>
    </w:p>
    <w:p>
      <w:pPr>
        <w:ind w:left="2200"/>
        <w:spacing w:after="0"/>
        <w:tabs>
          <w:tab w:leader="none" w:pos="738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50,290,695</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Months Ended March 31, 2018 and March 31, 2017</w:t>
              </w:r>
            </w:hyperlink>
          </w:p>
        </w:tc>
        <w:tc>
          <w:tcPr>
            <w:tcW w:w="86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Months Ended March 31, 2018 and March</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31, 2017</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76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Months Ended March 31, 2018</w:t>
              </w:r>
            </w:hyperlink>
          </w:p>
        </w:tc>
        <w:tc>
          <w:tcPr>
            <w:tcW w:w="1640" w:type="dxa"/>
            <w:vAlign w:val="bottom"/>
            <w:gridSpan w:val="4"/>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5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Three Months Ended March 31, 2018 and March 31, 2017</w:t>
              </w:r>
            </w:hyperlink>
          </w:p>
        </w:tc>
        <w:tc>
          <w:tcPr>
            <w:tcW w:w="80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7"/>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OTHER INFORMATION</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420" w:type="dxa"/>
            <w:vAlign w:val="bottom"/>
          </w:tcPr>
          <w:p>
            <w:pPr>
              <w:spacing w:after="0"/>
              <w:rPr>
                <w:sz w:val="21"/>
                <w:szCs w:val="21"/>
                <w:color w:val="auto"/>
              </w:rPr>
            </w:pPr>
          </w:p>
        </w:tc>
        <w:tc>
          <w:tcPr>
            <w:tcW w:w="796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507"/>
        </w:trPr>
        <w:tc>
          <w:tcPr>
            <w:tcW w:w="1140" w:type="dxa"/>
            <w:vAlign w:val="bottom"/>
          </w:tcPr>
          <w:p>
            <w:pPr>
              <w:spacing w:after="0"/>
              <w:rPr>
                <w:sz w:val="24"/>
                <w:szCs w:val="24"/>
                <w:color w:val="auto"/>
              </w:rPr>
            </w:pPr>
          </w:p>
        </w:tc>
        <w:tc>
          <w:tcPr>
            <w:tcW w:w="6280" w:type="dxa"/>
            <w:vAlign w:val="bottom"/>
            <w:gridSpan w:val="12"/>
          </w:tcPr>
          <w:p>
            <w:pPr>
              <w:jc w:val="center"/>
              <w:ind w:left="277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right"/>
        <w:ind w:right="220"/>
        <w:spacing w:after="0"/>
        <w:tabs>
          <w:tab w:leader="none" w:pos="114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receivable,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use software development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7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Accounts payable and accrued expenses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260" w:right="280" w:hanging="215"/>
        <w:spacing w:after="0" w:line="277" w:lineRule="auto"/>
        <w:rPr>
          <w:sz w:val="20"/>
          <w:szCs w:val="20"/>
          <w:color w:val="auto"/>
        </w:rPr>
      </w:pPr>
      <w:r>
        <w:rPr>
          <w:rFonts w:ascii="Arial" w:cs="Arial" w:eastAsia="Arial" w:hAnsi="Arial"/>
          <w:sz w:val="18"/>
          <w:szCs w:val="18"/>
          <w:color w:val="auto"/>
        </w:rPr>
        <w:t>Preferred stock, $0.00001 par value, 10,000 shares authorized at March 31, 2018 and December 31, 2017; 0 shares issued and outstanding at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60" w:right="220" w:hanging="215"/>
        <w:spacing w:after="0" w:line="317" w:lineRule="auto"/>
        <w:rPr>
          <w:sz w:val="20"/>
          <w:szCs w:val="20"/>
          <w:color w:val="auto"/>
        </w:rPr>
      </w:pPr>
      <w:r>
        <w:rPr>
          <w:rFonts w:ascii="Arial" w:cs="Arial" w:eastAsia="Arial" w:hAnsi="Arial"/>
          <w:sz w:val="16"/>
          <w:szCs w:val="16"/>
          <w:color w:val="auto"/>
        </w:rPr>
        <w:t>Common stock, $0.00001 par value; 500,000 shares authorized at March 31, 2018 and December 31, 2017; 50,280 and 50,239 shares issued and outstanding at March 31, 2018 and December 31, 2017, respectively</w:t>
      </w:r>
    </w:p>
    <w:p>
      <w:pPr>
        <w:ind w:left="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67,516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76,642</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51,791</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52,504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137,534</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165,890</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10,421</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267,262</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304,656</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41,334</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47,393</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13,840</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12,734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2,415</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5,493</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12,563</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13,359</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337,414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383,635</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191,239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214,103</w:t>
            </w:r>
          </w:p>
        </w:tc>
      </w:tr>
      <w:tr>
        <w:trPr>
          <w:trHeight w:val="291"/>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2,975</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3,141</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194,214</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217,244</w:t>
            </w:r>
          </w:p>
        </w:tc>
      </w:tr>
      <w:tr>
        <w:trPr>
          <w:trHeight w:val="291"/>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1,546</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195,760</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219,024</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0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0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423,009</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418,354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w w:val="88"/>
              </w:rPr>
              <w:t>(281,600)</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-1482725</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-2726690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-2906395</wp:posOffset>
            </wp:positionV>
            <wp:extent cx="1089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141,654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164,611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337,414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383,635</w:t>
            </w:r>
          </w:p>
        </w:tc>
      </w:tr>
      <w:tr>
        <w:trPr>
          <w:trHeight w:val="20"/>
        </w:trPr>
        <w:tc>
          <w:tcPr>
            <w:tcW w:w="7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22"/>
                <w:szCs w:val="22"/>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14,628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61,487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loss,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shares used to compute net loss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48,332</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22"/>
                <w:szCs w:val="22"/>
                <w:color w:val="auto"/>
              </w:rPr>
            </w:pPr>
          </w:p>
        </w:tc>
        <w:tc>
          <w:tcPr>
            <w:tcW w:w="146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loss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6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9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50,239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418,354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(253,784)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4,689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50,280</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423,009</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245</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(281,600)</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141,654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(15,840)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of available for sale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foreign currency gains,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58,292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(54,794)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internal use 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Investments in available-for-sale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(14,948)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available-for-sale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 Beginning of period</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149,498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67,516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149,442</w:t>
            </w:r>
          </w:p>
        </w:tc>
      </w:tr>
      <w:tr>
        <w:trPr>
          <w:trHeight w:val="237"/>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SUPPLEMENTAL DISCLOSURES OF OTHER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assets financed by 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stock-based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35" w:lineRule="exact"/>
        <w:rPr>
          <w:sz w:val="20"/>
          <w:szCs w:val="20"/>
          <w:color w:val="auto"/>
        </w:rPr>
      </w:pPr>
    </w:p>
    <w:p>
      <w:pPr>
        <w:ind w:right="200" w:firstLine="648"/>
        <w:spacing w:after="0" w:line="334" w:lineRule="auto"/>
        <w:rPr>
          <w:sz w:val="20"/>
          <w:szCs w:val="20"/>
          <w:color w:val="auto"/>
        </w:rPr>
      </w:pPr>
      <w:r>
        <w:rPr>
          <w:rFonts w:ascii="Arial" w:cs="Arial" w:eastAsia="Arial" w:hAnsi="Arial"/>
          <w:sz w:val="16"/>
          <w:szCs w:val="16"/>
          <w:color w:val="auto"/>
        </w:rPr>
        <w:t>The Company is a global advertising exchange that helps websites and applications thrive by giving them tools and expertise to sell ads easily and safely. In addition, the world’s leading agencies and brands rely on the Company's technology to execute billions of advertising transactions each month.</w:t>
      </w:r>
    </w:p>
    <w:p>
      <w:pPr>
        <w:spacing w:after="0" w:line="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to sell their advertising inventory; applications and services for buyers, including advertisers, agencies, agency trading desks,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advertising inventory managed on the Company's platform. The Company's clients include many of the world's leading publishers of websites and mobile applications and buyers of digital advertising.</w:t>
      </w:r>
    </w:p>
    <w:p>
      <w:pPr>
        <w:spacing w:after="0" w:line="1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users through different channels. The Company's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the Company refers to as private marketplace ("PMP"), and (ii) open auction bidding, which the Company refers to as open marketplace ("OMP"); and</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1980" w:firstLine="648"/>
        <w:spacing w:after="0" w:line="288" w:lineRule="auto"/>
        <w:rPr>
          <w:sz w:val="20"/>
          <w:szCs w:val="20"/>
          <w:color w:val="auto"/>
        </w:rPr>
      </w:pPr>
      <w:r>
        <w:rPr>
          <w:rFonts w:ascii="Arial" w:cs="Arial" w:eastAsia="Arial" w:hAnsi="Arial"/>
          <w:sz w:val="16"/>
          <w:szCs w:val="16"/>
          <w:color w:val="auto"/>
        </w:rPr>
        <w:t>The Company has been negatively impacted by rapid changes in the ad tech industry including demand by ad tech buyers for more efficiency and lower costs, changes in bidding technologies, and increased competition. In response to these challenges, the Company made significant reductions in fees charged to buyers during 2017 and in November 2017 eliminated its buyer fees</w:t>
      </w:r>
    </w:p>
    <w:p>
      <w:pPr>
        <w:ind w:right="60"/>
        <w:spacing w:after="0" w:line="251" w:lineRule="auto"/>
        <w:rPr>
          <w:sz w:val="20"/>
          <w:szCs w:val="20"/>
          <w:color w:val="auto"/>
        </w:rPr>
      </w:pPr>
      <w:r>
        <w:rPr>
          <w:rFonts w:ascii="Arial" w:cs="Arial" w:eastAsia="Arial" w:hAnsi="Arial"/>
          <w:sz w:val="18"/>
          <w:szCs w:val="18"/>
          <w:color w:val="auto"/>
        </w:rPr>
        <w:t>altogether. The competitive pressures and reduced take rate resulted in the Company experiencing lower advertising spending on its platform in the first quarter of 2018 as compared to the first quarter of 2017 and also resulted in lower operating results and cash flows in the current quarter. In an effort to bring its costs into better alignment with reduced revenue trends, the Company has undertaken restructuring activities to reduce headcount and related operating costs, and has also reduced its capital expenditures, which may make execution against its strategic business plans more difficult. Unless and until the Company is able to compensate for the fee reductions and reduced gross margins by continuing to increase advertising spending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 The Company’s current credit facility expires in September 2018. There can be no guarantee that additional financing will be available on commercially reasonable terms, if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2018 are not necessarily indicative of the results that may be expected for any future interim period, the year ending December 31, 2018, or for any future year.</w:t>
      </w:r>
    </w:p>
    <w:p>
      <w:pPr>
        <w:spacing w:after="0" w:line="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condensed consolidated balance sheet at December 31, 2017 has been derived from the audited financial statements at that date, but does not include all of the disclosures required by GAAP. The accompanying condensed consolidated financial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statements should be read in conjunction with the Company's audited consolidated financial statements and notes thereto for the year ended December 31, 2017 included in its 2017 Annual Report on Form 10-K.</w:t>
      </w:r>
    </w:p>
    <w:p>
      <w:pPr>
        <w:spacing w:after="0" w:line="3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its audited consolidated financial statements and notes thereto for the year ended December 31, 2017 included in its Annual Report on Form 10-K.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this includes amounts reclassified to conform to the current year presentation in the condensed consolidated statements of cash flows.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January 1, 2018, the Company adopted the following accounting pronouncements, using a prospective adoption method, which did not have an impact on the Company's condensed consolidated financial statements and did not result in any significant policy changes:</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Standards Update ("ASU") 2017-01—</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2017-09—</w:t>
      </w:r>
      <w:r>
        <w:rPr>
          <w:rFonts w:ascii="Arial" w:cs="Arial" w:eastAsia="Arial" w:hAnsi="Arial"/>
          <w:sz w:val="18"/>
          <w:szCs w:val="18"/>
          <w:i w:val="1"/>
          <w:iCs w:val="1"/>
          <w:color w:val="auto"/>
        </w:rPr>
        <w:t>Compensation—Stock Compensation (Topic 718): Scope of Modification Accounting.</w:t>
      </w:r>
    </w:p>
    <w:p>
      <w:pPr>
        <w:spacing w:after="0" w:line="6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also adopted ASU 2016-15—</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although the retrospective adoption method did not have an impact on periods presented. The Company will apply this guidance to applicable future transactions.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—Leases (Topic 842) ("ASU-2016-02"),</w:t>
      </w:r>
      <w:r>
        <w:rPr>
          <w:rFonts w:ascii="Arial" w:cs="Arial" w:eastAsia="Arial" w:hAnsi="Arial"/>
          <w:sz w:val="17"/>
          <w:szCs w:val="17"/>
          <w:color w:val="auto"/>
        </w:rPr>
        <w:t xml:space="preserve">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ASU 2016-02 is effective for annual reporting periods beginning after December 15, 2018, including interim periods within that reporting period, and requires a modified retrospective adoption, with early adoption permitted. The Company is currently evaluating the effect this guidance will have on its condensed consolidated financial statements and related disclosures, and anticipates the guidance to result in increases in its assets and liabilities as most of its operating lease commitments will be subject to the new standard and recognized as right-of-use assets and lease liabilities.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30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48,332</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91"/>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loss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30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diluted net loss per share</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48,332</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March 31, 2018</w:t>
            </w:r>
          </w:p>
        </w:tc>
        <w:tc>
          <w:tcPr>
            <w:tcW w:w="1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3520" w:type="dxa"/>
            <w:vAlign w:val="bottom"/>
            <w:gridSpan w:val="3"/>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224</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ESPP</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1,129</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1, 2018, the Company adopted Accounting Standards Update 2014-09—</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using a modified retrospective approach applied to all contracts that generated revenue in the preceding year. The adoption of this guidance did not have an impact on the amount or timing of revenue recognized by the Company.</w:t>
      </w:r>
    </w:p>
    <w:p>
      <w:pPr>
        <w:spacing w:after="0" w:line="1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generates revenue from transactions where it provides a platform for the purchase and sale of advertising inventory. The Company’s advertising automation solution is a marketplace that includes sellers of advertising inventory (providers of websites, mobile applications and other digital media properties, and their representatives) and buyers of advertising inventory (including advertisers, agencies, agency trading desks, demand-side platforms, and ad networks).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advertising inventory managed on the Company's platform. Advertising inventory is created when users access sellers’ content. Sellers provide advertising inventory to the Company’s platform in the form of advertising requests, or ad requests. When the Company receives ad requests from sellers, it sends bid requests to buyers, which enable buyers to bid on sellers’ advertising inventory. Winning bids can create advertising, or paid impressions, for the seller to present to the user.</w:t>
      </w:r>
    </w:p>
    <w:p>
      <w:pPr>
        <w:spacing w:after="0" w:line="8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or “take rate”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customer, which occurs at the point in time an ad renders and is counted as a paid impression, subject to an underlying agreement existing with the customer and a fixed or determinable transaction price. Performance obligations for all transactions are satisfied, and the corresponding revenue is recognized, at a distinct point in time, the Company has no arrangements with multiple performance obligations. The Company considers the</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following when determining if a contract exists under which the performance obligations have been satisfied; (i) contract approval by all parties,</w:t>
      </w:r>
    </w:p>
    <w:p>
      <w:pPr>
        <w:spacing w:after="0" w:line="23" w:lineRule="exact"/>
        <w:rPr>
          <w:sz w:val="20"/>
          <w:szCs w:val="20"/>
          <w:color w:val="auto"/>
        </w:rPr>
      </w:pPr>
    </w:p>
    <w:p>
      <w:pPr>
        <w:ind w:right="8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each party’s rights regarding the goods or services to be transferred, (iii) specified payment terms, (iv) commercial substance of the contract, and (v) collectability of substantially all of the consideration is probable, although in some cases, payments are handled directly between buyers and sellers or third parties making seller inventory available.</w:t>
      </w:r>
    </w:p>
    <w:p>
      <w:pPr>
        <w:spacing w:after="0" w:line="10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has determined that it does not act as the principal in the purchase and sale of advertising inventory because it does not have control of the advertising inventory and does not set prices agreed upon within the auction marketplace, and therefore reports revenue on a net basis. In periods prior to the second quarter of 2017, the Company reported revenue on a gross basis for revenue associated with its intent marketing solution, as the Company determined that it acted as the principal in the purchase and sale of advertising inventory. The Company ceased offering its intent marketing solution after the first quarter of 2017, after which time, all of the Company’s revenues have been recorded on a net basis. Revenue generated by the Company’s intent marketing solution during the period ended March 31, 2017 was $1.3 million.</w:t>
      </w:r>
    </w:p>
    <w:p>
      <w:pPr>
        <w:spacing w:after="0" w:line="9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Payment terms are specified in agreements between the Company and the buyers and sellers on its exchange platform. The Company generally bills buyers at the end of each month for the full purchase price of impressions filled in that month, together with other fees, if applicable. The Company recognizes volume discounts as a reduction of revenue as they are incurred. Specific payment terms may vary by agreement, but are generally seventy 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4,277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24,876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46,015</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5,195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4,792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21,904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21,904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29,887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jc w:val="right"/>
              <w:ind w:right="1239"/>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25,098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25,098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29,901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March 31, 2018 and December 31, 2017, cash equivalents of $5.2 million and $1.8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is classified as Level 2 since its fair value is not based on quoted market prices for identical securities that are traded in an active market, but rather is derived from similar securities.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between Level 1 and Level 2 fair value measurements during the three months ended March 31, 2018 and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March 31, 2018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29,887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21,904</w:t>
            </w:r>
          </w:p>
        </w:tc>
        <w:tc>
          <w:tcPr>
            <w:tcW w:w="0" w:type="dxa"/>
            <w:vAlign w:val="bottom"/>
          </w:tcPr>
          <w:p>
            <w:pPr>
              <w:spacing w:after="0"/>
              <w:rPr>
                <w:sz w:val="1"/>
                <w:szCs w:val="1"/>
                <w:color w:val="auto"/>
              </w:rPr>
            </w:pPr>
          </w:p>
        </w:tc>
      </w:tr>
      <w:tr>
        <w:trPr>
          <w:trHeight w:val="257"/>
        </w:trPr>
        <w:tc>
          <w:tcPr>
            <w:tcW w:w="652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51,830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2017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27,426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27,406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52,524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Available-for-sale—long-term:</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available-for-sale securities had a weighted remaining contractual maturity of 0.4 years as of March 31, 2018. For the three months ended March 31, 2018, there were no realized gains (losses) and there were no unrealized holding gains (losses) reclassified out of accumulated other comprehensive loss into the condensed consolidated statements of operations for the sale of available-for-sale investments.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177,850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3,764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6,645</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191,239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214,103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2016, the Company had $0.1 million of restricted cash, which is included in the beginning balance of cash, cash equivalents and restricted cash in the condensed consolidated statement of cash flows for the three months ended March 31, 2017. There was no restricted cash as of March 31, 2018 and December 31, 2017.</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March 31, 2018 and December 31, 2017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Amortization of intangible assets for the three months ended March 31, 2018 and 2017 were $0.8 million and $1.6 million, respectively. The estimated remaining amortization expense associated with the Company's intangible assets was as follows as of March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3,010</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12,563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and restricted stock units,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Restricted stock and restricted stock units vest at varying rates, typically approximately 25% vesting after approximately one year of service and the remainder vesting semi-annually thereafter. In the first quarter of 2018, the Company granted 2,650,000 restricted stock units that vest 50% on each of the first and second anniversaries of the grant date. Options, restricted stock, and restricted stock units granted</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 the plans accelerate under certain circumstances for certain participants upon a change in control, as defined in the governing plan. An aggregate of 4,505,735 shares remained available for future grants at March 31, 2018 under the plans.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658</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4,776</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6.16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2,899</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4.23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total intrinsic values of options exercised during the three months ended March 31, 2018 was $11.9 thousand. At March 31, 2018, the Company had unrecognized employee stock-based compensation expense relating to nonvested stock options of approximately $5.2 million, which is expected to be recognized over a weighted-average period of 3.0 years. The weighted-average grant date fair value per share of stock options granted during the three months ended March 31, 2018 was $1.09. Total fair value of options vested during the three months ended March 31, 2018 was $1.2 million.</w:t>
      </w:r>
    </w:p>
    <w:p>
      <w:pPr>
        <w:spacing w:after="0" w:line="1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76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77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Restricted Stock</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ind w:left="660"/>
              <w:spacing w:after="0"/>
              <w:rPr>
                <w:sz w:val="20"/>
                <w:szCs w:val="20"/>
                <w:color w:val="auto"/>
              </w:rPr>
            </w:pPr>
            <w:r>
              <w:rPr>
                <w:rFonts w:ascii="Arial" w:cs="Arial" w:eastAsia="Arial" w:hAnsi="Arial"/>
                <w:sz w:val="18"/>
                <w:szCs w:val="18"/>
                <w:color w:val="auto"/>
                <w:w w:val="93"/>
              </w:rPr>
              <w:t>A summary of restricted stock activity for the three months ended March 31, 2018 is as follows:</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2017</w:t>
            </w:r>
          </w:p>
        </w:tc>
        <w:tc>
          <w:tcPr>
            <w:tcW w:w="1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21"/>
                <w:szCs w:val="21"/>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March 31, 2018</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aggregate fair value of restricted stock with service conditions that vested during the three months ended March 31, 2018 was $17.0 thousand. At March 31, 2018, the Company had unrecognized stock-based compensation expense for restricted stock with service conditions of $2.0 million, which is expected to be recognized over a weighted-average period of 1.4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three months ended March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2017</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4,499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March 31, 2018</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7,714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weighted-average grant date fair value per share of restricted stock units granted during the three months ended March 31, 2018 was $2.19. The aggregate fair value of restricted stock units that vested during three months ended March 31, 2018 was $0.1 million. At March 31, 2018, the intrinsic value of nonvested restricted stock units was $13.9 million. At March 31, 2018, the Company had unrecognized stock-based compensation expense relating to nonvested restricted stock units of approximately $28.3 million, which is expected to be recognized over a weighted-average period of 2.65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 Company has reserved 1,781,853 shares of its common stock for issuance under the ESPP.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1,435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6,239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part of its on-going efforts to control costs and create efficiencies, the Company has undergone restructuring events throughout 2017 and in the first quarter of 2018. The objective of these restructuring activities was to streamline operations, prioritize resources for growth initiatives and increase profitability.</w:t>
      </w:r>
    </w:p>
    <w:p>
      <w:pPr>
        <w:spacing w:after="0" w:line="4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January 2017, the Company announced that it would cease providing intent marketing services and would close its Toronto, Canada office as a result (the "2017 Restructuring Events"). In the first quarter of 2017, the Company recognized expenses of $4.3 million as restructuring and other exit costs related to the cessation of our intent marketing solution, including the closure of the Toronto office, as well as the realignment of the management team to a more cost efficient structure. A majority of the costs incurred in the first quarter of 2017 were severance and one-time termination benefit costs, of which $0.9 million related to non-cash stock-based compensation, the remainder of which related to facility closure costs.</w:t>
      </w:r>
    </w:p>
    <w:p>
      <w:pPr>
        <w:spacing w:after="0" w:line="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the first quarter of 2018, the Company announced its restructuring plan to reduce headcount to bring the Company's general and administrative operations into better alignment with the current size of the business and de-layer certain functions, and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reduce its investment in unprofitable projects (the "2018 Restructuring Events"). During three months ended March 31, 2018, the Company incurred restructuring and other exit costs of $2.5 million for severance and one-time termination benefits.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and other exit cost activity for the 2018 Restructuring Events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Restructuring and other exit costs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9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March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Accrued restructuring costs related to the 2017 Restructuring Events were $0.1 million at December 31, 2017 and were substantially paid in the first quarter of 2018. The remaining liabilities are included within other liabilities on the Company's condensed consolidated balance sheets. The Company expects to pay the majority of the remaining expenses during the second quarter of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recorded income tax expenses of $0.1 million and $0.4 million for the three months ended March 31, 2018 and 2017, respectively. The tax provision for the three months ended March 31, 2018 is primarily the result of the domestic valuation allowance and the tax liability associated with the foreign subsidiaries.</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Tax Act imposes a Transition Tax on previously untaxed accumulated and current earnings and profits (“E&amp;P”) of certain of our foreign subsidiaries. To determine the amount of the Transition Tax, the Company determined, among other things, the amount of post-1986 E&amp;P of the relevant subsidiaries. The Company recorded a provisional Transition Tax of $0.6 million which reduced its U.S. net deferred tax assets for the year ended December 31, 2017. For the three months ended March 31, 2018, there was no change to the provisional Transaction Tax recorded in the prior period.</w:t>
      </w:r>
    </w:p>
    <w:p>
      <w:pPr>
        <w:spacing w:after="0" w:line="11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The Company has recognized the actual impact of the revaluation of deferred tax balances and the provisional impact related to the one-time Transition Tax. The Company included these amounts in its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may be taken as a result of the Tax Act. The Company expects to complete its analysis within the measurement period in accordance with SAB 118.</w:t>
      </w:r>
    </w:p>
    <w:p>
      <w:pPr>
        <w:spacing w:after="0" w:line="138"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the Company's financial position and results of operations.</w:t>
      </w:r>
    </w:p>
    <w:p>
      <w:pPr>
        <w:spacing w:after="0" w:line="14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 2017). For the three months ended March 31, 2018, the Company has included a provisional GILTI inclusion of $1.4 million for purposes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Accounting Standards Codification Topic 740. GAAP allows the Company to either (i) treat taxes due on future U.S. inclusions in taxable income related to BEAT and GILTI as current-period expense when incurred (the “period cost method”); or (ii) factor such amounts into the measurement of deferred taxes (the “deferred method”). The Company elected the period cost method.</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were no material changes to the Company's unrecognized tax benefits in the three months ended March 31, 2018, and the Company does not expect to have any significant changes to unrecognized tax benefits through the end of the fiscal year. Because of the Company's history of tax losses, all years remain open to tax audit. During the first quarter of 2017, the Internal Revenue Service commenced an examination of the 2015 tax year. The Company has not received any income tax Notice of Proposed Adjustments (NOPAs) and the IRS has indicated during that conversation that they do not intend to make any income tax related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commitments under non-cancelable operating leases for facilities, certain equipment, and its managed data center facilities. Total rental expenses were $3.3 million and $4.0 million for the three months ended March 31, 2018 and 2017, respectively. Additionally, expenses for cloud-based services related to data centers were $1.9 million and $0.9 million for the three months ended March 31, 2018 and 2017, respectively. As of March 31, 2018 and December 31, 2017, the Company had $2.9 million of letters of credit associated with office leases available for borrowing, on which there were no outstanding borrowings as of either date.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2018. However, based on management’s knowledge as of March 31, 2018,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31"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On March 31, 2017, Guardian News &amp; Media Limited ("Guardian") issued proceedings (the "Complaint") against the Company in the Chancery Division of the High Court of Justice in England &amp; Wales. The Complaint alleges that the Company underpaid Guardian for advertising inventory sold by Guardian through the Company's platform as a result of the fact that the Company charged fees to buyers of that inventory. Guardian claims the Company was precluded from charging buyer fees as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result of the contractual arrangements with Guardian and English agency law principles, as well as representations it allegedly made to Guardian. The Complaint claims damages including loss of revenue, interest, and costs, without specifying the amount of damages sought. The Company disputes Guardian’s claims and is defending them vigorously, but the Complaint involves disputed facts and complex legal questions, and its outcome is therefore uncertain. Even if Guardian were to prevail in this action, the Company does not believe the payment of the damages it thinks could be recoverable by Guardian would have a material adverse effect upon its condensed consolidated financial position, results of operations, or cash flows. However, pending or in response to the outcome of this action, if the Company faces similar claims from other clients or as a preventative measure, it might decide to provide concessions or make other changes to its business practices that could have such material adverse effects.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25" w:right="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net revenue, profitability, net income (loss), Adjusted EBITDA, earnings per share, and cash flow; strategic objectives, including focus on header bidding, mobile, video, and private marketplace opportunities; investments in our business; development of our technology; introduction of new offerings; the impact of our acquisition of nToggle and its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any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for purchase and sale of higher value advertising inventory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from display to video formats;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header bidding solution not resulting in revenue growth and causing infrastructure strain and added cost;</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guaranteed audience solutions,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declining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compensate for a reduced take rate by increasing the volume and/or value of transactions on our platform;</w:t>
      </w:r>
    </w:p>
    <w:p>
      <w:pPr>
        <w:spacing w:after="0" w:line="90" w:lineRule="exact"/>
        <w:rPr>
          <w:rFonts w:ascii="Arial" w:cs="Arial" w:eastAsia="Arial" w:hAnsi="Arial"/>
          <w:sz w:val="18"/>
          <w:szCs w:val="18"/>
          <w:i w:val="1"/>
          <w:iCs w:val="1"/>
          <w:color w:val="auto"/>
        </w:rPr>
      </w:pPr>
    </w:p>
    <w:p>
      <w:pPr>
        <w:ind w:left="660" w:right="8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revenue declines with the reduction in our take rate and as we incur additional investments in technology required to support the increased volume of transactions on our exchange;</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to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digital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101" w:lineRule="exact"/>
        <w:rPr>
          <w:rFonts w:ascii="Arial" w:cs="Arial" w:eastAsia="Arial" w:hAnsi="Arial"/>
          <w:sz w:val="17"/>
          <w:szCs w:val="17"/>
          <w:i w:val="1"/>
          <w:iCs w:val="1"/>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from buyers and sellers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the EEU General Data Protection Regulation and other evolving legal standards and regulations, particularly concerning data protection and consumer privacy and evolving labor standards.</w:t>
      </w:r>
    </w:p>
    <w:p>
      <w:pPr>
        <w:spacing w:after="0" w:line="13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2017. These forward-looking statements represent our estimates and assumptions only as of the date made.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and other digital media properties, to sell their advertising inventory; applications and services for buyers, including advertisers, agencies, agency trading desks,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users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2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generate revenue from transactions where we provide a platform for the purchase and sale of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demand-side platforms, and ad networks). Advertising inventory is created when users access sellers’ content. Sellers provide advertising inventory to our platform in the form of advertising requests, or ad requests. When we receive ad requests from sellers, we send bid requests to buyers, which enable buyers to bid on sellers’ advertising inventory. Winning bids can create advertising, or paid impressions, for the seller to present to the user. The volume of paid impressions measured as a percentage of ad requests is referred to as fill rate. The price that buyers pay for each thousand paid impressions purchased is measured in units referred to as CPM.</w:t>
      </w:r>
    </w:p>
    <w:p>
      <w:pPr>
        <w:spacing w:after="0" w:line="8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between the Company and the seller and the clearing price of the winning bid. We discuss advertising spend and take rate more fully in the “Non-GAAP Financial Measures and Operational Performance Measures” section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2017, MAGNA estimated that the global programmatic market (excluding search and social) will grow from $25 billion in 2017 to $51 billion by 2021, which represents a 19%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$11 billion global market in 2017 that is expected to increase to $32 billion by 2021, producing a compound annual growth rate of 31%.</w:t>
      </w:r>
    </w:p>
    <w:p>
      <w:pPr>
        <w:spacing w:after="0" w:line="13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Consistent with industry trends, our mobile business is growing faster than desktop. Our mobile advertising spend increased $23.1 million, or 34%, for the three months ended March 31, 2018, compared to the three months ended March 31, 2017, while our desktop business declined 3% during the same period. Our mobile business consists of two components, mobile web and mobile applications. Initially our mobile business was built upon mobile web, which is more similar to our desktop business and subject to many of the same market pressures as discussed below, and as a result has experienced low or negative growth in recent periods. While our mobile web business is trending more in line with desktop, our mobile application business, which is where we see the greatest potential for growth, has shown growth rates in excess of industry projections. Advertising spend from mobile applications is approaching half of our mobile business, and as this mix has increased, our overall mobile business growth has accelerated.</w:t>
      </w:r>
    </w:p>
    <w:p>
      <w:pPr>
        <w:spacing w:after="0" w:line="208"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w:t>
      </w:r>
    </w:p>
    <w:p>
      <w:pPr>
        <w:spacing w:after="0" w:line="1" w:lineRule="exact"/>
        <w:rPr>
          <w:sz w:val="20"/>
          <w:szCs w:val="20"/>
          <w:color w:val="auto"/>
        </w:rPr>
      </w:pPr>
    </w:p>
    <w:p>
      <w:pPr>
        <w:ind w:right="2100"/>
        <w:spacing w:after="0" w:line="281" w:lineRule="auto"/>
        <w:rPr>
          <w:sz w:val="20"/>
          <w:szCs w:val="20"/>
          <w:color w:val="auto"/>
        </w:rPr>
      </w:pPr>
      <w:r>
        <w:rPr>
          <w:rFonts w:ascii="Arial" w:cs="Arial" w:eastAsia="Arial" w:hAnsi="Arial"/>
          <w:sz w:val="16"/>
          <w:szCs w:val="16"/>
          <w:color w:val="auto"/>
        </w:rPr>
        <w:t>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 As a result of these factors, the portion of our advertising spend attributed to markets outside the United States declined to 35% during the three months ended March 31, 2018 from 37% during the first quarter of 2017. Another factor impacting our business is that a large share of the growth in digital advertising spending worldwide is being captured by owned and operated sites, such as Facebook and Google.</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Desktop</w:t>
      </w:r>
    </w:p>
    <w:p>
      <w:pPr>
        <w:spacing w:after="0" w:line="9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6% compound annual growth rate over the 2017-2021 period. This results from the market shift to mobile channels noted above. These trends are having a significant effect on our overall growth rate, because desktop advertising continues to be a significant part of our core business, representing 57% of advertising spend in the first quarter of 2018. As noted above, our advertising spend in desktop decreased 3% during the three months ended March 31,</w:t>
      </w:r>
    </w:p>
    <w:p>
      <w:pPr>
        <w:spacing w:after="0" w:line="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2018 compared to the three months ended March 31, 2017. In addition to the ongoing industry shift away from desktop to mobile, year-over-year growth in our desktop business is hampered further by the continued migration to header bidding, which to date has been focused primarily on desktop display advertising inventory. Header bidding has resulted in adverse revenue effects for us when comparing the first quarter of 2018 to the same period in 2017 due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loss to competitors of some inventory that we would otherwise have been able to sell through our platform. While header bidding has increased competition for inventory, it also has made available to us significant amounts of inventory that previously we were unable to access, and while our traditional desktop display business has declined, our header bidding solution gained significant traction in 2017 and through the first quarter of 2018.</w:t>
      </w:r>
    </w:p>
    <w:p>
      <w:pPr>
        <w:spacing w:after="0" w:line="30"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Header bidding is going through an additional technical evolution from the client side, which involves the browser running the auction, to a server side solution, in which a server runs the auction and offers the potential for improved performance and speed. We believe that our investments in our client side header bidding solution as well as server side header bidding have the potential to improve our competitiveness in all markets in 2018 and beyond.</w:t>
      </w:r>
    </w:p>
    <w:p>
      <w:pPr>
        <w:spacing w:after="0" w:line="261" w:lineRule="auto"/>
        <w:rPr>
          <w:sz w:val="20"/>
          <w:szCs w:val="20"/>
          <w:color w:val="auto"/>
        </w:rPr>
      </w:pPr>
      <w:r>
        <w:rPr>
          <w:rFonts w:ascii="Arial" w:cs="Arial" w:eastAsia="Arial" w:hAnsi="Arial"/>
          <w:sz w:val="18"/>
          <w:szCs w:val="18"/>
          <w:color w:val="auto"/>
        </w:rPr>
        <w:t>However, we must continue to address certain technical and operational challenges, as described under "Risk Factors" in our Annual Report on Form 10-K for the year ended December 31, 2017, in order to realize our header bidding solution's full potential.</w:t>
      </w:r>
    </w:p>
    <w:p>
      <w:pPr>
        <w:spacing w:after="0" w:line="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Because of these rapid developments in the industry, advertising spend from our traditional desktop display business has declined and no longer can be relied upon to drive the growth of our business. Our strategic focus is on growth areas—including mobile, video, and PMPs—that are expected to represent a majority of our advertising spend in 2018. However, despite our solid progress in mobile, our traditional desktop display business is expected to continue to represent a significant part of our business in the near term. Therefore, the weight of our desktop display business and its decreasing advertising spend trend will continue to have a significant adverse effect on our growth until our advertising spend mix has shifted more fully to growth areas.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 Decline</w:t>
      </w:r>
    </w:p>
    <w:p>
      <w:pPr>
        <w:spacing w:after="0" w:line="13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 tech exchange intermediaries like us have used different revenue models in OMP transactions, including charging fees only to sellers or arbitraging the purchase and sale of ad impressions. Our approach was historically to charge fees to both buyers and sellers in OMP transactions conducted on our exchange, consistent with the fact that we provide services to each. Traditionally, for OMP waterfall transactions, we ran a modified second price auction in which the clearing price was the greater of the second highest bid in the auction plus one cent or the applicable price floor. Our buyer fees were determined algorithmically and added to the clearing price to determine the price charged to the winning bidder. Our take rate was made up of the total fees we charge buyers and sellers. In the first quarter of 2017, our take rate was 23.7%.</w:t>
      </w:r>
    </w:p>
    <w:p>
      <w:pPr>
        <w:spacing w:after="0" w:line="43"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late 2017, we reduced and then eliminated our buyer fees as a result of three strategic moves we made in response to market conditions. First, in response to market demands for more efficiency and lower cost from intermediaries like us, and in an effort to be more competitive in attracting demand and capturing supply, we made a strategic decision to reduce the fees we charged buyers in OMP waterfall transactions.</w:t>
      </w:r>
    </w:p>
    <w:p>
      <w:pPr>
        <w:spacing w:after="0" w:line="3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Second, the mix of OMP transactions on our exchange had shifted from approximately three quarters conducted through the traditional ad server waterfall at the end of December 2016 to approximately half through the ad server waterfall as of September 30, 2017. In traditional OMP waterfall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As the percentage of OMP waterfall transactions has declined, the percentage of header bidding transactions has increased. Header bidding increases competition for ad inventory by exposing impressions simultaneously to multiple sources of demand in a competitive auction that, if successful, replaces the ad server waterfall. Each demand source in a header bidding auction conducts its own auction for the impression and then passes its winning bid to a “downstream” meta-auction in which the seller evaluates bids from all its demand sources, and generally the highest bid wins. This competition pushes auction clearing prices much closer to the winning first-price bid than OMP waterfall transactions. In order to be more competitive and give our buyers a better chance of winning the header bidding impressions on which they bid, we began charging lower buyer fees for header bidding transactions so that we could pass higher priced bids into the downstream auction. Based upon experience with this approach and client feedback, in October 2017 we began offering a modified first price auction dynamic in our header bidding solution without buyer fees. Subsequently, in an effort to capture more inventory for our buyers and deliver better monetization to our sellers, and to provide better transparency and predictability to all our clients, effective as of January 22, 2018, we made first price our default auction dynamic for header bidding transactions. This means that the first price or highest bid in our auction wins and that first price is passed to the downstream auction. Because buyers may need some time to adapt their systems and bidding strategies to first-price auction dynamics, or may not wish to make those adaptations themselves, we have implemented an optional free feature,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advertising inventory consistent with market values while preserving demand and budget for sellers on our platform. In addition to increasing the rate at which buyers win in our auctions, and the monetization that that winning provides to sellers, our first price auction dynamic and EMR solution have contributed to higher CPMs for our header bidding inventory.</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as the ad tech industry has matured and evolved, competition has increased and pricing has become more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transparent. The primary buyers in our OMP transactions are DSPs buying on behalf of agency and brand clients that are demanding reduced costs and fee transparency throughout the value chain. DSPs and their clients are consequently demanding that exchanges disclose and limit or eliminate buyer fees, and DSPs and their clients may reduce or eliminate spending on exchanges that charge buyer fees. In addition, some sellers believe that buyer fees ultimately reduce seller revenue, and therefore are seeking to cap or eliminate buyer fees on sale of their inventory. In response to these market trends, and consistent with our strategy to be a high volume, low cost and transparent exchange, we stopped charging our additive buyer fees altogether effective November 1, 2017. We still charge some buyers an access fee to connect to our system when their spending is too small to support the maintenance of their accounts, but these access fees in the aggregate are insignificant. As such, our future revenue will consist almost entirely of a unitary marketplace fee. Most of our marketplace fees are negotiated with sellers as a percentage of the auction clearing price for sale of their inventory. In some cases, we reduce the buyer’s bid amount by the amount of our fee and pass the remainder as the bid to the seller. If the bid wins we retain the amount of the bid reduction as our fee. We do this at the discretion of sellers that allocate advertising inventory through a decisioning process that follows after our auction and incorporates other demand sources as well as our bids, and that prefer or require that we submit our bids to them net of our fees, so that our bid matches the amount we will owe them if we win. This is referred to as net bidding. Net bidding amounts can vary across transactions depending upon various factors including inventory and auction characteristics and seller policies. In general, we believe the marketplace fees we earn in these transactions are consistent with or below market rates for comparable transactions.</w:t>
      </w:r>
    </w:p>
    <w:p>
      <w:pPr>
        <w:spacing w:after="0" w:line="5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These strategic price reductions contributed to the decrease in our take rate from 23.7% for the three months ended March 31, 2017 to 11.8% for the three months ended March 31, 2018.</w:t>
      </w:r>
    </w:p>
    <w:p>
      <w:pPr>
        <w:spacing w:after="0" w:line="3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strategic pricing reductions are intended to address the market's demand for lower costs and to attract more inventory and spending to our platform. Lower pricing has caused our revenue and margins to decline significantly. In order to adjust to our lower take rates and return to growth, we must increase advertising spend on our platform. Increases in PMP and header bidding transactions as a percentage of the activity on our exchange could yield higher advertising spend despite lower take rates due to higher CPMs typically associated with PMP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Further, because the rate at which we win header bidding auctions is much lower, due to competition inherent in header bidding transactions, than the rate at which we win waterfall transactions, as our business continues to shift away from waterfall transactions to header bidding, we need to participate in far more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as well as ongoing innovation to address evolving client needs and capture business.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elimination of buyer fees, such fees represented approximately half of our revenue for the first ten months of</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2017, and we do not expect to be able to grow advertising spending or reduce costs quickly enough in the near term to make up for the elimination of these fees. This will result in significant cash consumption to support operations during 2018. Unless and until we are able to compensate for elimination of our buyer fees by increasing advertising spending on our platform, through higher transaction volumes or higher transaction values or both, we will not be able to grow our business and our cash resources will diminish.</w:t>
      </w:r>
    </w:p>
    <w:p>
      <w:pPr>
        <w:spacing w:after="0" w:line="14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Therefore, while we work to increase the volume of transactions on our exchange and compete more effectively, we must operate more efficiently to relieve the pressure on our margins and cash resources that has resulted from our price reductions and to compensate for the ongoing investments in technology and data processing capabilities required to support the increased volume of transactions that our growth plans require. Consequently, we are pursuing various cost-control and efficiency initiatives. As part of these efforts, during the first quarter of 2018 we undertook measures to reduce headcount by approximately 100 people, or 19% of our workforce, and to reduce other operating costs. Our actions include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also continue to pursue increased automation and efficiency across all aspects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and the operational performance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generate revenue from the purchase and sale of our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3"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consist primarily of personnel costs, including stock-based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associated with our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 and changes in fair value associated with the liability-classified contingent consideration related to acquisitions.</w:t>
      </w:r>
    </w:p>
    <w:p>
      <w:pPr>
        <w:spacing w:after="0" w:line="2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are cash and non-cash charges consisting primarily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and facility closure costs.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is mainly related to our credit facility. Interest income consists of interest earned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marketable securities and was insignificant for the three months ended March 31, 2018 and 2017.</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Provision (benefit) for income taxes consists of federal, state, and foreign income taxes and is primarily the result of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 We recorded a provisional Transition Tax of $0.6 million which reduced our U.S. net deferred tax assets for the year ended December 31, 2017. For the three months ended March 31, 2018, there was no change to the provisional Transaction Tax recorded in the prior period.</w:t>
      </w:r>
    </w:p>
    <w:p>
      <w:pPr>
        <w:spacing w:after="0" w:line="13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We have recognized the actual impact of the revaluation of deferred tax balances and the provisional impact related to the one-time Transition Tax. We included these amounts in our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may be taken as a result of the Tax Act. We expect to complete our analysis within the measurement period in accordance with SAB 118.</w:t>
      </w:r>
    </w:p>
    <w:p>
      <w:pPr>
        <w:spacing w:after="0" w:line="1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our financial position and results of operations.</w:t>
      </w:r>
    </w:p>
    <w:p>
      <w:pPr>
        <w:spacing w:after="0" w:line="14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Finally,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BEAT does not apply to corporations whose annual gross receipts for the three-taxable-year period ending with the preceding taxable year are less than $500 million. BEAT does not apply to the Company for the year ending December 31, 2018. Also, the Tax Act requires certain GILTI income earned by controlled foreign corporations (“CFCs”) to be included in the gross income of the CFCs’ U.S. shareholder (for tax years beginning after December 31,</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2017). For the three months ended March 31, 2018, we have included a provisional GILTI inclusion of $1.4 million for purposes of Accounting Standards Codification Topic 740. GAAP allows us to either (i) treat taxes due on future U.S. inclusions in taxable income related to BEAT and GILTI as current-period expense when incurred (the “period cost method”); or (ii) factor such amounts into the measurement of deferred taxes (the “deferred method”). We elected the period cost method.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8"/>
              </w:rPr>
              <w:t>Favorable/(Unfavorable)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5"/>
                <w:szCs w:val="5"/>
                <w:color w:val="auto"/>
              </w:rPr>
            </w:pPr>
          </w:p>
        </w:tc>
        <w:tc>
          <w:tcPr>
            <w:tcW w:w="14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0" w:type="dxa"/>
            <w:vAlign w:val="bottom"/>
            <w:gridSpan w:val="2"/>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40" w:type="dxa"/>
            <w:vAlign w:val="bottom"/>
            <w:tcBorders>
              <w:top w:val="single" w:sz="8" w:color="auto"/>
            </w:tcBorders>
            <w:gridSpan w:val="4"/>
          </w:tcPr>
          <w:p>
            <w:pPr>
              <w:jc w:val="right"/>
              <w:ind w:right="121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(1)(2)</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14,688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14,628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15,080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52,544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70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w w:val="93"/>
              </w:rPr>
              <w:t>(1) Stock-based compensation expense included in our expenses was as follows: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other exit costs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stock-based compensation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March 31, 2017</w:t>
            </w:r>
          </w:p>
        </w:tc>
      </w:tr>
      <w:tr>
        <w:trPr>
          <w:trHeight w:val="244"/>
        </w:trPr>
        <w:tc>
          <w:tcPr>
            <w:tcW w:w="240" w:type="dxa"/>
            <w:vAlign w:val="bottom"/>
          </w:tcPr>
          <w:p>
            <w:pPr>
              <w:spacing w:after="0"/>
              <w:rPr>
                <w:sz w:val="21"/>
                <w:szCs w:val="21"/>
                <w:color w:val="auto"/>
              </w:rPr>
            </w:pPr>
          </w:p>
        </w:tc>
        <w:tc>
          <w:tcPr>
            <w:tcW w:w="32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84</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1,435</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1,075</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2,357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2,709</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936</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4,544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6,239</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-1054100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9" w:lineRule="exact"/>
        <w:rPr>
          <w:sz w:val="20"/>
          <w:szCs w:val="20"/>
          <w:color w:val="auto"/>
        </w:rPr>
      </w:pPr>
    </w:p>
    <w:p>
      <w:pPr>
        <w:ind w:left="280" w:hanging="245"/>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Depreciation and amortization expense included in our expenses was as follows: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6"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Cost of revenue</w:t>
      </w:r>
    </w:p>
    <w:p>
      <w:pPr>
        <w:spacing w:after="0" w:line="99" w:lineRule="exact"/>
        <w:rPr>
          <w:rFonts w:ascii="Arial" w:cs="Arial" w:eastAsia="Arial" w:hAnsi="Arial"/>
          <w:sz w:val="16"/>
          <w:szCs w:val="16"/>
          <w:color w:val="auto"/>
        </w:rPr>
      </w:pPr>
    </w:p>
    <w:p>
      <w:pPr>
        <w:ind w:left="280" w:right="4980"/>
        <w:spacing w:after="0" w:line="395" w:lineRule="auto"/>
        <w:rPr>
          <w:rFonts w:ascii="Arial" w:cs="Arial" w:eastAsia="Arial" w:hAnsi="Arial"/>
          <w:sz w:val="16"/>
          <w:szCs w:val="16"/>
          <w:color w:val="auto"/>
        </w:rPr>
      </w:pPr>
      <w:r>
        <w:rPr>
          <w:rFonts w:ascii="Arial" w:cs="Arial" w:eastAsia="Arial" w:hAnsi="Arial"/>
          <w:sz w:val="14"/>
          <w:szCs w:val="14"/>
          <w:color w:val="auto"/>
        </w:rPr>
        <w:t>Sales and marketing Technology and development General and administrative</w:t>
      </w:r>
    </w:p>
    <w:p>
      <w:pPr>
        <w:spacing w:after="0" w:line="1"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Total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March 31, 2017</w:t>
            </w:r>
          </w:p>
        </w:tc>
      </w:tr>
      <w:tr>
        <w:trPr>
          <w:trHeight w:val="244"/>
        </w:trPr>
        <w:tc>
          <w:tcPr>
            <w:tcW w:w="240" w:type="dxa"/>
            <w:vAlign w:val="bottom"/>
          </w:tcPr>
          <w:p>
            <w:pPr>
              <w:spacing w:after="0"/>
              <w:rPr>
                <w:sz w:val="21"/>
                <w:szCs w:val="21"/>
                <w:color w:val="auto"/>
              </w:rPr>
            </w:pPr>
          </w:p>
        </w:tc>
        <w:tc>
          <w:tcPr>
            <w:tcW w:w="32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8,161</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8,379</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467</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666</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609</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8,710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10,121</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72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700" w:type="dxa"/>
            <w:vAlign w:val="bottom"/>
          </w:tcPr>
          <w:p>
            <w:pPr>
              <w:spacing w:after="0"/>
              <w:rPr>
                <w:sz w:val="22"/>
                <w:szCs w:val="22"/>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2018</w:t>
            </w:r>
          </w:p>
        </w:tc>
        <w:tc>
          <w:tcPr>
            <w:tcW w:w="1800" w:type="dxa"/>
            <w:vAlign w:val="bottom"/>
          </w:tcPr>
          <w:p>
            <w:pPr>
              <w:jc w:val="right"/>
              <w:ind w:right="33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Cost of revenue</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Technology and development</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Restructuring and other exit costs</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9</w:t>
            </w:r>
          </w:p>
        </w:tc>
      </w:tr>
      <w:tr>
        <w:trPr>
          <w:trHeight w:val="27"/>
        </w:trPr>
        <w:tc>
          <w:tcPr>
            <w:tcW w:w="7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134</w:t>
            </w:r>
          </w:p>
        </w:tc>
      </w:tr>
      <w:tr>
        <w:trPr>
          <w:trHeight w:val="237"/>
        </w:trPr>
        <w:tc>
          <w:tcPr>
            <w:tcW w:w="770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18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 loss, net</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18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income taxes</w:t>
            </w:r>
          </w:p>
        </w:tc>
        <w:tc>
          <w:tcPr>
            <w:tcW w:w="1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7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2018 and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Revenue decreased $21.1 million, or 46%, for the three months ended March 31, 2018 compared to the three months ended March 31, 2017. The decrease was primarily due to the elimination of our buyer fees beginning in November 2017 as well as market and competitive pressures, deceleration in traditional desktop display spending, and header bidding dynamics as described above, as well as the cessation of our intent marketing solution in March 2017.</w:t>
      </w:r>
    </w:p>
    <w:p>
      <w:pPr>
        <w:spacing w:after="0" w:line="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Revenue is impacted by shifts in the mix of advertising spend by transaction type and channel, changes in the fees we charge buyers and sellers for our services (which drive take rate), and other factors such as changes in the market, our execution of the business, and competition. In addition to the elimination of buyer transaction fees resulting in lower take rate, an increase in PMP transactions as a percentage of the transactions on our platform could contribute to lower take rates because PMP transactions can carry lower fees than OMP transactions. Industry dynamics are challenging due to market and competitive pressures and make it difficult to predict the near-term effect of our growth initiatives. Consequently, while we anticipate long-term benefits from these initiatives, unless and until we are able to compensate for the reduction in our fees by increasing advertising spend on our platform, through higher transaction volumes or higher transaction values or both, or by increasing seller fees, our revenue will continue to decline, we will not be able to grow our business, and our cash resources may be depleted.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Cost of revenue increased by $0.1 million, or 1%, for the three months ended March 31, 2018 compared to the three months ended March 31, 2017. For the three months ended March 31, 2018, technology expenses increased $1.2 million due to an increase in our transaction volume. This increase was offset by a $1.1 million reduction in media costs related to the cessation of our intent marketing solution during the first quarter of 2017.</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expect cost of revenue to be higher in absolute dollars in 2018 compared to 2017 as a result of increased spending on data centers and investments in developed technology to support our strategic growth initiatives and the auction processing costs and infrastructure required to process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investments.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Sales and marketing expenses decreased $2.4 million or 16% for the three months ended March 31, 2018 compared to the three months ended March 31, 2017, primarily due to a decrease of $1.5 million in sales and marketing personnel costs as a result of our 2017 cost control initiatives including the realignment of our management team. Sales and marketing depreciation and amortization costs and professional services fees also decreased compared to the prior year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expect sales and marketing expenses to decline in 2018 compared to 2017 as a result of headcount reductions and other cost control measures we implemented in the first quarter of 2018, as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Technology and development expenses decreased by $2.3 million, or 18%, for the three months ended March 31, 2018 compared to the three months ended March 31, 2017, primarily due to a decrease of $1.2 million in personnel costs as a result of our 2017 cost control initiatives, including the cessation of our intent marketing services offering and closure of our Toronto office, which also reduced technology and development depreciation and amortization costs by $0.4 million.</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expect technology and development expense to decline in 2018 compared to 2017 as a result of headcount reductions we implemented in the first quarter 2018, as described below, and we expect additional savings in 2018 as we improve our efficiencies in technology development while continuing to invest in our engineering and technology teams.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General and administrative expenses decreased by $2.5 million, or 17%, for the three months ended March 31, 2018 compared to the three months ended March 31, 2017. The decrease is primarily due to reduced professional services expenses of $1.5 million. General and administrative depreciation and amortization costs also decreased $0.5 million due to accelerated amortization of certain capitalized software assets in 2017.</w:t>
      </w:r>
    </w:p>
    <w:p>
      <w:pPr>
        <w:spacing w:after="0" w:line="1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quarterly general and administrative expense to decline in 2018 compared to 2017 as a result of headcount reductions and other cost control measures we implemented in the first quarter 2018, as described below. General and administrative expenses may fluctuate from quarter to quarter and period to period based on the timing and amounts of our investments and related expenditures in our general and administrative functions as they vary in scope and scale over periods which may not be directly proportional to changes in revenue.</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We incurred restructuring and other exit costs of $2.5 million for severance and other one-time employee termination benefits during the three months ended March 31, 2018 related to headcount reductions that were made in the first quarter of 2018, as described below. For the three months ended March 31, 2017, we incurred $4.3 million, primarily in severance and one-time employee termination benefits and facility closure costs, as a result of the management restructuring and the costs associated with the shut-down of our intent marketing services (see Note 8).</w:t>
      </w:r>
    </w:p>
    <w:p>
      <w:pPr>
        <w:spacing w:after="0" w:line="13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estimate the 2018 restructuring activities will result in annualized cash basis cost savings of approximately $24.0 million, which we will begin to realize in the second quarter of 2018.</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4"/>
              </w:rPr>
              <w:t>March 31, 2017</w:t>
            </w:r>
          </w:p>
        </w:tc>
      </w:tr>
      <w:tr>
        <w:trPr>
          <w:trHeight w:val="249"/>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21"/>
                <w:szCs w:val="2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loss,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other (income) loss,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Foreign exchange loss, net is impacted by movements in exchange rates, primarily the British Pound and the Euro relative to the U.S. Dollar, and the amount of foreign currency-denominated receivables and payables, which are impacted by our billings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buyers and payments to sellers. The foreign currency loss, net during the three months ended March 31, 2018 was primarily attributable to the weakening of the U.S. Dollar in relation to the British Pound and the Euro for foreign currency denominated transactions.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recorded income tax expenses of $0.1 million and $0.4 million for the three months ended March 31, 2018 and 2017, respectively. The tax provision for the three months ended March 31, 2018 is primarily the result of the domestic valuation allowance and the tax liability associated with foreign subsidiaries.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Performance Measures</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to our GAAP results, we review certain non-GAAP financial measures and operational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Adjusted EBITDA, and take rate, which are discussed immediately following the table below. Revenue and other GAAP measures are discussed under the headings "Components of Our Results of Operations" and "Results of Operations".</w:t>
      </w:r>
    </w:p>
    <w:p>
      <w:pPr>
        <w:spacing w:after="0" w:line="17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8180"/>
        <w:spacing w:after="0"/>
        <w:tabs>
          <w:tab w:leader="none" w:pos="1004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Measures and non-GAAP Financial Measures: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ind w:left="280"/>
              <w:spacing w:after="0"/>
              <w:rPr>
                <w:sz w:val="20"/>
                <w:szCs w:val="20"/>
                <w:color w:val="auto"/>
              </w:rPr>
            </w:pPr>
            <w:r>
              <w:rPr>
                <w:rFonts w:ascii="Arial" w:cs="Arial" w:eastAsia="Arial" w:hAnsi="Arial"/>
                <w:sz w:val="18"/>
                <w:szCs w:val="18"/>
                <w:color w:val="auto"/>
              </w:rPr>
              <w:t>Revenue</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24,876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46,015</w:t>
            </w: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spend</w:t>
            </w:r>
          </w:p>
        </w:tc>
        <w:tc>
          <w:tcPr>
            <w:tcW w:w="3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211,028</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191,540</w:t>
            </w: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Non-GAAP net revenue</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24,876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45,382</w:t>
            </w: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3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(27,816)</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(15,840)</w:t>
            </w: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(14,204)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1,100</w:t>
            </w:r>
          </w:p>
        </w:tc>
      </w:tr>
      <w:tr>
        <w:trPr>
          <w:trHeight w:val="27"/>
        </w:trPr>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Measure:</w:t>
            </w:r>
          </w:p>
        </w:tc>
        <w:tc>
          <w:tcPr>
            <w:tcW w:w="3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Take Rate %</w:t>
            </w:r>
          </w:p>
        </w:tc>
        <w:tc>
          <w:tcPr>
            <w:tcW w:w="3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9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define advertising spend as the buyer spending on advertising inventory transacted on our platform. Advertising spend does not represent revenue reported on a GAAP basis. Tracking our advertising spend facilitates comparison of our results to the results of companies in our industry that report GAAP revenue on a gross basis. We also use advertising spend for internal management purposes to assess market share of total advertising spending.</w:t>
      </w:r>
    </w:p>
    <w:p>
      <w:pPr>
        <w:spacing w:after="0" w:line="1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advertising spend may be influenced by demand for our services, the volume and characteristics of paid impressions, average CPM, the nature and amount of fees we charge, and other factors such as changes in the market, our execution of the business, and competition.</w:t>
      </w:r>
    </w:p>
    <w:p>
      <w:pPr>
        <w:spacing w:after="0" w:line="11"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Advertising spend may fluctuate due to seasonality. In the past, we have experienced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average CPM, or both. Our advertising spend grew 10% in the first quarter of 2018 compared to the first quarter of 2017. The increase in advertising spend was driven primarily by an increase in the CPMs generated from our auctions. The increase in CPMs was driven by increased bidding activity on our platform, the value of the inventory that we made available to buyers, including PMP, mobile and video inventory that typically carries higher pricing, and auction dynamics, including the implementation of first price auctions and EMR for our header bidding inventory.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46,015</w:t>
            </w:r>
          </w:p>
        </w:tc>
      </w:tr>
      <w:tr>
        <w:trPr>
          <w:trHeight w:val="270"/>
        </w:trPr>
        <w:tc>
          <w:tcPr>
            <w:tcW w:w="79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Plus amounts paid to sellers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186,152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145,525</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211,028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191,540</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Amounts paid to sellers for the portion of our revenue reported on a net basis for GAAP purposes.</w:t>
      </w:r>
    </w:p>
    <w:p>
      <w:pPr>
        <w:spacing w:after="0" w:line="35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solution enables buyers and sellers to transact through desktop and mobile channels. The following table presents revenue and advertising spend in dollar terms by channel and as a percentage of total revenue or advertising spend for the three months ended March 31, 2018 and 2017.</w:t>
      </w:r>
    </w:p>
    <w:p>
      <w:pPr>
        <w:spacing w:after="0" w:line="129" w:lineRule="exact"/>
        <w:rPr>
          <w:sz w:val="20"/>
          <w:szCs w:val="20"/>
          <w:color w:val="auto"/>
        </w:rPr>
      </w:pPr>
    </w:p>
    <w:p>
      <w:pPr>
        <w:ind w:left="4280"/>
        <w:spacing w:after="0"/>
        <w:tabs>
          <w:tab w:leader="none" w:pos="858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Advertising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23495</wp:posOffset>
            </wp:positionV>
            <wp:extent cx="5788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9" w:lineRule="exact"/>
        <w:rPr>
          <w:sz w:val="20"/>
          <w:szCs w:val="20"/>
          <w:color w:val="auto"/>
        </w:rPr>
      </w:pPr>
    </w:p>
    <w:p>
      <w:pPr>
        <w:jc w:val="center"/>
        <w:ind w:left="23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23495</wp:posOffset>
            </wp:positionV>
            <wp:extent cx="28473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03" w:lineRule="exact"/>
        <w:rPr>
          <w:sz w:val="20"/>
          <w:szCs w:val="20"/>
          <w:color w:val="auto"/>
        </w:rPr>
      </w:pPr>
    </w:p>
    <w:p>
      <w:pPr>
        <w:ind w:left="2920"/>
        <w:spacing w:after="0"/>
        <w:tabs>
          <w:tab w:leader="none" w:pos="520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23495</wp:posOffset>
            </wp:positionV>
            <wp:extent cx="2872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03"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23495</wp:posOffset>
            </wp:positionV>
            <wp:extent cx="5788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6800" w:space="720"/>
            <w:col w:w="390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w w:val="93"/>
              </w:rPr>
              <w:t>(in thousands, except percentages)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Desktop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14,309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28,329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120,058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123,639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90,970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67,901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r>
      <w:tr>
        <w:trPr>
          <w:trHeight w:val="257"/>
        </w:trPr>
        <w:tc>
          <w:tcPr>
            <w:tcW w:w="2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24,876</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46,015</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211,028</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191,540</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non-GAAP net revenue as GAAP revenue less amounts we pay sellers, where the amounts paid are included within cost of revenue for the portion of our revenue reported on a gross basis. The portion of our revenue reported on a gross basis was attributable to intent marketing services, which no longer generated revenue after the first quarter of 2017. Historically, non-GAAP net revenue was a useful measure in assessing the performance of our business in periods for which our revenue included revenue reported on a gross basis, because it showed the operating results of our business on a consistent basis without the effect of differing revenue reporting (gross vs. net) that we applied under GAAP across different types of transactions, and facilitated comparison of our results to the results of companies that report all of their revenue on a net basis. Revenue from intent marketing services in the first quarter of 2017 created the difference between our non-GAAP net revenue and our GAAP revenue for that period. We ceased offering that solution in the first quarter of 2017, so for subsequent periods non-GAAP net revenue is the same as GAAP revenue, as there is no longer a reconciling item between GAAP and non-GAAP net revenue. Non-GAAP net revenue is presented for comparative purposes as the first quarter of 2017 still included the intent marketing solution reconciling item.</w:t>
      </w:r>
    </w:p>
    <w:p>
      <w:pPr>
        <w:spacing w:after="0" w:line="13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 potential limitation of non-GAAP net revenue is that other companies may define non-GAAP net revenue differently, which may make comparisons difficult.</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Non-GAAP net revenue is influenced by the volume and characteristics of advertising spend, and our take rate. The revenue we have reported on a gross basis was associated with our intent marketing business. Because we exited that business in the first quarter of 2017, we do not expect to report any revenue on a gross basis after the first quarter of 2017 unless and until we change our business practices, develop new products, or make an acquisition, in each case with characteristics that require gross reporting.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revenue to non-GAAP net revenue for the three months ended March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46,015</w:t>
            </w:r>
          </w:p>
        </w:tc>
        <w:tc>
          <w:tcPr>
            <w:tcW w:w="0" w:type="dxa"/>
            <w:vAlign w:val="bottom"/>
          </w:tcPr>
          <w:p>
            <w:pPr>
              <w:spacing w:after="0"/>
              <w:rPr>
                <w:sz w:val="1"/>
                <w:szCs w:val="1"/>
                <w:color w:val="auto"/>
              </w:rPr>
            </w:pPr>
          </w:p>
        </w:tc>
      </w:tr>
      <w:tr>
        <w:trPr>
          <w:trHeight w:val="341"/>
        </w:trPr>
        <w:tc>
          <w:tcPr>
            <w:tcW w:w="7900" w:type="dxa"/>
            <w:vAlign w:val="bottom"/>
          </w:tcPr>
          <w:p>
            <w:pPr>
              <w:ind w:left="280"/>
              <w:spacing w:after="0"/>
              <w:rPr>
                <w:sz w:val="20"/>
                <w:szCs w:val="20"/>
                <w:color w:val="auto"/>
              </w:rPr>
            </w:pPr>
            <w:r>
              <w:rPr>
                <w:rFonts w:ascii="Arial" w:cs="Arial" w:eastAsia="Arial" w:hAnsi="Arial"/>
                <w:sz w:val="18"/>
                <w:szCs w:val="18"/>
                <w:color w:val="auto"/>
              </w:rPr>
              <w:t>Less amounts paid to sellers</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60" w:type="dxa"/>
            <w:vAlign w:val="bottom"/>
            <w:vMerge w:val="restart"/>
          </w:tcPr>
          <w:p>
            <w:pPr>
              <w:jc w:val="right"/>
              <w:ind w:right="14"/>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18"/>
        </w:trPr>
        <w:tc>
          <w:tcPr>
            <w:tcW w:w="7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20" w:hanging="578"/>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amounts paid to sellers included within cost of revenue.</w:t>
      </w:r>
    </w:p>
    <w:p>
      <w:pPr>
        <w:sectPr>
          <w:pgSz w:w="11900" w:h="16838" w:orient="portrait"/>
          <w:cols w:equalWidth="0" w:num="1">
            <w:col w:w="11420"/>
          </w:cols>
          <w:pgMar w:left="240" w:top="125" w:right="2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Non-GAAP net revenue decreased in the current period compared to the prior year due to a lower take rate, as noted within "Industry Trends and Trends in Our Business", which was partially offset by the increase in advertising spend.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19" w:lineRule="exact"/>
        <w:rPr>
          <w:sz w:val="20"/>
          <w:szCs w:val="20"/>
          <w:color w:val="auto"/>
        </w:rPr>
      </w:pPr>
    </w:p>
    <w:p>
      <w:pPr>
        <w:ind w:left="660" w:right="4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Arial" w:cs="Arial" w:eastAsia="Arial" w:hAnsi="Arial"/>
          <w:sz w:val="18"/>
          <w:szCs w:val="18"/>
          <w:color w:val="auto"/>
        </w:rPr>
      </w:pPr>
    </w:p>
    <w:p>
      <w:pPr>
        <w:ind w:left="660" w:right="300" w:hanging="328"/>
        <w:spacing w:after="0" w:line="31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06" w:lineRule="exact"/>
        <w:rPr>
          <w:rFonts w:ascii="Arial" w:cs="Arial" w:eastAsia="Arial" w:hAnsi="Arial"/>
          <w:sz w:val="16"/>
          <w:szCs w:val="16"/>
          <w:color w:val="auto"/>
        </w:rPr>
      </w:pPr>
    </w:p>
    <w:p>
      <w:pPr>
        <w:ind w:left="640" w:right="440" w:hanging="321"/>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41" w:lineRule="exact"/>
        <w:rPr>
          <w:sz w:val="20"/>
          <w:szCs w:val="20"/>
          <w:color w:val="auto"/>
        </w:rPr>
      </w:pPr>
    </w:p>
    <w:p>
      <w:pPr>
        <w:ind w:left="60" w:right="18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6" w:lineRule="exact"/>
        <w:rPr>
          <w:sz w:val="20"/>
          <w:szCs w:val="20"/>
          <w:color w:val="auto"/>
        </w:rPr>
      </w:pPr>
    </w:p>
    <w:p>
      <w:pPr>
        <w:ind w:left="660" w:right="24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Stock-based compensation is a non-cash charge and is and will remain an element of our long-term incentive compensation package, although we exclude it as an expense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the write-down of goodwill, intangible assets and/or long-lived assets, although we exclude these charges as expenses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1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Adjusted EBITDA is influenced by fluctuation in our revenue and the timing and amounts of our investments in our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a reconciliation of net loss, the most comparable GAAP measure, to Adjusted EBITDA for the three months ended March 31, 2018 and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Add back (deduct):</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 excluding amortization of acquired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8,536</w:t>
            </w:r>
          </w:p>
        </w:tc>
      </w:tr>
      <w:tr>
        <w:trPr>
          <w:trHeight w:val="243"/>
        </w:trPr>
        <w:tc>
          <w:tcPr>
            <w:tcW w:w="790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1,585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Foreign currency loss,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375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decline in adjusted EBITDA for the three months ended March 31, 2018 and our expectations for future adjusted EBITDA have been driven by the same factors that drove the changes in our GAAP metrics noted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Take rate is an operational performance measure calculated by dividing revenue (or for periods in which we have revenue reported on a gross basis, non-GAAP net revenue) by advertising spend. We review take rate for internal management purposes to assess the development of our marketplace with buyers and sellers.</w:t>
      </w:r>
    </w:p>
    <w:p>
      <w:pPr>
        <w:spacing w:after="0" w:line="60" w:lineRule="exact"/>
        <w:rPr>
          <w:sz w:val="20"/>
          <w:szCs w:val="20"/>
          <w:color w:val="auto"/>
        </w:rPr>
      </w:pPr>
    </w:p>
    <w:p>
      <w:pPr>
        <w:ind w:right="200" w:firstLine="648"/>
        <w:spacing w:after="0" w:line="270"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types, the implementation of new products, platforms and solution features, auction dynamics, competitive factors, our strategic pricing decisions, and the overall development of the digital advertising ecosystem.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principal sources of liquidity are our cash and cash equivalents, marketable securities, cash generated from operations, and our credit facility with Silicon Valley Bank ("SVB"). At March 31, 2018, we had cash and cash equivalents of $67.5 million, of which $25.3 million was held in foreign currency cash accounts, and marketable securities of $51.8 million.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are payments to sellers can significantly impact our cash flows from operating activities for any period presented. Our collection and payment cycle can vary from period to period depending upon various circumstances, including seasonality.</w:t>
      </w:r>
    </w:p>
    <w:p>
      <w:pPr>
        <w:spacing w:after="0" w:line="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At March 31, 2018, we had no amounts outstanding under our credit facility with SVB, and $40.0 million was available for borrowing. Future availability under the credit facility is dependent on several factors including the available borrowing base and compliance with future covenant requirements. Our facility matures in September 2018.</w:t>
      </w:r>
    </w:p>
    <w:p>
      <w:pPr>
        <w:spacing w:after="0" w:line="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our option, loans under the credit facility may bear interest based on either the LIBOR rate or the prime rate plus, in each case, an applicable margin. The applicable margins under the credit facility are (i) 2.00% or 3.50% per annum in the case of LIBOR rate loans, and (ii) 0.00% or 1.50% per annum in the case of prime rate loans (based on SVB's net exposure to us after giving effect to unrestricted cash held at SVB and its affiliates plus up to $3.0 million held at other institutions). In addition, an unused revolver fee in the amount of 0.15% per annum of the average unused portion of the credit facility is payable by us to SVB monthly in arrears.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credit facility restricts our ability to, among other things, sell assets, make changes to the nature of our business, engage in mergers or acquisitions, incur, assume or permit to exist additional indebtedness and guarantees, create or permit to exist liens, pay dividends, make distributions on or redeem or repurchase capital stock, make certain other investments, engage in transactions with affiliates, and make payments in respect of subordinated debt, in each case unless approved by SVB.</w:t>
      </w:r>
    </w:p>
    <w:p>
      <w:pPr>
        <w:spacing w:after="0" w:line="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in the event that the amount available to be drawn is less than 20% of the maximum amount of the credit facility, or if an event of default exists, we are required to satisfy a minimum fixed charge coverage ratio test of 1.10 to 1.00. As of March 31, 2018, our fixed charge coverage ratio was incalculable as there were no fixed charges as defined in the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credit facility also includes customary representations and warranties, affirmative covenants, and events of default, including events of default upon a change of control and material adverse change (as defined in the credit facility). Following an event of default, SVB would be entitled to, among other things, accelerate payment of amounts due under the credit facility and exercise all rights of a secured creditor. We were in compliance with the covenants under the credit facility at March 31, 2018.</w:t>
      </w:r>
    </w:p>
    <w:p>
      <w:pPr>
        <w:spacing w:after="0" w:line="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believe our existing cash and cash equivalents and investment balances, along with the cash flow from operations, will be sufficient to meet our working capital requirements for at least the next 12 months from the issuance of our financial statements. However, we have been negatively impacted by rapid changes in the ad tech industry, including demand by ad tech buyers for more efficiency and lower costs, changes in bidding technologies, and increased competition. In response to these challenges, we made significant reductions in fees charged to buyers during 2017 and in November 2017 eliminated buyer fees altogether. As a result, our take rate decreased from 23.7% in the first quarter to 2017 to 11.8% for the first quarter of 2018. In an effort to bring our costs into better alignment with reduced revenue, we have undertaken restructuring activities to reduce headcount and related operating costs, and have also reduced our capital expenditures, which may make execution against our strategic business plans more difficult. Unless and until the we are able to compensate for the buyer fee reductions and reduced gross margins by continuing to increase advertising spending on our platform, or sufficiently reducing costs, we may not be able to grow our business and may continue to operate at a loss, depleting our cash resources and liquidity. Our future capital requirements and the adequacy of available funds will depend on many factors, including those set forth in Part II, Item 1A: "Risk Factors" of our Annual Report on Form 10-K for the year ended December 31, 2017.</w:t>
      </w:r>
    </w:p>
    <w:p>
      <w:pPr>
        <w:spacing w:after="0" w:line="14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2018,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even if credit is available, lenders may seek more restrictive covenants and higher interest rates that may reduce our borrowing capacity, increase our costs, and reduce our operating flexibility.</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provided by (used in) investing activities</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cash flows from operating activities are primarily influenced by increases or decreases in receipts from buyers and related payments to sellers, as well as our investment in personnel and infrastructure to support our business.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 We typically collect from buyers in advance of payments to sellers. Our collection and payment cycle can vary from period to period depending upon various circumstances, including seasonality. Increases in revenue earned directly from advertisers and agencies may cause the amount of receipts from buyers collected in advance of payments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commodization of our business. If this continues, more of our cash will be required to fund our payment cycle and therefore not available for other uses.</w:t>
      </w:r>
    </w:p>
    <w:p>
      <w:pPr>
        <w:spacing w:after="0" w:line="1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three months ended March 31, 2018, net cash used in operating activities was $9.8 million compared to net cash provided by operating activities of $2.9 million for the three months ended March 31, 2017. Our operating activities included our net losses of $27.8 million and $15.8 million for the three months ended March 31, 2018 and 2017, respectively, which were offset by non-cash adjustments of $13.5 million and $17.2 million. In the first quarter of 2018, net changes in our working capital partially offset cash used in operating activities by $4.5 million. Net cash provided by operating activities for the first quarter of 2017 was also increased by net changes in our working capital of $1.6 million. The net changes in working capital for both periods are primarily due to the timing of cash receipts from buyers and the timing of payments to sellers.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cash flows from operations will continue to be negatively impacted by our ongoing net losses.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development cycles of our internal use software development. As we execute on our strategy to be a high volume, low cost advertising exchange, we are developing solutions to manage the growth of our adverting inventory volume more efficiently. As a result of these efforts, we anticipate investment in property and equipment related to that inventory volume to decline over time.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period-to-period.</w:t>
      </w:r>
    </w:p>
    <w:p>
      <w:pPr>
        <w:spacing w:after="0" w:line="3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2018, we provided net cash of $0.6 million from investing activities, compared to $3.4 million net cash used in investing activities for the three months ended March 31, 2017. For the three months ended March 31, 2018 and 2017, we had net maturities of investments in available-for-sale securities of $3.4 million and $2.0 million, respectively. These cash inflows were offset by purchases of property and equipment of $0.2 million and $3.1 million, and investments in our internally developed software of $2.6 million and $2.3 million, for the three months ended March 31, 2018 and 2017, respectively.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three months ended March 31, 2018, we used net cash of $34.0 thousand for financing activities, compared to net cash provided by financing activities of $0.4 million for the three months ended March 31, 2017. Cash inflows for the first quarter of 2017 included proceeds from the exercise of stock options of $0.4 million. Cash flows for financing activities in the first quarter of 2018 were not significant.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2018 other than the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non-cancelable operating lease agreements with data centers that expire at various times through 2024. At March 31, 2018, future non-cancelable minimum commitments relating to operating leases were $20.0 million. In certain cases, the terms of the lease agreements provide for rental payments on a graduated basis. We received rental income from subleases totaling $0.2 million for the three months ended March 31, 2018.</w:t>
      </w:r>
    </w:p>
    <w:p>
      <w:pPr>
        <w:spacing w:after="0" w:line="3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three months ended March 31, 2018 and we do not expect to have any significant changes to unrecognized tax benefits through December 31, 2018.</w:t>
      </w:r>
    </w:p>
    <w:p>
      <w:pPr>
        <w:spacing w:after="0" w:line="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goodwill and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Therefore, we consider these to be our critical accounting policies and estimates. There have been no significant changes in our accounting policies from those disclosed in our audited consolidated financial statements and notes thereto for the year ended December 31, 2017 included in our Annual Report on Form 10-K.</w:t>
      </w:r>
    </w:p>
    <w:p>
      <w:pPr>
        <w:spacing w:after="0" w:line="43" w:lineRule="exact"/>
        <w:rPr>
          <w:sz w:val="20"/>
          <w:szCs w:val="20"/>
          <w:color w:val="auto"/>
        </w:rPr>
      </w:pPr>
    </w:p>
    <w:p>
      <w:pPr>
        <w:ind w:left="660" w:right="44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generate revenue from transactions where we provide a platform for the purchase and sale of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demand-side platforms, and ad networks).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advertising inventory managed on our platform. Advertising inventory is created when users access sellers’ content. Sellers provide advertising inventory to our platform in the form of advertising requests, or ad requests. When we receive ad requests from sellers, we send bid requests to buyers, which enable buyers to bid on sellers’ advertising inventory. Winning bids can create advertising, or paid impressions, for the seller to present to the user.</w:t>
      </w:r>
    </w:p>
    <w:p>
      <w:pPr>
        <w:spacing w:after="0" w:line="14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customer, which occurs at the point in time an ad renders and is counted as a paid impression, subject to a contract existing with the customer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 although in some cases, payments are handled directly between buyers and sellers or third parties making seller inventory available.</w:t>
      </w:r>
    </w:p>
    <w:p>
      <w:pPr>
        <w:spacing w:after="0" w:line="8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determined that we do not act as the principal in the purchase and sale of advertising inventory because we are not the primary obligor and do not set prices agreed upon within the auction marketplace, and therefore we report revenue on a net basis. In periods prior to the second quarter of 2017, we reported revenue on a gross basis for revenue associated with our intent marketing solution, as we determined that we acted as the principal in the purchase and sale of advertising inventory. We ceased offering our intent marketing solution after the first quarter of 2017, after which time, all of our revenues have been recorded on a net basis.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primarily interest rate, foreign exchange, and inflation risks.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cash and cash equivalents consist of cash, money market funds, commercial paper and treasury and debt securities with original maturities of three months or less. Our investments consist of U.S. government and agency bonds and corporate debt securities.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March 31, 2018.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and Euros.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March 31, 2018, including intercompany balances, would result in a foreign currency loss of approximately $1.9 million. In the event our non-U.S. Dollar-denominated sales and expenses increase, our operating results may be more greatly affected by fluctuations in the exchange rates of the currencies in which we do business. At this time we do not enter into derivatives or other financial instruments in an attempt to hedge our foreign currency exchange risk, but we may do so in the future. It is difficult to predict the impact hedging activities would have on our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2018,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2018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2018. However, based on our knowledge as of March 31, 2018,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31, 2017, Guardian News &amp; Media Limited (Guardian) issued proceedings (the Complaint) against us in the Chancery Division of the High Court of Justice in England &amp; Wales. The Complaint alleges that we underpaid Guardian for inventory sold by Guardian through our platform as a result of the fact that we charged fees to buyers of that inventory. Guardian claims we were precluded from charging buyer fees as a result of our contractual arrangements with Guardian and English agency law principles, as well as representations we allegedly made to Guardian. The Complaint claims damages including loss of revenue, interest, and costs, without specifying the amount of damages sought. We dispute Guardian’s claims and are defending them vigorously, but the Complaint involves disputed facts and complex legal questions, and its outcome is therefore uncertain. Even if Guardian were to prevail in this action, we do not believe our payment of the damages we think could be recoverable by Guardian would have a material adverse effect upon our condensed consolidated financial position, results of operations, or cash flows. However, pending or in response to the outcome of this action, if we face similar claims from other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clients or as a preventative measure, we might decide to implement fee reductions or make other changes to our business practices that could have such material adverse effects.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common stock involves a high degree of risk. We describe risks associated with our business in Part I, Item 1A of our Annual Report on Form 10-K for the year ended December 31, 2017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Except as described below, there are no material changes to the Risk Factors of which we are currently aware. However,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Legal and compliance uncertainties resulting from effectiveness of the EU General Data Protection Regulation on May 25, 2018 result in substantial risk to our ad spend and revenue.</w:t>
      </w:r>
    </w:p>
    <w:p>
      <w:pPr>
        <w:spacing w:after="0" w:line="13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Approximately $67.7 million, or 32%, of our ad spend for the first quarter of 2018, and a similar percentage of our revenue, was associated with impressions generated by users in the EEA (European Economic Area) and therefore covered by the General Data Protection Regulation, or GDPR, which becomes effective on May 25.</w:t>
      </w:r>
    </w:p>
    <w:p>
      <w:pPr>
        <w:spacing w:after="0" w:line="1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GDPR adds significant new regulatory requirements that are applicable to us as well as our clients and competitors. As is frequently the case with transformative new laws, some critical elements of the GDPR are still unclear, and there has not yet been time for consistent regulatory guidance to be developed, or for established industry compliance practices to emerge. Compliance stakes are high because penalties for violation of the law can reach up to the greater of 20 million Euros or 4% of total worldwide annual turnover (revenue). Further, compliance is complicated by the potential for differing interpretation and enforcement of the GDPR by regulators in each of the EEA’s member states. The reach of the GDPR extends well beyond ad tech, but some observers believe that ad tech may become a special focus of enforcement due to the concerns many European privacy regulators have expressed about digital behavioral advertising.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advertising requires user information.</w:t>
      </w:r>
    </w:p>
    <w:p>
      <w:pPr>
        <w:spacing w:after="0" w:line="18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more informed advertising is about its audience, the more valuable it is. Skywriting and highway billboards are examples of generalized advertising, casting a broad net across an undifferentiated audience in hopes of capturing a few of the viewers the advertiser hopes to reach. “Contextual” advertising is more focused in attempting to reach audiences based upon inferences about their interests drawn by, for example, what websites they visit or apps they use. Programmatic advertising, facilitated by the ad tech ecosystem, enables more precise audience targeting, known as “behavioral” advertising. Publishers package information about their users (e.g. geolocation data, browsing history) when requesting ads for the sites and apps visited by those users, and buyers of that inventory use the user data provided by the publishers, together with any additional information they may have about the users, to target their advertisements with greater precision than is possible without reliance upon users’ attributes. This behavioral advertising is more effective and valuable for buyers than general or contextual advertising, resulting in more revenue for publishers. A key feature of the GDPR is that it treats much of the user information that is critical to programmatic digital advertising as “personal data” and therefore subject to significant conditions and restrictions on its collection and use. Without this user information, the value of programmatic advertising inventory diminishes, resulting in lower demand and prices, and potentially less ad spend and revenue for us and other industry participants.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imposes new requirements for user consent and legal basis for data processing that are not yet well understood.</w:t>
      </w:r>
    </w:p>
    <w:p>
      <w:pPr>
        <w:spacing w:after="0" w:line="18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User consent to data collection through device access has been required for some time under the EU ePrivacy Directive, but the GDPR has added complexity and risk. User consent is difficult for ad tech intermediaries like us to obtain because we do not have direct relationships with the users, so we have historically relied upon publishers to obtain consent for our technology under the ePrivacy Directive, and we must continue to rely upon publishers to obtain consent after the GDPR becomes effective. However, while simple click-through cookie banners on EU-based digital media properties have been the norm for ePrivacy Directive compliance, it may become more challenging to obtain valid consent after the GDPR becomes effective because the GDPR may be interpreted to impose additional requirements applicable to user consents generally. Unfortunately, it is not yet clear what may be needed to satisfy the requirements regarding consent. Without clarity on this point, different participants in the ad tech ecosystem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may take different approaches to user consent, disrupting the coordination among buyers, sellers, and intermediaries required to process transactions efficiently.</w:t>
      </w:r>
    </w:p>
    <w:p>
      <w:pPr>
        <w:spacing w:after="0" w:line="13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and many other ad tech intermediaries intend to rely upon legitimate interests because we lack the direct relationships to users that would be required to satisfy the requirements the GDPR imposes to satisfy the consent requirements for processing of personal data.Some EU regulators or courts might conclude that the processing of personal data for the purposes of behavioral advertising does not satisfy the legitimate interests of the controller , or that such interests do not outweigh the privacy rights of users, even with respect to ad tech parties that only collect device-identifiable information. Unavailability of this basis for processing users’ personal data would require us to obtain user consent for processing under GDPR, which may not be possible for us or other ad tech intermediaries without changes to the ad tech business that would be difficult, time-consuming, expensive, and perhaps unattainable.</w:t>
      </w:r>
    </w:p>
    <w:p>
      <w:pPr>
        <w:spacing w:after="0" w:line="14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Google appears to be planning to rely on user consent as its basis for processing personal data, and may require its publishers and ad tech partners to obtain such user consent on behalf of Google in accordance with Google’s consent tool developed for this purpose. Given Google’s reach in ad tech, its tool would likely become a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industry standard. However, it is not clear whether or to what extent Google may willing or able to obtain consent from its users for downstream processing by other parties. Consent is relatively easier for Google to obtain because of its direct relationships with users and importance to publishers, but its practices may not translate well across the industry.</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1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this context, various things can disrupt standard transaction patterns, resulting in reduced inventory availability or ad spend and consequently less revenue for us and other ad tech providers.</w:t>
      </w:r>
    </w:p>
    <w:p>
      <w:pPr>
        <w:spacing w:after="0" w:line="13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Some publishers may be unprepared to comply with the GDPR by May 25, and therefore may remove personal data from their inventory before passing it into the bid stream, at least temporarily. This will lower their inventory on the value scale from behavioral to contextual advertising, with resulting loss of ad spend and revenue for us.</w:t>
      </w:r>
    </w:p>
    <w:p>
      <w:pPr>
        <w:spacing w:after="0" w:line="1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GDPR gives users expanded legal rights, and the onset of the GDPR will be accompanied by substantial publicity and will probably spawn various user advocacy groups and businesses focused upon helping users understand and exercise those rights. Furthermore, whereas in the past, user consent under the Cookie Directive was generally obtainable through a simple click-through banner, acceptable methods of obtaining user consent under the GDPR may be substantially less user-friendly, and if the consent mechanism is too cumbersome, users are more likely to decline. These factors may result in lower levels of users' consent for accessing of their devices and processing of their personal data. Without that consent, our publishers may not attempt to monetize inventory associated with such users at all, or pass that inventory to us without personal data, again lowering that inventory on the value scale from behavioral to contextual advertising.</w:t>
      </w:r>
    </w:p>
    <w:p>
      <w:pPr>
        <w:spacing w:after="0" w:line="14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Even well-prepared publishers and buyers will be confronted with difficult choices and administrative and technical hurdles to implement their GDPR compliance programs and integrate with multiple other parties in the ecosystem. At present, it appears that IAB Europe will provide a user transparency and consent tool that can be adapted by “consent management providers” and implemented by publishers. Separately, Google has developed its own consent tool and may require that other industry participants working with it adapt to its tool. Any such requirement would affect us because Google is a significant source of inventory and demand for us. Unfortunately, neither the IAB Europe tool nor the Google tool is complete or fully tested, so some “burn-in” inefficiency can be expected. It is not clear whether these tools, or other tools that may emerge, will be interoperable, or whether publishers will need to utilize multiple consent tools, which could be cumbersome and deleterious to user experience and consent levels. It is also not yet clear whether these tools will survive scrutiny and be accepted by regulators as appropriate consent mechanisms.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w:t>
      </w:r>
    </w:p>
    <w:p>
      <w:pPr>
        <w:spacing w:after="0" w:line="1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Buyers of digital advertising inventory need to access users’ devices to serve advertisements and collect information, such as user interaction with ad content and frequency tracking. Buyers need user consent for this access. Large integrated purchasers of ad inventory like Google can obtain consent for the device access they need directly from their users. Other buyers must rely upon the publishers supplying inventory to secure that consent. Some buyers may continue to rely upon publishers to obtain this consent without independent verification, consistent with historical practice under the ePrivacy Directive, but other buyers may not be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willing to accept or bid on inventory that is not accompanied by consent signals documenting specific user consent. Because these signals must be deciphered by multiple parties in the ad tech ecosystem, most publishers will rely upon either an industry supported consent tool (e.g. the IAB Europe tool) or the Google tool. As noted above, no tool has been finalized or widely adopted and the GDPR will become effective without consistent or uniform consent practices.</w:t>
      </w:r>
    </w:p>
    <w:p>
      <w:pPr>
        <w:ind w:right="60"/>
        <w:spacing w:after="0" w:line="255" w:lineRule="auto"/>
        <w:rPr>
          <w:sz w:val="20"/>
          <w:szCs w:val="20"/>
          <w:color w:val="auto"/>
        </w:rPr>
      </w:pPr>
      <w:r>
        <w:rPr>
          <w:rFonts w:ascii="Arial" w:cs="Arial" w:eastAsia="Arial" w:hAnsi="Arial"/>
          <w:sz w:val="18"/>
          <w:szCs w:val="18"/>
          <w:color w:val="auto"/>
        </w:rPr>
        <w:t>Accordingly, some buyers may therefore decline to bid on impressions from the EEA due to ambiguity about their rights, or may only bid on impressions that are stripped of personal data and converted to contextual advertising.This will have the effect of reducing demand for and value of EEA impressions on our platform.</w:t>
      </w:r>
    </w:p>
    <w:p>
      <w:pPr>
        <w:spacing w:after="0" w:line="15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uncertain regulatory environment caused by the GDPR may benefit large, integrated competitors like Google and Facebook, which have greater compliance resources and can take advantage of their direct relationships with users to secure consents from users that we and other intermediaries without direct user relationships are less able to obtain under current industry conditions.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Near-term declines in EU-based ad spend and revenue are probable, and long-term adverse effects are possible.</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Because of the uncertainties and inefficiencies described above, we anticipate some level of near-term reduction in ad spend and revenue associated with EEA-based impressions. We believe that ad spend and revenue levels associated with EEA-based impressions will recover over time as the GDPR’s requirements become more clear, standard industry compliance measures evolve, and we adapt our systems and processes accordingly. However, it is difficult to predict how much ad spend and revenue we may lose initially or how quickly we may recover. It is also possible that the value of digital advertising in the EU, and consequently our ad spend and revenue, may be permanently impaired if EU courts and regulators interpret or enforce the GDPR in ways that are calculated to limit behavioral advertising or that prohibit critical ad tech industry practices.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initial public offering of common stock was effected through a Registration Statement on Form S-1 (File No. 333-193739), which was declared effective on April 1, 2014. There has been no material change in the planned use of proceeds from our initial public offering as described in our final prospectus filed with the SEC pursuant to Rule 424(b) of the Securities Act and other periodic reports previously filed with the SEC.</w:t>
      </w:r>
    </w:p>
    <w:p>
      <w:pPr>
        <w:spacing w:after="0" w:line="125" w:lineRule="exact"/>
        <w:rPr>
          <w:sz w:val="20"/>
          <w:szCs w:val="20"/>
          <w:color w:val="auto"/>
        </w:rPr>
      </w:pPr>
    </w:p>
    <w:p>
      <w:pPr>
        <w:ind w:left="660" w:right="5220" w:hanging="4"/>
        <w:spacing w:after="0" w:line="387" w:lineRule="auto"/>
        <w:tabs>
          <w:tab w:leader="none" w:pos="90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March 31, 2018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Average Price Paid per Share</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w:t>
            </w:r>
          </w:p>
        </w:tc>
        <w:tc>
          <w:tcPr>
            <w:tcW w:w="2020" w:type="dxa"/>
            <w:vAlign w:val="bottom"/>
            <w:gridSpan w:val="3"/>
            <w:vMerge w:val="continue"/>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Publicly Announced Program</w:t>
            </w:r>
          </w:p>
        </w:tc>
        <w:tc>
          <w:tcPr>
            <w:tcW w:w="180" w:type="dxa"/>
            <w:vAlign w:val="bottom"/>
          </w:tcPr>
          <w:p>
            <w:pPr>
              <w:spacing w:after="0"/>
              <w:rPr>
                <w:sz w:val="16"/>
                <w:szCs w:val="16"/>
                <w:color w:val="auto"/>
              </w:rPr>
            </w:pPr>
          </w:p>
        </w:tc>
        <w:tc>
          <w:tcPr>
            <w:tcW w:w="17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21"/>
        </w:trPr>
        <w:tc>
          <w:tcPr>
            <w:tcW w:w="32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2018</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2018</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2018</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5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5"/>
              </w:rPr>
              <w:t>Item 6. Exhibits</w:t>
            </w:r>
          </w:p>
        </w:tc>
        <w:tc>
          <w:tcPr>
            <w:tcW w:w="1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58"/>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8"/>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Sixth Amended and Restated Certificate of Incorporation of the Registrant (incorporated by reference to Exhibit 3.1 to the</w:t>
              </w:r>
            </w:hyperlink>
          </w:p>
        </w:tc>
        <w:tc>
          <w:tcPr>
            <w:tcW w:w="1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Registrant's Quarterly Report on Form 10-Q filed with the Commission on May 15, 2014).</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Amended and Restated Bylaws of the Registrant (incorporated by reference to Exhibit 3.1 to the Registrant's Current</w:t>
              </w:r>
            </w:hyperlink>
          </w:p>
        </w:tc>
        <w:tc>
          <w:tcPr>
            <w:tcW w:w="54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Report on Form 8-K filed with the Commission on April 8, 2016).</w:t>
              </w:r>
            </w:hyperlink>
          </w:p>
        </w:tc>
        <w:tc>
          <w:tcPr>
            <w:tcW w:w="4180" w:type="dxa"/>
            <w:vAlign w:val="bottom"/>
            <w:gridSpan w:val="8"/>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10"/>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Principal Executive Officer Pursuant to Exchange Act Rules 13a-14(a) and 15d-14(a), as adopted pursuant</w:t>
              </w:r>
            </w:hyperlink>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to Section 302 of the Sarbanes-Oxley Act of 2002.</w:t>
              </w:r>
            </w:hyperlink>
          </w:p>
        </w:tc>
        <w:tc>
          <w:tcPr>
            <w:tcW w:w="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Certification of Principal Financial Officer Pursuant to Exchange Act Rules 13a-14(a) and 15d-14(a), as adopted pursuant</w:t>
              </w:r>
            </w:hyperlink>
          </w:p>
        </w:tc>
        <w:tc>
          <w:tcPr>
            <w:tcW w:w="18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280" w:type="dxa"/>
            <w:vAlign w:val="bottom"/>
          </w:tcPr>
          <w:p>
            <w:pPr>
              <w:ind w:left="40"/>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the Principal Executive Officer and Principal Financial Officer Pursuant to 18 U.S.C. Section 1350, as</w:t>
              </w:r>
            </w:hyperlink>
          </w:p>
        </w:tc>
        <w:tc>
          <w:tcPr>
            <w:tcW w:w="44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276"/>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w w:val="97"/>
              </w:rPr>
              <w:t>Instance Document- the instance document does not appear in the Interactive Data File because its XBRL tags are</w:t>
            </w: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compensatory plan or arrangement</w:t>
      </w:r>
    </w:p>
    <w:p>
      <w:pPr>
        <w:spacing w:after="0" w:line="76" w:lineRule="exact"/>
        <w:rPr>
          <w:sz w:val="20"/>
          <w:szCs w:val="20"/>
          <w:color w:val="auto"/>
        </w:rPr>
      </w:pPr>
    </w:p>
    <w:p>
      <w:pPr>
        <w:ind w:left="500" w:right="60" w:hanging="492"/>
        <w:spacing w:after="0" w:line="232" w:lineRule="auto"/>
        <w:tabs>
          <w:tab w:leader="none" w:pos="50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ectPr>
          <w:pgSz w:w="11900" w:h="16838" w:orient="portrait"/>
          <w:cols w:equalWidth="0" w:num="1">
            <w:col w:w="11400"/>
          </w:cols>
          <w:pgMar w:left="240" w:top="108"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0940"/>
          </w:cols>
          <w:pgMar w:left="240" w:top="125" w:right="71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May 3, 2018</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May 3, 2018</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20" w:hanging="328"/>
        <w:spacing w:after="0" w:line="40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March 31, 2018,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1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6">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2" Type="http://schemas.openxmlformats.org/officeDocument/2006/relationships/hyperlink" Target="http://www.sec.gov/Archives/edgar/data/1595974/000159597414000004/rubi20140331exhibit31.htm" TargetMode="External"/><Relationship Id="rId43"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2019-12-28T22:14:40Z</dcterms:created>
  <dcterms:modified xsi:type="dcterms:W3CDTF">2019-12-28T22:14:40Z</dcterms:modified>
</cp:coreProperties>
</file>