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Evans Katie Seitz</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MAGNITE, INC.</w:t>
            </w:r>
          </w:p>
        </w:tc>
        <w:tc>
          <w:tcPr>
            <w:tcW w:w="16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1250 BROADWAY, 15TH FLOOR</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10001</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MAGNITE,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MGNI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00" w:type="dxa"/>
            <w:vAlign w:val="bottom"/>
            <w:gridSpan w:val="3"/>
          </w:tcPr>
          <w:p>
            <w:pPr>
              <w:ind w:left="80"/>
              <w:spacing w:after="0"/>
              <w:rPr>
                <w:sz w:val="20"/>
                <w:szCs w:val="20"/>
                <w:color w:val="auto"/>
              </w:rPr>
            </w:pPr>
            <w:r>
              <w:rPr>
                <w:rFonts w:ascii="Arial" w:cs="Arial" w:eastAsia="Arial" w:hAnsi="Arial"/>
                <w:sz w:val="18"/>
                <w:szCs w:val="18"/>
                <w:color w:val="0000FF"/>
              </w:rPr>
              <w:t>06/12/2023</w:t>
            </w:r>
          </w:p>
        </w:tc>
        <w:tc>
          <w:tcPr>
            <w:tcW w:w="2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06/12/2023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11,098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13.43</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373,845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made pursuant to a Rule 10b5-1 Trading Plan adopted by the Reporting Person on March 13, 2023.</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$13.36 to $13.49,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Aaron Saltz, attorney-in-</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06/14/2023</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6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0262" TargetMode="External"/><Relationship Id="rId13"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2023-06-14T15:34:45Z</dcterms:created>
  <dcterms:modified xsi:type="dcterms:W3CDTF">2023-06-14T15:34:45Z</dcterms:modified>
</cp:coreProperties>
</file>