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34" w:lineRule="exact"/>
        <w:rPr>
          <w:sz w:val="24"/>
          <w:szCs w:val="24"/>
          <w:color w:val="auto"/>
        </w:rPr>
      </w:pPr>
    </w:p>
    <w:p>
      <w:pPr>
        <w:ind w:left="1100"/>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2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420"/>
          </w:cols>
          <w:pgMar w:left="240" w:top="873" w:right="239" w:bottom="1440" w:gutter="0" w:footer="0" w:header="0"/>
        </w:sectPr>
      </w:pPr>
    </w:p>
    <w:p>
      <w:pPr>
        <w:spacing w:after="0" w:line="31"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20-8881738</w:t>
      </w:r>
    </w:p>
    <w:p>
      <w:pPr>
        <w:spacing w:after="0" w:line="50" w:lineRule="exact"/>
        <w:rPr>
          <w:sz w:val="24"/>
          <w:szCs w:val="24"/>
          <w:color w:val="auto"/>
        </w:rPr>
      </w:pPr>
    </w:p>
    <w:p>
      <w:pPr>
        <w:sectPr>
          <w:pgSz w:w="11900" w:h="16838" w:orient="portrait"/>
          <w:cols w:equalWidth="0" w:num="2">
            <w:col w:w="7520" w:space="720"/>
            <w:col w:w="3180"/>
          </w:cols>
          <w:pgMar w:left="240" w:top="873" w:right="239" w:bottom="1440" w:gutter="0" w:footer="0" w:header="0"/>
          <w:type w:val="continuous"/>
        </w:sectPr>
      </w:pPr>
    </w:p>
    <w:p>
      <w:pPr>
        <w:jc w:val="center"/>
        <w:ind w:right="1140"/>
        <w:spacing w:after="0"/>
        <w:rPr>
          <w:sz w:val="20"/>
          <w:szCs w:val="20"/>
          <w:color w:val="auto"/>
        </w:rPr>
      </w:pPr>
      <w:r>
        <w:rPr>
          <w:rFonts w:ascii="Arial" w:cs="Arial" w:eastAsia="Arial" w:hAnsi="Arial"/>
          <w:sz w:val="16"/>
          <w:szCs w:val="16"/>
          <w:color w:val="auto"/>
        </w:rPr>
        <w:t>(State or other jurisdiction of incorporation or</w:t>
      </w:r>
    </w:p>
    <w:p>
      <w:pPr>
        <w:spacing w:after="0" w:line="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72" w:lineRule="exact"/>
        <w:rPr>
          <w:sz w:val="24"/>
          <w:szCs w:val="24"/>
          <w:color w:val="auto"/>
        </w:rPr>
      </w:pPr>
    </w:p>
    <w:p>
      <w:pPr>
        <w:sectPr>
          <w:pgSz w:w="11900" w:h="16838" w:orient="portrait"/>
          <w:cols w:equalWidth="0" w:num="2">
            <w:col w:w="6640" w:space="720"/>
            <w:col w:w="4060"/>
          </w:cols>
          <w:pgMar w:left="240" w:top="873" w:right="2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12181 Bluff Creek Drive, 4th Floor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Los Angeles, CA 90094</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8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ind w:left="5600" w:hanging="437"/>
        <w:spacing w:after="0"/>
        <w:tabs>
          <w:tab w:leader="none" w:pos="56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112"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w:t>
      </w:r>
    </w:p>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73" w:right="239" w:bottom="1440" w:gutter="0" w:footer="0" w:header="0"/>
          <w:type w:val="continuous"/>
        </w:sectPr>
      </w:pPr>
    </w:p>
    <w:p>
      <w:pPr>
        <w:spacing w:after="0" w:line="34"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107" w:lineRule="exact"/>
        <w:rPr>
          <w:sz w:val="24"/>
          <w:szCs w:val="24"/>
          <w:color w:val="auto"/>
        </w:rPr>
      </w:pPr>
    </w:p>
    <w:p>
      <w:pPr>
        <w:sectPr>
          <w:pgSz w:w="11900" w:h="16838" w:orient="portrait"/>
          <w:cols w:equalWidth="0" w:num="3">
            <w:col w:w="3160" w:space="100"/>
            <w:col w:w="1800" w:space="720"/>
            <w:col w:w="5640"/>
          </w:cols>
          <w:pgMar w:left="240" w:top="873" w:right="239" w:bottom="1440" w:gutter="0" w:footer="0" w:header="0"/>
          <w:type w:val="continuous"/>
        </w:sectPr>
      </w:pPr>
    </w:p>
    <w:p>
      <w:pPr>
        <w:ind w:left="15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56" w:lineRule="exact"/>
        <w:rPr>
          <w:sz w:val="24"/>
          <w:szCs w:val="24"/>
          <w:color w:val="auto"/>
        </w:rPr>
      </w:pPr>
    </w:p>
    <w:p>
      <w:pPr>
        <w:sectPr>
          <w:pgSz w:w="11900" w:h="16838" w:orient="portrait"/>
          <w:cols w:equalWidth="0" w:num="2">
            <w:col w:w="5060" w:space="720"/>
            <w:col w:w="5640"/>
          </w:cols>
          <w:pgMar w:left="240" w:top="873" w:right="239" w:bottom="1440" w:gutter="0" w:footer="0" w:header="0"/>
          <w:type w:val="continuous"/>
        </w:sectPr>
      </w:pPr>
    </w:p>
    <w:p>
      <w:pPr>
        <w:ind w:left="1560"/>
        <w:spacing w:after="0"/>
        <w:rPr>
          <w:sz w:val="20"/>
          <w:szCs w:val="20"/>
          <w:color w:val="auto"/>
        </w:rPr>
      </w:pPr>
      <w:r>
        <w:rPr>
          <w:rFonts w:ascii="Arial" w:cs="Arial" w:eastAsia="Arial" w:hAnsi="Arial"/>
          <w:sz w:val="16"/>
          <w:szCs w:val="16"/>
          <w:color w:val="auto"/>
        </w:rPr>
        <w:t>Emerging growth company x</w:t>
      </w:r>
    </w:p>
    <w:p>
      <w:pPr>
        <w:sectPr>
          <w:pgSz w:w="11900" w:h="16838" w:orient="portrait"/>
          <w:cols w:equalWidth="0" w:num="1">
            <w:col w:w="11420"/>
          </w:cols>
          <w:pgMar w:left="240" w:top="873" w:right="239" w:bottom="1440" w:gutter="0" w:footer="0" w:header="0"/>
          <w:type w:val="continuous"/>
        </w:sectPr>
      </w:pPr>
    </w:p>
    <w:p>
      <w:pPr>
        <w:spacing w:after="0" w:line="23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49" w:lineRule="exact"/>
        <w:rPr>
          <w:sz w:val="24"/>
          <w:szCs w:val="24"/>
          <w:color w:val="auto"/>
        </w:rPr>
      </w:pPr>
    </w:p>
    <w:p>
      <w:pPr>
        <w:ind w:right="2360"/>
        <w:spacing w:after="0" w:line="465" w:lineRule="auto"/>
        <w:rPr>
          <w:sz w:val="20"/>
          <w:szCs w:val="20"/>
          <w:color w:val="auto"/>
        </w:rPr>
      </w:pPr>
      <w:r>
        <w:rPr>
          <w:rFonts w:ascii="Arial" w:cs="Arial" w:eastAsia="Arial" w:hAnsi="Arial"/>
          <w:sz w:val="16"/>
          <w:szCs w:val="16"/>
          <w:color w:val="auto"/>
        </w:rPr>
        <w:t>Indicate by check mark whether the registrant is a shell company (as defined in Rule 12b-2 of the Act). o Yes x No Indicate the number of shares outstanding of each of the registrant's classes of common stock, as of the latest practicable date.</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Class</w:t>
            </w:r>
          </w:p>
        </w:tc>
        <w:tc>
          <w:tcPr>
            <w:tcW w:w="12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 as of November 1, 2018</w:t>
            </w:r>
          </w:p>
        </w:tc>
      </w:tr>
      <w:tr>
        <w:trPr>
          <w:trHeight w:val="267"/>
        </w:trPr>
        <w:tc>
          <w:tcPr>
            <w:tcW w:w="4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$0.00001 par value</w:t>
            </w:r>
          </w:p>
        </w:tc>
        <w:tc>
          <w:tcPr>
            <w:tcW w:w="4120" w:type="dxa"/>
            <w:vAlign w:val="bottom"/>
          </w:tcPr>
          <w:p>
            <w:pPr>
              <w:jc w:val="right"/>
              <w:ind w:right="1594"/>
              <w:spacing w:after="0"/>
              <w:rPr>
                <w:sz w:val="20"/>
                <w:szCs w:val="20"/>
                <w:color w:val="auto"/>
              </w:rPr>
            </w:pPr>
            <w:r>
              <w:rPr>
                <w:rFonts w:ascii="Arial" w:cs="Arial" w:eastAsia="Arial" w:hAnsi="Arial"/>
                <w:sz w:val="18"/>
                <w:szCs w:val="18"/>
                <w:b w:val="1"/>
                <w:bCs w:val="1"/>
                <w:color w:val="auto"/>
              </w:rPr>
              <w:t>50,751,765</w:t>
            </w:r>
          </w:p>
        </w:tc>
      </w:tr>
    </w:tbl>
    <w:p>
      <w:pPr>
        <w:sectPr>
          <w:pgSz w:w="11900" w:h="16838" w:orient="portrait"/>
          <w:cols w:equalWidth="0" w:num="1">
            <w:col w:w="11420"/>
          </w:cols>
          <w:pgMar w:left="240" w:top="873"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10"/>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Part I.</w:t>
            </w:r>
          </w:p>
        </w:tc>
        <w:tc>
          <w:tcPr>
            <w:tcW w:w="22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FINANCIAL INFORMATION</w:t>
              </w:r>
            </w:hyperlink>
          </w:p>
        </w:tc>
        <w:tc>
          <w:tcPr>
            <w:tcW w:w="7040" w:type="dxa"/>
            <w:vAlign w:val="bottom"/>
            <w:gridSpan w:val="10"/>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0000FF"/>
            </w:tcBorders>
          </w:tcPr>
          <w:p>
            <w:pPr>
              <w:jc w:val="center"/>
              <w:spacing w:after="0" w:line="18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Financial Statements (Unaudited)</w:t>
              </w:r>
            </w:hyperlink>
          </w:p>
        </w:tc>
        <w:tc>
          <w:tcPr>
            <w:tcW w:w="504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658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September 30, 2018 and December 31, 2017</w:t>
              </w:r>
            </w:hyperlink>
          </w:p>
        </w:tc>
        <w:tc>
          <w:tcPr>
            <w:tcW w:w="272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Condensed Consolidated Statements of Operations for the Three and Nine Months Ended September 30, 2018 and September</w:t>
              </w:r>
            </w:hyperlink>
          </w:p>
        </w:tc>
        <w:tc>
          <w:tcPr>
            <w:tcW w:w="380" w:type="dxa"/>
            <w:vAlign w:val="bottom"/>
            <w:vMerge w:val="restart"/>
          </w:tcPr>
          <w:p>
            <w:pPr>
              <w:spacing w:after="0"/>
              <w:rPr>
                <w:sz w:val="18"/>
                <w:szCs w:val="18"/>
                <w:color w:val="auto"/>
              </w:rPr>
            </w:pPr>
          </w:p>
        </w:tc>
        <w:tc>
          <w:tcPr>
            <w:tcW w:w="140" w:type="dxa"/>
            <w:vAlign w:val="bottom"/>
            <w:vMerge w:val="restart"/>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30, 2017</w:t>
              </w:r>
            </w:hyperlink>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40" w:type="dxa"/>
            <w:vAlign w:val="bottom"/>
            <w:tcBorders>
              <w:bottom w:val="single" w:sz="8" w:color="0000FF"/>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Condensed Consolidated Statements of Comprehensive Income (Loss) for the Three and Nine Months Ended September 30,</w:t>
              </w:r>
            </w:hyperlink>
          </w:p>
        </w:tc>
        <w:tc>
          <w:tcPr>
            <w:tcW w:w="380" w:type="dxa"/>
            <w:vAlign w:val="bottom"/>
            <w:vMerge w:val="restart"/>
          </w:tcPr>
          <w:p>
            <w:pPr>
              <w:spacing w:after="0"/>
              <w:rPr>
                <w:sz w:val="18"/>
                <w:szCs w:val="18"/>
                <w:color w:val="auto"/>
              </w:rPr>
            </w:pPr>
          </w:p>
        </w:tc>
        <w:tc>
          <w:tcPr>
            <w:tcW w:w="140" w:type="dxa"/>
            <w:vAlign w:val="bottom"/>
            <w:vMerge w:val="restart"/>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2018 and September 30, 2017</w:t>
              </w:r>
            </w:hyperlink>
          </w:p>
        </w:tc>
        <w:tc>
          <w:tcPr>
            <w:tcW w:w="680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380" w:type="dxa"/>
            <w:vAlign w:val="bottom"/>
            <w:vMerge w:val="continue"/>
          </w:tcPr>
          <w:p>
            <w:pPr>
              <w:spacing w:after="0"/>
              <w:rPr>
                <w:sz w:val="13"/>
                <w:szCs w:val="13"/>
                <w:color w:val="auto"/>
              </w:rPr>
            </w:pPr>
          </w:p>
        </w:tc>
        <w:tc>
          <w:tcPr>
            <w:tcW w:w="140" w:type="dxa"/>
            <w:vAlign w:val="bottom"/>
            <w:tcBorders>
              <w:bottom w:val="single" w:sz="8" w:color="0000FF"/>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788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Stockholders' Equity for the Nine Months Ended September 30, 2018</w:t>
              </w:r>
            </w:hyperlink>
          </w:p>
        </w:tc>
        <w:tc>
          <w:tcPr>
            <w:tcW w:w="14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90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for the Nine Months Ended September 30, 2018 and September 30, 2017</w:t>
              </w:r>
            </w:hyperlink>
          </w:p>
        </w:tc>
        <w:tc>
          <w:tcPr>
            <w:tcW w:w="2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00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530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2"/>
          </w:tcPr>
          <w:p>
            <w:pPr>
              <w:jc w:val="center"/>
              <w:ind w:left="25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1"/>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Quantitative and Qualitative Disclosures About Market Risk</w:t>
              </w:r>
            </w:hyperlink>
          </w:p>
        </w:tc>
        <w:tc>
          <w:tcPr>
            <w:tcW w:w="2100" w:type="dxa"/>
            <w:vAlign w:val="bottom"/>
          </w:tcPr>
          <w:p>
            <w:pPr>
              <w:spacing w:after="0"/>
              <w:rPr>
                <w:sz w:val="18"/>
                <w:szCs w:val="18"/>
                <w:color w:val="auto"/>
              </w:rPr>
            </w:pPr>
          </w:p>
        </w:tc>
        <w:tc>
          <w:tcPr>
            <w:tcW w:w="2860" w:type="dxa"/>
            <w:vAlign w:val="bottom"/>
            <w:gridSpan w:val="6"/>
          </w:tcPr>
          <w:p>
            <w:pPr>
              <w:spacing w:after="0"/>
              <w:rPr>
                <w:sz w:val="18"/>
                <w:szCs w:val="18"/>
                <w:color w:val="auto"/>
              </w:rPr>
            </w:pPr>
          </w:p>
        </w:tc>
        <w:tc>
          <w:tcPr>
            <w:tcW w:w="520" w:type="dxa"/>
            <w:vAlign w:val="bottom"/>
            <w:gridSpan w:val="2"/>
          </w:tcPr>
          <w:p>
            <w:pPr>
              <w:jc w:val="center"/>
              <w:ind w:left="2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Controls and Procedures</w:t>
              </w:r>
            </w:hyperlink>
          </w:p>
        </w:tc>
        <w:tc>
          <w:tcPr>
            <w:tcW w:w="2560" w:type="dxa"/>
            <w:vAlign w:val="bottom"/>
            <w:gridSpan w:val="6"/>
          </w:tcPr>
          <w:p>
            <w:pPr>
              <w:spacing w:after="0"/>
              <w:rPr>
                <w:sz w:val="18"/>
                <w:szCs w:val="18"/>
                <w:color w:val="auto"/>
              </w:rPr>
            </w:pPr>
          </w:p>
        </w:tc>
        <w:tc>
          <w:tcPr>
            <w:tcW w:w="4960" w:type="dxa"/>
            <w:vAlign w:val="bottom"/>
            <w:gridSpan w:val="7"/>
          </w:tcPr>
          <w:p>
            <w:pPr>
              <w:spacing w:after="0"/>
              <w:rPr>
                <w:sz w:val="18"/>
                <w:szCs w:val="18"/>
                <w:color w:val="auto"/>
              </w:rPr>
            </w:pPr>
          </w:p>
        </w:tc>
        <w:tc>
          <w:tcPr>
            <w:tcW w:w="520" w:type="dxa"/>
            <w:vAlign w:val="bottom"/>
            <w:gridSpan w:val="2"/>
          </w:tcPr>
          <w:p>
            <w:pPr>
              <w:jc w:val="center"/>
              <w:ind w:left="2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40</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930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520" w:type="dxa"/>
            <w:vAlign w:val="bottom"/>
            <w:gridSpan w:val="2"/>
          </w:tcPr>
          <w:p>
            <w:pPr>
              <w:jc w:val="center"/>
              <w:ind w:left="25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Legal Proceedings</w:t>
              </w:r>
            </w:hyperlink>
          </w:p>
        </w:tc>
        <w:tc>
          <w:tcPr>
            <w:tcW w:w="560" w:type="dxa"/>
            <w:vAlign w:val="bottom"/>
            <w:gridSpan w:val="2"/>
          </w:tcPr>
          <w:p>
            <w:pPr>
              <w:spacing w:after="0"/>
              <w:rPr>
                <w:sz w:val="18"/>
                <w:szCs w:val="18"/>
                <w:color w:val="auto"/>
              </w:rPr>
            </w:pPr>
          </w:p>
        </w:tc>
        <w:tc>
          <w:tcPr>
            <w:tcW w:w="7420" w:type="dxa"/>
            <w:vAlign w:val="bottom"/>
            <w:gridSpan w:val="12"/>
          </w:tcPr>
          <w:p>
            <w:pPr>
              <w:spacing w:after="0"/>
              <w:rPr>
                <w:sz w:val="18"/>
                <w:szCs w:val="18"/>
                <w:color w:val="auto"/>
              </w:rPr>
            </w:pPr>
          </w:p>
        </w:tc>
        <w:tc>
          <w:tcPr>
            <w:tcW w:w="520" w:type="dxa"/>
            <w:vAlign w:val="bottom"/>
            <w:gridSpan w:val="2"/>
          </w:tcPr>
          <w:p>
            <w:pPr>
              <w:jc w:val="center"/>
              <w:ind w:left="25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7980" w:type="dxa"/>
            <w:vAlign w:val="bottom"/>
            <w:gridSpan w:val="14"/>
          </w:tcPr>
          <w:p>
            <w:pPr>
              <w:spacing w:after="0"/>
              <w:rPr>
                <w:sz w:val="18"/>
                <w:szCs w:val="18"/>
                <w:color w:val="auto"/>
              </w:rPr>
            </w:pPr>
          </w:p>
        </w:tc>
        <w:tc>
          <w:tcPr>
            <w:tcW w:w="520" w:type="dxa"/>
            <w:vAlign w:val="bottom"/>
            <w:gridSpan w:val="2"/>
          </w:tcPr>
          <w:p>
            <w:pPr>
              <w:jc w:val="center"/>
              <w:ind w:left="25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41</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520" w:type="dxa"/>
            <w:vAlign w:val="bottom"/>
            <w:gridSpan w:val="2"/>
          </w:tcPr>
          <w:p>
            <w:pPr>
              <w:jc w:val="center"/>
              <w:ind w:left="2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Other Information</w:t>
              </w:r>
            </w:hyperlink>
          </w:p>
        </w:tc>
        <w:tc>
          <w:tcPr>
            <w:tcW w:w="3020" w:type="dxa"/>
            <w:vAlign w:val="bottom"/>
            <w:gridSpan w:val="7"/>
          </w:tcPr>
          <w:p>
            <w:pPr>
              <w:spacing w:after="0"/>
              <w:rPr>
                <w:sz w:val="21"/>
                <w:szCs w:val="21"/>
                <w:color w:val="auto"/>
              </w:rPr>
            </w:pPr>
          </w:p>
        </w:tc>
        <w:tc>
          <w:tcPr>
            <w:tcW w:w="4960" w:type="dxa"/>
            <w:vAlign w:val="bottom"/>
            <w:gridSpan w:val="7"/>
          </w:tcPr>
          <w:p>
            <w:pPr>
              <w:spacing w:after="0"/>
              <w:rPr>
                <w:sz w:val="21"/>
                <w:szCs w:val="21"/>
                <w:color w:val="auto"/>
              </w:rPr>
            </w:pPr>
          </w:p>
        </w:tc>
        <w:tc>
          <w:tcPr>
            <w:tcW w:w="520" w:type="dxa"/>
            <w:vAlign w:val="bottom"/>
            <w:gridSpan w:val="2"/>
          </w:tcPr>
          <w:p>
            <w:pPr>
              <w:jc w:val="center"/>
              <w:ind w:left="2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8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7980" w:type="dxa"/>
            <w:vAlign w:val="bottom"/>
            <w:gridSpan w:val="14"/>
          </w:tcPr>
          <w:p>
            <w:pPr>
              <w:spacing w:after="0"/>
              <w:rPr>
                <w:sz w:val="18"/>
                <w:szCs w:val="18"/>
                <w:color w:val="auto"/>
              </w:rPr>
            </w:pPr>
          </w:p>
        </w:tc>
        <w:tc>
          <w:tcPr>
            <w:tcW w:w="520" w:type="dxa"/>
            <w:vAlign w:val="bottom"/>
            <w:gridSpan w:val="2"/>
          </w:tcPr>
          <w:p>
            <w:pPr>
              <w:jc w:val="center"/>
              <w:ind w:left="2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center"/>
              <w:ind w:left="25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80" w:top="114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2017</w:t>
            </w:r>
          </w:p>
        </w:tc>
      </w:tr>
      <w:tr>
        <w:trPr>
          <w:trHeight w:val="216"/>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0"/>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76,642</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52,504</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165,890</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9,620</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304,656</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33,884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47,393</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 use software development costs,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5,493</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r>
      <w:tr>
        <w:trPr>
          <w:trHeight w:val="264"/>
        </w:trPr>
        <w:tc>
          <w:tcPr>
            <w:tcW w:w="7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383,635</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214,103</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3,141</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217,244</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Other liabilities, non-current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219,024</w:t>
            </w:r>
          </w:p>
        </w:tc>
      </w:tr>
      <w:tr>
        <w:trPr>
          <w:trHeight w:val="210"/>
        </w:trPr>
        <w:tc>
          <w:tcPr>
            <w:tcW w:w="788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w w:val="93"/>
              </w:rPr>
              <w:t>Preferred stock, $0.00001 par value, 10,000 shares authorized at September 30, 2018 and December 31,</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880" w:type="dxa"/>
            <w:vAlign w:val="bottom"/>
          </w:tcPr>
          <w:p>
            <w:pPr>
              <w:ind w:left="240"/>
              <w:spacing w:after="0"/>
              <w:rPr>
                <w:sz w:val="20"/>
                <w:szCs w:val="20"/>
                <w:color w:val="auto"/>
              </w:rPr>
            </w:pPr>
            <w:r>
              <w:rPr>
                <w:rFonts w:ascii="Arial" w:cs="Arial" w:eastAsia="Arial" w:hAnsi="Arial"/>
                <w:sz w:val="18"/>
                <w:szCs w:val="18"/>
                <w:color w:val="auto"/>
              </w:rPr>
              <w:t>2017; 0 shares issued and outstanding at September 30, 2018 and December 31, 2017</w:t>
            </w:r>
          </w:p>
        </w:tc>
        <w:tc>
          <w:tcPr>
            <w:tcW w:w="1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Common stock, $0.00001 par value; 500,000 shares authorized at September 30, 2018 and December 31,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6"/>
        </w:trPr>
        <w:tc>
          <w:tcPr>
            <w:tcW w:w="7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2017; 50,751 and 50,239 shares issued and outstanding at September 30, 2018 and December 31, 2017,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7"/>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431,294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418,354</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(313,376)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(253,784)</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164,611</w:t>
            </w:r>
          </w:p>
        </w:tc>
      </w:tr>
      <w:tr>
        <w:trPr>
          <w:trHeight w:val="264"/>
        </w:trPr>
        <w:tc>
          <w:tcPr>
            <w:tcW w:w="78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383,635</w:t>
            </w:r>
          </w:p>
        </w:tc>
      </w:tr>
      <w:tr>
        <w:trPr>
          <w:trHeight w:val="21"/>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5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b w:val="1"/>
                <w:bCs w:val="1"/>
                <w:color w:val="auto"/>
                <w:w w:val="91"/>
              </w:rPr>
              <w:t>September 30, 2017</w:t>
            </w:r>
          </w:p>
        </w:tc>
      </w:tr>
      <w:tr>
        <w:trPr>
          <w:trHeight w:val="27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83,253</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124,148</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41,371</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39,660</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36,377</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43,079</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and other exit costs</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90,251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90,251</w:t>
            </w: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43,995</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140,963</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144,378</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256,697</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(105,752)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(132,549)</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Foreign exchange (gain) loss, net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(105,602)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(59,359)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(132,476)</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64"/>
        </w:trPr>
        <w:tc>
          <w:tcPr>
            <w:tcW w:w="5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(103,571)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(59,592)</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(130,966)</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used to compute net loss per share:</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48,726</w:t>
            </w: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50"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7"/>
                <w:szCs w:val="17"/>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September 30, 2017</w:t>
            </w:r>
          </w:p>
        </w:tc>
      </w:tr>
      <w:tr>
        <w:trPr>
          <w:trHeight w:val="250"/>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0"/>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on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64"/>
        </w:trPr>
        <w:tc>
          <w:tcPr>
            <w:tcW w:w="53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(103,481)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(59,800)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(130,606)</w:t>
            </w: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85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1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7"/>
        </w:trPr>
        <w:tc>
          <w:tcPr>
            <w:tcW w:w="3900" w:type="dxa"/>
            <w:vAlign w:val="bottom"/>
          </w:tcPr>
          <w:p>
            <w:pPr>
              <w:spacing w:after="0"/>
              <w:rPr>
                <w:sz w:val="8"/>
                <w:szCs w:val="8"/>
                <w:color w:val="auto"/>
              </w:rPr>
            </w:pPr>
          </w:p>
        </w:tc>
        <w:tc>
          <w:tcPr>
            <w:tcW w:w="21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116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140" w:type="dxa"/>
            <w:vAlign w:val="bottom"/>
          </w:tcPr>
          <w:p>
            <w:pPr>
              <w:jc w:val="center"/>
              <w:ind w:right="82"/>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39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2"/>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31, 2017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418,354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164,611</w:t>
            </w:r>
          </w:p>
        </w:tc>
        <w:tc>
          <w:tcPr>
            <w:tcW w:w="0" w:type="dxa"/>
            <w:vAlign w:val="bottom"/>
          </w:tcPr>
          <w:p>
            <w:pPr>
              <w:spacing w:after="0"/>
              <w:rPr>
                <w:sz w:val="1"/>
                <w:szCs w:val="1"/>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Exercise of common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Restricted stock awards, net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120"/>
              <w:spacing w:after="0"/>
              <w:rPr>
                <w:sz w:val="20"/>
                <w:szCs w:val="20"/>
                <w:color w:val="auto"/>
              </w:rPr>
            </w:pPr>
            <w:r>
              <w:rPr>
                <w:rFonts w:ascii="Arial" w:cs="Arial" w:eastAsia="Arial" w:hAnsi="Arial"/>
                <w:sz w:val="18"/>
                <w:szCs w:val="18"/>
                <w:color w:val="auto"/>
                <w:w w:val="99"/>
              </w:rPr>
              <w:t>Issuance of common stock related to employee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stock purchase plan</w:t>
            </w: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Issuance of common stock related to RSU vesting</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w w:val="99"/>
              </w:rPr>
              <w:t>Shares withheld related to net share settlement</w:t>
            </w:r>
          </w:p>
        </w:tc>
        <w:tc>
          <w:tcPr>
            <w:tcW w:w="102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13,410</w:t>
            </w:r>
          </w:p>
        </w:tc>
        <w:tc>
          <w:tcPr>
            <w:tcW w:w="0" w:type="dxa"/>
            <w:vAlign w:val="bottom"/>
          </w:tcPr>
          <w:p>
            <w:pPr>
              <w:spacing w:after="0"/>
              <w:rPr>
                <w:sz w:val="1"/>
                <w:szCs w:val="1"/>
                <w:color w:val="auto"/>
              </w:rPr>
            </w:pPr>
          </w:p>
        </w:tc>
      </w:tr>
      <w:tr>
        <w:trPr>
          <w:trHeight w:val="224"/>
        </w:trPr>
        <w:tc>
          <w:tcPr>
            <w:tcW w:w="390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(59,592)</w:t>
            </w:r>
          </w:p>
        </w:tc>
        <w:tc>
          <w:tcPr>
            <w:tcW w:w="0" w:type="dxa"/>
            <w:vAlign w:val="bottom"/>
          </w:tcPr>
          <w:p>
            <w:pPr>
              <w:spacing w:after="0"/>
              <w:rPr>
                <w:sz w:val="1"/>
                <w:szCs w:val="1"/>
                <w:color w:val="auto"/>
              </w:rPr>
            </w:pPr>
          </w:p>
        </w:tc>
      </w:tr>
      <w:tr>
        <w:trPr>
          <w:trHeight w:val="247"/>
        </w:trPr>
        <w:tc>
          <w:tcPr>
            <w:tcW w:w="3900" w:type="dxa"/>
            <w:vAlign w:val="bottom"/>
          </w:tcPr>
          <w:p>
            <w:pPr>
              <w:ind w:left="20"/>
              <w:spacing w:after="0"/>
              <w:rPr>
                <w:sz w:val="20"/>
                <w:szCs w:val="20"/>
                <w:color w:val="auto"/>
              </w:rPr>
            </w:pPr>
            <w:r>
              <w:rPr>
                <w:rFonts w:ascii="Arial" w:cs="Arial" w:eastAsia="Arial" w:hAnsi="Arial"/>
                <w:sz w:val="16"/>
                <w:szCs w:val="16"/>
                <w:color w:val="auto"/>
              </w:rPr>
              <w:t>September 30,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50,751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431,294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(313,376)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117,752</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07" w:right="2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September 30, 2017</w:t>
            </w:r>
          </w:p>
        </w:tc>
      </w:tr>
      <w:tr>
        <w:trPr>
          <w:trHeight w:val="223"/>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(59,592)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(130,966)</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26,355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27,154</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16,188</w:t>
            </w: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1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90,251</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on disposal of property and equipment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Accretion of available for sale 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Unrealized foreign currency (gains) losses, net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effect of business acquisitions:</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58,876</w:t>
            </w:r>
          </w:p>
        </w:tc>
      </w:tr>
      <w:tr>
        <w:trPr>
          <w:trHeight w:val="224"/>
        </w:trPr>
        <w:tc>
          <w:tcPr>
            <w:tcW w:w="8260" w:type="dxa"/>
            <w:vAlign w:val="bottom"/>
          </w:tcPr>
          <w:p>
            <w:pPr>
              <w:ind w:left="3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(1,315)</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(49,972)</w:t>
            </w:r>
          </w:p>
        </w:tc>
      </w:tr>
      <w:tr>
        <w:trPr>
          <w:trHeight w:val="224"/>
        </w:trPr>
        <w:tc>
          <w:tcPr>
            <w:tcW w:w="8260" w:type="dxa"/>
            <w:vAlign w:val="bottom"/>
          </w:tcPr>
          <w:p>
            <w:pPr>
              <w:ind w:left="320"/>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33"/>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9,213</w:t>
            </w:r>
          </w:p>
        </w:tc>
      </w:tr>
      <w:tr>
        <w:trPr>
          <w:trHeight w:val="204"/>
        </w:trPr>
        <w:tc>
          <w:tcPr>
            <w:tcW w:w="82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(14,554)</w:t>
            </w: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Capitalized internal use software development costs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(6,127)</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(38,610)</w:t>
            </w: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Investments in available-for-sale securities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(66,419)</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Maturities of available-for-sale 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67,650</w:t>
            </w: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Sales of available-for-sale securities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(58,060)</w:t>
            </w:r>
          </w:p>
        </w:tc>
      </w:tr>
      <w:tr>
        <w:trPr>
          <w:trHeight w:val="204"/>
        </w:trPr>
        <w:tc>
          <w:tcPr>
            <w:tcW w:w="82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r>
      <w:tr>
        <w:trPr>
          <w:trHeight w:val="217"/>
        </w:trPr>
        <w:tc>
          <w:tcPr>
            <w:tcW w:w="8260" w:type="dxa"/>
            <w:vAlign w:val="bottom"/>
          </w:tcPr>
          <w:p>
            <w:pPr>
              <w:ind w:left="54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(1,232)</w:t>
            </w:r>
          </w:p>
        </w:tc>
      </w:tr>
      <w:tr>
        <w:trPr>
          <w:trHeight w:val="33"/>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7"/>
        </w:trPr>
        <w:tc>
          <w:tcPr>
            <w:tcW w:w="8260" w:type="dxa"/>
            <w:vAlign w:val="bottom"/>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(49,893)</w:t>
            </w:r>
          </w:p>
        </w:tc>
      </w:tr>
      <w:tr>
        <w:trPr>
          <w:trHeight w:val="33"/>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149,498</w:t>
            </w:r>
          </w:p>
        </w:tc>
      </w:tr>
      <w:tr>
        <w:trPr>
          <w:trHeight w:val="247"/>
        </w:trPr>
        <w:tc>
          <w:tcPr>
            <w:tcW w:w="82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82,354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99,605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2,065</w:t>
            </w:r>
          </w:p>
        </w:tc>
      </w:tr>
      <w:tr>
        <w:trPr>
          <w:trHeight w:val="33"/>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stock-based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8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ectPr>
          <w:pgSz w:w="11900" w:h="16838" w:orient="portrait"/>
          <w:cols w:equalWidth="0" w:num="1">
            <w:col w:w="11400"/>
          </w:cols>
          <w:pgMar w:left="260" w:top="850"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60" w:top="850" w:right="239" w:bottom="1440" w:gutter="0" w:footer="0" w:header="0"/>
          <w:type w:val="continuous"/>
        </w:sectPr>
      </w:pPr>
    </w:p>
    <w:bookmarkStart w:id="7" w:name="page8"/>
    <w:bookmarkEnd w:id="7"/>
    <w:p>
      <w:pPr>
        <w:jc w:val="center"/>
        <w:ind w:left="5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0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6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Company is a global advertising exchange that helps websites and applications thrive by giving them tools and expertise to sell ads easily and safely. In addition, the world’s leading agencies and brands rely on the Company's technology to execute tens of billions of advertising transactions each month. The Company provides a technology solution to automate the purchase and sale of digital advertising inventory for buyers and sellers. The Company's platform features applications and services for digital advertising sellers, including websites, mobile applications and other digital media properties, and their representatives, to sell their digital advertising inventory; applications and services for buyers, including advertisers, agencies, agency trading desks, demand side platforms, or DSPs, to buy digital advertising inventory; and a marketplace over which such transactions are executed.</w:t>
      </w:r>
    </w:p>
    <w:p>
      <w:pPr>
        <w:spacing w:after="0" w:line="57"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Together, these features power and enhance a comprehensive, transparent, independent advertising marketplace that brings buyers and sellers together and facilitates intelligent decision making and automated transaction execution for the digital advertising inventory managed on the Company's platform. The Company's clients include many of the world's leading publishers of websites and mobile applications and buyers of digital advertising inventory.</w:t>
      </w:r>
    </w:p>
    <w:p>
      <w:pPr>
        <w:spacing w:after="0" w:line="39" w:lineRule="exact"/>
        <w:rPr>
          <w:sz w:val="20"/>
          <w:szCs w:val="20"/>
          <w:color w:val="auto"/>
        </w:rPr>
      </w:pPr>
    </w:p>
    <w:p>
      <w:pPr>
        <w:jc w:val="both"/>
        <w:ind w:right="140" w:firstLine="486"/>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consumers through different channels. The Company's solution enables buyers and sellers to purchase and sell:</w:t>
      </w:r>
    </w:p>
    <w:p>
      <w:pPr>
        <w:spacing w:after="0" w:line="16" w:lineRule="exact"/>
        <w:rPr>
          <w:sz w:val="20"/>
          <w:szCs w:val="20"/>
          <w:color w:val="auto"/>
        </w:rPr>
      </w:pPr>
    </w:p>
    <w:p>
      <w:pPr>
        <w:ind w:left="440" w:hanging="108"/>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63" w:lineRule="exact"/>
        <w:rPr>
          <w:rFonts w:ascii="Arial" w:cs="Arial" w:eastAsia="Arial" w:hAnsi="Arial"/>
          <w:sz w:val="18"/>
          <w:szCs w:val="18"/>
          <w:color w:val="auto"/>
        </w:rPr>
      </w:pPr>
    </w:p>
    <w:p>
      <w:pPr>
        <w:ind w:left="660" w:right="400" w:hanging="328"/>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the Company refers to as private marketplace ("PMP"), and (ii) open auction bidding, which the Company refers to as open marketplace ("OMP"); and</w:t>
      </w:r>
    </w:p>
    <w:p>
      <w:pPr>
        <w:spacing w:after="0" w:line="8" w:lineRule="exact"/>
        <w:rPr>
          <w:rFonts w:ascii="Arial" w:cs="Arial" w:eastAsia="Arial" w:hAnsi="Arial"/>
          <w:sz w:val="18"/>
          <w:szCs w:val="18"/>
          <w:color w:val="auto"/>
        </w:rPr>
      </w:pPr>
    </w:p>
    <w:p>
      <w:pPr>
        <w:ind w:left="660" w:right="60" w:hanging="328"/>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The Company has been negatively impacted by rapid changes in the ad tech industry, including demand by ad tech buyers for more efficiency and lower costs, changes in bidding technologies, and increased competition. In response to these challenges, the Company made significant reductions in fees charged to buyers during 2017 and in November 2017 eliminated its buyer fees altogether. The competitive pressures and reduced take rate resulted in lower revenue and cash flows in the first three quarters of 2018 compared to the prior year. In an effort to bring its costs into better alignment with reduced take rates, the Company undertook restructuring activities to reduce headcount and related operating costs, and also reduced its capital expenditures. Unless and until the Company is able to compensate for the fee reductions and reduced gross margins by continuing to increase advertising spend on its platform, or sufficiently reducing costs, it may not be able to grow its business and may continue to operate at a loss, depleting its cash resources and liquidity. If the Company continues to experience significant operating losses in the future, the Company may require additional liquidity to fund its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90"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nine months ended September 30, 2018 are not necessarily indicative of the results that may be expected for any future interim period, the year ending December 31, 2018, or for any future year.</w:t>
      </w:r>
    </w:p>
    <w:p>
      <w:pPr>
        <w:spacing w:after="0" w:line="70"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condensed consolidated balance sheet at December 31, 2017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2017 included in its 2017 Annual Report on Form 10-K.</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50" w:right="259" w:bottom="1440" w:gutter="0" w:footer="0" w:header="0"/>
        </w:sectPr>
      </w:pPr>
    </w:p>
    <w:bookmarkStart w:id="8" w:name="page9"/>
    <w:bookmarkEnd w:id="8"/>
    <w:p>
      <w:pPr>
        <w:ind w:right="80" w:firstLine="486"/>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its audited consolidated financial statements and notes thereto for the year ended December 31, 2017 included in its Annual Report on Form 10-K.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ASU 2018-07</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Company adopted ASU 2018-07</w:t>
      </w:r>
      <w:r>
        <w:rPr>
          <w:rFonts w:ascii="Arial" w:cs="Arial" w:eastAsia="Arial" w:hAnsi="Arial"/>
          <w:sz w:val="16"/>
          <w:szCs w:val="16"/>
          <w:i w:val="1"/>
          <w:iCs w:val="1"/>
          <w:color w:val="auto"/>
        </w:rPr>
        <w:t>—Stock Compensation (Topic 718)</w:t>
      </w:r>
      <w:r>
        <w:rPr>
          <w:rFonts w:ascii="Arial" w:cs="Arial" w:eastAsia="Arial" w:hAnsi="Arial"/>
          <w:sz w:val="16"/>
          <w:szCs w:val="16"/>
          <w:color w:val="auto"/>
        </w:rPr>
        <w:t xml:space="preserve"> ("ASU 2018-07")</w:t>
      </w:r>
      <w:r>
        <w:rPr>
          <w:rFonts w:ascii="Arial" w:cs="Arial" w:eastAsia="Arial" w:hAnsi="Arial"/>
          <w:sz w:val="16"/>
          <w:szCs w:val="16"/>
          <w:i w:val="1"/>
          <w:iCs w:val="1"/>
          <w:color w:val="auto"/>
        </w:rPr>
        <w:t>,</w:t>
      </w:r>
      <w:r>
        <w:rPr>
          <w:rFonts w:ascii="Arial" w:cs="Arial" w:eastAsia="Arial" w:hAnsi="Arial"/>
          <w:sz w:val="16"/>
          <w:szCs w:val="16"/>
          <w:color w:val="auto"/>
        </w:rPr>
        <w:t xml:space="preserve"> which expands the scope of Accounting Standards Codification Topic 718, Compensation</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to include share-based payments granted to non-employees in exchange for goods or services, as of July 1, 2018. As of the adoption date, the fair value of existing unvested awards held by non-employees was determined based on the adoption date fair value, which will be recognized over the remaining service period. Prospectively, the fair value of awards granted to non-employees will be determined as of the grant date and recognized over the service period, using the same treatment as awards granted to employees. In addition, for employees that transition into a non-employee contractor relationship with the Company subsequent to the adoption date, their existing awards will continue to be recognized at the original grant date fair value. There was no impact to the Company's consolidated financial statements resulting from the adoption of ASU 2018-07.</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Recently Adopted Accounting Pronouncements</w:t>
      </w:r>
    </w:p>
    <w:p>
      <w:pPr>
        <w:spacing w:after="0" w:line="104"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On January 1, 2018, the Company adopted the following accounting pronouncements, using a prospective adoption method, which did not have an impact on the Company's condensed consolidated financial statements and did not result in any significant policy changes:</w:t>
      </w:r>
    </w:p>
    <w:p>
      <w:pPr>
        <w:spacing w:after="0" w:line="62" w:lineRule="exact"/>
        <w:rPr>
          <w:sz w:val="20"/>
          <w:szCs w:val="20"/>
          <w:color w:val="auto"/>
        </w:rPr>
      </w:pPr>
    </w:p>
    <w:p>
      <w:pPr>
        <w:ind w:left="440" w:hanging="10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Standards Update ("ASU") 2017-01—</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and</w:t>
      </w:r>
    </w:p>
    <w:p>
      <w:pPr>
        <w:spacing w:after="0" w:line="63" w:lineRule="exact"/>
        <w:rPr>
          <w:rFonts w:ascii="Arial" w:cs="Arial" w:eastAsia="Arial" w:hAnsi="Arial"/>
          <w:sz w:val="18"/>
          <w:szCs w:val="18"/>
          <w:color w:val="auto"/>
        </w:rPr>
      </w:pPr>
    </w:p>
    <w:p>
      <w:pPr>
        <w:ind w:left="440" w:hanging="10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2017-09—</w:t>
      </w:r>
      <w:r>
        <w:rPr>
          <w:rFonts w:ascii="Arial" w:cs="Arial" w:eastAsia="Arial" w:hAnsi="Arial"/>
          <w:sz w:val="18"/>
          <w:szCs w:val="18"/>
          <w:i w:val="1"/>
          <w:iCs w:val="1"/>
          <w:color w:val="auto"/>
        </w:rPr>
        <w:t>Compensation—Stock Compensation (Topic 718): Scope of Modification Accounting.</w:t>
      </w:r>
    </w:p>
    <w:p>
      <w:pPr>
        <w:spacing w:after="0" w:line="90"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has also adopted ASU 2016-15—</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although the retrospective adoption method did not have an impact on periods presented. The Company will apply this guidance to applicable future transactions.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7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February 2016, the Financial Accounting Standards Board ("FASB") issued ASU 2016-02</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classification affecting the pattern of expense recognition in the income statement. ASU 2016-02 is effective for annual reporting periods beginning after December 15, 2018, including interim periods within that reporting period, with early adoption permitted. ASU 2016-02 required a modified retrospective adoption approach, however subsequent guidance (discussed below) provides an additional option for adoption approach. The Company plans to adopt ASU 2016-02 as of January 1, 2019 using a prospective adoption method in accordance with ASU 2018-11</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The Company is currently evaluating the effect this guidance will have on its consolidated financial statements and related disclosures, and anticipates the guidance to result in increases in its assets and liabilities as most of its operating lease commitments will be subject to the new standard and recognized as right-of-use assets and lease liabilities.</w:t>
      </w:r>
    </w:p>
    <w:p>
      <w:pPr>
        <w:spacing w:after="0" w:line="65"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 July 2018, the FASB issued ASU 2018-11, which updates some of the implementation requirements under Accounting Standards Codification Topic 842 on leases. ASU 2018-11 provides for an additional adoption approach that was not previously included in ASU 2016-02 that allows for a prospective application. This guidance eliminates the requirement to present prior year comparative lease disclosures once ASU 2016-02 is adopted, and must be adopted concurrently with ASU 2016-02. The Company plans to apply the adoption method made available by ASU 2018-11.</w:t>
      </w:r>
    </w:p>
    <w:p>
      <w:pPr>
        <w:spacing w:after="0" w:line="6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to streamline the disclosure requirements of ASC Topic 820—Fair Value Measurement.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 removes certain disclosure requirements, including the valuation process for Level 3 fair</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49" w:right="25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t>value measurements, and adds certain quantitative disclosures around Level 3 fair value measurements. This ASU is effective for annual reporting periods beginning after December 15, 2019, including interim periods within that reporting period, with early adoption permitted. The provisions of ASU 2018-13 are required to be adopted retrospectively, with the exception of disclosure of the range and weighted average of significant unobservable inputs used to develop Level 3 measurements, which can be adopted prospectively. The Company is currently evaluating the effect this guidance will have on its consolidated financial statements and related disclosures.</w:t>
      </w:r>
    </w:p>
    <w:p>
      <w:pPr>
        <w:spacing w:after="0" w:line="8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August 2018, the FASB issued ASU 2018-15—</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("ASU 2018-15"). ASU 2018-15 was issued to</w:t>
      </w:r>
      <w:r>
        <w:rPr>
          <w:rFonts w:ascii="Arial" w:cs="Arial" w:eastAsia="Arial" w:hAnsi="Arial"/>
          <w:sz w:val="17"/>
          <w:szCs w:val="17"/>
          <w:i w:val="1"/>
          <w:iCs w:val="1"/>
          <w:color w:val="auto"/>
        </w:rPr>
        <w:t xml:space="preserve"> </w:t>
      </w:r>
      <w:r>
        <w:rPr>
          <w:rFonts w:ascii="Arial" w:cs="Arial" w:eastAsia="Arial" w:hAnsi="Arial"/>
          <w:sz w:val="17"/>
          <w:szCs w:val="17"/>
          <w:color w:val="auto"/>
        </w:rPr>
        <w:t>clarify the requirements of ASC 350-40—</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("ASC 350-40")</w:t>
      </w:r>
      <w:r>
        <w:rPr>
          <w:rFonts w:ascii="Arial" w:cs="Arial" w:eastAsia="Arial" w:hAnsi="Arial"/>
          <w:sz w:val="17"/>
          <w:szCs w:val="17"/>
          <w:i w:val="1"/>
          <w:iCs w:val="1"/>
          <w:color w:val="auto"/>
        </w:rPr>
        <w:t>.</w:t>
      </w:r>
      <w:r>
        <w:rPr>
          <w:rFonts w:ascii="Arial" w:cs="Arial" w:eastAsia="Arial" w:hAnsi="Arial"/>
          <w:sz w:val="17"/>
          <w:szCs w:val="17"/>
          <w:color w:val="auto"/>
        </w:rPr>
        <w:t xml:space="preserve"> The ASU clarifies that implementation, setup and other upfront costs related to cloud hosting agreements should be accounted for under ASC 350-40. This ASU is effective for annual reporting periods beginning after December 15, 2019, including interim periods within that reporting period, with early adoption permitted. ASU 2018-15 can be applied either retrospectively or prospectively to all implementation costs incurred after the date of adoption. The Company is currently evaluating the effect this guidance will have on its consolidated financial statements.</w:t>
      </w:r>
    </w:p>
    <w:p>
      <w:pPr>
        <w:sectPr>
          <w:pgSz w:w="11900" w:h="16838" w:orient="portrait"/>
          <w:cols w:equalWidth="0" w:num="1">
            <w:col w:w="11400"/>
          </w:cols>
          <w:pgMar w:left="240" w:top="949" w:right="259" w:bottom="1440" w:gutter="0" w:footer="0" w:header="0"/>
        </w:sect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23773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and Diluted EPS: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common shares outstanding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unvested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308610"/>
                    </a:xfrm>
                    <a:prstGeom prst="rect">
                      <a:avLst/>
                    </a:prstGeom>
                    <a:noFill/>
                  </pic:spPr>
                </pic:pic>
              </a:graphicData>
            </a:graphic>
          </wp:anchor>
        </w:drawing>
      </w:r>
    </w:p>
    <w:p>
      <w:pPr>
        <w:spacing w:after="0" w:line="43"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Weighted-average common shares outstanding used to compute net loss per share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and diluted net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24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300" w:type="dxa"/>
            <w:vAlign w:val="bottom"/>
            <w:gridSpan w:val="4"/>
          </w:tcPr>
          <w:p>
            <w:pPr>
              <w:jc w:val="right"/>
              <w:ind w:right="57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13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r>
      <w:tr>
        <w:trPr>
          <w:trHeight w:val="190"/>
        </w:trPr>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2017</w:t>
            </w:r>
          </w:p>
        </w:tc>
      </w:tr>
      <w:tr>
        <w:trPr>
          <w:trHeight w:val="190"/>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25"/>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(103,571)</w:t>
            </w:r>
          </w:p>
        </w:tc>
        <w:tc>
          <w:tcPr>
            <w:tcW w:w="1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(130,966)</w:t>
            </w:r>
          </w:p>
        </w:tc>
      </w:tr>
      <w:tr>
        <w:trPr>
          <w:trHeight w:val="27"/>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49,638</w:t>
            </w:r>
          </w:p>
        </w:tc>
      </w:tr>
      <w:tr>
        <w:trPr>
          <w:trHeight w:val="270"/>
        </w:trPr>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7"/>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12"/>
        </w:trPr>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49,055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48,726</w:t>
            </w:r>
          </w:p>
        </w:tc>
      </w:tr>
      <w:tr>
        <w:trPr>
          <w:trHeight w:val="27"/>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r>
    </w:tbl>
    <w:p>
      <w:pPr>
        <w:spacing w:after="0" w:line="121" w:lineRule="exact"/>
        <w:rPr>
          <w:sz w:val="20"/>
          <w:szCs w:val="20"/>
          <w:color w:val="auto"/>
        </w:rPr>
      </w:pPr>
    </w:p>
    <w:p>
      <w:pPr>
        <w:sectPr>
          <w:pgSz w:w="11900" w:h="16838" w:orient="portrait"/>
          <w:cols w:equalWidth="0" w:num="2">
            <w:col w:w="5480" w:space="480"/>
            <w:col w:w="5440"/>
          </w:cols>
          <w:pgMar w:left="240" w:top="949" w:right="259" w:bottom="1440" w:gutter="0" w:footer="0" w:header="0"/>
          <w:type w:val="continuous"/>
        </w:sectPr>
      </w:pPr>
    </w:p>
    <w:p>
      <w:pPr>
        <w:ind w:right="140" w:firstLine="486"/>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7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3"/>
              </w:rPr>
              <w:t>Three Months Ended</w:t>
            </w:r>
          </w:p>
        </w:tc>
        <w:tc>
          <w:tcPr>
            <w:tcW w:w="2640" w:type="dxa"/>
            <w:vAlign w:val="bottom"/>
            <w:gridSpan w:val="3"/>
          </w:tcPr>
          <w:p>
            <w:pPr>
              <w:jc w:val="right"/>
              <w:ind w:right="575"/>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8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6"/>
        </w:trPr>
        <w:tc>
          <w:tcPr>
            <w:tcW w:w="5820" w:type="dxa"/>
            <w:vAlign w:val="bottom"/>
          </w:tcPr>
          <w:p>
            <w:pPr>
              <w:spacing w:after="0"/>
              <w:rPr>
                <w:sz w:val="12"/>
                <w:szCs w:val="12"/>
                <w:color w:val="auto"/>
              </w:rPr>
            </w:pPr>
          </w:p>
        </w:tc>
        <w:tc>
          <w:tcPr>
            <w:tcW w:w="138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September 30,</w:t>
            </w:r>
          </w:p>
        </w:tc>
        <w:tc>
          <w:tcPr>
            <w:tcW w:w="1280" w:type="dxa"/>
            <w:vAlign w:val="bottom"/>
          </w:tcPr>
          <w:p>
            <w:pPr>
              <w:jc w:val="right"/>
              <w:ind w:right="115"/>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5820" w:type="dxa"/>
            <w:vAlign w:val="bottom"/>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r>
      <w:tr>
        <w:trPr>
          <w:trHeight w:val="196"/>
        </w:trPr>
        <w:tc>
          <w:tcPr>
            <w:tcW w:w="5820" w:type="dxa"/>
            <w:vAlign w:val="bottom"/>
          </w:tcPr>
          <w:p>
            <w:pPr>
              <w:spacing w:after="0"/>
              <w:rPr>
                <w:sz w:val="17"/>
                <w:szCs w:val="17"/>
                <w:color w:val="auto"/>
              </w:rPr>
            </w:pPr>
          </w:p>
        </w:tc>
        <w:tc>
          <w:tcPr>
            <w:tcW w:w="2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2640" w:type="dxa"/>
            <w:vAlign w:val="bottom"/>
            <w:gridSpan w:val="3"/>
          </w:tcPr>
          <w:p>
            <w:pPr>
              <w:jc w:val="right"/>
              <w:ind w:right="8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Unvested restricted stock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7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8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excluded from net loss per share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8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January 1, 2018, the Company adopted Accounting Standards Update 2014-09—</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using a modified retrospective approach applied to all contracts that generated revenue in the preceding year. The adoption of this guidance did not have an impact on the amount or timing of revenue recognized by the Company.</w:t>
      </w:r>
    </w:p>
    <w:p>
      <w:pPr>
        <w:spacing w:after="0" w:line="7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Company generates revenue from transactions where it provides a platform for the purchase and sale of digital advertising inventory. The Company’s advertising automation solution is a marketplace for sellers of digital advertising inventory (providers of websites, mobile applications and other digital media properties, and their representatives) and buyers of digital advertising inventory (including advertisers, agencies, agency trading desks, and demand-side platforms). This solution incorporates proprietary machine-learning algorithms, sophisticated data processing, high-volume storage, detailed analytics capabilities, and a</w:t>
      </w:r>
    </w:p>
    <w:p>
      <w:pPr>
        <w:sectPr>
          <w:pgSz w:w="11900" w:h="16838" w:orient="portrait"/>
          <w:cols w:equalWidth="0" w:num="1">
            <w:col w:w="11400"/>
          </w:cols>
          <w:pgMar w:left="240" w:top="949" w:right="25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949" w:right="259" w:bottom="1440" w:gutter="0" w:footer="0" w:header="0"/>
          <w:type w:val="continuous"/>
        </w:sectPr>
      </w:pPr>
    </w:p>
    <w:bookmarkStart w:id="10" w:name="page11"/>
    <w:bookmarkEnd w:id="10"/>
    <w:p>
      <w:pPr>
        <w:ind w:right="20"/>
        <w:spacing w:after="0" w:line="297" w:lineRule="auto"/>
        <w:rPr>
          <w:sz w:val="20"/>
          <w:szCs w:val="20"/>
          <w:color w:val="auto"/>
        </w:rPr>
      </w:pPr>
      <w:r>
        <w:rPr>
          <w:rFonts w:ascii="Arial" w:cs="Arial" w:eastAsia="Arial" w:hAnsi="Arial"/>
          <w:sz w:val="16"/>
          <w:szCs w:val="16"/>
          <w:color w:val="auto"/>
        </w:rPr>
        <w:t>distributed infrastructure. Together, these features form the basis for the Company’s automated advertising solution that brings buyers and sellers together and facilitates intelligent decision-making and automated transaction execution for the digital advertising inventory managed on the Company's platform.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5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or “take rate”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customer, which occurs at the point in time an ad renders and is counted as a paid impression, subject to an underlying agreement existing with the customer and a fixed or determinable transaction price. Performance obligations for all transactions are satisfied, and the corresponding revenue is recognized, at a distinct point in time when an ad renders. The Company does not have arrangements with multiple performance obligations. The Company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has determined that it does not act as the principal in the purchase and sale of digital advertising inventory because it does not have control of the digital advertising inventory and does not set prices agreed upon within the auction marketplace, and therefore reports revenue on a net basis. In periods prior to the second quarter of 2017, the Company reported revenue on a gross basis for revenue associated with its intent marketing solution, as the Company determined that it acted as the principal in the purchase and sale of digital advertising inventory. The Company ceased offering its intent marketing solution after the first quarter of 2017, after which time, all of the Company’s revenues have been recorded on a net basis. Revenue generated by the Company’s intent marketing solution in 2017 prior to its cessation was $1.3 million, which is included in total revenue for the nine months ended September 30, 2017.</w:t>
      </w:r>
    </w:p>
    <w:p>
      <w:pPr>
        <w:spacing w:after="0" w:line="8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exchange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 by channel for the three and nine months ended September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Borders>
              <w:bottom w:val="single" w:sz="8" w:color="auto"/>
            </w:tcBorders>
          </w:tcPr>
          <w:p>
            <w:pPr>
              <w:spacing w:after="0"/>
              <w:rPr>
                <w:sz w:val="16"/>
                <w:szCs w:val="16"/>
                <w:color w:val="auto"/>
              </w:rPr>
            </w:pPr>
          </w:p>
        </w:tc>
      </w:tr>
      <w:tr>
        <w:trPr>
          <w:trHeight w:val="196"/>
        </w:trPr>
        <w:tc>
          <w:tcPr>
            <w:tcW w:w="2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0"/>
              </w:rPr>
              <w:t>September 30, 2018</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0"/>
              </w:rPr>
              <w:t>September 30, 2017</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0"/>
              </w:rPr>
              <w:t>September 30, 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1"/>
              </w:rPr>
              <w:t>September 30, 2017</w:t>
            </w:r>
          </w:p>
        </w:tc>
        <w:tc>
          <w:tcPr>
            <w:tcW w:w="500" w:type="dxa"/>
            <w:vAlign w:val="bottom"/>
            <w:tcBorders>
              <w:bottom w:val="single" w:sz="8" w:color="auto"/>
            </w:tcBorders>
          </w:tcPr>
          <w:p>
            <w:pPr>
              <w:spacing w:after="0"/>
              <w:rPr>
                <w:sz w:val="17"/>
                <w:szCs w:val="17"/>
                <w:color w:val="auto"/>
              </w:rPr>
            </w:pPr>
          </w:p>
        </w:tc>
      </w:tr>
      <w:tr>
        <w:trPr>
          <w:trHeight w:val="196"/>
        </w:trPr>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7"/>
          </w:tcPr>
          <w:p>
            <w:pPr>
              <w:ind w:left="120"/>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43"/>
        </w:trPr>
        <w:tc>
          <w:tcPr>
            <w:tcW w:w="2160" w:type="dxa"/>
            <w:vAlign w:val="bottom"/>
          </w:tcPr>
          <w:p>
            <w:pPr>
              <w:ind w:left="220"/>
              <w:spacing w:after="0"/>
              <w:rPr>
                <w:sz w:val="20"/>
                <w:szCs w:val="20"/>
                <w:color w:val="auto"/>
              </w:rPr>
            </w:pPr>
            <w:r>
              <w:rPr>
                <w:rFonts w:ascii="Arial" w:cs="Arial" w:eastAsia="Arial" w:hAnsi="Arial"/>
                <w:sz w:val="18"/>
                <w:szCs w:val="18"/>
                <w:color w:val="auto"/>
              </w:rPr>
              <w:t>Desktop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40,453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68,956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2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Mobile</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55,192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64"/>
        </w:trPr>
        <w:tc>
          <w:tcPr>
            <w:tcW w:w="21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100 %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100 %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83,253</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124,148</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100 %</w:t>
            </w:r>
          </w:p>
        </w:tc>
      </w:tr>
      <w:tr>
        <w:trPr>
          <w:trHeight w:val="21"/>
        </w:trPr>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176" w:lineRule="exact"/>
        <w:rPr>
          <w:sz w:val="20"/>
          <w:szCs w:val="20"/>
          <w:color w:val="auto"/>
        </w:rPr>
      </w:pPr>
    </w:p>
    <w:p>
      <w:pPr>
        <w:ind w:left="6040"/>
        <w:spacing w:after="0"/>
        <w:tabs>
          <w:tab w:leader="none" w:pos="922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23495</wp:posOffset>
            </wp:positionV>
            <wp:extent cx="3944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p>
      <w:pPr>
        <w:spacing w:after="0" w:line="55" w:lineRule="exact"/>
        <w:rPr>
          <w:sz w:val="20"/>
          <w:szCs w:val="20"/>
          <w:color w:val="auto"/>
        </w:rPr>
      </w:pPr>
    </w:p>
    <w:p>
      <w:pPr>
        <w:ind w:left="5320"/>
        <w:spacing w:after="0"/>
        <w:tabs>
          <w:tab w:leader="none" w:pos="688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23495</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5"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23495</wp:posOffset>
            </wp:positionV>
            <wp:extent cx="1938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100" w:space="380"/>
            <w:col w:w="2920"/>
          </w:cols>
          <w:pgMar w:left="240" w:top="949" w:right="25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54,201</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9,998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45,798</w:t>
            </w:r>
          </w:p>
        </w:tc>
      </w:tr>
      <w:tr>
        <w:trPr>
          <w:trHeight w:val="27"/>
        </w:trPr>
        <w:tc>
          <w:tcPr>
            <w:tcW w:w="5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949"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61" w:lineRule="exact"/>
        <w:rPr>
          <w:sz w:val="20"/>
          <w:szCs w:val="20"/>
          <w:color w:val="auto"/>
        </w:rPr>
      </w:pPr>
    </w:p>
    <w:p>
      <w:pPr>
        <w:ind w:left="1140" w:right="900" w:hanging="484"/>
        <w:spacing w:after="0" w:line="277" w:lineRule="auto"/>
        <w:tabs>
          <w:tab w:leader="none" w:pos="762"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15" w:lineRule="exact"/>
        <w:rPr>
          <w:rFonts w:ascii="Arial" w:cs="Arial" w:eastAsia="Arial" w:hAnsi="Arial"/>
          <w:sz w:val="17"/>
          <w:szCs w:val="17"/>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September 30, 2018:</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340" w:type="dxa"/>
            <w:vAlign w:val="bottom"/>
          </w:tcPr>
          <w:p>
            <w:pPr>
              <w:spacing w:after="0"/>
              <w:rPr>
                <w:sz w:val="14"/>
                <w:szCs w:val="14"/>
                <w:color w:val="auto"/>
              </w:rPr>
            </w:pPr>
          </w:p>
        </w:tc>
        <w:tc>
          <w:tcPr>
            <w:tcW w:w="1760" w:type="dxa"/>
            <w:vAlign w:val="bottom"/>
            <w:vMerge w:val="restart"/>
          </w:tcPr>
          <w:p>
            <w:pPr>
              <w:jc w:val="center"/>
              <w:ind w:right="259"/>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78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3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7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40" w:type="dxa"/>
            <w:vAlign w:val="bottom"/>
          </w:tcPr>
          <w:p>
            <w:pPr>
              <w:spacing w:after="0"/>
              <w:rPr>
                <w:sz w:val="12"/>
                <w:szCs w:val="12"/>
                <w:color w:val="auto"/>
              </w:rPr>
            </w:pPr>
          </w:p>
        </w:tc>
        <w:tc>
          <w:tcPr>
            <w:tcW w:w="17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7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00" w:type="dxa"/>
            <w:vAlign w:val="bottom"/>
            <w:gridSpan w:val="2"/>
          </w:tcPr>
          <w:p>
            <w:pPr>
              <w:jc w:val="right"/>
              <w:ind w:right="979"/>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19,078</w:t>
            </w:r>
          </w:p>
        </w:tc>
        <w:tc>
          <w:tcPr>
            <w:tcW w:w="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1,999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government and agency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12,487</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a summary of financial instruments that are measured at fair value on a recurring basis at December 31, 2017:</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340" w:type="dxa"/>
            <w:vAlign w:val="bottom"/>
          </w:tcPr>
          <w:p>
            <w:pPr>
              <w:spacing w:after="0"/>
              <w:rPr>
                <w:sz w:val="14"/>
                <w:szCs w:val="14"/>
                <w:color w:val="auto"/>
              </w:rPr>
            </w:pPr>
          </w:p>
        </w:tc>
        <w:tc>
          <w:tcPr>
            <w:tcW w:w="1760" w:type="dxa"/>
            <w:vAlign w:val="bottom"/>
            <w:vMerge w:val="restart"/>
          </w:tcPr>
          <w:p>
            <w:pPr>
              <w:jc w:val="center"/>
              <w:ind w:right="259"/>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78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3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7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40" w:type="dxa"/>
            <w:vAlign w:val="bottom"/>
          </w:tcPr>
          <w:p>
            <w:pPr>
              <w:spacing w:after="0"/>
              <w:rPr>
                <w:sz w:val="12"/>
                <w:szCs w:val="12"/>
                <w:color w:val="auto"/>
              </w:rPr>
            </w:pPr>
          </w:p>
        </w:tc>
        <w:tc>
          <w:tcPr>
            <w:tcW w:w="17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7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00" w:type="dxa"/>
            <w:vAlign w:val="bottom"/>
            <w:gridSpan w:val="2"/>
          </w:tcPr>
          <w:p>
            <w:pPr>
              <w:jc w:val="right"/>
              <w:ind w:right="979"/>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25,098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government and agency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29,901</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At September 30, 2018 and December 31, 2017, cash equivalents of $19.1 million and $1.8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The commercial paper included in cash equivalents at December 31, 2017 is classified as Level 2 since its fair value is not based on quoted market prices for identical securities that are traded in an active market, but rather is derived from similar securities.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85"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During the third quarter of 2017, the Company identified potential indications of impairment, which triggered a quantitative goodwill impairment assessment. The Company compared the fair value of its net assets, calculated using three valuation methodologies (one income approach and two market approaches), to the carrying value of the net assets. The fair value of the Company's net assets falls within Level 3 of the fair value hierarchy, as it was determined using unobservable inputs and relied on assumptions and estimates made by the Company's management. The valuation process is described below:</w:t>
      </w:r>
    </w:p>
    <w:p>
      <w:pPr>
        <w:sectPr>
          <w:pgSz w:w="11900" w:h="16838" w:orient="portrait"/>
          <w:cols w:equalWidth="0" w:num="1">
            <w:col w:w="11420"/>
          </w:cols>
          <w:pgMar w:left="240" w:top="10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026" w:right="239" w:bottom="1440" w:gutter="0" w:footer="0" w:header="0"/>
          <w:type w:val="continuous"/>
        </w:sectPr>
      </w:pPr>
    </w:p>
    <w:bookmarkStart w:id="12" w:name="page13"/>
    <w:bookmarkEnd w:id="12"/>
    <w:p>
      <w:pPr>
        <w:ind w:left="660" w:right="20" w:firstLine="324"/>
        <w:spacing w:after="0" w:line="259"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The Company first estimated the fair value of its net assets based on an income approach using the 2017 remaining year</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 projections for growth from that base, and a terminal growth rate. The cash flows were discounted using the Company's estimated weighted average cost of capital rate of 16.2%. The value of net operating losses and the excess working capital were then added to the discounted cash flows to arrive at the income approach fair value of the Company's net assets.</w:t>
      </w:r>
    </w:p>
    <w:p>
      <w:pPr>
        <w:spacing w:after="0" w:line="146" w:lineRule="exact"/>
        <w:rPr>
          <w:sz w:val="20"/>
          <w:szCs w:val="20"/>
          <w:color w:val="auto"/>
        </w:rPr>
      </w:pPr>
    </w:p>
    <w:p>
      <w:pPr>
        <w:ind w:left="720" w:right="80" w:firstLine="324"/>
        <w:spacing w:after="0" w:line="287" w:lineRule="auto"/>
        <w:rPr>
          <w:sz w:val="20"/>
          <w:szCs w:val="20"/>
          <w:color w:val="auto"/>
        </w:rPr>
      </w:pPr>
      <w:r>
        <w:rPr>
          <w:rFonts w:ascii="Arial" w:cs="Arial" w:eastAsia="Arial" w:hAnsi="Arial"/>
          <w:sz w:val="16"/>
          <w:szCs w:val="16"/>
          <w:i w:val="1"/>
          <w:iCs w:val="1"/>
          <w:color w:val="auto"/>
        </w:rPr>
        <w:t>Market Approach</w:t>
      </w:r>
      <w:r>
        <w:rPr>
          <w:rFonts w:ascii="Arial" w:cs="Arial" w:eastAsia="Arial" w:hAnsi="Arial"/>
          <w:sz w:val="16"/>
          <w:szCs w:val="16"/>
          <w:color w:val="auto"/>
        </w:rPr>
        <w:t>. The market approach used to determine the fair value of the Company's net assets was based upon a review of private and</w:t>
      </w:r>
      <w:r>
        <w:rPr>
          <w:rFonts w:ascii="Arial" w:cs="Arial" w:eastAsia="Arial" w:hAnsi="Arial"/>
          <w:sz w:val="16"/>
          <w:szCs w:val="16"/>
          <w:i w:val="1"/>
          <w:iCs w:val="1"/>
          <w:color w:val="auto"/>
        </w:rPr>
        <w:t xml:space="preserve"> </w:t>
      </w:r>
      <w:r>
        <w:rPr>
          <w:rFonts w:ascii="Arial" w:cs="Arial" w:eastAsia="Arial" w:hAnsi="Arial"/>
          <w:sz w:val="16"/>
          <w:szCs w:val="16"/>
          <w:color w:val="auto"/>
        </w:rPr>
        <w:t>public company control transactions involving comparable companies. The Company performed two analyses under the market approach—a control premium analysis and a similar transaction analysis. In each of these analyses, the Company identified merger or acquisition transactions that were completed over the past three years involving targets that operate within the “Advertising” or “Internet Software and Services” industries and where the buyer was a strategic buyer. In the control premium analysis, the Company calculated a control premium paid in each of these transactions. After analyzing the comparable transactions, the Company applied a control premium of 15% to its adjusted public equity value to derive the fair value of its net assets. An additional method under the market approach, the similar transactions method, was utilized to determine the fair value of the Company's net assets under a strategic buyer purchase scenario. In this analysis, target companies were compared to the Company and multiples paid in transactions, specifically EBITDA, were analyzed and applied to the Company's adjusted EBITDA for the twelve months ended September 30, 2017. Based on the results of this analysis, an adjusted EBITDA multiple of 2.0x was applied to calculate the fair value of the Company's net assets. In determining the comparability of publicly-traded companies, several factors were analyzed, including products and solutions, markets, growth patterns, relative size, earnings trends and other financial characteristics.</w:t>
      </w:r>
    </w:p>
    <w:p>
      <w:pPr>
        <w:spacing w:after="0" w:line="142"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Company compared the fair value of its net assets using the three methodologies (one income approach and two market approaches) described above, to the carrying value and determined that its goodwill was fully impaired. The Company recorded an impairment of $90.3 million in the third quarter of 2017 to adjust its goodwill balance to its fair value of zero.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in marketable securities as of September 30, 2018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tcPr>
          <w:p>
            <w:pPr>
              <w:jc w:val="center"/>
              <w:ind w:left="181"/>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9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tcPr>
          <w:p>
            <w:pPr>
              <w:jc w:val="center"/>
              <w:ind w:left="1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4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21"/>
                <w:szCs w:val="21"/>
                <w:color w:val="auto"/>
              </w:rPr>
            </w:pPr>
          </w:p>
        </w:tc>
        <w:tc>
          <w:tcPr>
            <w:tcW w:w="940" w:type="dxa"/>
            <w:vAlign w:val="bottom"/>
          </w:tcPr>
          <w:p>
            <w:pPr>
              <w:jc w:val="right"/>
              <w:ind w:right="741"/>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left="579"/>
              <w:spacing w:after="0"/>
              <w:rPr>
                <w:sz w:val="20"/>
                <w:szCs w:val="20"/>
                <w:color w:val="auto"/>
              </w:rPr>
            </w:pPr>
            <w:r>
              <w:rPr>
                <w:rFonts w:ascii="Arial" w:cs="Arial" w:eastAsia="Arial" w:hAnsi="Arial"/>
                <w:sz w:val="18"/>
                <w:szCs w:val="18"/>
                <w:color w:val="auto"/>
                <w:w w:val="93"/>
              </w:rPr>
              <w:t>(14)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center"/>
              <w:ind w:left="49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64"/>
        </w:trPr>
        <w:tc>
          <w:tcPr>
            <w:tcW w:w="6380" w:type="dxa"/>
            <w:vAlign w:val="bottom"/>
          </w:tcPr>
          <w:p>
            <w:pPr>
              <w:ind w:left="4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center"/>
              <w:ind w:left="579"/>
              <w:spacing w:after="0"/>
              <w:rPr>
                <w:sz w:val="20"/>
                <w:szCs w:val="20"/>
                <w:color w:val="auto"/>
              </w:rPr>
            </w:pPr>
            <w:r>
              <w:rPr>
                <w:rFonts w:ascii="Arial" w:cs="Arial" w:eastAsia="Arial" w:hAnsi="Arial"/>
                <w:sz w:val="18"/>
                <w:szCs w:val="18"/>
                <w:color w:val="auto"/>
                <w:w w:val="93"/>
              </w:rPr>
              <w:t>(14)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in marketable securities as of December 31, 2017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tcPr>
          <w:p>
            <w:pPr>
              <w:jc w:val="center"/>
              <w:ind w:left="179"/>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tcPr>
          <w:p>
            <w:pPr>
              <w:jc w:val="center"/>
              <w:ind w:left="15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4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27,426</w:t>
            </w:r>
          </w:p>
        </w:tc>
        <w:tc>
          <w:tcPr>
            <w:tcW w:w="100" w:type="dxa"/>
            <w:vAlign w:val="bottom"/>
          </w:tcPr>
          <w:p>
            <w:pPr>
              <w:spacing w:after="0"/>
              <w:rPr>
                <w:sz w:val="21"/>
                <w:szCs w:val="21"/>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27,406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0" w:type="dxa"/>
            <w:vAlign w:val="bottom"/>
          </w:tcPr>
          <w:p>
            <w:pPr>
              <w:spacing w:after="0"/>
              <w:rPr>
                <w:sz w:val="1"/>
                <w:szCs w:val="1"/>
                <w:color w:val="auto"/>
              </w:rPr>
            </w:pPr>
          </w:p>
        </w:tc>
      </w:tr>
      <w:tr>
        <w:trPr>
          <w:trHeight w:val="264"/>
        </w:trPr>
        <w:tc>
          <w:tcPr>
            <w:tcW w:w="6380" w:type="dxa"/>
            <w:vAlign w:val="bottom"/>
          </w:tcPr>
          <w:p>
            <w:pPr>
              <w:ind w:left="4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52,524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Available-for-sale—long-term:</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24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3"/>
                <w:szCs w:val="23"/>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The Company's available-for-sale securities had a weighted remaining contractual maturity of 0.2 years as of September 30, 2018. For the nine months ended September 30, 2018, the Company sold $9.2 million of available-for-sale investments, on which the realized gains were de minimis and there were no unrealized holding gains (losses) reclassified out of accumulated other comprehensive loss into the condensed consolidated statements of operations.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54" w:right="259" w:bottom="1440" w:gutter="0" w:footer="0" w:header="0"/>
        </w:sectPr>
      </w:pPr>
    </w:p>
    <w:bookmarkStart w:id="13" w:name="page14"/>
    <w:bookmarkEnd w:id="13"/>
    <w:p>
      <w:pPr>
        <w:ind w:left="50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December 31, 2017</w:t>
            </w:r>
          </w:p>
        </w:tc>
      </w:tr>
      <w:tr>
        <w:trPr>
          <w:trHeight w:val="196"/>
        </w:trPr>
        <w:tc>
          <w:tcPr>
            <w:tcW w:w="8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gridSpan w:val="4"/>
          </w:tcPr>
          <w:p>
            <w:pPr>
              <w:jc w:val="right"/>
              <w:ind w:right="11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payable—seller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203,694</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Accounts payable—trade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3,764</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employee-related payables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r>
      <w:tr>
        <w:trPr>
          <w:trHeight w:val="264"/>
        </w:trPr>
        <w:tc>
          <w:tcPr>
            <w:tcW w:w="808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214,103</w:t>
            </w:r>
          </w:p>
        </w:tc>
      </w:tr>
      <w:tr>
        <w:trPr>
          <w:trHeight w:val="21"/>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As of December 31, 2016, the Company had $0.1 million of restricted cash, which is included in the beginning balance of cash, cash equivalents and restricted cash in the condensed consolidated statement of cash flows for the nine months ended September 30, 2017. Subsequent to that date, the Company has had no restricted cash.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intangible assets as of September 30, 2018 and December 31, 2017 included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December 31, 2017</w:t>
            </w:r>
          </w:p>
        </w:tc>
      </w:tr>
      <w:tr>
        <w:trPr>
          <w:trHeight w:val="196"/>
        </w:trPr>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16,878</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gross</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17,588</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Accumulated amortization—intangible assets:</w:t>
            </w: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Trademarks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Total accumulated amortization—intangible assets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Amortization of intangible assets for the three months ended September 30, 2018 and 2017 were $0.8 million and $1.2 million, respectively, and $2.4 million and $3.5 million for the nine months ended September 30, 2018 and 2017, respectively. The estimated remaining amortization expense associated with the Company's intangible assets was as follows as of September 30, 2018: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187"/>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3,010</w:t>
            </w:r>
          </w:p>
        </w:tc>
      </w:tr>
      <w:tr>
        <w:trPr>
          <w:trHeight w:val="27"/>
        </w:trPr>
        <w:tc>
          <w:tcPr>
            <w:tcW w:w="9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2,826</w:t>
            </w:r>
          </w:p>
        </w:tc>
      </w:tr>
      <w:tr>
        <w:trPr>
          <w:trHeight w:val="27"/>
        </w:trPr>
        <w:tc>
          <w:tcPr>
            <w:tcW w:w="9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60" w:firstLine="486"/>
        <w:spacing w:after="0" w:line="277" w:lineRule="auto"/>
        <w:rPr>
          <w:sz w:val="20"/>
          <w:szCs w:val="20"/>
          <w:color w:val="auto"/>
        </w:rPr>
      </w:pPr>
      <w:r>
        <w:rPr>
          <w:rFonts w:ascii="Arial" w:cs="Arial" w:eastAsia="Arial" w:hAnsi="Arial"/>
          <w:sz w:val="18"/>
          <w:szCs w:val="18"/>
          <w:color w:val="auto"/>
        </w:rPr>
        <w:t>The Company recorded a goodwill impairment charge of $90.3 million during the third quarter of 2017, refer to Note 4 for additional details regarding the related valuation assessment process.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7—Business Combinations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2017 Acquisition—nToggle, Inc.</w:t>
      </w:r>
    </w:p>
    <w:p>
      <w:pPr>
        <w:spacing w:after="0" w:line="189"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On July 14, 2017, the Company completed the merger of nToggle, Inc. ("nToggle") with Caviar Acquisition Corp., a wholly owned subsidiary of the Company, with nToggle surviving as a wholly owned subsidiary of Rubicon Project. nToggle was a Boston, Massachusetts based programmatic advertising company with traffic-shaping technology. The primary reason for the acquisition</w:t>
      </w:r>
    </w:p>
    <w:p>
      <w:pPr>
        <w:sectPr>
          <w:pgSz w:w="11900" w:h="16838" w:orient="portrait"/>
          <w:cols w:equalWidth="0" w:num="1">
            <w:col w:w="11400"/>
          </w:cols>
          <w:pgMar w:left="240" w:top="949" w:right="2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949" w:right="259" w:bottom="1440" w:gutter="0" w:footer="0" w:header="0"/>
          <w:type w:val="continuous"/>
        </w:sectPr>
      </w:pPr>
    </w:p>
    <w:bookmarkStart w:id="14" w:name="page15"/>
    <w:bookmarkEnd w:id="14"/>
    <w:p>
      <w:pPr>
        <w:ind w:right="40"/>
        <w:spacing w:after="0" w:line="255" w:lineRule="auto"/>
        <w:rPr>
          <w:sz w:val="20"/>
          <w:szCs w:val="20"/>
          <w:color w:val="auto"/>
        </w:rPr>
      </w:pPr>
      <w:r>
        <w:rPr>
          <w:rFonts w:ascii="Arial" w:cs="Arial" w:eastAsia="Arial" w:hAnsi="Arial"/>
          <w:sz w:val="18"/>
          <w:szCs w:val="18"/>
          <w:color w:val="auto"/>
        </w:rPr>
        <w:t>was to acquire technology, know-how and personnel that will enable the Company to offer services that make it easier and more cost-effective for buyers to find the inventory they seek among the billions of bid requests they receive. At closing, the Company paid net cash consideration of $38.6 million, which represents total purchase consideration of $40.6 million less acquired cash and cash equivalents of $2.0 million, to the stockholders, warrantholders, and holders of vested in-the-money options of nToggle. In addition, the Company assumed 432,482 outstanding unvested in-the-money options and 77,499 shares of restricted stock held by continuing employees, and issued an aggregate of 174,117 restricted stock units to the continuing employees under the Company's 2014 Inducement Grant Equity Incentive Plan. The financial results of nToggle have been included in our consolidated financial statements since the date of the acquisition.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major classes of assets and liabilities to which the Company allocated the purchase price were as follows as of the acquisition date: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Amount</w:t>
            </w:r>
          </w:p>
        </w:tc>
      </w:tr>
      <w:tr>
        <w:trPr>
          <w:trHeight w:val="196"/>
        </w:trPr>
        <w:tc>
          <w:tcPr>
            <w:tcW w:w="9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3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7"/>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14,840</w:t>
            </w:r>
          </w:p>
        </w:tc>
      </w:tr>
      <w:tr>
        <w:trPr>
          <w:trHeight w:val="27"/>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24,546</w:t>
            </w:r>
          </w:p>
        </w:tc>
      </w:tr>
      <w:tr>
        <w:trPr>
          <w:trHeight w:val="237"/>
        </w:trPr>
        <w:tc>
          <w:tcPr>
            <w:tcW w:w="972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42,458</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37"/>
        </w:trPr>
        <w:tc>
          <w:tcPr>
            <w:tcW w:w="9720" w:type="dxa"/>
            <w:vAlign w:val="bottom"/>
          </w:tcPr>
          <w:p>
            <w:pPr>
              <w:ind w:left="22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assets acquired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Company recognized approximately $0.3 million of acquisition-related costs during the nine months ended September 30, 2017 that are included within general and administrative expenses in the Company’s condensed consolidated statements of operations. As part of the acquisition of nToggle, the Company acquired nToggle's net operating losses of approximately $9.3 million. In addition, the Company recorded deferred tax liabilities related to acquired intangibles of $5.5 million net of deferred tax assets of $3.8 million primarily related to net operating loss carryforwards.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components of the acquired intangible assets and estimated useful lives (in thousands, except for estimated useful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life):</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September 30, 2017</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7"/>
        </w:trPr>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 &amp; trade name</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 years</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The intangible assets are amortized on a straight-line basis, which approximates the pattern in which the economic benefits are consumed, over their estimated useful lives. Amortization of developed technology is included in cost of revenues, the amortization related to non-compete agreements is included in technology and development, and amortization related to trademark and trade name is included in general and administrative.</w:t>
      </w:r>
    </w:p>
    <w:p>
      <w:pPr>
        <w:spacing w:after="0" w:line="5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Goodwill resulting from the acquisition was primarily attributable to acquired workforce, an increase in development capabilities, increased offerings to customers, and enhanced opportunities for growth and innovation. Refer to Note 4 for a description of the methods used to compute the charge for the impairment of consolidated goodwill of $90.3 million recorded in the third quarter of 2017. The acquired intangibles and goodwill resulting from the nToggle acquisition are not amortizable for tax purposes.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Information - nToggle Acquisition</w:t>
      </w:r>
    </w:p>
    <w:p>
      <w:pPr>
        <w:spacing w:after="0" w:line="198"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The following table provides unaudited condensed pro forma information to give effect to the nToggle acquisition as if it had occurred on January 1, 2017. The unaudited pro forma information reflects adjustments for additional amortization resulting from the fair value adjustments to assets acquired and liabilities assumed. The pro forma results do not include any anticipated cost</w:t>
      </w:r>
    </w:p>
    <w:p>
      <w:pPr>
        <w:sectPr>
          <w:pgSz w:w="11900" w:h="16838" w:orient="portrait"/>
          <w:cols w:equalWidth="0" w:num="1">
            <w:col w:w="11420"/>
          </w:cols>
          <w:pgMar w:left="240" w:top="949"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949" w:right="239" w:bottom="1440" w:gutter="0" w:footer="0" w:header="0"/>
          <w:type w:val="continuous"/>
        </w:sectPr>
      </w:pPr>
    </w:p>
    <w:bookmarkStart w:id="15" w:name="page16"/>
    <w:bookmarkEnd w:id="15"/>
    <w:p>
      <w:pPr>
        <w:jc w:val="both"/>
        <w:ind w:right="140"/>
        <w:spacing w:after="0" w:line="342" w:lineRule="auto"/>
        <w:rPr>
          <w:sz w:val="20"/>
          <w:szCs w:val="20"/>
          <w:color w:val="auto"/>
        </w:rPr>
      </w:pPr>
      <w:r>
        <w:rPr>
          <w:rFonts w:ascii="Arial" w:cs="Arial" w:eastAsia="Arial" w:hAnsi="Arial"/>
          <w:sz w:val="16"/>
          <w:szCs w:val="16"/>
          <w:color w:val="auto"/>
        </w:rPr>
        <w:t>synergies or other effects of the integration of nToggle. Accordingly, pro forma amounts are not necessarily indicative of the results that actually would have occurred had the acquisition been completed on the date indicated, nor are they indicative of the actual or future operating results of the combined company.</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760" w:type="dxa"/>
            <w:vAlign w:val="bottom"/>
          </w:tcPr>
          <w:p>
            <w:pPr>
              <w:jc w:val="right"/>
              <w:ind w:right="319"/>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2017</w:t>
            </w:r>
          </w:p>
        </w:tc>
        <w:tc>
          <w:tcPr>
            <w:tcW w:w="220" w:type="dxa"/>
            <w:vAlign w:val="bottom"/>
          </w:tcPr>
          <w:p>
            <w:pPr>
              <w:spacing w:after="0"/>
              <w:rPr>
                <w:sz w:val="18"/>
                <w:szCs w:val="18"/>
                <w:color w:val="auto"/>
              </w:rPr>
            </w:pPr>
          </w:p>
        </w:tc>
        <w:tc>
          <w:tcPr>
            <w:tcW w:w="1760" w:type="dxa"/>
            <w:vAlign w:val="bottom"/>
          </w:tcPr>
          <w:p>
            <w:pPr>
              <w:jc w:val="right"/>
              <w:ind w:right="319"/>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125,083</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(103,895)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(134,665)</w:t>
            </w:r>
          </w:p>
        </w:tc>
      </w:tr>
    </w:tbl>
    <w:p>
      <w:pPr>
        <w:spacing w:after="0" w:line="188"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nToggle's technology was fully integrated into the Company's platform, and its pre-acquisition product is not offered on a stand-alone basis. As a result, the determination of nToggle's post-acquisition revenue and operating results on a stand-alone basis was impracticable.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8—Stock-Based Compensation</w:t>
      </w:r>
    </w:p>
    <w:p>
      <w:pPr>
        <w:spacing w:after="0" w:line="108"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semi-annually thereafter. The RSUs granted in the first nine months of 2018 included 2,800,000 RSUs that vest 50% on each of the first and second anniversaries of the grant date. Options, RSAs, and RSUs granted under the plans accelerate under certain circumstances for certain participants upon a change in control, as defined in the governing plan. An aggregate of 6,148,378 shares remained available for future grants at September 30, 2018 under the plans.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stock option activity for the nine months ended September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7"/>
              </w:rPr>
              <w:t>Shares Under Option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Weighted- Average</w:t>
            </w:r>
          </w:p>
        </w:tc>
        <w:tc>
          <w:tcPr>
            <w:tcW w:w="200" w:type="dxa"/>
            <w:vAlign w:val="bottom"/>
          </w:tcPr>
          <w:p>
            <w:pPr>
              <w:spacing w:after="0"/>
              <w:rPr>
                <w:sz w:val="14"/>
                <w:szCs w:val="14"/>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Exercise Price</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300" w:type="dxa"/>
            <w:vAlign w:val="bottom"/>
          </w:tcPr>
          <w:p>
            <w:pPr>
              <w:jc w:val="center"/>
              <w:ind w:right="16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48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706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(1,239)</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20"/>
              <w:spacing w:after="0"/>
              <w:rPr>
                <w:sz w:val="20"/>
                <w:szCs w:val="20"/>
                <w:color w:val="auto"/>
              </w:rPr>
            </w:pPr>
            <w:r>
              <w:rPr>
                <w:rFonts w:ascii="Arial" w:cs="Arial" w:eastAsia="Arial" w:hAnsi="Arial"/>
                <w:sz w:val="18"/>
                <w:szCs w:val="18"/>
                <w:color w:val="auto"/>
              </w:rPr>
              <w:t>Outstanding at September 30, 2018</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7.0 years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2018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5.8 years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The total intrinsic values of options exercised during the nine months ended September 30, 2018 was $0.1 million. At September 30, 2018, the Company had unrecognized employee stock-based compensation expense relating to nonvested stock options of approximately $3.8 million, which is expected to be recognized over a weighted-average period of 2.5 years. The weighted-average grant date fair value per share of stock options granted during the nine months ended September 30, 2018 was $1.10. Total fair value of options vested during the nine months ended September 30, 2018 was $2.7 million.</w:t>
      </w:r>
    </w:p>
    <w:p>
      <w:pPr>
        <w:spacing w:after="0" w:line="4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372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2018</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2017</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2017</w:t>
            </w: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2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932"/>
        </w:trPr>
        <w:tc>
          <w:tcPr>
            <w:tcW w:w="3720" w:type="dxa"/>
            <w:vAlign w:val="bottom"/>
          </w:tcPr>
          <w:p>
            <w:pPr>
              <w:spacing w:after="0"/>
              <w:rPr>
                <w:sz w:val="24"/>
                <w:szCs w:val="24"/>
                <w:color w:val="auto"/>
              </w:rPr>
            </w:pPr>
          </w:p>
        </w:tc>
        <w:tc>
          <w:tcPr>
            <w:tcW w:w="3160" w:type="dxa"/>
            <w:vAlign w:val="bottom"/>
            <w:gridSpan w:val="2"/>
          </w:tcPr>
          <w:p>
            <w:pPr>
              <w:jc w:val="right"/>
              <w:ind w:right="1002"/>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949"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RSA activity for the nine months ended September 30, 2018 is as follows: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92"/>
        </w:trPr>
        <w:tc>
          <w:tcPr>
            <w:tcW w:w="8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580" w:type="dxa"/>
            <w:vAlign w:val="bottom"/>
          </w:tcPr>
          <w:p>
            <w:pPr>
              <w:jc w:val="right"/>
              <w:ind w:right="29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shares of restricted stock awards outstanding at December 31, 2017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tcPr>
          <w:p>
            <w:pPr>
              <w:jc w:val="right"/>
              <w:spacing w:after="0"/>
              <w:rPr>
                <w:sz w:val="20"/>
                <w:szCs w:val="20"/>
                <w:color w:val="auto"/>
              </w:rPr>
            </w:pPr>
            <w:r>
              <w:rPr>
                <w:rFonts w:ascii="Arial" w:cs="Arial" w:eastAsia="Arial" w:hAnsi="Arial"/>
                <w:sz w:val="18"/>
                <w:szCs w:val="18"/>
                <w:color w:val="auto"/>
              </w:rPr>
              <w:t>(176)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shares of restricted stock awards outstanding at September 30, 2018</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aggregate fair value of RSAs with service conditions that vested during the nine months ended September 30, 2018 was $0.5 million. At September 30, 2018, the Company had unrecognized stock-based compensation expense for RSAs with service conditions of $1.1 million, which is expected to be recognized over a weighted-average period of 1.2 years.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RSU activity for the nine months ended September 30, 2018 is as follows: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88"/>
        </w:trPr>
        <w:tc>
          <w:tcPr>
            <w:tcW w:w="8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8100" w:type="dxa"/>
            <w:vAlign w:val="bottom"/>
          </w:tcPr>
          <w:p>
            <w:pPr>
              <w:spacing w:after="0"/>
              <w:rPr>
                <w:sz w:val="16"/>
                <w:szCs w:val="16"/>
                <w:color w:val="auto"/>
              </w:rPr>
            </w:pPr>
          </w:p>
        </w:tc>
        <w:tc>
          <w:tcPr>
            <w:tcW w:w="1580" w:type="dxa"/>
            <w:vAlign w:val="bottom"/>
          </w:tcPr>
          <w:p>
            <w:pPr>
              <w:jc w:val="right"/>
              <w:ind w:right="29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outstanding at December 31, 2017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4,904</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tcPr>
          <w:p>
            <w:pPr>
              <w:jc w:val="right"/>
              <w:spacing w:after="0"/>
              <w:rPr>
                <w:sz w:val="20"/>
                <w:szCs w:val="20"/>
                <w:color w:val="auto"/>
              </w:rPr>
            </w:pPr>
            <w:r>
              <w:rPr>
                <w:rFonts w:ascii="Arial" w:cs="Arial" w:eastAsia="Arial" w:hAnsi="Arial"/>
                <w:sz w:val="18"/>
                <w:szCs w:val="18"/>
                <w:color w:val="auto"/>
              </w:rPr>
              <w:t>(830)</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outstanding at September 30, 2018</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weighted-average grant date fair value per share of RSUs granted during the nine months ended September 30, 2018 was $2.27. The aggregate fair value of RSUs that vested during nine months ended September 30, 2018 was $1.8 million. At September 30, 2018, the intrinsic value of nonvested RSUs was $24.2 million. At September 30, 2018, the Company had unrecognized stock-based compensation expense relating to nonvested RSUs of approximately $20.1 million, which is expected to be recognized over a weighted-average period of 2.3 years.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2018, the Company has reserved 1,692,373 shares of its common stock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30"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176" w:lineRule="exact"/>
        <w:rPr>
          <w:sz w:val="20"/>
          <w:szCs w:val="20"/>
          <w:color w:val="auto"/>
        </w:rPr>
      </w:pPr>
    </w:p>
    <w:p>
      <w:pPr>
        <w:jc w:val="right"/>
        <w:ind w:right="880"/>
        <w:spacing w:after="0"/>
        <w:tabs>
          <w:tab w:leader="none" w:pos="122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23495</wp:posOffset>
            </wp:positionV>
            <wp:extent cx="3841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sectPr>
      </w:pPr>
    </w:p>
    <w:p>
      <w:pPr>
        <w:spacing w:after="0" w:line="55" w:lineRule="exact"/>
        <w:rPr>
          <w:sz w:val="20"/>
          <w:szCs w:val="20"/>
          <w:color w:val="auto"/>
        </w:rPr>
      </w:pPr>
    </w:p>
    <w:p>
      <w:pPr>
        <w:ind w:left="5480"/>
        <w:spacing w:after="0"/>
        <w:tabs>
          <w:tab w:leader="none" w:pos="698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23495</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23495</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20" w:space="320"/>
            <w:col w:w="2860"/>
          </w:cols>
          <w:pgMar w:left="240" w:top="1030" w:right="25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3,524</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7,631</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exit costs</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r>
      <w:tr>
        <w:trPr>
          <w:trHeight w:val="264"/>
        </w:trPr>
        <w:tc>
          <w:tcPr>
            <w:tcW w:w="53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13,016</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16,188</w:t>
            </w:r>
          </w:p>
        </w:tc>
      </w:tr>
      <w:tr>
        <w:trPr>
          <w:trHeight w:val="21"/>
        </w:trPr>
        <w:tc>
          <w:tcPr>
            <w:tcW w:w="5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9—Restructuring and Other Exit Costs</w:t>
      </w:r>
    </w:p>
    <w:p>
      <w:pPr>
        <w:spacing w:after="0" w:line="108"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As part of its on-going efforts to control costs and create efficiencies, the Company underwent restructuring events throughout 2017 and in the first quarter of 2018. The objective of these restructuring activities was to streamline operations, prioritize resources for growth initiatives and increase profitability.</w:t>
      </w:r>
    </w:p>
    <w:p>
      <w:pPr>
        <w:spacing w:after="0" w:line="73"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In January 2017, the Company announced that it would cease providing intent marketing services and would close its Toronto, Canada office as a result. For the nine months ended September 30, 2017, the Company recognized expenses of $6.0 million as restructuring and other exit costs related to the cessation of our intent marketing solution, including the closure of the Toronto office, as well as the realignment of the management team to a more cost efficient structure (collectively, the "2017 Restructuring Events"). A majority of the costs incurred in the nine months ended September 30, 2017 were severance and one-time termination benefit costs, of which $1.6 million related to non-cash stock-based compensation, the remainder of which related to facility closure costs. There were no restructuring and other exit costs incurred during the three months ended September 30, 2017.</w:t>
      </w:r>
    </w:p>
    <w:p>
      <w:pPr>
        <w:spacing w:after="0" w:line="57"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In the first quarter of 2018, the Company announced its restructuring plan to reduce headcount to bring the Company's general and administrative operations into better alignment with the current size of the business and de-layer certain functions, and to reduce its investment in unprofitable projects (the "2018 Restructuring Events"). During the nine months ended September 30, 2018, the Company incurred restructuring and other exit costs of $3.4 million for severance and one-time termination benefits. There were no restructuring and other exit costs incurred during the three months ended September 30, 2018.</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restructuring and other exit cost activity for the 2018 Restructuring Events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 and other exit costs at December 31, 2017</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40"/>
              <w:spacing w:after="0"/>
              <w:rPr>
                <w:sz w:val="20"/>
                <w:szCs w:val="20"/>
                <w:color w:val="auto"/>
              </w:rPr>
            </w:pPr>
            <w:r>
              <w:rPr>
                <w:rFonts w:ascii="Arial" w:cs="Arial" w:eastAsia="Arial" w:hAnsi="Arial"/>
                <w:sz w:val="18"/>
                <w:szCs w:val="18"/>
                <w:color w:val="auto"/>
              </w:rPr>
              <w:t>Restructuring and other exit costs</w:t>
            </w:r>
          </w:p>
        </w:tc>
        <w:tc>
          <w:tcPr>
            <w:tcW w:w="8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3,440</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restructuring and other exit costs</w:t>
            </w:r>
          </w:p>
        </w:tc>
        <w:tc>
          <w:tcPr>
            <w:tcW w:w="8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43"/>
        </w:trPr>
        <w:tc>
          <w:tcPr>
            <w:tcW w:w="9260" w:type="dxa"/>
            <w:vAlign w:val="bottom"/>
          </w:tcPr>
          <w:p>
            <w:pPr>
              <w:ind w:left="220"/>
              <w:spacing w:after="0"/>
              <w:rPr>
                <w:sz w:val="20"/>
                <w:szCs w:val="20"/>
                <w:color w:val="auto"/>
              </w:rPr>
            </w:pPr>
            <w:r>
              <w:rPr>
                <w:rFonts w:ascii="Arial" w:cs="Arial" w:eastAsia="Arial" w:hAnsi="Arial"/>
                <w:sz w:val="18"/>
                <w:szCs w:val="18"/>
                <w:color w:val="auto"/>
              </w:rPr>
              <w:t>Non-cash stock-based compensation for restructuring and other exit costs</w:t>
            </w:r>
          </w:p>
        </w:tc>
        <w:tc>
          <w:tcPr>
            <w:tcW w:w="8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9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and other exit costs at September 30, 2018</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restructuring costs related to the 2017 Restructuring Events were $0.1 million at December 31, 2017 and were paid in the first half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Accrued restructuring costs are included within other liabilities on the Company's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94"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73" w:lineRule="exact"/>
        <w:rPr>
          <w:sz w:val="20"/>
          <w:szCs w:val="20"/>
          <w:color w:val="auto"/>
        </w:rPr>
      </w:pPr>
    </w:p>
    <w:p>
      <w:pPr>
        <w:jc w:val="both"/>
        <w:ind w:right="200" w:firstLine="486"/>
        <w:spacing w:after="0" w:line="259" w:lineRule="auto"/>
        <w:rPr>
          <w:sz w:val="20"/>
          <w:szCs w:val="20"/>
          <w:color w:val="auto"/>
        </w:rPr>
      </w:pPr>
      <w:r>
        <w:rPr>
          <w:rFonts w:ascii="Arial" w:cs="Arial" w:eastAsia="Arial" w:hAnsi="Arial"/>
          <w:sz w:val="18"/>
          <w:szCs w:val="18"/>
          <w:color w:val="auto"/>
        </w:rPr>
        <w:t>The Company recorded income tax expenses of $0.1 million and $0.2 million for the three and nine months ended September 30, 2018, respectively, and recorded income tax benefits of $2.0 million and $1.5 million for the three and nine months ended September 30, 2017, respectively. The tax provision for the three and nine months ended September 30, 2018 is primarily the result of the domestic valuation allowance and the tax liability associated with the foreign subsidiaries.</w:t>
      </w:r>
    </w:p>
    <w:p>
      <w:pPr>
        <w:spacing w:after="0" w:line="7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the following: a federal corporate rate reduction from 34% to 21%; limitations on the deductibility of executive compensation and research and development (“R&amp;D”) expenditures; immediate</w:t>
      </w:r>
    </w:p>
    <w:p>
      <w:pPr>
        <w:sectPr>
          <w:pgSz w:w="11900" w:h="16838" w:orient="portrait"/>
          <w:cols w:equalWidth="0" w:num="1">
            <w:col w:w="11400"/>
          </w:cols>
          <w:pgMar w:left="240" w:top="1030" w:right="2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030" w:right="259" w:bottom="1440" w:gutter="0" w:footer="0" w:header="0"/>
          <w:type w:val="continuous"/>
        </w:sectPr>
      </w:pPr>
    </w:p>
    <w:bookmarkStart w:id="18" w:name="page19"/>
    <w:bookmarkEnd w:id="18"/>
    <w:p>
      <w:pPr>
        <w:ind w:right="40"/>
        <w:spacing w:after="0" w:line="286" w:lineRule="auto"/>
        <w:rPr>
          <w:sz w:val="20"/>
          <w:szCs w:val="20"/>
          <w:color w:val="auto"/>
        </w:rPr>
      </w:pPr>
      <w:r>
        <w:rPr>
          <w:rFonts w:ascii="Arial" w:cs="Arial" w:eastAsia="Arial" w:hAnsi="Arial"/>
          <w:sz w:val="17"/>
          <w:szCs w:val="17"/>
          <w:color w:val="auto"/>
        </w:rPr>
        <w:t>expensing of qualified property; the creation of new minimum taxes such as the base erosion anti-abuse tax (“BEAT”) and Global Intangible Low Taxed Income (“GILTI”) tax; and the transition of U.S. international taxation from a worldwide tax system to a modified territorial tax system, which will result in a one time U.S. tax liability on those earnings which have not previously been repatriated to the U.S. (the “Transition Tax”).</w:t>
      </w:r>
    </w:p>
    <w:p>
      <w:pPr>
        <w:spacing w:after="0" w:line="57"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The Tax Act imposes a Transition Tax on previously untaxed accumulated and current earnings and profits (“E&amp;P”) of certain of our foreign subsidiaries. To determine the amount of the Transition Tax, the Company determined, among other things, the amount of post-1986 E&amp;P of the relevant subsidiaries. The Company recorded a provisional Transition Tax of $0.6 million, which reduced its U.S. net deferred tax assets for the year ended December 31, 2017. For the nine months ended September 30, 2018, there was no change to the provisional Transaction Tax recorded in the prior period.</w:t>
      </w:r>
    </w:p>
    <w:p>
      <w:pPr>
        <w:spacing w:after="0" w:line="46"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Tax Act and allows the registrant to record provisional amounts during a measurement period not to extend beyond one year of the enactment date. The Company has recognized the actual impact of the revaluation of deferred tax balances and the provisional impact related to the one-time Transition Tax. The Company included these amounts in its consolidated financial statements for the year ended December 31, 2017. The ultimate impact may materially differ from these provisional amounts, due to, among other things, additional analysis, changes in interpretations and assumptions that have been made, additional regulatory guidance that may be issued, and actions that may be taken as a result of the Tax Act. The Company expects to complete its analysis within the measurement period in accordance with SAB 118.</w:t>
      </w:r>
    </w:p>
    <w:p>
      <w:pPr>
        <w:spacing w:after="0" w:line="71" w:lineRule="exact"/>
        <w:rPr>
          <w:sz w:val="20"/>
          <w:szCs w:val="20"/>
          <w:color w:val="auto"/>
        </w:rPr>
      </w:pPr>
    </w:p>
    <w:p>
      <w:pPr>
        <w:ind w:right="620" w:firstLine="486"/>
        <w:spacing w:after="0" w:line="264" w:lineRule="auto"/>
        <w:rPr>
          <w:sz w:val="20"/>
          <w:szCs w:val="20"/>
          <w:color w:val="auto"/>
        </w:rPr>
      </w:pPr>
      <w:r>
        <w:rPr>
          <w:rFonts w:ascii="Arial" w:cs="Arial" w:eastAsia="Arial" w:hAnsi="Arial"/>
          <w:sz w:val="18"/>
          <w:szCs w:val="18"/>
          <w:color w:val="auto"/>
        </w:rPr>
        <w:t>In addition, it is unclear how many U.S. states will incorporate the federal law changes, or portions thereof, into their tax codes and foreign governments may enact tax laws in response to the Tax Act that could result in further changes to global taxation and materially affect the Company's financial position and results of operations.</w:t>
      </w:r>
    </w:p>
    <w:p>
      <w:pPr>
        <w:spacing w:after="0" w:line="7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Finally, the Tax Act imposes a new BEAT, essentially a 10% minimum tax (5% for tax years beginning after December 31, 2017, increasing to 10% for years beginning after December 31, 2018) calculated on a base equal to taxpayer’s income determined without tax benefits arising from base erosion payments. BEAT does not apply to corporations whose annual gross receipts for the three-taxable-year period ending with the preceding taxable year are less than $500 million. BEAT does not apply to the Company for the year ending December 31, 2018. Also, the Tax Act requires certain GILTI income earned by controlled foreign corporations (“CFCs”) to be included in the gross income of the CFCs’ U.S. shareholder (for tax years beginning after December 31,</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2017). For the nine months ended September 30, 2018, the Company has included a provisional GILTI inclusion of $1.2 million for purposes of Accounting Standards Codification Topic 740. GAAP allows the Company to either (i) treat taxes due on future U.S. inclusions in taxable income related to BEAT and GILTI as current-period expense when incurred (the “period cost method”); or (ii) factor such amounts into the measurement of deferred taxes (the “deferred method”). The Company elected the period cost method.</w:t>
      </w:r>
    </w:p>
    <w:p>
      <w:pPr>
        <w:spacing w:after="0" w:line="8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7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There were no material changes to the Company's unrecognized tax benefits in the nine months ended September 30, 2018, and the Company does not expect to have any significant changes to unrecognized tax benefits through the end of the fiscal year. Because of the Company's history of tax losses, all years remain open to tax audit. During the first quarter of 2017, the Internal Revenue Service commenced an examination of the 2015 tax year. During the second quarter of 2018, the Company received a Letter 590 from the IRS indicating that they had completed the examination and found no income tax related adjustments.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commitments under non-cancelable operating leases for facilities, certain equipment, and its managed data center facilities. Total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were $3.2 million and $3.1 million for the three months ended September 30, 2018 and 2017, respectively, and $9.7 million and $9.4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2018 and 2017, respectively. Additionally, expenses for cloud-based services related to data centers were $1.6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and $0.8 million for the three months ended September 30, 2018 and 2017, respectively, and $5.0 million and $3.6 million for the nine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2018 and 2017, respectively. As of September 30, 2018, expected future commitments related to operating leases were $16.8 million.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September 30, 2018 and December 31, 2017, the Company had $2.9 million of letters of credit associated with office leases available for borrowing,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there were no outstanding borrowings as of either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10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Company’s agreements with sellers, buyers, and other third parties typically obligate it to provide indemnity and defense for losses resulting from claims of intellectual property infringement, damages to property or persons, business losses, or other</w:t>
      </w:r>
    </w:p>
    <w:p>
      <w:pPr>
        <w:sectPr>
          <w:pgSz w:w="11900" w:h="16838" w:orient="portrait"/>
          <w:cols w:equalWidth="0" w:num="1">
            <w:col w:w="11400"/>
          </w:cols>
          <w:pgMar w:left="240" w:top="949" w:right="2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949" w:right="259" w:bottom="1440" w:gutter="0" w:footer="0" w:header="0"/>
          <w:type w:val="continuous"/>
        </w:sectPr>
      </w:pPr>
    </w:p>
    <w:bookmarkStart w:id="19" w:name="page20"/>
    <w:bookmarkEnd w:id="19"/>
    <w:p>
      <w:pPr>
        <w:ind w:right="80"/>
        <w:spacing w:after="0" w:line="269" w:lineRule="auto"/>
        <w:rPr>
          <w:sz w:val="20"/>
          <w:szCs w:val="20"/>
          <w:color w:val="auto"/>
        </w:rPr>
      </w:pPr>
      <w:r>
        <w:rPr>
          <w:rFonts w:ascii="Arial" w:cs="Arial" w:eastAsia="Arial" w:hAnsi="Arial"/>
          <w:sz w:val="17"/>
          <w:szCs w:val="17"/>
          <w:color w:val="auto"/>
        </w:rPr>
        <w:t>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September 30, 2018. However, based on management’s knowledge as of September 30, 2018,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5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March 31, 2017, Guardian News &amp; Media Limited ("Guardian") issued proceedings (the "Complaint") against the Company in the Chancery Division of the High Court of Justice in England &amp; Wales. The Complaint alleged that the Company underpaid Guardian for digital advertising inventory sold by Guardian through the Company's platform as a result of the fact that the Company charged fees to buyers of that inventory. Guardian claimed the Company was precluded from charging buyer fees as a result of the contractual arrangements with Guardian and English agency law principles, as well as representations it allegedly made to Guardian. The Complaint claimed damages including loss of revenue, interest, and costs. On October 11, 2018, the Company and Guardian mutually agreed to resolve their dispute and the High Court proceedings have been discontinued. Though the terms of the settlement agreement are confidential, the settlement is immaterial to the Company from a financial standpoint.</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04"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12—Debt</w:t>
      </w:r>
    </w:p>
    <w:p>
      <w:pPr>
        <w:spacing w:after="0" w:line="189"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On September 26, 2018, the Company amended and restated its loan and security agreement with Silicon Valley Bank (the "Loan Agreement"), which was scheduled to expire on September 27, 2018. The Loan Agreement provides a senior secured revolving credit facility of up to $40.0 million with a maturity date of September 26, 2020. The amount available for borrowing as of September 30, 2018 is $30.0 million due to a $10.0 million reserve that will be released if the Company maintains positive Adjusted EBITDA for any trailing twelve-month period. The Company incurred $0.1 million of debt issuance fees that were capitalized and are being amortized over the term of the Loan Agreement.</w:t>
      </w:r>
    </w:p>
    <w:p>
      <w:pPr>
        <w:spacing w:after="0" w:line="14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LIBOR plus 2.50% if a streamline period applies or LIBOR plus 4.00% if a streamline period does not apply. If the Company elects prime, advances bear interest at a rate of prime plus 0.50% if a streamline period applies or prime plus 2.00% if a streamline period does not apply. A streamline period is any period during which an event of default does not exist and the Company's Adjusted Quick Ratio (as defined in the Loan Agreement) is at least 1.05 for each day in the preceding month.</w:t>
      </w:r>
    </w:p>
    <w:p>
      <w:pPr>
        <w:spacing w:after="0" w:line="13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49" w:right="23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the Company is required to maintain a lockbox arrangement where customer payments received in the lockbox will immediately reduce the amounts outstanding on the credit facility.</w:t>
      </w:r>
    </w:p>
    <w:p>
      <w:pPr>
        <w:spacing w:after="0" w:line="160"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The Loan Agreement requires the Company to comply with financial covenants, including a minimum Adjusted Quick Ratio and the achievement of certain Adjusted EBITDA targets. On a monthly basis, or quarterly if there were no advances outstanding during the calendar quarter, the Company is required to maintain a minimum Adjusted Quick Ratio of: (i) 1.00 if the trailing six month adjusted EBITDA is $0 or less, or (ii) 0.90 if the trailing six month adjusted EBITDA is greater than $0. If the Company’s Adjusted Quick Ratio is 1.05 or greater, a streamline period applies. As of September 30, 2018, the Company's Adjusted Quick Ratio was 1.2, which is in compliance with its covenant requirement and is higher than the minimum Adjusted Quick Ratio required to qualify for a streamline period. The Company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 As of September 30, 2018, the Company was in compliance with the Adjusted EBITDA covenant.</w:t>
      </w:r>
    </w:p>
    <w:p>
      <w:pPr>
        <w:spacing w:after="0" w:line="32"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13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of September 30, 2018, there were no amounts outstanding under the Loan Agreement. Future availability under the credit facility is dependent on several factors including the available borrowing base and compliance with future covenant requirements.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3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net revenue, non-GAAP loss per share, profitability, net income (loss), Adjusted EBITDA, earnings per share, and cash flow; strategic objectives, including focus on header bidding, mobile, video, and private marketplace opportunities; investments in our business; development of our technology; introduction of new offerings; the impact of our acquisition of nToggle and its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consumer reach; certain statements regarding future operational performance measures including ad requests, fill rate, paid impressions, average CPM, take rate, and advertising spend;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62" w:lineRule="exact"/>
        <w:rPr>
          <w:sz w:val="20"/>
          <w:szCs w:val="20"/>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grow and to manage any growth effectively;</w:t>
      </w:r>
    </w:p>
    <w:p>
      <w:pPr>
        <w:spacing w:after="0" w:line="90"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digital advertising inventory from sellers;</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w:t>
      </w:r>
    </w:p>
    <w:p>
      <w:pPr>
        <w:spacing w:after="0" w:line="90"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103" w:lineRule="exact"/>
        <w:rPr>
          <w:rFonts w:ascii="Arial" w:cs="Arial" w:eastAsia="Arial" w:hAnsi="Arial"/>
          <w:sz w:val="18"/>
          <w:szCs w:val="18"/>
          <w:i w:val="1"/>
          <w:iCs w:val="1"/>
          <w:color w:val="auto"/>
        </w:rPr>
      </w:pPr>
    </w:p>
    <w:p>
      <w:pPr>
        <w:ind w:left="660" w:right="200" w:hanging="328"/>
        <w:spacing w:after="0" w:line="277" w:lineRule="auto"/>
        <w:tabs>
          <w:tab w:leader="none" w:pos="44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solution for purchase and sale of higher value digital advertising inventory and to expand the use of our solution by buyers and sellers utilizing evolving digital media platforms;</w:t>
      </w:r>
    </w:p>
    <w:p>
      <w:pPr>
        <w:spacing w:after="0" w:line="48" w:lineRule="exact"/>
        <w:rPr>
          <w:rFonts w:ascii="Arial" w:cs="Arial" w:eastAsia="Arial" w:hAnsi="Arial"/>
          <w:sz w:val="18"/>
          <w:szCs w:val="18"/>
          <w:i w:val="1"/>
          <w:iCs w:val="1"/>
          <w:color w:val="auto"/>
        </w:rPr>
      </w:pPr>
    </w:p>
    <w:p>
      <w:pPr>
        <w:ind w:left="660" w:right="320" w:hanging="328"/>
        <w:spacing w:after="0" w:line="308" w:lineRule="auto"/>
        <w:tabs>
          <w:tab w:leader="none" w:pos="444"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introduce new offerings and bring them to market in a timely manner, and otherwise adapt in response to client demands and industry trends, including shifts in digital advertising growth from desktop to mobile channels and from display to video formats;</w:t>
      </w:r>
    </w:p>
    <w:p>
      <w:pPr>
        <w:spacing w:after="0" w:line="11" w:lineRule="exact"/>
        <w:rPr>
          <w:rFonts w:ascii="Arial" w:cs="Arial" w:eastAsia="Arial" w:hAnsi="Arial"/>
          <w:sz w:val="17"/>
          <w:szCs w:val="17"/>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prevalence of header bidding and its effect on our competitive position;</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header bidding solution not resulting in revenue growth and causing infrastructure strain and added cost;</w:t>
      </w:r>
    </w:p>
    <w:p>
      <w:pPr>
        <w:spacing w:after="0" w:line="103" w:lineRule="exact"/>
        <w:rPr>
          <w:rFonts w:ascii="Arial" w:cs="Arial" w:eastAsia="Arial" w:hAnsi="Arial"/>
          <w:sz w:val="18"/>
          <w:szCs w:val="18"/>
          <w:i w:val="1"/>
          <w:iCs w:val="1"/>
          <w:color w:val="auto"/>
        </w:rPr>
      </w:pPr>
    </w:p>
    <w:p>
      <w:pPr>
        <w:ind w:left="660" w:right="100" w:hanging="328"/>
        <w:spacing w:after="0" w:line="277" w:lineRule="auto"/>
        <w:tabs>
          <w:tab w:leader="none" w:pos="44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guaranteed audience solutions, and traffic shaping;</w:t>
      </w:r>
    </w:p>
    <w:p>
      <w:pPr>
        <w:spacing w:after="0" w:line="35"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declined fees and take rate and the need to grow through advertising spend increases rather than fee increases;</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compensate for a reduced take rate by increasing the volume and/or value of transactions on our platform;</w:t>
      </w:r>
    </w:p>
    <w:p>
      <w:pPr>
        <w:spacing w:after="0" w:line="90" w:lineRule="exact"/>
        <w:rPr>
          <w:rFonts w:ascii="Arial" w:cs="Arial" w:eastAsia="Arial" w:hAnsi="Arial"/>
          <w:sz w:val="18"/>
          <w:szCs w:val="18"/>
          <w:i w:val="1"/>
          <w:iCs w:val="1"/>
          <w:color w:val="auto"/>
        </w:rPr>
      </w:pPr>
    </w:p>
    <w:p>
      <w:pPr>
        <w:ind w:left="660" w:hanging="328"/>
        <w:spacing w:after="0" w:line="277" w:lineRule="auto"/>
        <w:tabs>
          <w:tab w:leader="none" w:pos="44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revenue declines with the reduction in our take rate and as we incur additional investments in technology required to support the increased volume of transactions on our exchange;</w:t>
      </w:r>
    </w:p>
    <w:p>
      <w:pPr>
        <w:spacing w:after="0" w:line="48"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w:t>
      </w:r>
    </w:p>
    <w:p>
      <w:pPr>
        <w:spacing w:after="0" w:line="90"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technologies and browsers that block cookies or otherwise allow users to limit ad tracking;</w:t>
      </w:r>
    </w:p>
    <w:p>
      <w:pPr>
        <w:spacing w:after="0" w:line="90"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online digital display advertising;</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growing percentage of online and mobile advertising spending captured by owned and operated sites (such as Facebook and Google);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026" w:right="259" w:bottom="1440" w:gutter="0" w:footer="0" w:header="0"/>
        </w:sectPr>
      </w:pPr>
    </w:p>
    <w:bookmarkStart w:id="22" w:name="page23"/>
    <w:bookmarkEnd w:id="22"/>
    <w:p>
      <w:pPr>
        <w:ind w:left="660" w:right="420" w:hanging="328"/>
        <w:spacing w:after="0" w:line="277" w:lineRule="auto"/>
        <w:tabs>
          <w:tab w:leader="none" w:pos="44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35" w:lineRule="exact"/>
        <w:rPr>
          <w:rFonts w:ascii="Arial" w:cs="Arial" w:eastAsia="Arial" w:hAnsi="Arial"/>
          <w:sz w:val="18"/>
          <w:szCs w:val="18"/>
          <w:i w:val="1"/>
          <w:iCs w:val="1"/>
          <w:color w:val="auto"/>
        </w:rPr>
      </w:pPr>
    </w:p>
    <w:p>
      <w:pPr>
        <w:ind w:left="440" w:hanging="108"/>
        <w:spacing w:after="0"/>
        <w:tabs>
          <w:tab w:leader="none" w:pos="4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 such as AT&amp;T's acquisition of AppNexus;</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103" w:lineRule="exact"/>
        <w:rPr>
          <w:rFonts w:ascii="Arial" w:cs="Arial" w:eastAsia="Arial" w:hAnsi="Arial"/>
          <w:sz w:val="18"/>
          <w:szCs w:val="18"/>
          <w:i w:val="1"/>
          <w:iCs w:val="1"/>
          <w:color w:val="auto"/>
        </w:rPr>
      </w:pPr>
    </w:p>
    <w:p>
      <w:pPr>
        <w:ind w:left="660" w:right="760" w:hanging="328"/>
        <w:spacing w:after="0" w:line="277" w:lineRule="auto"/>
        <w:tabs>
          <w:tab w:leader="none" w:pos="44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780" w:hanging="328"/>
        <w:spacing w:after="0" w:line="277" w:lineRule="auto"/>
        <w:tabs>
          <w:tab w:leader="none" w:pos="44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 and greater levels of pricing transparency and specificity;</w:t>
      </w:r>
    </w:p>
    <w:p>
      <w:pPr>
        <w:spacing w:after="0" w:line="48" w:lineRule="exact"/>
        <w:rPr>
          <w:rFonts w:ascii="Arial" w:cs="Arial" w:eastAsia="Arial" w:hAnsi="Arial"/>
          <w:sz w:val="18"/>
          <w:szCs w:val="18"/>
          <w:i w:val="1"/>
          <w:iCs w:val="1"/>
          <w:color w:val="auto"/>
        </w:rPr>
      </w:pPr>
    </w:p>
    <w:p>
      <w:pPr>
        <w:ind w:left="440" w:hanging="108"/>
        <w:spacing w:after="0"/>
        <w:tabs>
          <w:tab w:leader="none" w:pos="4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440" w:hanging="108"/>
        <w:spacing w:after="0"/>
        <w:tabs>
          <w:tab w:leader="none" w:pos="4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103" w:lineRule="exact"/>
        <w:rPr>
          <w:rFonts w:ascii="Arial" w:cs="Arial" w:eastAsia="Arial" w:hAnsi="Arial"/>
          <w:sz w:val="18"/>
          <w:szCs w:val="18"/>
          <w:i w:val="1"/>
          <w:iCs w:val="1"/>
          <w:color w:val="auto"/>
        </w:rPr>
      </w:pPr>
    </w:p>
    <w:p>
      <w:pPr>
        <w:ind w:left="440" w:hanging="108"/>
        <w:spacing w:after="0"/>
        <w:tabs>
          <w:tab w:leader="none" w:pos="4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103" w:lineRule="exact"/>
        <w:rPr>
          <w:rFonts w:ascii="Arial" w:cs="Arial" w:eastAsia="Arial" w:hAnsi="Arial"/>
          <w:sz w:val="18"/>
          <w:szCs w:val="18"/>
          <w:i w:val="1"/>
          <w:iCs w:val="1"/>
          <w:color w:val="auto"/>
        </w:rPr>
      </w:pPr>
    </w:p>
    <w:p>
      <w:pPr>
        <w:ind w:left="660" w:right="40" w:hanging="328"/>
        <w:spacing w:after="0" w:line="277" w:lineRule="auto"/>
        <w:tabs>
          <w:tab w:leader="none" w:pos="44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140" w:hanging="328"/>
        <w:spacing w:after="0" w:line="264" w:lineRule="auto"/>
        <w:tabs>
          <w:tab w:leader="none" w:pos="44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the European General Data Protection Regulation (GDPR), the California Consumer Privacy Act, and other evolving legal standards and regulations, particularly concerning data protection and consumer privacy and evolving labor standards.</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2017 and subsequent Quarterly Reports on Form 10-Q. These forward-looking statements represent our estimates and assumptions only as of the date made.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2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decision-making and automated transaction execution for the digital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consumers through different channels. Our solution enables buyers and sellers to purchase and sell:</w:t>
      </w:r>
    </w:p>
    <w:p>
      <w:pPr>
        <w:spacing w:after="0" w:line="97" w:lineRule="exact"/>
        <w:rPr>
          <w:sz w:val="20"/>
          <w:szCs w:val="20"/>
          <w:color w:val="auto"/>
        </w:rPr>
      </w:pPr>
    </w:p>
    <w:p>
      <w:pPr>
        <w:ind w:left="440" w:hanging="10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23" w:lineRule="exact"/>
        <w:rPr>
          <w:rFonts w:ascii="Arial" w:cs="Arial" w:eastAsia="Arial" w:hAnsi="Arial"/>
          <w:sz w:val="18"/>
          <w:szCs w:val="18"/>
          <w:color w:val="auto"/>
        </w:rPr>
      </w:pPr>
    </w:p>
    <w:p>
      <w:pPr>
        <w:ind w:left="660" w:right="300" w:hanging="328"/>
        <w:spacing w:after="0" w:line="261"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we refer to as private marketplace ("PMP"), and (ii) open auction bidding, which we refer to as open marketplace ("OMP"); and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949" w:right="259" w:bottom="1440" w:gutter="0" w:footer="0" w:header="0"/>
        </w:sectPr>
      </w:pPr>
    </w:p>
    <w:bookmarkStart w:id="23" w:name="page24"/>
    <w:bookmarkEnd w:id="23"/>
    <w:p>
      <w:pPr>
        <w:ind w:left="660" w:right="80" w:hanging="328"/>
        <w:spacing w:after="0" w:line="277"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30"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w:t>
      </w:r>
    </w:p>
    <w:p>
      <w:pPr>
        <w:spacing w:after="0" w:line="131"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The total volume of spending between buyers and sellers on our platform is referred to as advertising spend. We keep a percentage of that advertising spend as a fee, and remit the remainder to the seller. The fee or “take rate” that we retain from the gross advertising spend on our platform is recognized as revenue. The fee earned on each transaction is based on the pre-existing agreement between the Company and the seller and the clearing price of the winning bid. We discuss advertising spend and take rate more fully in the “Non-GAAP Financial Measures and Operational Performance Measures” section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90"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The programmatic digital advertising market continues to experience growth. In September 2018, MAGNA estimated that the global programmatic market (excluding search and social) will grow from $34 billion in 2018 to $60 billion by 2022, which represents a 15% compound annual growth rate over that period. Another important trend in the digital advertising industry is the continued expansion of automated buying and selling of advertising inventory through new and developing channels, including mobile, which has market growth rates exceeding those of the desktop channel and is a critical area of operational focus for us. According to MAGNA estimates, mobile advertising is forecasted to be an $18 billion global market in 2018 that is expected to increase to $43 billion by 2022, producing a compound annual growth rate of 24%.</w:t>
      </w:r>
    </w:p>
    <w:p>
      <w:pPr>
        <w:spacing w:after="0" w:line="15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Consistent with industry trends, our mobile business is growing faster than desktop. Our mobile advertising spend increased $99.0 million, or 40%, for the nine months ended September 30, 2018, compared to the nine months ended September 30, 2017. Our desktop business remained flat during the same period, although it increased 6% in the third quarter of 2018 compared to the third quarter of 2017. Our mobile business consists of two components, mobile web and mobile applications. Initially our mobile business was built upon mobile web, which is more similar to our desktop business and subject to many of the same market pressures as discussed below, and as a result has experienced low or negative growth in recent periods. While our mobile web business is trending more in line with desktop, our mobile application business, which is where we see the greatest potential for growth, has shown growth rates in excess of industry projections. Advertising spend from mobile applications is approaching half of our mobile business.</w:t>
      </w:r>
    </w:p>
    <w:p>
      <w:pPr>
        <w:spacing w:after="0" w:line="127" w:lineRule="exact"/>
        <w:rPr>
          <w:sz w:val="20"/>
          <w:szCs w:val="20"/>
          <w:color w:val="auto"/>
        </w:rPr>
      </w:pPr>
    </w:p>
    <w:p>
      <w:pPr>
        <w:ind w:right="620" w:firstLine="486"/>
        <w:spacing w:after="0" w:line="258" w:lineRule="auto"/>
        <w:rPr>
          <w:sz w:val="20"/>
          <w:szCs w:val="20"/>
          <w:color w:val="auto"/>
        </w:rPr>
      </w:pPr>
      <w:r>
        <w:rPr>
          <w:rFonts w:ascii="Arial" w:cs="Arial" w:eastAsia="Arial" w:hAnsi="Arial"/>
          <w:sz w:val="18"/>
          <w:szCs w:val="18"/>
          <w:color w:val="auto"/>
        </w:rPr>
        <w:t>The growth of automated buying and selling of advertising is also expanding into geographic markets outside of the United States, and in some markets, the adoption rate of programmatic digital advertising is greater than in the United States. We</w:t>
      </w:r>
    </w:p>
    <w:p>
      <w:pPr>
        <w:spacing w:after="0" w:line="1" w:lineRule="exact"/>
        <w:rPr>
          <w:sz w:val="20"/>
          <w:szCs w:val="20"/>
          <w:color w:val="auto"/>
        </w:rPr>
      </w:pPr>
    </w:p>
    <w:p>
      <w:pPr>
        <w:ind w:right="2100"/>
        <w:spacing w:after="0" w:line="281" w:lineRule="auto"/>
        <w:rPr>
          <w:sz w:val="20"/>
          <w:szCs w:val="20"/>
          <w:color w:val="auto"/>
        </w:rPr>
      </w:pPr>
      <w:r>
        <w:rPr>
          <w:rFonts w:ascii="Arial" w:cs="Arial" w:eastAsia="Arial" w:hAnsi="Arial"/>
          <w:sz w:val="16"/>
          <w:szCs w:val="16"/>
          <w:color w:val="auto"/>
        </w:rPr>
        <w:t>attribute advertising spend to the geographic location of the seller on whose inventory the advertising spend was directed. Our markets outside of the United States are more heavily built upon desktop display advertising than they are on mobile, and as such are subject to the same factors impacting our desktop business as described below. In addition, as programmatic advertising has grown in markets outside of the United States, we have seen more competitors enter those markets aggressively and gain market</w:t>
      </w:r>
    </w:p>
    <w:p>
      <w:pPr>
        <w:spacing w:after="0" w:line="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share. As a result of these and other factors, including slower adoption of video ad units and a slower adoption of header bidding, the portion of our advertising spend attributed to markets outside the United States declined to 35% during the nine months ended September 30, 2018 from 39% during the same period in 2017. Another factor impacting our business is that a large share of the growth in digital advertising spending worldwide is being captured by owned and operated sites, such as Facebook and Google.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Macro Trends Impacting Desktop</w:t>
      </w:r>
    </w:p>
    <w:p>
      <w:pPr>
        <w:spacing w:after="0" w:line="117"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These market factors present long-term growth opportunities; however, in the near term the industry-wide shift from desktop to mobile advertising has had an adverse impact on our business. In recent years, we have seen an industry-wide slowdown in the growth rate for traditional desktop advertising, and the growth rate for this portion of the market is expected to flatten in future years. According to MAGNA, programmatic desktop advertising is expected to grow at a 1% compound annual growth rate over the 2018-2022 period. This results from the market shift to mobile channels noted above. These trends are having a significant effect on our overall growth rate, because desktop advertising continues to be a significant part of our core business, representing 50% of advertising spend in the first nine months of 2018. As noted above, our advertising spend in desktop remained flat compared to the prior year period. In addition to the ongoing industry shift away from desktop to mobile, year-over-year growth in our desktop business is hampered further by the continued migration to header bidding, which to date has been focused primarily on desktop display advertising inventory. Header bidding has resulted in adverse revenue effects for us when comparing the nine months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54" w:right="239" w:bottom="1440" w:gutter="0" w:footer="0" w:header="0"/>
        </w:sectPr>
      </w:pPr>
    </w:p>
    <w:bookmarkStart w:id="24" w:name="page25"/>
    <w:bookmarkEnd w:id="24"/>
    <w:p>
      <w:pPr>
        <w:ind w:right="40"/>
        <w:spacing w:after="0" w:line="259" w:lineRule="auto"/>
        <w:rPr>
          <w:sz w:val="20"/>
          <w:szCs w:val="20"/>
          <w:color w:val="auto"/>
        </w:rPr>
      </w:pPr>
      <w:r>
        <w:rPr>
          <w:rFonts w:ascii="Arial" w:cs="Arial" w:eastAsia="Arial" w:hAnsi="Arial"/>
          <w:sz w:val="18"/>
          <w:szCs w:val="18"/>
          <w:color w:val="auto"/>
        </w:rPr>
        <w:t>ended September 30, 2018 to the same period in 2017 due to loss to competitors of some inventory that we would otherwise have been able to sell through our platform. While header bidding has increased competition for inventory, it also has made available to us significant amounts of inventory that previously we were unable to access, and while our traditional desktop display business has declined, our header bidding solution gained significant traction in 2017 and through the first nine months of 2018.</w:t>
      </w:r>
    </w:p>
    <w:p>
      <w:pPr>
        <w:spacing w:after="0" w:line="146"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Header bidding is going through an additional technical evolution from the client side, which involves the browser running the auction, to a server-side solution, in which a server runs the auction and offers the potential for improved performance and speed. We believe that our investments in our client-side header bidding solution as well as server-side header bidding have the potential to improve our competitiveness in all markets in the remainder of 2018 and beyond. However, we must continue to address certain technical and operational challenges, as described under "Risk Factors" in our Annual Report on Form 10-K for the year ended December 31, 2017, in order to realize our header bidding solution's full potential.</w:t>
      </w:r>
    </w:p>
    <w:p>
      <w:pPr>
        <w:spacing w:after="0" w:line="146"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Because of these rapid developments in the industry, advertising spend from our traditional desktop display business has declined and no longer can be relied upon to be the primary growth driver of our business. Our strategic focus is on growth areas—including mobile, video, and PMPs—that are expected to represent a majority of our advertising spend in 2018. However, despite our solid progress in mobile, our traditional desktop display business is expected to continue to represent a significant part of our business in the near term. Therefore, the weight of our desktop display business will continue to have a significant adverse effect on our growth until our advertising spend mix has shifted more fully to growth areas.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Year-Over-Year Take Rate Decline</w:t>
      </w:r>
    </w:p>
    <w:p>
      <w:pPr>
        <w:spacing w:after="0" w:line="15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Ad tech exchange intermediaries like us have used different revenue models in OMP transactions, including charging fees only to sellers or arbitraging the purchase and sale of ad impressions. Our approach was historically to charge fees to both buyers and sellers in OMP transactions conducted on our exchange, consistent with the fact that we provide services to each. Traditionally, for OMP waterfall transactions, we ran a modified second price auction in which the clearing price was the greater of the second highest bid in the auction plus one cent or the applicable price floor. Our buyer fees were determined algorithmically and added to the clearing price to determine the price charged to the winning bidder. Our take rate was made up of the total fees we charge buyers and sellers. In the third quarter of 2017, our take rate was 18.1%.</w:t>
      </w:r>
    </w:p>
    <w:p>
      <w:pPr>
        <w:spacing w:after="0" w:line="138"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In late 2017, we reduced and then eliminated our buyer fees as a result of three strategic moves we made in response to market conditions. First, in response to market demands for more efficiency and lower cost from intermediaries like us, and in an effort to be more competitive in attracting demand and capturing supply, we made a strategic decision to reduce the fees we charged buyers in OMP waterfall transactions.</w:t>
      </w:r>
    </w:p>
    <w:p>
      <w:pPr>
        <w:spacing w:after="0" w:line="139"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Second, the mix of OMP transactions on our exchange had shifted from approximately three quarters conducted through the traditional ad server waterfall at the end of December 2016 to approximately half through the ad server waterfall as of September 30, 2017. In traditional OMP waterfall transactions, available impressions are passed to different demand sources in a sequence determined by the seller’s ad server, and when an impression is passed to a particular demand source, that demand source is generally able to auction the impression with little or no competition. As the percentage of OMP waterfall transactions has declined, the percentage of header bidding transactions has increased. Header bidding increases competition for ad inventory by exposing impressions simultaneously to multiple sources of demand in a competitive auction that, if successful, replaces the ad server waterfall. Each demand source in a header bidding auction conducts its own auction for the impression and then passes its winning bid to a “downstream” meta-auction in which the seller evaluates bids from all its demand sources, and generally the highest bid wins. This competition pushes auction clearing prices much closer to the winning first-price bid than OMP waterfall transactions. In order to be more competitive and give our buyers a better chance of winning the header bidding impressions on which they bid, we began charging lower buyer fees for header bidding transactions so that we could pass higher priced bids into the downstream auction. Based upon experience with this approach and client feedback, in October 2017 we began offering a modified first price auction dynamic in our header bidding solution without buyer fees. Subsequently, in an effort to capture more inventory for our buyers and deliver better monetization to our sellers, and to provide better transparency and predictability to all our clients, effective as of January 22, 2018, we made first price our default auction dynamic for header bidding transactions. This means that the first price or highest bid in our auction wins and that first price is passed to the downstream auction. Because buyers needed time to adapt their systems and bidding strategies to first-price auction dynamics and maximize advertising campaign returns and performance, or may prefer not to develop their own first price pricing algorithms, we built and implemented an optional feature at no additional cost, which we call Estimated Market Rate ("EMR").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bid on digital advertising inventory consistent with market values while preserving demand and budget for sellers on our platform. In addition to increasing the rate at which buyers win in our auctions, and the monetization that that winning provides to sellers, our first price auction dynamic and EMR solution have contributed to higher CPMs for our header bidding inventory.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54" w:right="259" w:bottom="1440" w:gutter="0" w:footer="0" w:header="0"/>
        </w:sectPr>
      </w:pPr>
    </w:p>
    <w:bookmarkStart w:id="25" w:name="page26"/>
    <w:bookmarkEnd w:id="25"/>
    <w:p>
      <w:pPr>
        <w:ind w:firstLine="486"/>
        <w:spacing w:after="0" w:line="286" w:lineRule="auto"/>
        <w:rPr>
          <w:sz w:val="20"/>
          <w:szCs w:val="20"/>
          <w:color w:val="auto"/>
        </w:rPr>
      </w:pPr>
      <w:r>
        <w:rPr>
          <w:rFonts w:ascii="Arial" w:cs="Arial" w:eastAsia="Arial" w:hAnsi="Arial"/>
          <w:sz w:val="16"/>
          <w:szCs w:val="16"/>
          <w:color w:val="auto"/>
        </w:rPr>
        <w:t>Third, as the ad tech industry has matured and evolved, competition has increased and pricing has become more transparent. The primary buyers in our OMP transactions are DSPs buying on behalf of agency and brand clients that are demanding reduced costs and fee transparency throughout the value chain. DSPs and their clients are consequently demanding that exchanges disclose and limit or eliminate buyer fees, and DSPs and their clients may reduce or eliminate spending on exchanges that charge buyer fees. In addition, some sellers believe that buyer fees ultimately reduce seller revenue, and therefore are seeking to cap or eliminate buyer fees on sale of their inventory. In response to these market trends, and consistent with our strategy to be a high volume, low cost and transparent exchange, we stopped charging our additive buyer fees altogether effective November 1, 2017. We still charge some buyers an access fee to connect to our system when their spending is too small to support the maintenance of their accounts, but these access fees in the aggregate are insignificant. As such, our revenue now consists almost entirely of a unitary marketplace fee. Most of our marketplace fees are negotiated with sellers as a percentage of the auction clearing price for sale of their inventory. In some cases, we reduce the buyer’s bid amount by the amount of our fee and pass the remainder as the bid to the seller. If the bid wins we retain the amount of the bid reduction as our fee. We do this at the discretion of sellers that allocate digital advertising inventory through a decisioning process that follows after our auction and incorporates other demand sources as well as our bids, and that prefer or require that we submit our bids to them net of our fees, so that our bid matches the amount we will owe them if we win. This is referred to as net bidding. Net bidding amounts can vary across transactions depending upon various factors including inventory and auction characteristics and seller policies.</w:t>
      </w:r>
    </w:p>
    <w:p>
      <w:pPr>
        <w:spacing w:after="0" w:line="13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These strategic price reductions contributed to the decrease in our take rate from 18.1% for the three months ended September 30, 2017 to 12.3% for the three months ended September 30, 2018.</w:t>
      </w:r>
    </w:p>
    <w:p>
      <w:pPr>
        <w:spacing w:after="0" w:line="4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strategic pricing reductions are intended to address the market's demand for lower costs and to attract more inventory and spending to our platform. Lower pricing has caused our revenue and margins to decline significantly during the first nine months of 2018 compared to the corresponding period in 2017, even though ad spend has grown. In order to adjust to our lower take rates and return to growth, we must continue to increase advertising spend on our platform. Increases in PMP and header bidding transactions as a percentage of the activity on our exchange could yield higher advertising spend despite lower take rates due to higher CPMs typically associated with PMP transactions, and from modified first-price auctions in header bidding transactions. However, in an increasingly competitive market in which buyers and sellers have many choices, it is not clear whether pricing reductions will result in increases in spending on our platform, or whether any spending increases will compensate fully for the reduction in pricing. We have seen significant increases in the volume of ad requests we receive, but the rate at which we win header bidding auctions is much lower than the rate at which we win waterfall transactions. As our business continues to shift away from waterfall transactions to header bidding—header bidding now represents approximately 80% of our revenue—we need to participate in more header bidding auctions and increase the fill rate in header bidding auctions to compensate for the decline in the number of waterfall transactions. Driving revenue growth in this situation is difficult to accomplish in a competitive market and requires accessing significantly greater inventory levels from our sellers and in turn processing more auctions. This growth in business volume requires adequate processing capacity as well as ongoing innovation to address evolving client needs, capture business, and improve our fill rate.</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to the elimination of buyer fees, such fees represented approximately half of our revenue for the first ten months of</w:t>
      </w:r>
    </w:p>
    <w:p>
      <w:pPr>
        <w:spacing w:after="0" w:line="23"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2017, and we do not expect to be able to grow advertising spend or reduce costs quickly enough in the near term to make up for the elimination of these fees. This resulted in significant cash consumption to support operations during 2018. Unless and until we are able to compensate for elimination of our buyer fees by increasing advertising spend on our platform, through higher transaction volumes or higher transaction values or both, or by increasing seller fees, we will not be able to grow our business and our cash resources will diminish until such time as growth offsets our reduced level of operating expenses.</w:t>
      </w:r>
    </w:p>
    <w:p>
      <w:pPr>
        <w:spacing w:after="0" w:line="25"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Therefore, while we work to increase the volume of transactions on our exchange and compete more effectively, we must operate more efficiently to relieve the pressure on our margins and cash resources that has resulted from our price reductions and to compensate for the ongoing investments in technology and data processing capabilities required to support the increased volume of transactions that our growth plans require. Consequently, we are continuously evaluating our costs and pursuing additional cost-control and efficiency opportunities, including increased automation, across all aspects of the Company. As part of these efforts,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Uncertainty Resulting from GDPR</w:t>
      </w:r>
    </w:p>
    <w:p>
      <w:pPr>
        <w:spacing w:after="0" w:line="10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European General Data Protection Regulation, or GDPR, added significant new regulatory requirements that are applicable to us as well as our clients and competitors. Some critical elements of the GDPR are still unclear, and there has not been time for consistent regulatory guidance to be developed, or for established industry compliance practices to emerge. In particular and despite being past the implementation date, uncertainty about the requirements regarding end-user consent, and diverging interpretations among sellers and buyers as to the adequacy of any consent that is obtained, could result in the removal of personal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54" w:right="239" w:bottom="1440" w:gutter="0" w:footer="0" w:header="0"/>
        </w:sectPr>
      </w:pPr>
    </w:p>
    <w:bookmarkStart w:id="26" w:name="page27"/>
    <w:bookmarkEnd w:id="26"/>
    <w:p>
      <w:pPr>
        <w:ind w:right="340"/>
        <w:spacing w:after="0" w:line="277" w:lineRule="auto"/>
        <w:rPr>
          <w:sz w:val="20"/>
          <w:szCs w:val="20"/>
          <w:color w:val="auto"/>
        </w:rPr>
      </w:pPr>
      <w:r>
        <w:rPr>
          <w:rFonts w:ascii="Arial" w:cs="Arial" w:eastAsia="Arial" w:hAnsi="Arial"/>
          <w:sz w:val="18"/>
          <w:szCs w:val="18"/>
          <w:color w:val="auto"/>
        </w:rPr>
        <w:t>data from bid requests, which will lower the value of the impressions, resulting in reduced revenue and advertising spend for us. Until prevailing industry standards emerge, our revenue from European sellers could fluctuate from quarter to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and the operational performance measures, are regularly reviewed by our chief operating decision maker, principally to make decisions about how we allocate our resources and to measure our consolidated operating performance.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right="80" w:firstLine="486"/>
        <w:spacing w:after="0" w:line="312" w:lineRule="auto"/>
        <w:rPr>
          <w:sz w:val="20"/>
          <w:szCs w:val="20"/>
          <w:color w:val="auto"/>
        </w:rPr>
      </w:pPr>
      <w:r>
        <w:rPr>
          <w:rFonts w:ascii="Arial" w:cs="Arial" w:eastAsia="Arial" w:hAnsi="Arial"/>
          <w:sz w:val="16"/>
          <w:szCs w:val="16"/>
          <w:color w:val="auto"/>
        </w:rPr>
        <w:t>We generate revenue from the purchase and sale of digital advertising inventory through our marketplace. We recognize revenue upon the fulfillment of our contractual obligations in connection with a completed transaction, subject to satisfying all other revenue recognition criteria. Our revenue recognition policies are discussed in more detail within Note 3 of the accompanying Notes to the Condensed Consolidated Financial Statements.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classify our expenses into the following categories:</w:t>
      </w:r>
    </w:p>
    <w:p>
      <w:pPr>
        <w:spacing w:after="0" w:line="9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Our cost of revenue consists primarily of data center costs, bandwidth costs, depreciation and maintenance expense of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our revenue-producing platform, amortization of software costs for the development of our revenue-producing platform, amortization expense associated with acquired developed technologies, personnel costs, facilities-related costs, and for transactions we have previously reported on a gross basis, the amounts we paid sellers.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56" w:lineRule="exact"/>
        <w:rPr>
          <w:sz w:val="20"/>
          <w:szCs w:val="20"/>
          <w:color w:val="auto"/>
        </w:rPr>
      </w:pPr>
    </w:p>
    <w:p>
      <w:pPr>
        <w:ind w:right="400" w:firstLine="486"/>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7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our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3" w:lineRule="exact"/>
        <w:rPr>
          <w:sz w:val="20"/>
          <w:szCs w:val="20"/>
          <w:color w:val="auto"/>
        </w:rPr>
      </w:pPr>
    </w:p>
    <w:p>
      <w:pPr>
        <w:ind w:right="260" w:firstLine="486"/>
        <w:spacing w:after="0" w:line="255"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personnel costs, including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 and changes in fair value associated with the liability-classified contingent consideration related to acquisitions.</w:t>
      </w:r>
    </w:p>
    <w:p>
      <w:pPr>
        <w:spacing w:after="0" w:line="72"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consist primarily of employee termination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charges, and facility closure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credit facility and was insignificant for the nine months ended September 30, 2018 and 2017.</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949" w:right="259" w:bottom="1440" w:gutter="0" w:footer="0" w:header="0"/>
        </w:sectPr>
      </w:pPr>
    </w:p>
    <w:bookmarkStart w:id="27" w:name="page28"/>
    <w:bookmarkEnd w:id="27"/>
    <w:p>
      <w:pPr>
        <w:ind w:left="50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jc w:val="both"/>
        <w:ind w:right="280" w:firstLine="486"/>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Provision (benefit) for income taxes consists of federal, state, and foreign income taxes and is primarily the result of the domestic valuation allowance and the tax liability associated with foreign subsidiaries. 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 support the 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4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the following: a federal corporate rate reduction from 34% to 21%; limitations on the deductibility of executive compensation and research and development (“R&amp;D”) expenditures;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will result in a one time U.S. tax liability on those earnings which have not previously been repatriated to the U.S. (the “Transition Tax”).</w:t>
      </w:r>
    </w:p>
    <w:p>
      <w:pPr>
        <w:spacing w:after="0" w:line="72"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The Tax Act imposes a Transition Tax on previously untaxed accumulated and current earnings and profits (“E&amp;P”) of certain of our foreign subsidiaries. To determine the amount of the Transition Tax, we determined, among other things, the amount of post-1986 E&amp;P of the relevant subsidiaries. We recorded a provisional Transition Tax of $0.6 million, which reduced our U.S. net deferred tax assets for the year ended December 31, 2017. For the nine months ended September 30, 2018, there was no change to the provisional Transaction Tax recorded in the prior period.</w:t>
      </w:r>
    </w:p>
    <w:p>
      <w:pPr>
        <w:spacing w:after="0" w:line="3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Tax Act and allows the registrant to record provisional amounts during a measurement period not to extend beyond one year of the enactment date. We have recognized the actual impact of the revaluation of deferred tax balances and the provisional impact related to the one-time Transition Tax. We included these amounts in our consolidated financial statements for the year ended December 31, 2017. The ultimate impact may materially differ from these provisional amounts, due to, among other things, additional analysis, changes in interpretations and assumptions that have been made, additional regulatory guidance that may be issued, and actions that may be taken as a result of the Tax Act. We expect to complete our analysis within the measurement period in accordance with SAB 118.</w:t>
      </w:r>
    </w:p>
    <w:p>
      <w:pPr>
        <w:spacing w:after="0" w:line="7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In addition, it is unclear how many U.S. states will incorporate the federal law changes, or portions thereof, into their tax codes and foreign governments may enact tax laws in response to the Tax Act that could result in further changes to global taxation and materially affect our financial position and results of operations.</w:t>
      </w:r>
    </w:p>
    <w:p>
      <w:pPr>
        <w:spacing w:after="0" w:line="60"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Finally, the Tax Act imposes a new BEAT, essentially a 10% minimum tax (5% for tax years beginning after December 31, 2017, increasing to 10% for years beginning after December 31, 2018) calculated on a base equal to taxpayer’s income determined without tax benefits arising from base erosion payments. BEAT does not apply to corporations whose annual gross receipts for the three-taxable-year period ending with the preceding taxable year are less than $500 million. BEAT does not apply to the Company for the year ending December 31, 2018. Also, the Tax Act requires certain GILTI income earned by controlled foreign corporations (“CFCs”) to be included in the gross income of the CFCs’ U.S. shareholder (for tax years beginning after December 31,</w:t>
      </w:r>
    </w:p>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2017). For the nine months ended September 30, 2018, we have included a provisional GILTI inclusion of $1.2 million for purposes of Accounting Standards Codification Topic 740. GAAP allows us to either (i) treat taxes due on future U.S. inclusions in taxable income related to BEAT and GILTI as current-period expense when incurred (the “period cost method”); or (ii) factor such amounts into the measurement of deferred taxes (the “deferred method”). We elected the period cost method.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4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Favorable/(Unfavorable)</w:t>
            </w: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60" w:type="dxa"/>
            <w:vAlign w:val="bottom"/>
          </w:tcPr>
          <w:p>
            <w:pPr>
              <w:jc w:val="right"/>
              <w:ind w:right="81"/>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Favorable/(Unfavorable)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400" w:type="dxa"/>
            <w:vAlign w:val="bottom"/>
            <w:gridSpan w:val="2"/>
          </w:tcPr>
          <w:p>
            <w:pPr>
              <w:jc w:val="right"/>
              <w:ind w:right="40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420" w:type="dxa"/>
            <w:vAlign w:val="bottom"/>
            <w:gridSpan w:val="2"/>
          </w:tcPr>
          <w:p>
            <w:pPr>
              <w:jc w:val="right"/>
              <w:ind w:right="42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35,211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124,148</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41,371</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12,503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34,046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39,660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Technology and 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36,377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13,644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43,079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Restructuring and other exit costs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90,251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90,251</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140,963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256,697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(14,266)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(105,752)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(61,125)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(132,549)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(13,708)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(105,602)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(59,359)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(132,476)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(13,792)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(103,571)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(59,592)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(130,966)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spacing w:after="0"/>
              <w:rPr>
                <w:sz w:val="20"/>
                <w:szCs w:val="20"/>
                <w:color w:val="auto"/>
              </w:rPr>
            </w:pPr>
            <w:r>
              <w:rPr>
                <w:rFonts w:ascii="Arial" w:cs="Arial" w:eastAsia="Arial" w:hAnsi="Arial"/>
                <w:sz w:val="16"/>
                <w:szCs w:val="16"/>
                <w:color w:val="auto"/>
              </w:rPr>
              <w:t>NM - Not Meaningful</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3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600" w:type="dxa"/>
            <w:vAlign w:val="bottom"/>
            <w:gridSpan w:val="6"/>
          </w:tcPr>
          <w:p>
            <w:pPr>
              <w:ind w:left="20"/>
              <w:spacing w:after="0"/>
              <w:rPr>
                <w:sz w:val="20"/>
                <w:szCs w:val="20"/>
                <w:color w:val="auto"/>
              </w:rPr>
            </w:pPr>
            <w:r>
              <w:rPr>
                <w:rFonts w:ascii="Arial" w:cs="Arial" w:eastAsia="Arial" w:hAnsi="Arial"/>
                <w:sz w:val="16"/>
                <w:szCs w:val="16"/>
                <w:color w:val="auto"/>
                <w:w w:val="96"/>
              </w:rPr>
              <w:t>(1) Stock-based compensation expense included in our expenses was as follows: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480" w:type="dxa"/>
            <w:vAlign w:val="bottom"/>
            <w:gridSpan w:val="3"/>
          </w:tcPr>
          <w:p>
            <w:pPr>
              <w:jc w:val="right"/>
              <w:ind w:right="623"/>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7620</wp:posOffset>
            </wp:positionV>
            <wp:extent cx="3841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p>
      <w:pPr>
        <w:spacing w:after="0" w:line="30" w:lineRule="exact"/>
        <w:rPr>
          <w:sz w:val="20"/>
          <w:szCs w:val="20"/>
          <w:color w:val="auto"/>
        </w:rPr>
      </w:pPr>
    </w:p>
    <w:p>
      <w:pPr>
        <w:ind w:left="5480"/>
        <w:spacing w:after="0"/>
        <w:tabs>
          <w:tab w:leader="none" w:pos="700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23495</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23495</wp:posOffset>
            </wp:positionV>
            <wp:extent cx="1886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20" w:space="340"/>
            <w:col w:w="2860"/>
          </w:cols>
          <w:pgMar w:left="240" w:top="1121" w:right="2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54"/>
        </w:trPr>
        <w:tc>
          <w:tcPr>
            <w:tcW w:w="534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3,524</w:t>
            </w:r>
          </w:p>
        </w:tc>
      </w:tr>
      <w:tr>
        <w:trPr>
          <w:trHeight w:val="24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3,178</w:t>
            </w:r>
          </w:p>
        </w:tc>
      </w:tr>
      <w:tr>
        <w:trPr>
          <w:trHeight w:val="224"/>
        </w:trPr>
        <w:tc>
          <w:tcPr>
            <w:tcW w:w="53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7,631</w:t>
            </w:r>
          </w:p>
        </w:tc>
      </w:tr>
      <w:tr>
        <w:trPr>
          <w:trHeight w:val="33"/>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and other exit costs</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w:t>
            </w:r>
          </w:p>
        </w:tc>
      </w:tr>
      <w:tr>
        <w:trPr>
          <w:trHeight w:val="217"/>
        </w:trPr>
        <w:tc>
          <w:tcPr>
            <w:tcW w:w="5340" w:type="dxa"/>
            <w:vAlign w:val="bottom"/>
          </w:tcPr>
          <w:p>
            <w:pPr>
              <w:ind w:left="480"/>
              <w:spacing w:after="0"/>
              <w:rPr>
                <w:sz w:val="20"/>
                <w:szCs w:val="20"/>
                <w:color w:val="auto"/>
              </w:rPr>
            </w:pPr>
            <w:r>
              <w:rPr>
                <w:rFonts w:ascii="Arial" w:cs="Arial" w:eastAsia="Arial" w:hAnsi="Arial"/>
                <w:sz w:val="16"/>
                <w:szCs w:val="16"/>
                <w:color w:val="auto"/>
              </w:rPr>
              <w:t>Total stock-based compensation expense</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13,016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16,188</w:t>
            </w:r>
          </w:p>
        </w:tc>
      </w:tr>
      <w:tr>
        <w:trPr>
          <w:trHeight w:val="33"/>
        </w:trPr>
        <w:tc>
          <w:tcPr>
            <w:tcW w:w="53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5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 Depreciation and amortization expense included in our expenses was as follows:</w:t>
      </w:r>
    </w:p>
    <w:p>
      <w:pPr>
        <w:spacing w:after="0" w:line="222" w:lineRule="exact"/>
        <w:rPr>
          <w:sz w:val="20"/>
          <w:szCs w:val="20"/>
          <w:color w:val="auto"/>
        </w:rPr>
      </w:pPr>
    </w:p>
    <w:p>
      <w:pPr>
        <w:ind w:left="6180"/>
        <w:spacing w:after="0"/>
        <w:tabs>
          <w:tab w:leader="none" w:pos="92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23495</wp:posOffset>
            </wp:positionV>
            <wp:extent cx="3841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type w:val="continuous"/>
        </w:sectPr>
      </w:pPr>
    </w:p>
    <w:p>
      <w:pPr>
        <w:spacing w:after="0" w:line="55" w:lineRule="exact"/>
        <w:rPr>
          <w:sz w:val="20"/>
          <w:szCs w:val="20"/>
          <w:color w:val="auto"/>
        </w:rPr>
      </w:pPr>
    </w:p>
    <w:p>
      <w:pPr>
        <w:ind w:left="5480"/>
        <w:spacing w:after="0"/>
        <w:tabs>
          <w:tab w:leader="none" w:pos="700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23495</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23495</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20" w:space="340"/>
            <w:col w:w="2860"/>
          </w:cols>
          <w:pgMar w:left="240" w:top="1121" w:right="2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23,645</w:t>
            </w:r>
          </w:p>
        </w:tc>
      </w:tr>
      <w:tr>
        <w:trPr>
          <w:trHeight w:val="254"/>
        </w:trPr>
        <w:tc>
          <w:tcPr>
            <w:tcW w:w="534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4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r>
      <w:tr>
        <w:trPr>
          <w:trHeight w:val="224"/>
        </w:trPr>
        <w:tc>
          <w:tcPr>
            <w:tcW w:w="53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w:t>
            </w:r>
          </w:p>
        </w:tc>
      </w:tr>
      <w:tr>
        <w:trPr>
          <w:trHeight w:val="33"/>
        </w:trPr>
        <w:tc>
          <w:tcPr>
            <w:tcW w:w="5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depreciation and amortization expense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27,154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21" w:right="239" w:bottom="1440" w:gutter="0" w:footer="0" w:header="0"/>
          <w:type w:val="continuous"/>
        </w:sectPr>
      </w:pPr>
    </w:p>
    <w:bookmarkStart w:id="29" w:name="page30"/>
    <w:bookmarkEnd w:id="29"/>
    <w:p>
      <w:pPr>
        <w:ind w:right="540" w:firstLine="486"/>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8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2017</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tcPr>
          <w:p>
            <w:pPr>
              <w:jc w:val="right"/>
              <w:ind w:right="51"/>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180" w:type="dxa"/>
            <w:vAlign w:val="bottom"/>
          </w:tcPr>
          <w:p>
            <w:pPr>
              <w:ind w:left="320"/>
              <w:spacing w:after="0"/>
              <w:rPr>
                <w:sz w:val="20"/>
                <w:szCs w:val="20"/>
                <w:color w:val="auto"/>
              </w:rPr>
            </w:pPr>
            <w:r>
              <w:rPr>
                <w:rFonts w:ascii="Arial" w:cs="Arial" w:eastAsia="Arial" w:hAnsi="Arial"/>
                <w:sz w:val="18"/>
                <w:szCs w:val="18"/>
                <w:color w:val="auto"/>
              </w:rPr>
              <w:t>Cost of revenue</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33</w:t>
            </w:r>
          </w:p>
        </w:tc>
      </w:tr>
      <w:tr>
        <w:trPr>
          <w:trHeight w:val="27"/>
        </w:trPr>
        <w:tc>
          <w:tcPr>
            <w:tcW w:w="5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Sales and marketing</w:t>
            </w: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r>
      <w:tr>
        <w:trPr>
          <w:trHeight w:val="243"/>
        </w:trPr>
        <w:tc>
          <w:tcPr>
            <w:tcW w:w="5180" w:type="dxa"/>
            <w:vAlign w:val="bottom"/>
          </w:tcPr>
          <w:p>
            <w:pPr>
              <w:ind w:left="320"/>
              <w:spacing w:after="0"/>
              <w:rPr>
                <w:sz w:val="20"/>
                <w:szCs w:val="20"/>
                <w:color w:val="auto"/>
              </w:rPr>
            </w:pPr>
            <w:r>
              <w:rPr>
                <w:rFonts w:ascii="Arial" w:cs="Arial" w:eastAsia="Arial" w:hAnsi="Arial"/>
                <w:sz w:val="18"/>
                <w:szCs w:val="18"/>
                <w:color w:val="auto"/>
              </w:rPr>
              <w:t>Technology and development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7"/>
        </w:trPr>
        <w:tc>
          <w:tcPr>
            <w:tcW w:w="5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r>
      <w:tr>
        <w:trPr>
          <w:trHeight w:val="243"/>
        </w:trPr>
        <w:tc>
          <w:tcPr>
            <w:tcW w:w="5180" w:type="dxa"/>
            <w:vAlign w:val="bottom"/>
          </w:tcPr>
          <w:p>
            <w:pPr>
              <w:ind w:left="320"/>
              <w:spacing w:after="0"/>
              <w:rPr>
                <w:sz w:val="20"/>
                <w:szCs w:val="20"/>
                <w:color w:val="auto"/>
              </w:rPr>
            </w:pPr>
            <w:r>
              <w:rPr>
                <w:rFonts w:ascii="Arial" w:cs="Arial" w:eastAsia="Arial" w:hAnsi="Arial"/>
                <w:sz w:val="18"/>
                <w:szCs w:val="18"/>
                <w:color w:val="auto"/>
              </w:rPr>
              <w:t>Restructuring and other exit costs</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5</w:t>
            </w:r>
          </w:p>
        </w:tc>
      </w:tr>
      <w:tr>
        <w:trPr>
          <w:trHeight w:val="27"/>
        </w:trPr>
        <w:tc>
          <w:tcPr>
            <w:tcW w:w="5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Impairment of goodwill</w:t>
            </w: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w:t>
            </w:r>
          </w:p>
        </w:tc>
      </w:tr>
      <w:tr>
        <w:trPr>
          <w:trHeight w:val="237"/>
        </w:trPr>
        <w:tc>
          <w:tcPr>
            <w:tcW w:w="518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14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206</w:t>
            </w:r>
          </w:p>
        </w:tc>
      </w:tr>
      <w:tr>
        <w:trPr>
          <w:trHeight w:val="27"/>
        </w:trPr>
        <w:tc>
          <w:tcPr>
            <w:tcW w:w="5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w:t>
            </w:r>
          </w:p>
        </w:tc>
      </w:tr>
      <w:tr>
        <w:trPr>
          <w:trHeight w:val="243"/>
        </w:trPr>
        <w:tc>
          <w:tcPr>
            <w:tcW w:w="5180" w:type="dxa"/>
            <w:vAlign w:val="bottom"/>
          </w:tcPr>
          <w:p>
            <w:pPr>
              <w:ind w:left="320"/>
              <w:spacing w:after="0"/>
              <w:rPr>
                <w:sz w:val="20"/>
                <w:szCs w:val="20"/>
                <w:color w:val="auto"/>
              </w:rPr>
            </w:pPr>
            <w:r>
              <w:rPr>
                <w:rFonts w:ascii="Arial" w:cs="Arial" w:eastAsia="Arial" w:hAnsi="Arial"/>
                <w:sz w:val="18"/>
                <w:szCs w:val="18"/>
                <w:color w:val="auto"/>
              </w:rPr>
              <w:t>Other income, net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w:t>
            </w:r>
          </w:p>
        </w:tc>
      </w:tr>
      <w:tr>
        <w:trPr>
          <w:trHeight w:val="243"/>
        </w:trPr>
        <w:tc>
          <w:tcPr>
            <w:tcW w:w="5180" w:type="dxa"/>
            <w:vAlign w:val="bottom"/>
          </w:tcPr>
          <w:p>
            <w:pPr>
              <w:ind w:left="320"/>
              <w:spacing w:after="0"/>
              <w:rPr>
                <w:sz w:val="20"/>
                <w:szCs w:val="20"/>
                <w:color w:val="auto"/>
              </w:rPr>
            </w:pPr>
            <w:r>
              <w:rPr>
                <w:rFonts w:ascii="Arial" w:cs="Arial" w:eastAsia="Arial" w:hAnsi="Arial"/>
                <w:sz w:val="18"/>
                <w:szCs w:val="18"/>
                <w:color w:val="auto"/>
              </w:rPr>
              <w:t>Provision (benefit) for income taxes</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(1)</w:t>
            </w:r>
          </w:p>
        </w:tc>
      </w:tr>
      <w:tr>
        <w:trPr>
          <w:trHeight w:val="27"/>
        </w:trPr>
        <w:tc>
          <w:tcPr>
            <w:tcW w:w="5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2018 and September 30, 2017</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Revenue decreased $5.5 million, or 16%, for the three months ended September 30, 2018 compared to the three months ended September 30, 2017. The decrease was primarily due to the elimination of our buyer fees beginning in November 2017, market and competitive pressures, and header bidding dynamics as described above in "Industry Trends and Trends in Our Business".</w:t>
      </w:r>
    </w:p>
    <w:p>
      <w:pPr>
        <w:spacing w:after="0" w:line="60"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For the nine months ended September 30, 2018, revenue decreased $40.9 million, or 33%, compared to the prior year period, primarily for the same reasons described above for the three month period. The decrease for the nine month period was also impacted by the cessation of our intent marketing solution in March 2017.</w:t>
      </w:r>
    </w:p>
    <w:p>
      <w:pPr>
        <w:spacing w:after="0" w:line="6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Revenue is impacted by shifts in the mix of advertising spend by transaction type and channel, changes in the fees we charge buyers and sellers for our services (which drive take rate), and other factors such as changes in the market, our execution of the business, and competition. In addition to the elimination of buyer transaction fees resulting in lower take rate, an increase in PMP transactions as a percentage of the transactions on our platform could contribute to lower take rates because PMP transactions can carry lower fees than OMP transactions. Industry dynamics are challenging due to market and competitive pressures and make it difficult to predict the near-term effect of our growth initiatives. Consequently, while we anticipate long-term benefits from these initiatives, unless and until we are able to compensate for the reduction in our fees by continuing to increase advertising spend on our platform, through higher transaction volumes or higher transaction values or both, or by increasing seller fees, our revenue will continue to decline, we will not be able to grow our business, and our cash resources will diminish until such time as growth offsets our reduced level of operating expenses.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Cost of revenue increased by $1.7 million, or 13%, for the three months ended September 30, 2018 compared to the three months ended September 30, 2017, primarily due to an increase of $1.1 million in depreciation and amortization expenses related to continued investment in our network technology infrastructure to keep up with impression demand. In addition, there was an increase of $0.8 million in data center and bandwidth expenses to support the increase in our transaction volume. Slightly offseting these increases was a $0.2 million decrease in personnel costs.</w:t>
      </w:r>
    </w:p>
    <w:p>
      <w:pPr>
        <w:spacing w:after="0" w:line="3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For the nine months ended September 30, 2018, cost of revenue increased $3.1 million, or 8%, compared to the prior year period. The increase was primarily due to an increase of $3.1 million in data center and bandwidth expenses to support the increase in our transaction volume. In addition, depreciation and amortization expenses increased $1.1 million, as noted above, which was partially offset by a $0.6 million reduction in media costs related to the cessation of our intent marketing solution during the first quarter of 2017.</w:t>
      </w:r>
    </w:p>
    <w:p>
      <w:pPr>
        <w:spacing w:after="0" w:line="6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expect cost of revenue to be higher in absolute dollars in 2018 compared to 2017 as a result of increased spending on data centers, serving costs, and technology to process the greater volumes of data and transactions we will need to grow revenue. Cost 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49" w:right="239" w:bottom="1440" w:gutter="0" w:footer="0" w:header="0"/>
        </w:sectPr>
      </w:pPr>
    </w:p>
    <w:bookmarkStart w:id="30" w:name="page31"/>
    <w:bookmarkEnd w:id="30"/>
    <w:p>
      <w:pPr>
        <w:ind w:right="220"/>
        <w:spacing w:after="0" w:line="264" w:lineRule="auto"/>
        <w:rPr>
          <w:sz w:val="20"/>
          <w:szCs w:val="20"/>
          <w:color w:val="auto"/>
        </w:rPr>
      </w:pPr>
      <w:r>
        <w:rPr>
          <w:rFonts w:ascii="Arial" w:cs="Arial" w:eastAsia="Arial" w:hAnsi="Arial"/>
          <w:sz w:val="18"/>
          <w:szCs w:val="18"/>
          <w:color w:val="auto"/>
        </w:rPr>
        <w:t>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and marketing expenses decreased $1.8 million or 15% for the three months ended September 30, 2018 compared to the three months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2017, primarily due to a decrease of $1.1 million in sales and marketing personnel costs as a result of our 2018 cost control initiatives.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professional services costs also decreased compared to the prior year period.</w:t>
      </w:r>
    </w:p>
    <w:p>
      <w:pPr>
        <w:spacing w:after="0" w:line="7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For the nine months ended September 30, 2018, sales and marketing expenses decreased $5.6 million, or 14%, compared to the prior year period. The decrease is attributable to our 2017 and 2018 cost reduction measures, including the realignment of our management team, primarily consisting of a $3.2 million decrease in personnel costs as well as decreases across other expenses necessary to support our reduced headcount. Professional services also decreased $0.6 million.</w:t>
      </w:r>
    </w:p>
    <w:p>
      <w:pPr>
        <w:spacing w:after="0" w:line="6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expect sales and marketing expenses to continue to decline in the remainder of 2018 compared to 2017 as a result of headcount reductions and other cost control measures we implemented in the first quarter of 2018, as described below. Sales and marketing expense may fluctuate quarter to quarter and period to period, on an absolute dollar basis and as a percentage of revenue, based on revenue levels, the timing of our investments and seasonality in our industry and business.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04"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color w:val="auto"/>
        </w:rPr>
        <w:t>Technology and development expenses decreased by $2.3 million, or 20%, for the three months ended September 30, 2018 compared to the three months ended September 30, 2017, primarily due to a decrease of $2.0 million in personnel costs as a result of our 2018 cost control initiatives.</w:t>
      </w:r>
    </w:p>
    <w:p>
      <w:pPr>
        <w:spacing w:after="0" w:line="2" w:lineRule="exact"/>
        <w:rPr>
          <w:sz w:val="20"/>
          <w:szCs w:val="20"/>
          <w:color w:val="auto"/>
        </w:rPr>
      </w:pPr>
    </w:p>
    <w:p>
      <w:pPr>
        <w:ind w:right="140" w:firstLine="486"/>
        <w:spacing w:after="0" w:line="288" w:lineRule="auto"/>
        <w:rPr>
          <w:sz w:val="20"/>
          <w:szCs w:val="20"/>
          <w:color w:val="auto"/>
        </w:rPr>
      </w:pPr>
      <w:r>
        <w:rPr>
          <w:rFonts w:ascii="Arial" w:cs="Arial" w:eastAsia="Arial" w:hAnsi="Arial"/>
          <w:sz w:val="16"/>
          <w:szCs w:val="16"/>
          <w:color w:val="auto"/>
        </w:rPr>
        <w:t>For the nine months ended September 30, 2018, technology and development expenses decreased by $7.3 million, or 20%, compared to the prior year period. Technology and development personnel costs decreased $5.6 million for the nine months ended September 30, 2018 compared to the prior year period, primarily as a result of our 2017 and 2018 cost control initiatives. In addition, depreciation and amortization expenses decreased $0.9</w:t>
      </w:r>
    </w:p>
    <w:p>
      <w:pPr>
        <w:ind w:right="60"/>
        <w:spacing w:after="0" w:line="261" w:lineRule="auto"/>
        <w:rPr>
          <w:sz w:val="20"/>
          <w:szCs w:val="20"/>
          <w:color w:val="auto"/>
        </w:rPr>
      </w:pPr>
      <w:r>
        <w:rPr>
          <w:rFonts w:ascii="Arial" w:cs="Arial" w:eastAsia="Arial" w:hAnsi="Arial"/>
          <w:sz w:val="18"/>
          <w:szCs w:val="18"/>
          <w:color w:val="auto"/>
        </w:rPr>
        <w:t>million compared to the prior year period due to the cessation of our intent marketing services offering and closure of our Toronto office in the first quarter of 2017.</w:t>
      </w:r>
    </w:p>
    <w:p>
      <w:pPr>
        <w:spacing w:after="0" w:line="4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We expect technology and development expense to continue to decline in the remainder of 2018 compared to 2017 as a result of headcount reductions we implemented in the first quarter of 2018, as described below, and we expect additional savings in 2018 as we improve our efficiencies in technology development while continuing to invest in our engineering and technology teams.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General and administrative expenses decreased by $4.3 million, or 31%, for the three months ended September 30, 2018 compared to the three months ended September 30, 2017. The decrease is primarily attributable to a decrease of $2.9 million in personnel costs due to a decrease in employee headcount, including our 2018 restructuring events. In addition, professional services expenses decreased by $1.1 million due to a reduction in the use of third party service providers in an effort to control costs.</w:t>
      </w:r>
    </w:p>
    <w:p>
      <w:pPr>
        <w:spacing w:after="0" w:line="65"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For the nine months ended September 30, 2018, general and administrative expenses decreased by $9.7 million, or 23%, compared to the prior year period. The decrease was primarily attributable to a $5.2 million decrease in personnel related expenses due to a decrease in employee headcount, including our 2017 and 2018 restructuring events, as well as decreases across other expenses necessary to support our reduced headcount. Professional service expenses also decreased $3.0 million, including reductions in legal fees and consultant services. General and administrative depreciation and amortization costs also decreased $0.6 million due to accelerated amortization of certain capitalized software assets in 2017.</w:t>
      </w:r>
    </w:p>
    <w:p>
      <w:pPr>
        <w:spacing w:after="0" w:line="3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We expect quarterly general and administrative expense to continue to decline in the remainder of 2018 compared to 2017 as a result of headcount reductions and other cost control measures we implemented in the first quarter 2018, as described below. General and administrative expenses may fluctuate from quarter to quarter and period to period based on the timing and amounts of our investments and related expenditures in our general and administrative functions as they vary in scope and scale over periods that may not be directly proportional to changes in revenue.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10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incurred restructuring and other exit costs of $3.4 million for severance and other one-time employee termination benefits during the nine months ended September 30, 2018 related to headcount reductions that were made in the first quarter of 2018, as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49" w:right="239" w:bottom="1440" w:gutter="0" w:footer="0" w:header="0"/>
        </w:sectPr>
      </w:pPr>
    </w:p>
    <w:bookmarkStart w:id="31" w:name="page32"/>
    <w:bookmarkEnd w:id="31"/>
    <w:p>
      <w:pPr>
        <w:ind w:right="40"/>
        <w:spacing w:after="0" w:line="259" w:lineRule="auto"/>
        <w:rPr>
          <w:sz w:val="20"/>
          <w:szCs w:val="20"/>
          <w:color w:val="auto"/>
        </w:rPr>
      </w:pPr>
      <w:r>
        <w:rPr>
          <w:rFonts w:ascii="Arial" w:cs="Arial" w:eastAsia="Arial" w:hAnsi="Arial"/>
          <w:sz w:val="18"/>
          <w:szCs w:val="18"/>
          <w:color w:val="auto"/>
        </w:rPr>
        <w:t>described below. For the nine months ended September 30, 2017, we incurred $6.0 million of restructuring and other one-time termination benefits expenses, primarily in severance and one-time employee termination benefits and facility closure costs, as a result of the management restructuring and the costs associated with the shut-down of our intent marketing services (see Note 9). There were no restructuring and other exit costs incurred during the three months ended September 2018 and 2017.</w:t>
      </w:r>
    </w:p>
    <w:p>
      <w:pPr>
        <w:spacing w:after="0" w:line="52"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estimated the 2018 restructuring activities would result in annualized cash basis cost savings of approximately $24.0 million. To date, we have met our quarterly run-rate target for operating expenses and we expect to fully realize these savings throughout the remainder of 2018.</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9" w:lineRule="exact"/>
        <w:rPr>
          <w:sz w:val="20"/>
          <w:szCs w:val="20"/>
          <w:color w:val="auto"/>
        </w:rPr>
      </w:pPr>
    </w:p>
    <w:p>
      <w:pPr>
        <w:ind w:left="6160"/>
        <w:spacing w:after="0"/>
        <w:tabs>
          <w:tab w:leader="none" w:pos="92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23495</wp:posOffset>
            </wp:positionV>
            <wp:extent cx="3841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p>
      <w:pPr>
        <w:spacing w:after="0" w:line="55" w:lineRule="exact"/>
        <w:rPr>
          <w:sz w:val="20"/>
          <w:szCs w:val="20"/>
          <w:color w:val="auto"/>
        </w:rPr>
      </w:pPr>
    </w:p>
    <w:p>
      <w:pPr>
        <w:ind w:left="5480"/>
        <w:spacing w:after="0"/>
        <w:tabs>
          <w:tab w:leader="none" w:pos="698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23495</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45"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23495</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4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(in thousands)</w:t>
      </w:r>
    </w:p>
    <w:p>
      <w:pPr>
        <w:spacing w:after="0" w:line="33" w:lineRule="exact"/>
        <w:rPr>
          <w:sz w:val="20"/>
          <w:szCs w:val="20"/>
          <w:color w:val="auto"/>
        </w:rPr>
      </w:pPr>
    </w:p>
    <w:p>
      <w:pPr>
        <w:sectPr>
          <w:pgSz w:w="11900" w:h="16838" w:orient="portrait"/>
          <w:cols w:equalWidth="0" w:num="2">
            <w:col w:w="8220" w:space="320"/>
            <w:col w:w="2880"/>
          </w:cols>
          <w:pgMar w:left="240" w:top="949"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(269)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90"/>
              </w:rPr>
              <w:t>(123)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5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loss, net</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6"/>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64"/>
        </w:trPr>
        <w:tc>
          <w:tcPr>
            <w:tcW w:w="536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center"/>
              <w:ind w:left="350"/>
              <w:spacing w:after="0"/>
              <w:rPr>
                <w:sz w:val="20"/>
                <w:szCs w:val="20"/>
                <w:color w:val="auto"/>
              </w:rPr>
            </w:pPr>
            <w:r>
              <w:rPr>
                <w:rFonts w:ascii="Arial" w:cs="Arial" w:eastAsia="Arial" w:hAnsi="Arial"/>
                <w:sz w:val="18"/>
                <w:szCs w:val="18"/>
                <w:color w:val="auto"/>
                <w:w w:val="90"/>
              </w:rPr>
              <w:t>(150)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1"/>
        </w:trPr>
        <w:tc>
          <w:tcPr>
            <w:tcW w:w="5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Foreign exchange (gain) loss, net is impacted by movements in exchange rates, primarily the British Pound and the Euro relative to the U.S. Dollar, and the amount of foreign currency-denominated receivables and payables, which are impacted by our billings to buyers and payments to sellers. The foreign currency gain, net during the three and nine months ended September 30, 2018 was primarily attributable to the strengthening of the U.S. Dollar in relation to the Euro and the British Pound for foreign currency denominated transactions.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We recorded income tax expenses of $0.1 million and $0.2 million for the three and nine months ended September 30, 2018, respectively, and income tax benefits of $2.0 million and $1.5 million for the three and nine months ended September 30, 2017, respectively. The tax provision for the three and nine months ended September 30, 2018 is primarily the result of the domestic valuation allowance and the tax liability associated with foreign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Operational Performance Measures</w:t>
      </w:r>
    </w:p>
    <w:p>
      <w:pPr>
        <w:spacing w:after="0" w:line="108"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In addition to our GAAP results, we review certain non-GAAP financial measures and operational measures to help us evaluate our business, measure our performance, identify trends affecting our business, establish budgets, measure the effectiveness of investments in our technology and development and sales and marketing, and assess our operational efficiencies. These non-GAAP measures include advertising spend, non-GAAP net revenue, Adjusted EBITDA, and take rate, which are discussed immediately following the table below. Revenue and other GAAP measures are discussed under the headings "Components of Our Results of Operations" and "Results of Operations".</w:t>
      </w:r>
    </w:p>
    <w:p>
      <w:pPr>
        <w:spacing w:after="0" w:line="16" w:lineRule="exact"/>
        <w:rPr>
          <w:sz w:val="20"/>
          <w:szCs w:val="20"/>
          <w:color w:val="auto"/>
        </w:rPr>
      </w:pPr>
    </w:p>
    <w:p>
      <w:pPr>
        <w:ind w:left="6180"/>
        <w:spacing w:after="0"/>
        <w:tabs>
          <w:tab w:leader="none" w:pos="92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23495</wp:posOffset>
            </wp:positionV>
            <wp:extent cx="3858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p>
      <w:pPr>
        <w:spacing w:after="0" w:line="55" w:lineRule="exact"/>
        <w:rPr>
          <w:sz w:val="20"/>
          <w:szCs w:val="20"/>
          <w:color w:val="auto"/>
        </w:rPr>
      </w:pPr>
    </w:p>
    <w:p>
      <w:pPr>
        <w:ind w:left="5460"/>
        <w:spacing w:after="0"/>
        <w:tabs>
          <w:tab w:leader="none" w:pos="698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23495</wp:posOffset>
            </wp:positionV>
            <wp:extent cx="1895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23495</wp:posOffset>
            </wp:positionV>
            <wp:extent cx="1895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00" w:space="340"/>
            <w:col w:w="2880"/>
          </w:cols>
          <w:pgMar w:left="240" w:top="949" w:right="239" w:bottom="1440" w:gutter="0" w:footer="0" w:header="0"/>
          <w:type w:val="continuous"/>
        </w:sectPr>
      </w:pPr>
    </w:p>
    <w:tbl>
      <w:tblPr>
        <w:tblLayout w:type="fixed"/>
        <w:tblInd w:w="20" w:type="dxa"/>
        <w:tblCellMar>
          <w:top w:w="0" w:type="dxa"/>
          <w:left w:w="0" w:type="dxa"/>
          <w:bottom w:w="0" w:type="dxa"/>
          <w:right w:w="0" w:type="dxa"/>
        </w:tblCellMar>
      </w:tblPr>
      <w:tr>
        <w:trPr>
          <w:trHeight w:val="222"/>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Measures and non-GAAP Financial Measures:</w:t>
            </w: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4720" w:type="dxa"/>
            <w:vAlign w:val="bottom"/>
          </w:tcPr>
          <w:p>
            <w:pPr>
              <w:ind w:left="100"/>
              <w:spacing w:after="0"/>
              <w:rPr>
                <w:sz w:val="20"/>
                <w:szCs w:val="20"/>
                <w:color w:val="auto"/>
              </w:rPr>
            </w:pPr>
            <w:r>
              <w:rPr>
                <w:rFonts w:ascii="Arial" w:cs="Arial" w:eastAsia="Arial" w:hAnsi="Arial"/>
                <w:sz w:val="18"/>
                <w:szCs w:val="18"/>
                <w:color w:val="auto"/>
              </w:rPr>
              <w:t>Revenue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29,729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ind w:left="460"/>
              <w:spacing w:after="0"/>
              <w:rPr>
                <w:sz w:val="20"/>
                <w:szCs w:val="20"/>
                <w:color w:val="auto"/>
              </w:rPr>
            </w:pPr>
            <w:r>
              <w:rPr>
                <w:rFonts w:ascii="Arial" w:cs="Arial" w:eastAsia="Arial" w:hAnsi="Arial"/>
                <w:sz w:val="18"/>
                <w:szCs w:val="18"/>
                <w:color w:val="auto"/>
              </w:rPr>
              <w:t>35,211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83,253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124,148</w:t>
            </w:r>
          </w:p>
        </w:tc>
      </w:tr>
      <w:tr>
        <w:trPr>
          <w:trHeight w:val="27"/>
        </w:trPr>
        <w:tc>
          <w:tcPr>
            <w:tcW w:w="4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Advertising spend</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242,171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195,019</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690,856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590,950</w:t>
            </w:r>
          </w:p>
        </w:tc>
      </w:tr>
      <w:tr>
        <w:trPr>
          <w:trHeight w:val="243"/>
        </w:trPr>
        <w:tc>
          <w:tcPr>
            <w:tcW w:w="4720" w:type="dxa"/>
            <w:vAlign w:val="bottom"/>
          </w:tcPr>
          <w:p>
            <w:pPr>
              <w:ind w:left="100"/>
              <w:spacing w:after="0"/>
              <w:rPr>
                <w:sz w:val="20"/>
                <w:szCs w:val="20"/>
                <w:color w:val="auto"/>
              </w:rPr>
            </w:pPr>
            <w:r>
              <w:rPr>
                <w:rFonts w:ascii="Arial" w:cs="Arial" w:eastAsia="Arial" w:hAnsi="Arial"/>
                <w:sz w:val="18"/>
                <w:szCs w:val="18"/>
                <w:color w:val="auto"/>
              </w:rPr>
              <w:t>Non-GAAP net revenue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29,729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ind w:left="460"/>
              <w:spacing w:after="0"/>
              <w:rPr>
                <w:sz w:val="20"/>
                <w:szCs w:val="20"/>
                <w:color w:val="auto"/>
              </w:rPr>
            </w:pPr>
            <w:r>
              <w:rPr>
                <w:rFonts w:ascii="Arial" w:cs="Arial" w:eastAsia="Arial" w:hAnsi="Arial"/>
                <w:sz w:val="18"/>
                <w:szCs w:val="18"/>
                <w:color w:val="auto"/>
              </w:rPr>
              <w:t>35,211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83,253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123,515</w:t>
            </w:r>
          </w:p>
        </w:tc>
      </w:tr>
      <w:tr>
        <w:trPr>
          <w:trHeight w:val="27"/>
        </w:trPr>
        <w:tc>
          <w:tcPr>
            <w:tcW w:w="4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8"/>
              </w:rPr>
              <w:t>(103,571)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(130,966)</w:t>
            </w:r>
          </w:p>
        </w:tc>
      </w:tr>
      <w:tr>
        <w:trPr>
          <w:trHeight w:val="243"/>
        </w:trPr>
        <w:tc>
          <w:tcPr>
            <w:tcW w:w="472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(1,433)</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ind w:left="480"/>
              <w:spacing w:after="0"/>
              <w:rPr>
                <w:sz w:val="20"/>
                <w:szCs w:val="20"/>
                <w:color w:val="auto"/>
              </w:rPr>
            </w:pPr>
            <w:r>
              <w:rPr>
                <w:rFonts w:ascii="Arial" w:cs="Arial" w:eastAsia="Arial" w:hAnsi="Arial"/>
                <w:sz w:val="18"/>
                <w:szCs w:val="18"/>
                <w:color w:val="auto"/>
              </w:rPr>
              <w:t>(2,286)</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(21,128)</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7"/>
        </w:trPr>
        <w:tc>
          <w:tcPr>
            <w:tcW w:w="4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Measure:</w:t>
            </w: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4720" w:type="dxa"/>
            <w:vAlign w:val="bottom"/>
          </w:tcPr>
          <w:p>
            <w:pPr>
              <w:ind w:left="100"/>
              <w:spacing w:after="0"/>
              <w:rPr>
                <w:sz w:val="20"/>
                <w:szCs w:val="20"/>
                <w:color w:val="auto"/>
              </w:rPr>
            </w:pPr>
            <w:r>
              <w:rPr>
                <w:rFonts w:ascii="Arial" w:cs="Arial" w:eastAsia="Arial" w:hAnsi="Arial"/>
                <w:sz w:val="18"/>
                <w:szCs w:val="18"/>
                <w:color w:val="auto"/>
              </w:rPr>
              <w:t>Take Rate %</w:t>
            </w:r>
          </w:p>
        </w:tc>
        <w:tc>
          <w:tcPr>
            <w:tcW w:w="8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12.3 %</w:t>
            </w:r>
          </w:p>
        </w:tc>
        <w:tc>
          <w:tcPr>
            <w:tcW w:w="480" w:type="dxa"/>
            <w:vAlign w:val="bottom"/>
          </w:tcPr>
          <w:p>
            <w:pPr>
              <w:spacing w:after="0"/>
              <w:rPr>
                <w:sz w:val="21"/>
                <w:szCs w:val="21"/>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18.1 %</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12.1 %</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932"/>
        </w:trPr>
        <w:tc>
          <w:tcPr>
            <w:tcW w:w="4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jc w:val="right"/>
              <w:ind w:right="93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949" w:right="239" w:bottom="1440" w:gutter="0" w:footer="0" w:header="0"/>
          <w:type w:val="continuous"/>
        </w:sectPr>
      </w:pPr>
    </w:p>
    <w:bookmarkStart w:id="32" w:name="page33"/>
    <w:bookmarkEnd w:id="32"/>
    <w:p>
      <w:pPr>
        <w:ind w:left="340"/>
        <w:spacing w:after="0"/>
        <w:rPr>
          <w:sz w:val="20"/>
          <w:szCs w:val="20"/>
          <w:color w:val="auto"/>
        </w:rPr>
      </w:pPr>
      <w:r>
        <w:rPr>
          <w:rFonts w:ascii="Arial" w:cs="Arial" w:eastAsia="Arial" w:hAnsi="Arial"/>
          <w:sz w:val="18"/>
          <w:szCs w:val="18"/>
          <w:b w:val="1"/>
          <w:bCs w:val="1"/>
          <w:i w:val="1"/>
          <w:iCs w:val="1"/>
          <w:color w:val="auto"/>
        </w:rPr>
        <w:t>Advertising Spend</w:t>
      </w:r>
    </w:p>
    <w:p>
      <w:pPr>
        <w:spacing w:after="0" w:line="104"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We define advertising spend as the total volume of spending between buyers and sellers transacted on our platform. Advertising spend does not represent revenue reported on a GAAP basis. Tracking our advertising spend facilitates comparison of our results to the results of companies in our industry that report GAAP revenue on a gross basis. We also use advertising spend for internal management purposes to assess market share of total advertising spending.</w:t>
      </w:r>
    </w:p>
    <w:p>
      <w:pPr>
        <w:spacing w:after="0" w:line="25" w:lineRule="exact"/>
        <w:rPr>
          <w:sz w:val="20"/>
          <w:szCs w:val="20"/>
          <w:color w:val="auto"/>
        </w:rPr>
      </w:pPr>
    </w:p>
    <w:p>
      <w:pPr>
        <w:jc w:val="both"/>
        <w:ind w:right="40" w:firstLine="324"/>
        <w:spacing w:after="0" w:line="334" w:lineRule="auto"/>
        <w:rPr>
          <w:sz w:val="20"/>
          <w:szCs w:val="20"/>
          <w:color w:val="auto"/>
        </w:rPr>
      </w:pPr>
      <w:r>
        <w:rPr>
          <w:rFonts w:ascii="Arial" w:cs="Arial" w:eastAsia="Arial" w:hAnsi="Arial"/>
          <w:sz w:val="16"/>
          <w:szCs w:val="16"/>
          <w:color w:val="auto"/>
        </w:rPr>
        <w:t>Our advertising spend may be influenced by demand for our services, the volume and characteristics of paid impressions, average CPM, our ability to fill ad requests, the nature and amount of fees we charge, and other factors such as changes in the market, our execution of the business, and competition.</w:t>
      </w:r>
    </w:p>
    <w:p>
      <w:pPr>
        <w:spacing w:after="0" w:line="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Advertising spend may fluctuate due to seasonality. In the past, we have experienced higher advertising spend during the fourth quarter of a given year because many buyers devote a disproportionate amount of their advertising budgets to this period of the year to coincide with increased holiday purchasing. Buyers' focus on the fourth quarter generates more bidding activity on our platform, which may drive higher volumes of paid impressions, average CPM, or both. Our advertising spend grew 24% and 17% for the three and nine months ended September 30, 2018, respectively, compared to the same periods in 2017. The increase in advertising spend was driven by higher ad request volumes and an increase in the CPMs generated from our auctions. The increase in CPMs was driven by increased bidding activity on our platform, the value of the inventory that we made available to buyers, including PMP, mobile and video inventory that typically carries higher pricing, and auction dynamics, including the implementation of first price auctions and EMR for our header bidding inventory.</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revenue to advertising spend: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6"/>
                <w:szCs w:val="16"/>
                <w:color w:val="auto"/>
              </w:rPr>
            </w:pPr>
          </w:p>
        </w:tc>
      </w:tr>
      <w:tr>
        <w:trPr>
          <w:trHeight w:val="196"/>
        </w:trPr>
        <w:tc>
          <w:tcPr>
            <w:tcW w:w="558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September 30, 2017</w:t>
            </w:r>
          </w:p>
        </w:tc>
      </w:tr>
      <w:tr>
        <w:trPr>
          <w:trHeight w:val="196"/>
        </w:trPr>
        <w:tc>
          <w:tcPr>
            <w:tcW w:w="55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7"/>
                <w:szCs w:val="17"/>
                <w:color w:val="auto"/>
              </w:rPr>
            </w:pPr>
          </w:p>
        </w:tc>
      </w:tr>
      <w:tr>
        <w:trPr>
          <w:trHeight w:val="27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124,148</w:t>
            </w:r>
          </w:p>
        </w:tc>
      </w:tr>
      <w:tr>
        <w:trPr>
          <w:trHeight w:val="270"/>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Plus amounts paid to sellers</w:t>
            </w:r>
            <w:r>
              <w:rPr>
                <w:rFonts w:ascii="Arial" w:cs="Arial" w:eastAsia="Arial" w:hAnsi="Arial"/>
                <w:sz w:val="23"/>
                <w:szCs w:val="23"/>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212,442</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159,808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607,603</w:t>
            </w: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466,802</w:t>
            </w:r>
          </w:p>
        </w:tc>
      </w:tr>
      <w:tr>
        <w:trPr>
          <w:trHeight w:val="28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 spend</w:t>
            </w: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242,171</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195,019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690,856</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590,950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 Amounts paid to sellers for the portion of our revenue reported on a net basis for GAAP purposes.</w:t>
      </w:r>
    </w:p>
    <w:p>
      <w:pPr>
        <w:spacing w:after="0" w:line="176" w:lineRule="exact"/>
        <w:rPr>
          <w:sz w:val="20"/>
          <w:szCs w:val="20"/>
          <w:color w:val="auto"/>
        </w:rPr>
      </w:pPr>
    </w:p>
    <w:p>
      <w:pPr>
        <w:ind w:right="180" w:firstLine="324"/>
        <w:spacing w:after="0" w:line="320" w:lineRule="auto"/>
        <w:rPr>
          <w:sz w:val="20"/>
          <w:szCs w:val="20"/>
          <w:color w:val="auto"/>
        </w:rPr>
      </w:pPr>
      <w:r>
        <w:rPr>
          <w:rFonts w:ascii="Arial" w:cs="Arial" w:eastAsia="Arial" w:hAnsi="Arial"/>
          <w:sz w:val="16"/>
          <w:szCs w:val="16"/>
          <w:color w:val="auto"/>
        </w:rPr>
        <w:t>Our solution enables buyers and sellers to transact through desktop and mobile channels. The following tables present revenue and advertising spend in dollar terms by channel and as a percentage of total revenue or advertising spend for the three and nine months ended September 30, 2018 and 2017.</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left="677"/>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Advertising Spend</w:t>
            </w:r>
          </w:p>
        </w:tc>
        <w:tc>
          <w:tcPr>
            <w:tcW w:w="1060" w:type="dxa"/>
            <w:vAlign w:val="bottom"/>
            <w:tcBorders>
              <w:bottom w:val="single" w:sz="8" w:color="auto"/>
            </w:tcBorders>
          </w:tcPr>
          <w:p>
            <w:pPr>
              <w:spacing w:after="0"/>
              <w:rPr>
                <w:sz w:val="16"/>
                <w:szCs w:val="16"/>
                <w:color w:val="auto"/>
              </w:rPr>
            </w:pPr>
          </w:p>
        </w:tc>
      </w:tr>
      <w:tr>
        <w:trPr>
          <w:trHeight w:val="196"/>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Borders>
              <w:bottom w:val="single" w:sz="8" w:color="auto"/>
            </w:tcBorders>
          </w:tcPr>
          <w:p>
            <w:pPr>
              <w:spacing w:after="0"/>
              <w:rPr>
                <w:sz w:val="17"/>
                <w:szCs w:val="17"/>
                <w:color w:val="auto"/>
              </w:rPr>
            </w:pPr>
          </w:p>
        </w:tc>
      </w:tr>
      <w:tr>
        <w:trPr>
          <w:trHeight w:val="196"/>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September 30, 2017</w:t>
            </w: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September 30, 2017</w:t>
            </w:r>
          </w:p>
        </w:tc>
      </w:tr>
      <w:tr>
        <w:trPr>
          <w:trHeight w:val="196"/>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(in thousands, except percentages)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6"/>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2400" w:type="dxa"/>
            <w:vAlign w:val="bottom"/>
            <w:gridSpan w:val="2"/>
          </w:tcPr>
          <w:p>
            <w:pPr>
              <w:ind w:left="220"/>
              <w:spacing w:after="0"/>
              <w:rPr>
                <w:sz w:val="20"/>
                <w:szCs w:val="20"/>
                <w:color w:val="auto"/>
              </w:rPr>
            </w:pPr>
            <w:r>
              <w:rPr>
                <w:rFonts w:ascii="Arial" w:cs="Arial" w:eastAsia="Arial" w:hAnsi="Arial"/>
                <w:sz w:val="18"/>
                <w:szCs w:val="18"/>
                <w:color w:val="auto"/>
              </w:rPr>
              <w:t>Desktop</w:t>
            </w: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109,317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103,325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Mobile</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132,854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91,694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r>
      <w:tr>
        <w:trPr>
          <w:trHeight w:val="264"/>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242,171</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195,019</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82"/>
        </w:trPr>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left="677"/>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Advertising Spend</w:t>
            </w:r>
          </w:p>
        </w:tc>
        <w:tc>
          <w:tcPr>
            <w:tcW w:w="1060" w:type="dxa"/>
            <w:vAlign w:val="bottom"/>
            <w:tcBorders>
              <w:bottom w:val="single" w:sz="8" w:color="auto"/>
            </w:tcBorders>
          </w:tcPr>
          <w:p>
            <w:pPr>
              <w:spacing w:after="0"/>
              <w:rPr>
                <w:sz w:val="24"/>
                <w:szCs w:val="24"/>
                <w:color w:val="auto"/>
              </w:rPr>
            </w:pPr>
          </w:p>
        </w:tc>
      </w:tr>
      <w:tr>
        <w:trPr>
          <w:trHeight w:val="196"/>
        </w:trPr>
        <w:tc>
          <w:tcPr>
            <w:tcW w:w="2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1060" w:type="dxa"/>
            <w:vAlign w:val="bottom"/>
            <w:tcBorders>
              <w:bottom w:val="single" w:sz="8" w:color="auto"/>
            </w:tcBorders>
          </w:tcPr>
          <w:p>
            <w:pPr>
              <w:spacing w:after="0"/>
              <w:rPr>
                <w:sz w:val="17"/>
                <w:szCs w:val="17"/>
                <w:color w:val="auto"/>
              </w:rPr>
            </w:pPr>
          </w:p>
        </w:tc>
      </w:tr>
      <w:tr>
        <w:trPr>
          <w:trHeight w:val="196"/>
        </w:trPr>
        <w:tc>
          <w:tcPr>
            <w:tcW w:w="2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September 30, 2017</w:t>
            </w: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September 30, 2017</w:t>
            </w:r>
          </w:p>
        </w:tc>
      </w:tr>
      <w:tr>
        <w:trPr>
          <w:trHeight w:val="196"/>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(in thousands, except percentages)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6"/>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2400" w:type="dxa"/>
            <w:vAlign w:val="bottom"/>
            <w:gridSpan w:val="2"/>
          </w:tcPr>
          <w:p>
            <w:pPr>
              <w:ind w:left="220"/>
              <w:spacing w:after="0"/>
              <w:rPr>
                <w:sz w:val="20"/>
                <w:szCs w:val="20"/>
                <w:color w:val="auto"/>
              </w:rPr>
            </w:pPr>
            <w:r>
              <w:rPr>
                <w:rFonts w:ascii="Arial" w:cs="Arial" w:eastAsia="Arial" w:hAnsi="Arial"/>
                <w:sz w:val="18"/>
                <w:szCs w:val="18"/>
                <w:color w:val="auto"/>
              </w:rPr>
              <w:t>Desktop</w:t>
            </w:r>
          </w:p>
        </w:tc>
        <w:tc>
          <w:tcPr>
            <w:tcW w:w="26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40,453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68,956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346,404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345,481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Mobile</w:t>
            </w: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55,192</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344,452</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245,469</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r>
      <w:tr>
        <w:trPr>
          <w:trHeight w:val="264"/>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83,253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124,148</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690,856</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590,950</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2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30"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b w:val="1"/>
          <w:bCs w:val="1"/>
          <w:i w:val="1"/>
          <w:iCs w:val="1"/>
          <w:color w:val="auto"/>
        </w:rPr>
        <w:t>Non-GAAP Net Revenue</w:t>
      </w:r>
    </w:p>
    <w:p>
      <w:pPr>
        <w:spacing w:after="0" w:line="10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define non-GAAP net revenue as GAAP revenue less amounts we pay sellers, where the amounts paid are included within cost of revenue for the portion of our revenue reported on a gross basis. The portion of our revenue reported on a gross basis was attributable to intent marketing services, which no longer generated revenue after the first quarter of 2017. Historically, non-GAAP net revenue was a useful measure in assessing the performance of our business in periods for which our revenue included revenue reported on a gross basis, because it showed the operating results of our business on a consistent basis without the effect of differing revenue reporting (gross vs. net) that we applied under GAAP across different types of transactions, and facilitated comparison of our results to the results of companies that report all of their revenue on a net basis. Revenue from intent marketing services in the first quarter of 2017 created the difference between our non-GAAP net revenue and our GAAP revenue for that period. We ceased offering our intent marketing solution in the first quarter of 2017, so for subsequent periods non-GAAP net revenue is the same as GAAP revenue, as there is no longer a reconciling item between GAAP and non-GAAP net revenue. Non-GAAP net revenue is presented for comparative purposes as the first quarter of 2017 still included the intent marketing solution reconciling item.</w:t>
      </w:r>
    </w:p>
    <w:p>
      <w:pPr>
        <w:spacing w:after="0" w:line="1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potential limitation of non-GAAP net revenue is that other companies may define non-GAAP net revenue differently, which may make comparisons difficult.</w:t>
      </w:r>
    </w:p>
    <w:p>
      <w:pPr>
        <w:spacing w:after="0" w:line="130"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Non-GAAP net revenue is influenced by the volume and characteristics of advertising spend and our take rate. The revenue we have reported on a gross basis was associated with our intent marketing business. Because we exited that business in the first quarter of 2017, we do not expect to report any revenue on a gross basis after the first quarter of 2017 unless and until we change our business practices, develop new products, or make an acquisition, in each case with characteristics that require gross reporting.</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reconciliation of revenue to non-GAAP net revenue for the three and nine months ended September 30, 2018 and 2017.</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3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4"/>
              </w:rPr>
              <w:t>September 30, 2017</w:t>
            </w:r>
          </w:p>
        </w:tc>
      </w:tr>
      <w:tr>
        <w:trPr>
          <w:trHeight w:val="196"/>
        </w:trPr>
        <w:tc>
          <w:tcPr>
            <w:tcW w:w="55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7"/>
                <w:szCs w:val="17"/>
                <w:color w:val="auto"/>
              </w:rPr>
            </w:pPr>
          </w:p>
        </w:tc>
      </w:tr>
      <w:tr>
        <w:trPr>
          <w:trHeight w:val="25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124,148</w:t>
            </w:r>
          </w:p>
        </w:tc>
      </w:tr>
      <w:tr>
        <w:trPr>
          <w:trHeight w:val="270"/>
        </w:trPr>
        <w:tc>
          <w:tcPr>
            <w:tcW w:w="5560" w:type="dxa"/>
            <w:vAlign w:val="bottom"/>
          </w:tcPr>
          <w:p>
            <w:pPr>
              <w:ind w:left="220"/>
              <w:spacing w:after="0"/>
              <w:rPr>
                <w:sz w:val="20"/>
                <w:szCs w:val="20"/>
                <w:color w:val="auto"/>
              </w:rPr>
            </w:pPr>
            <w:r>
              <w:rPr>
                <w:rFonts w:ascii="Arial" w:cs="Arial" w:eastAsia="Arial" w:hAnsi="Arial"/>
                <w:sz w:val="18"/>
                <w:szCs w:val="18"/>
                <w:color w:val="auto"/>
              </w:rPr>
              <w:t>Less amounts paid to sellers</w:t>
            </w:r>
            <w:r>
              <w:rPr>
                <w:rFonts w:ascii="Arial" w:cs="Arial" w:eastAsia="Arial" w:hAnsi="Arial"/>
                <w:sz w:val="23"/>
                <w:szCs w:val="23"/>
                <w:color w:val="auto"/>
                <w:vertAlign w:val="superscript"/>
              </w:rPr>
              <w:t>(1)</w:t>
            </w:r>
          </w:p>
        </w:tc>
        <w:tc>
          <w:tcPr>
            <w:tcW w:w="44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89"/>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revenue</w:t>
            </w: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123,515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(1) Represents amounts paid to sellers included within cost of revenue.</w:t>
      </w:r>
    </w:p>
    <w:p>
      <w:pPr>
        <w:spacing w:after="0" w:line="3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Non-GAAP net revenue decreased in the current period compared to the prior year due to a lower take rate, as noted within "Industry Trends and Trends in Our Business", which was partially offset by the increase in advertising spend.</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4"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and provision (benefit) for income taxes. We believe Adjusted EBITDA is useful to investors in evaluating our performance for the following reasons:</w:t>
      </w:r>
    </w:p>
    <w:p>
      <w:pPr>
        <w:spacing w:after="0" w:line="19" w:lineRule="exact"/>
        <w:rPr>
          <w:sz w:val="20"/>
          <w:szCs w:val="20"/>
          <w:color w:val="auto"/>
        </w:rPr>
      </w:pPr>
    </w:p>
    <w:p>
      <w:pPr>
        <w:ind w:left="660" w:right="140" w:hanging="328"/>
        <w:spacing w:after="0" w:line="264" w:lineRule="auto"/>
        <w:tabs>
          <w:tab w:leader="none" w:pos="444"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59" w:lineRule="exact"/>
        <w:rPr>
          <w:rFonts w:ascii="Arial" w:cs="Arial" w:eastAsia="Arial" w:hAnsi="Arial"/>
          <w:sz w:val="18"/>
          <w:szCs w:val="18"/>
          <w:color w:val="auto"/>
        </w:rPr>
      </w:pPr>
    </w:p>
    <w:p>
      <w:pPr>
        <w:ind w:left="660" w:right="100" w:hanging="328"/>
        <w:spacing w:after="0" w:line="312" w:lineRule="auto"/>
        <w:tabs>
          <w:tab w:leader="none" w:pos="444" w:val="left"/>
        </w:tabs>
        <w:numPr>
          <w:ilvl w:val="1"/>
          <w:numId w:val="9"/>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106" w:lineRule="exact"/>
        <w:rPr>
          <w:rFonts w:ascii="Arial" w:cs="Arial" w:eastAsia="Arial" w:hAnsi="Arial"/>
          <w:sz w:val="16"/>
          <w:szCs w:val="16"/>
          <w:color w:val="auto"/>
        </w:rPr>
      </w:pPr>
    </w:p>
    <w:p>
      <w:pPr>
        <w:ind w:left="640" w:right="20" w:hanging="326"/>
        <w:spacing w:after="0" w:line="26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5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4" w:right="239" w:bottom="1440" w:gutter="0" w:footer="0" w:header="0"/>
        </w:sectPr>
      </w:pPr>
    </w:p>
    <w:bookmarkStart w:id="34" w:name="page35"/>
    <w:bookmarkEnd w:id="34"/>
    <w:p>
      <w:pPr>
        <w:ind w:left="660" w:right="480" w:hanging="328"/>
        <w:spacing w:after="0" w:line="308" w:lineRule="auto"/>
        <w:tabs>
          <w:tab w:leader="none" w:pos="444" w:val="left"/>
        </w:tabs>
        <w:numPr>
          <w:ilvl w:val="1"/>
          <w:numId w:val="10"/>
        </w:numPr>
        <w:rPr>
          <w:rFonts w:ascii="Arial" w:cs="Arial" w:eastAsia="Arial" w:hAnsi="Arial"/>
          <w:sz w:val="17"/>
          <w:szCs w:val="17"/>
          <w:color w:val="auto"/>
        </w:rPr>
      </w:pPr>
      <w:r>
        <w:rPr>
          <w:rFonts w:ascii="Arial" w:cs="Arial" w:eastAsia="Arial" w:hAnsi="Arial"/>
          <w:sz w:val="17"/>
          <w:szCs w:val="17"/>
          <w:color w:val="auto"/>
        </w:rPr>
        <w:t>Stock-based compensation is a non-cash charge and is and will remain an element of our long-term incentive compensation package, although we exclude it as an expense in Adjusted EBITDA when evaluating our ongoing operating performance for a particular period.</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4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48" w:lineRule="exact"/>
        <w:rPr>
          <w:rFonts w:ascii="Arial" w:cs="Arial" w:eastAsia="Arial" w:hAnsi="Arial"/>
          <w:sz w:val="18"/>
          <w:szCs w:val="18"/>
          <w:color w:val="auto"/>
        </w:rPr>
      </w:pPr>
    </w:p>
    <w:p>
      <w:pPr>
        <w:ind w:left="660" w:right="240" w:hanging="328"/>
        <w:spacing w:after="0" w:line="308" w:lineRule="auto"/>
        <w:tabs>
          <w:tab w:leader="none" w:pos="444" w:val="left"/>
        </w:tabs>
        <w:numPr>
          <w:ilvl w:val="1"/>
          <w:numId w:val="10"/>
        </w:numPr>
        <w:rPr>
          <w:rFonts w:ascii="Arial" w:cs="Arial" w:eastAsia="Arial" w:hAnsi="Arial"/>
          <w:sz w:val="17"/>
          <w:szCs w:val="17"/>
          <w:color w:val="auto"/>
        </w:rPr>
      </w:pPr>
      <w:r>
        <w:rPr>
          <w:rFonts w:ascii="Arial" w:cs="Arial" w:eastAsia="Arial" w:hAnsi="Arial"/>
          <w:sz w:val="17"/>
          <w:szCs w:val="17"/>
          <w:color w:val="auto"/>
        </w:rPr>
        <w:t>Impairment charges are non-cash charges related to the write-down of goodwill, intangible assets and/or long-lived assets, although we exclude these charges as expenses in Adjusted EBITDA when evaluating our ongoing operating performance for a particular period.</w:t>
      </w:r>
    </w:p>
    <w:p>
      <w:pPr>
        <w:spacing w:after="0" w:line="24" w:lineRule="exact"/>
        <w:rPr>
          <w:rFonts w:ascii="Arial" w:cs="Arial" w:eastAsia="Arial" w:hAnsi="Arial"/>
          <w:sz w:val="17"/>
          <w:szCs w:val="17"/>
          <w:color w:val="auto"/>
        </w:rPr>
      </w:pPr>
    </w:p>
    <w:p>
      <w:pPr>
        <w:ind w:left="660" w:right="400" w:hanging="328"/>
        <w:spacing w:after="0" w:line="277" w:lineRule="auto"/>
        <w:tabs>
          <w:tab w:leader="none" w:pos="4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EBITDA does not reflect non-cash charges related to acquisition and related items, such as amortization of acquired intangible assets and changes in the fair value of contingent consideration.</w:t>
      </w:r>
    </w:p>
    <w:p>
      <w:pPr>
        <w:spacing w:after="0" w:line="35" w:lineRule="exact"/>
        <w:rPr>
          <w:rFonts w:ascii="Arial" w:cs="Arial" w:eastAsia="Arial" w:hAnsi="Arial"/>
          <w:sz w:val="18"/>
          <w:szCs w:val="18"/>
          <w:color w:val="auto"/>
        </w:rPr>
      </w:pPr>
    </w:p>
    <w:p>
      <w:pPr>
        <w:ind w:left="640" w:right="280" w:hanging="326"/>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48" w:lineRule="exact"/>
        <w:rPr>
          <w:rFonts w:ascii="Arial" w:cs="Arial" w:eastAsia="Arial" w:hAnsi="Arial"/>
          <w:sz w:val="18"/>
          <w:szCs w:val="18"/>
          <w:color w:val="auto"/>
        </w:rPr>
      </w:pPr>
    </w:p>
    <w:p>
      <w:pPr>
        <w:ind w:left="420" w:hanging="106"/>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 capital expenditures, or contractual commitments.</w:t>
      </w:r>
    </w:p>
    <w:p>
      <w:pPr>
        <w:spacing w:after="0" w:line="103" w:lineRule="exact"/>
        <w:rPr>
          <w:rFonts w:ascii="Arial" w:cs="Arial" w:eastAsia="Arial" w:hAnsi="Arial"/>
          <w:sz w:val="18"/>
          <w:szCs w:val="18"/>
          <w:color w:val="auto"/>
        </w:rPr>
      </w:pPr>
    </w:p>
    <w:p>
      <w:pPr>
        <w:ind w:left="440" w:hanging="108"/>
        <w:spacing w:after="0"/>
        <w:tabs>
          <w:tab w:leader="none" w:pos="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 and the cash impact of other income or expense.</w:t>
      </w:r>
    </w:p>
    <w:p>
      <w:pPr>
        <w:spacing w:after="0" w:line="90" w:lineRule="exact"/>
        <w:rPr>
          <w:rFonts w:ascii="Arial" w:cs="Arial" w:eastAsia="Arial" w:hAnsi="Arial"/>
          <w:sz w:val="18"/>
          <w:szCs w:val="18"/>
          <w:color w:val="auto"/>
        </w:rPr>
      </w:pPr>
    </w:p>
    <w:p>
      <w:pPr>
        <w:ind w:left="440" w:hanging="108"/>
        <w:spacing w:after="0"/>
        <w:tabs>
          <w:tab w:leader="none" w:pos="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Adjusted EBITDA is influenced by fluctuation in our revenue and the timing and amounts of our investments in our operations.</w:t>
      </w:r>
    </w:p>
    <w:p>
      <w:pPr>
        <w:spacing w:after="0" w:line="18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comparable GAAP measure, to Adjusted EBITDA for the three and nine months ended September 30, 2018 and 2017.</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Borders>
              <w:bottom w:val="single" w:sz="8" w:color="auto"/>
            </w:tcBorders>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3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4"/>
              </w:rPr>
              <w:t>September 30, 2017</w:t>
            </w:r>
          </w:p>
        </w:tc>
      </w:tr>
      <w:tr>
        <w:trPr>
          <w:trHeight w:val="196"/>
        </w:trPr>
        <w:tc>
          <w:tcPr>
            <w:tcW w:w="55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7"/>
                <w:szCs w:val="17"/>
                <w:color w:val="auto"/>
              </w:rPr>
            </w:pPr>
          </w:p>
        </w:tc>
      </w:tr>
      <w:tr>
        <w:trPr>
          <w:trHeight w:val="25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(103,571)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(130,966)</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expense, excluding amortization of</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intangible assets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Amortization of acquired intangibles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3,521</w:t>
            </w:r>
          </w:p>
        </w:tc>
      </w:tr>
      <w:tr>
        <w:trPr>
          <w:trHeight w:val="27"/>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16,188</w:t>
            </w: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Impairment of goodwill</w:t>
            </w:r>
          </w:p>
        </w:tc>
        <w:tc>
          <w:tcPr>
            <w:tcW w:w="4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90,251</w:t>
            </w:r>
          </w:p>
        </w:tc>
      </w:tr>
      <w:tr>
        <w:trPr>
          <w:trHeight w:val="27"/>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Acquisition and related items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7"/>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exchange (gain) loss, net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7"/>
        </w:trPr>
        <w:tc>
          <w:tcPr>
            <w:tcW w:w="5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(21,128)</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decline in adjusted EBITDA for the three and nine months ended September 30, 2018 and our expectations for future adjusted EBITDA have been driven by the same factors that drove the changes in our GAAP metrics noted above.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Take Rate</w:t>
      </w:r>
    </w:p>
    <w:p>
      <w:pPr>
        <w:spacing w:after="0" w:line="9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Take rate is an operational performance measure calculated by dividing revenue (or for periods in which we have revenue reported on a gross basis, non-GAAP net revenue) by advertising spend. We review take rate for internal management purposes to assess the development of our marketplace with buyers and sellers.</w:t>
      </w:r>
    </w:p>
    <w:p>
      <w:pPr>
        <w:spacing w:after="0" w:line="60"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Our take rate (and our fees, which drive take rate) can be affected by a variety of factors, including the terms of our arrangements with buyers and sellers active on our platform in a particular period, the scale of a buyer</w:t>
      </w:r>
      <w:r>
        <w:rPr>
          <w:rFonts w:ascii="Arial" w:cs="Arial" w:eastAsia="Arial" w:hAnsi="Arial"/>
          <w:sz w:val="19"/>
          <w:szCs w:val="19"/>
          <w:color w:val="auto"/>
        </w:rPr>
        <w:t>’</w:t>
      </w:r>
      <w:r>
        <w:rPr>
          <w:rFonts w:ascii="Arial" w:cs="Arial" w:eastAsia="Arial" w:hAnsi="Arial"/>
          <w:sz w:val="18"/>
          <w:szCs w:val="18"/>
          <w:color w:val="auto"/>
        </w:rPr>
        <w:t>s or seller’s activity on our platform, mix of inventory types, the implementation of new products, platforms and solution features, auction dynamics, competitive factors, our strategic pricing decisions, and the overall development of the digital advertising ecosystem.</w:t>
      </w:r>
    </w:p>
    <w:p>
      <w:pPr>
        <w:spacing w:after="0" w:line="6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significant declines in our take rates for the three and nine month periods ended September 30, 2018 compared to the same periods in 2017 resulted primarily from the reduction and elimination of buyer fees as discussed above in "Industry Trends and Trends in Our Business—</w:t>
      </w:r>
      <w:r>
        <w:rPr>
          <w:rFonts w:ascii="Arial" w:cs="Arial" w:eastAsia="Arial" w:hAnsi="Arial"/>
          <w:sz w:val="18"/>
          <w:szCs w:val="18"/>
          <w:i w:val="1"/>
          <w:iCs w:val="1"/>
          <w:color w:val="auto"/>
        </w:rPr>
        <w:t>Take Rate Decline"</w:t>
      </w:r>
      <w:r>
        <w:rPr>
          <w:rFonts w:ascii="Arial" w:cs="Arial" w:eastAsia="Arial" w:hAnsi="Arial"/>
          <w:sz w:val="18"/>
          <w:szCs w:val="18"/>
          <w:color w:val="auto"/>
        </w:rPr>
        <w:t>. Subsequent to the elimination of buyer fees, take rates have stabilized and increased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49" w:right="239" w:bottom="1440" w:gutter="0" w:footer="0" w:header="0"/>
        </w:sectPr>
      </w:pPr>
    </w:p>
    <w:bookmarkStart w:id="35" w:name="page36"/>
    <w:bookmarkEnd w:id="35"/>
    <w:p>
      <w:pPr>
        <w:ind w:right="1460"/>
        <w:spacing w:after="0" w:line="407" w:lineRule="auto"/>
        <w:rPr>
          <w:sz w:val="20"/>
          <w:szCs w:val="20"/>
          <w:color w:val="auto"/>
        </w:rPr>
      </w:pPr>
      <w:r>
        <w:rPr>
          <w:rFonts w:ascii="Arial" w:cs="Arial" w:eastAsia="Arial" w:hAnsi="Arial"/>
          <w:sz w:val="18"/>
          <w:szCs w:val="18"/>
          <w:color w:val="auto"/>
        </w:rPr>
        <w:t xml:space="preserve">slightly. Our take rate was 11.8% in the first quarter of 2018, 12.1% in the second quarter of 2018, and 12.3% in the third quarter of 2018. </w:t>
      </w:r>
      <w:r>
        <w:rPr>
          <w:rFonts w:ascii="Arial" w:cs="Arial" w:eastAsia="Arial" w:hAnsi="Arial"/>
          <w:sz w:val="18"/>
          <w:szCs w:val="18"/>
          <w:b w:val="1"/>
          <w:bCs w:val="1"/>
          <w:color w:val="auto"/>
        </w:rPr>
        <w:t>Liquidity and Capital Resources</w:t>
      </w:r>
    </w:p>
    <w:p>
      <w:pPr>
        <w:ind w:right="100" w:firstLine="324"/>
        <w:spacing w:after="0" w:line="255" w:lineRule="auto"/>
        <w:rPr>
          <w:sz w:val="20"/>
          <w:szCs w:val="20"/>
          <w:color w:val="auto"/>
        </w:rPr>
      </w:pPr>
      <w:r>
        <w:rPr>
          <w:rFonts w:ascii="Arial" w:cs="Arial" w:eastAsia="Arial" w:hAnsi="Arial"/>
          <w:sz w:val="18"/>
          <w:szCs w:val="18"/>
          <w:color w:val="auto"/>
        </w:rPr>
        <w:t>Our principal sources of liquidity are our cash and cash equivalents, marketable securities, cash generated from operations, and our credit facility with Silicon Valley Bank ("SVB"). At September 30, 2018, we had cash and cash equivalents of $82.4 million, of which $18.8 million was held in foreign currency cash accounts, and marketable securities of $14.5 million.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w:t>
      </w:r>
    </w:p>
    <w:p>
      <w:pPr>
        <w:spacing w:after="0" w:line="5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September 26, 2018, we amended and restated our loan and security agreement with SVB (the "Loan Agreement"), which was scheduled to expire on September 27, 2018. The Loan Agreement provides a senior secured revolving credit facility of up to $40.0 million with a maturity date of September 26, 2020. The amount available for borrowing as of September 30, 2018 is $30.0 million due to a $10.0 million reserve that will be released if we maintain positive Adjusted EBITDA for any trailing twelve-month period.</w:t>
      </w:r>
    </w:p>
    <w:p>
      <w:pPr>
        <w:spacing w:after="0" w:line="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unused revolver fee in the amount of 0.15% per annum of the average unused portion of the revolver line is charged and is payable monthly in arrears. We may elect for advances to bear interest calculated by reference to prime or LIBOR. If we elect LIBOR, amounts outstanding under the amended credit facility bear interest at a rate per annum equal to LIBOR plus 2.50% if a streamline period applies or LIBOR plus 4.00% if a streamline period does not apply. If we elect prime, advances bear interest at a rate of prime plus 0.50% if a streamline period applies or prime plus 2.00% if a streamline period does not apply. A streamline period is any period during which an event of default does not exist and our Adjusted Quick Ratio (as defined in the Loan Agreement) is at least 1.05 for each day in the preceding month.</w:t>
      </w:r>
    </w:p>
    <w:p>
      <w:pPr>
        <w:spacing w:after="0" w:line="7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our assets. Subject to certain exceptions, the Loan Agreement restricts our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we are required to maintain a lockbox arrangement where customer payments received in the lockbox will immediately reduce the amounts outstanding on the credit facility.</w:t>
      </w:r>
    </w:p>
    <w:p>
      <w:pPr>
        <w:spacing w:after="0" w:line="43"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The Loan Agreement requires us to comply with financial covenants, including a minimum Adjusted Quick Ratio and the achievement of certain Adjusted EBITDA targets. On a monthly basis, or quarterly if there were no advances outstanding during the calendar quarter, we are required to maintain a minimum Adjusted Quick Ratio of: (i) 1.00 if the trailing six month adjusted EBITDA is $0 or less, or (ii) 0.90 if the trailing six month adjusted EBITDA is greater than $0. If our Adjusted Quick Ratio is 1.05 or greater, a streamline period applies. As of September 30, 2018, our Adjusted Quick Ratio was 1.2, which is in compliance with the covenant requirement and is higher than the minimum Adjusted Quick Ratio required to qualify for a streamline period. We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w:t>
      </w:r>
    </w:p>
    <w:p>
      <w:pPr>
        <w:spacing w:after="0" w:line="4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44" w:lineRule="exact"/>
        <w:rPr>
          <w:sz w:val="20"/>
          <w:szCs w:val="20"/>
          <w:color w:val="auto"/>
        </w:rPr>
      </w:pPr>
    </w:p>
    <w:p>
      <w:pPr>
        <w:jc w:val="both"/>
        <w:ind w:right="180" w:firstLine="324"/>
        <w:spacing w:after="0" w:line="277" w:lineRule="auto"/>
        <w:rPr>
          <w:sz w:val="20"/>
          <w:szCs w:val="20"/>
          <w:color w:val="auto"/>
        </w:rPr>
      </w:pPr>
      <w:r>
        <w:rPr>
          <w:rFonts w:ascii="Arial" w:cs="Arial" w:eastAsia="Arial" w:hAnsi="Arial"/>
          <w:sz w:val="18"/>
          <w:szCs w:val="18"/>
          <w:color w:val="auto"/>
        </w:rPr>
        <w:t>At September 30, 2018, we had no amounts outstanding under our Loan Agreement with SVB. Future availability under the credit facility is dependent on several factors including the available borrowing base and compliance with future covenant requirements.</w:t>
      </w:r>
    </w:p>
    <w:p>
      <w:pPr>
        <w:spacing w:after="0" w:line="3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believe our existing cash and cash equivalents and investment balances will be sufficient to meet our working capital requirements for at least the next twelve months from the issuance of our financial statements. However, we have been negatively impacted by rapid changes in the ad tech industry, including demand by ad tech buyers for more efficiency and lower costs, changes in bidding technologies, and increased competition. In response to these challenges, we made significant reductions in fees charged to buyers during 2017 and in November 2017 eliminated buyer fees altogether. As a result, our take rate decreased from 18.1% in the third quarter of 2017 to 11.8% for the first quarter of 2018, increasing slightly to 12.3% for the third quarter of 2018. In an effort to bring our costs into better alignment with reduced revenue, we have undertaken restructuring activities to reduce headcount and related operating costs, and have also reduced our capital expenditures, which may make execution against our strategic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949" w:right="259" w:bottom="1440" w:gutter="0" w:footer="0" w:header="0"/>
        </w:sectPr>
      </w:pPr>
    </w:p>
    <w:bookmarkStart w:id="36" w:name="page37"/>
    <w:bookmarkEnd w:id="36"/>
    <w:p>
      <w:pPr>
        <w:spacing w:after="0" w:line="257" w:lineRule="auto"/>
        <w:rPr>
          <w:sz w:val="20"/>
          <w:szCs w:val="20"/>
          <w:color w:val="auto"/>
        </w:rPr>
      </w:pPr>
      <w:r>
        <w:rPr>
          <w:rFonts w:ascii="Arial" w:cs="Arial" w:eastAsia="Arial" w:hAnsi="Arial"/>
          <w:sz w:val="18"/>
          <w:szCs w:val="18"/>
          <w:color w:val="auto"/>
        </w:rPr>
        <w:t>plans more difficult. Unless and until the we are able to compensate for the buyer fee reductions and reduced gross margins by continuing to increase advertising spending on our platform, increase seller fees, or sufficiently reduce costs, we may not be able to grow our business and may continue to operate at a loss, depleting our cash resources and liquidity. Our future capital requirements and the adequacy of available funds will depend on many factors, including those set forth in Part II, Item 1A: "Risk Factors" of our Annual Report on Form 10-K for the year ended December 31, 2017 and in Part II, Item 1A of our subsequent Quarterly Reports on Form 10-Q.</w:t>
      </w:r>
    </w:p>
    <w:p>
      <w:pPr>
        <w:spacing w:after="0" w:line="14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even if credit is available, lenders may seek more restrictive covenants and higher interest rates that may reduce our borrowing capacity, increase our costs, and reduce our operating flexibility.</w:t>
      </w:r>
    </w:p>
    <w:p>
      <w:pPr>
        <w:spacing w:after="0" w:line="14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6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September 30, 2017</w:t>
            </w:r>
          </w:p>
        </w:tc>
      </w:tr>
      <w:tr>
        <w:trPr>
          <w:trHeight w:val="196"/>
        </w:trPr>
        <w:tc>
          <w:tcPr>
            <w:tcW w:w="7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4"/>
          </w:tcPr>
          <w:p>
            <w:pPr>
              <w:jc w:val="right"/>
              <w:ind w:right="1193"/>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Cash flows provided by (used in) investing activities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(58,060)</w:t>
            </w: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7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89"/>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cash flows from operating activities are primarily driven by revenues generated from advertising activity, offset by the cash costs of operations, and are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 We typically collect from buyers in advance of payments to sellers. Our collection and payment cycle can vary from period to period depending upon various circumstances, including seasonality. Increases in revenue earned directly from advertisers and agencies may cause the amount of receipts from buyers collected in advance of payments to sellers to decrease, because advertisers and agencies may pay slowly. Recently, some buyers have begun demanding longer terms to pay us later and some sellers have begun demanding shorter terms to collect from us earlier. We may not have the leverage to resist these demands given the competitive nature of our business. If this continues, more of our cash will be required to fund our payment cycle and therefore not available for other uses.</w:t>
      </w:r>
    </w:p>
    <w:p>
      <w:pPr>
        <w:spacing w:after="0" w:line="3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For the nine months ended September 30, 2018, net cash used in operating activities was $22.6 million compared to net cash provided by operating activities of $9.2 million for the nine months ended September 30, 2017. Our operating activities included our net losses of $59.6 million and $131.0 million for the nine months ended September 30, 2018 and 2017, respectively, which were offset by non-cash adjustments of $39.2 million and $133.1 million, respectively. Non-cash adjustments for the nine months ended September 30, 2017 included a $90.3 million goodwill impairment charge. In the first nine months of 2018, net changes in our working capital increased cash used in operating activities by $2.1 million. Net cash provided by operating activities for the first nine months of 2017 was also increased by net changes in our working capital of $7.1 million. The net changes in working capital for both periods are primarily due to the timing of cash receipts from buyers and the timing of payments to sellers.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49"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color w:val="auto"/>
        </w:rPr>
        <w:t>We believe that cash flows from operations will continue to be negatively impacted by our ongoing net losses.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development cycles of our internal use software. As we execute on our strategy to be a high volume, low cost advertising exchange, we are developing solutions to manage the growth of our digital advertising inventory volume more efficiently. As a result of these efforts, we anticipate investment in property and equipment related to that inventory volume to decline compared to 2017. We anticipate investment in internal use software development to remain relatively consistent with past years' investment levels as we continue to innovate new solutions on our platform. Investments in, and maturities of, available-for-sale securities and acquisitions of businesses vary from period-to-period.</w:t>
      </w:r>
    </w:p>
    <w:p>
      <w:pPr>
        <w:spacing w:after="0" w:line="3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nine months ended September 30, 2018 our investing activities provided net cash of $28.8 million compared to net cash used in investing activities of $58.1 million for the nine months ended September 30, 2017. For the nine months ended September 30, 2018 and 2017, we had net maturities of investments in available-for-sale securities of $31.7 million and $1.2 million, respectively. The nine months ended September 30, 2018 also included cash inflows of $9.2 million from sales of our available-for-sale securities. These cash inflows were offset by purchases of property and equipment of $5.5 million and $14.6 million during the nine months ended September 30, 2018 and 2017, respectively, and investments in our internally developed software of $6.6 million and $6.1 million,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10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 the nine months ended September 30, 2018 and 2017, we used net cash of $0.5 million and $1.2 million, respectively, for financing activities. Cash outflows from financing activities for the nine months ended September 30, 2018 and 2017 included payments of $0.7 million and $2.1 million, respectively, for income tax deposits paid in respect of vesting of stock-based compensation awards that were reimbursed by the award recipients through surrender of shares. Offsetting these outflows were cash inflows of $0.1 million and $0.4 million from the issuance of common stock under the employee stock purchase plan for the nine months ended September 30, 2018 and 2017,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for other contractually narrow or limited purposes. We did not have any other off-balance sheet arrangements at September 30, 2018 other than the operating leases and the indemnification agreements described below.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0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principal commitments consist of leases for our various office facilities, including our corporate headquarters in Los Angeles, California, and non-cancelable operating lease agreements with data centers that expire at various times through 2024. At September 30, 2018, expected future commitments relating to operating leases were $16.8 million. In certain cases, the terms of the lease agreements provide for rental payments on a graduated basis. We received rental income from subleases totaling $0.6 million for the nine months ended September 30, 2018.</w:t>
      </w:r>
    </w:p>
    <w:p>
      <w:pPr>
        <w:spacing w:after="0" w:line="5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nine months ended September 30, 2018 and we do not expect to have any significant changes to unrecognized tax benefits through December 31, 2018.</w:t>
      </w:r>
    </w:p>
    <w:p>
      <w:pPr>
        <w:spacing w:after="0" w:line="3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2018.</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949"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goodwill and intangible asset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Therefore, we consider these to be our critical accounting policies and estimates. There have been no significant changes in our accounting policies from those disclosed in our audited consolidated financial statements and notes thereto for the year ended December 31, 2017 included in our Annual Report on Form 10-K.</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revenue recognition policy is further described below, which is consistent with the policy included in our Annual Report referenced above.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generate revenue from transactions where we provide a platform for the purchase and sale of digital advertising inventory. Our advertising automation solution is a marketplace that includes sellers of inventory (providers of websites, mobile applications and other digital media properties, and their representatives) and buyers of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15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or “take rate”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customer, which occurs at the point in time an ad renders and is counted as a paid impression, subject to a contract existing with the customer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1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determined that we do not act as the principal in the purchase and sale of digital advertising inventory because we are not the primary obligor and do not set prices agreed upon within the auction marketplace, and therefore we report revenue on a net basis. In periods prior to the second quarter of 2017, we reported revenue on a gross basis for revenue associated with our intent marketing solution, as we determined that we acted as the principal in the purchase and sale of digital advertising inventory. We ceased offering our intent marketing solution after the first quarter of 2017, after which time, all of our revenues have been recorded on a net basis.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item is not required for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026"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2018, our disclosure controls and procedures were effective at the reasonable assurance level.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September 30, 2018 that have materially affected, or are reasonably likely to materially affect, our internal control over financial reporting.</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600" w:firstLine="324"/>
        <w:spacing w:after="0" w:line="290" w:lineRule="auto"/>
        <w:rPr>
          <w:sz w:val="20"/>
          <w:szCs w:val="20"/>
          <w:color w:val="auto"/>
        </w:rPr>
      </w:pPr>
      <w:r>
        <w:rPr>
          <w:rFonts w:ascii="Arial" w:cs="Arial" w:eastAsia="Arial" w:hAnsi="Arial"/>
          <w:sz w:val="16"/>
          <w:szCs w:val="16"/>
          <w:color w:val="auto"/>
        </w:rPr>
        <w:t>We and our subsidiaries may from time to time be parties to legal or regulatory proceedings, lawsuits and other claims incident to our business activities and to our status as a public company. Such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September 30, 2018. However, based on our knowledge as of September 30, 2018,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9" w:lineRule="exact"/>
        <w:rPr>
          <w:sz w:val="20"/>
          <w:szCs w:val="20"/>
          <w:color w:val="auto"/>
        </w:rPr>
      </w:pPr>
    </w:p>
    <w:p>
      <w:pPr>
        <w:ind w:right="440" w:firstLine="324"/>
        <w:spacing w:after="0" w:line="271" w:lineRule="auto"/>
        <w:rPr>
          <w:sz w:val="20"/>
          <w:szCs w:val="20"/>
          <w:color w:val="auto"/>
        </w:rPr>
      </w:pPr>
      <w:r>
        <w:rPr>
          <w:rFonts w:ascii="Arial" w:cs="Arial" w:eastAsia="Arial" w:hAnsi="Arial"/>
          <w:sz w:val="17"/>
          <w:szCs w:val="17"/>
          <w:color w:val="auto"/>
        </w:rPr>
        <w:t>On March 31, 2017, Guardian News &amp; Media Limited ("Guardian") issued proceedings (the "Complaint") against us in the Chancery Division of the High Court of Justice in England &amp; Wales. The Complaint alleged that we underpaid Guardian for inventory sold by Guardian through our platform as a result of the fact that we charged fees to buyers of that inventory. Guardian claimed we were precluded from charging buyer fees as a result of our contractual arrangements with Guardian and English agency law principles, as well as representations we allegedly made to Guardian. The Complaint claimed damages including loss of revenue, interest, and costs. On October 11, 2018, we and Guardian mutually agreed to resolve our dispute and the High Court proceedings have been discontinued. Though the terms of the settlement agreement are confidential, the settlement is immaterial to us from a financial standpoint. However, if we face similar claims from other clients or as a preventative measure, we might decide to make changes to our business practices that could have a material impact on our financial position.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026"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in Part I, Item 1A of our Annual Report on Form 10-K for the year ended December 31, 2017 and in Part II, Item 1A of our subsequent Quarterly Reports on Form 10-Q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Except as described below, there are no material changes to the Risk Factors of which we are currently aware. However,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credit facility subjects us to operating restrictions and financial covenants that impose risk of default and may restrict our business and financing activities.</w:t>
      </w:r>
    </w:p>
    <w:p>
      <w:pPr>
        <w:spacing w:after="0" w:line="35"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We have a $40.0 million credit facility with Silicon Valley Bank, currently subject to a $10.0 million reserve. Borrowings are secured by substantially all of our tangible personal property assets and all of our intangible assets are subject to a negative pledge in favor of Silicon Valley Bank. This credit facility is, and any replacement credit facility that we may secure will be, subject to certain covenants and borrowing conditions, including those related to financial ratios and liquidity. If we fail to perform in accordance with covenants or to satisfy conditions, we may not be able to make borrowings under the facility. The credit facility is, and any replacement credit facility that we may secure will be, also subject to restrictions that limit our ability, among other things, to:</w:t>
      </w:r>
    </w:p>
    <w:p>
      <w:pPr>
        <w:spacing w:after="0" w:line="2" w:lineRule="exact"/>
        <w:rPr>
          <w:sz w:val="20"/>
          <w:szCs w:val="20"/>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dispose of or sell our assets;</w:t>
      </w:r>
    </w:p>
    <w:p>
      <w:pPr>
        <w:spacing w:after="0" w:line="9" w:lineRule="exact"/>
        <w:rPr>
          <w:rFonts w:ascii="Arial" w:cs="Arial" w:eastAsia="Arial" w:hAnsi="Arial"/>
          <w:sz w:val="18"/>
          <w:szCs w:val="18"/>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9" w:lineRule="exact"/>
        <w:rPr>
          <w:rFonts w:ascii="Arial" w:cs="Arial" w:eastAsia="Arial" w:hAnsi="Arial"/>
          <w:sz w:val="18"/>
          <w:szCs w:val="18"/>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consolidate or merge with other entities;</w:t>
      </w:r>
    </w:p>
    <w:p>
      <w:pPr>
        <w:spacing w:after="0" w:line="9" w:lineRule="exact"/>
        <w:rPr>
          <w:rFonts w:ascii="Arial" w:cs="Arial" w:eastAsia="Arial" w:hAnsi="Arial"/>
          <w:sz w:val="18"/>
          <w:szCs w:val="18"/>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9" w:lineRule="exact"/>
        <w:rPr>
          <w:rFonts w:ascii="Arial" w:cs="Arial" w:eastAsia="Arial" w:hAnsi="Arial"/>
          <w:sz w:val="18"/>
          <w:szCs w:val="18"/>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9" w:lineRule="exact"/>
        <w:rPr>
          <w:rFonts w:ascii="Arial" w:cs="Arial" w:eastAsia="Arial" w:hAnsi="Arial"/>
          <w:sz w:val="18"/>
          <w:szCs w:val="18"/>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9" w:lineRule="exact"/>
        <w:rPr>
          <w:rFonts w:ascii="Arial" w:cs="Arial" w:eastAsia="Arial" w:hAnsi="Arial"/>
          <w:sz w:val="18"/>
          <w:szCs w:val="18"/>
          <w:color w:val="auto"/>
        </w:rPr>
      </w:pPr>
    </w:p>
    <w:p>
      <w:pPr>
        <w:ind w:left="280" w:hanging="110"/>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off or redeem subordinated indebtedness.</w:t>
      </w:r>
    </w:p>
    <w:p>
      <w:pPr>
        <w:spacing w:after="0" w:line="89" w:lineRule="exact"/>
        <w:rPr>
          <w:sz w:val="20"/>
          <w:szCs w:val="20"/>
          <w:color w:val="auto"/>
        </w:rPr>
      </w:pPr>
    </w:p>
    <w:p>
      <w:pPr>
        <w:jc w:val="both"/>
        <w:ind w:right="80" w:firstLine="486"/>
        <w:spacing w:after="0" w:line="257" w:lineRule="auto"/>
        <w:rPr>
          <w:sz w:val="20"/>
          <w:szCs w:val="20"/>
          <w:color w:val="auto"/>
        </w:rPr>
      </w:pPr>
      <w:r>
        <w:rPr>
          <w:rFonts w:ascii="Arial" w:cs="Arial" w:eastAsia="Arial" w:hAnsi="Arial"/>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loan and security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w:t>
      </w:r>
    </w:p>
    <w:p>
      <w:pPr>
        <w:spacing w:after="0" w:line="6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if credit is available, lenders may seek more restrictive covenants and higher interest rates that may reduce our borrowing capacity, increase our costs, and reduce our operating flexibility.</w:t>
      </w:r>
    </w:p>
    <w:p>
      <w:pPr>
        <w:spacing w:after="0" w:line="53" w:lineRule="exact"/>
        <w:rPr>
          <w:sz w:val="20"/>
          <w:szCs w:val="20"/>
          <w:color w:val="auto"/>
        </w:rPr>
      </w:pPr>
    </w:p>
    <w:p>
      <w:pPr>
        <w:ind w:right="280" w:firstLine="486"/>
        <w:spacing w:after="0" w:line="312" w:lineRule="auto"/>
        <w:rPr>
          <w:sz w:val="20"/>
          <w:szCs w:val="20"/>
          <w:color w:val="auto"/>
        </w:rPr>
      </w:pPr>
      <w:r>
        <w:rPr>
          <w:rFonts w:ascii="Arial" w:cs="Arial" w:eastAsia="Arial" w:hAnsi="Arial"/>
          <w:sz w:val="16"/>
          <w:szCs w:val="16"/>
          <w:color w:val="auto"/>
        </w:rPr>
        <w:t>If we make borrowings under the facility and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California Consumer Privacy Act of 2018 could create additional costs, subject us to enforcement actions, or cause us to change our technology solution or business model, any of which may have an adverse effect on the demand for our solution.</w:t>
      </w:r>
    </w:p>
    <w:p>
      <w:pPr>
        <w:spacing w:after="0" w:line="4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June 28, 2018, California passed a privacy law in the California Consumer Privacy Act of 2018 (“CCPA”), which grants California residents certain rights with respect to their personal information. The CCPA is the most comprehensive data privacy regulation to date in the United States, and could be the precursor to other similar legislation in other states or at the federal level. The CCPA expands the definition of personal information, which captures the types of data that we collect, such as device identifiers and IP addresses. Under the CCPA, businesses are required to grant expansive access, deletion and portability rights to consumers in the United States, similar to those provided under the European General Data Protection Regulation. The law may also impose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26" w:right="239" w:bottom="1440" w:gutter="0" w:footer="0" w:header="0"/>
        </w:sectPr>
      </w:pPr>
    </w:p>
    <w:bookmarkStart w:id="41" w:name="page42"/>
    <w:bookmarkEnd w:id="41"/>
    <w:p>
      <w:pPr>
        <w:ind w:right="320"/>
        <w:spacing w:after="0" w:line="276" w:lineRule="auto"/>
        <w:rPr>
          <w:sz w:val="20"/>
          <w:szCs w:val="20"/>
          <w:color w:val="auto"/>
        </w:rPr>
      </w:pPr>
      <w:r>
        <w:rPr>
          <w:rFonts w:ascii="Arial" w:cs="Arial" w:eastAsia="Arial" w:hAnsi="Arial"/>
          <w:sz w:val="17"/>
          <w:szCs w:val="17"/>
          <w:color w:val="auto"/>
        </w:rPr>
        <w:t>burdensome storage and compliance obligations on publishers and ad tech companies. Interpretation of the requirements remains unclear due to the recent passage of the regulation. The law is expected to take effect in 2020. The CCPA may precipitate additional privacy regulation by federal, state and local governments, which may increase our compliance costs and strain our technical capabilities, and which may conflict with each other. If we are unable to comply with the CCPA or other related legislation in the future, we may be subject to regulatory or private investigations, and if we are unable to use information for targeted advertising as we have in the past, our business could be materially affected.</w:t>
      </w:r>
    </w:p>
    <w:p>
      <w:pPr>
        <w:spacing w:after="0" w:line="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Legal and compliance uncertainties resulting from effectiveness of the European General Data Protection Regulation on May 25, 2018 may result in substantial risk to our ad spend and revenue.</w:t>
      </w:r>
    </w:p>
    <w:p>
      <w:pPr>
        <w:spacing w:after="0" w:line="49"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The General Data Protection Regulation, or GDPR, which became effective on May 25, 2018, adds significant new regulatory requirements that are applicable to us as well as our clients and competitors. As is frequently the case with transformative new laws, some critical elements of the GDPR are still unclear, and consistent regulatory guidance has yet to be developed, or for established industry compliance practices to emerge. Compliance stakes are high because penalties for violation of the law can reach up to the greater of 20 million Euros or 4% of total worldwide annual turnover (revenue). Further, compliance is complicated by the potential for differing interpretation and enforcement of the GDPR by regulators in each of the EEA’s (European Economic Area) member states. The reach of the GDPR extends well beyond ad tech, but some observers believe that ad tech may become a special focus of enforcement due to the concerns many European privacy regulators have expressed about digital behavioral advertising. If we are subjected to regulatory investigations or private claims, we could face significant fines and losses, and our financial position could be materially affected.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Behavioral advertising requires end-user information, and an inability to get that information could affect our business.</w:t>
      </w:r>
    </w:p>
    <w:p>
      <w:pPr>
        <w:spacing w:after="0" w:line="9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more informed advertising is about its audience, the more valuable it is. Skywriting and highway billboards are examples of generalized advertising, casting a broad net across an undifferentiated audience in hopes of capturing a few of the viewers the advertiser hopes to reach. “Contextual” advertising attempts to reach audiences based upon inferences about their interests drawn by, for example, what websites they visit or apps they use. Programmatic advertising, facilitated by the ad tech ecosystem, enables more precise audience targeting, known as “behavioral” advertising. Publishers package information about their end users (e.g., geolocation data, browsing history) when requesting ads for the sites and apps visited by those end users, and buyers of that inventory use the end-user data provided by the publishers, together with any additional information they may have about the end users, to target their advertisements with greater precision than is possible without reliance upon end users’ attributes. This behavioral advertising is more effective and valuable for buyers than general or contextual advertising, resulting in more revenue for publishers. A key feature of the GDPR is that it treats much of the end-user information that is critical to programmatic digital advertising as “personal data” and therefore subject to significant conditions and restrictions on its collection and use. In addition, browsers and device manufacturers, such as Apple, Safari and Firefox, are limiting certain third- and first-party cookies, and may, in the future, limit certain user device information. This information is critical to the ad tech ecosystem, which uses it to help identify and track users. Without this end-user information, the value of programmatic advertising inventory diminishes, resulting in lower demand and prices, and potentially less ad spend and revenue for us and other industry participants.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GDPR imposes new requirements for end user consent and legal basis for data processing that are not yet well understood.</w:t>
      </w:r>
    </w:p>
    <w:p>
      <w:pPr>
        <w:spacing w:after="0" w:line="104" w:lineRule="exact"/>
        <w:rPr>
          <w:sz w:val="20"/>
          <w:szCs w:val="20"/>
          <w:color w:val="auto"/>
        </w:rPr>
      </w:pPr>
    </w:p>
    <w:p>
      <w:pPr>
        <w:ind w:right="240" w:firstLine="486"/>
        <w:spacing w:after="0" w:line="270" w:lineRule="auto"/>
        <w:rPr>
          <w:sz w:val="20"/>
          <w:szCs w:val="20"/>
          <w:color w:val="auto"/>
        </w:rPr>
      </w:pPr>
      <w:r>
        <w:rPr>
          <w:rFonts w:ascii="Arial" w:cs="Arial" w:eastAsia="Arial" w:hAnsi="Arial"/>
          <w:sz w:val="17"/>
          <w:szCs w:val="17"/>
          <w:color w:val="auto"/>
        </w:rPr>
        <w:t>End-user consent to data collection through device access has been required for some time under the European Union Privacy and Electronic Communications Directive (Directive 2002/58/EC), commonly referred to as the “ePrivacy Directive,” but the GDPR has added complexity and risk. End-user consent is difficult for ad tech intermediaries like us to obtain because we do not have direct relationships with such end users, so we have historically relied upon publishers to obtain consent for our technology under the ePrivacy Directive, and we must continue to rely upon publishers to obtain consent under the GDPR. However, while simple click-through cookie banners on EU-based digital media properties have been the norm for ePrivacy Directive compliance, it may become more challenging to obtain valid consent from European end users because the GDPR may be interpreted to impose additional requirements applicable to end-user consents generally. Unfortunately, it is not yet clear what may be needed to satisfy the requirements regarding consent. Without clarity on this point, different participants in the ad tech ecosystem may take different approaches to end-user consent, disrupting the coordination among buyers, sellers, and intermediaries required to process transactions efficiently.</w:t>
      </w:r>
    </w:p>
    <w:p>
      <w:pPr>
        <w:spacing w:after="0" w:line="4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GDPR sets forth six alternative legal bases for processing personal data, but only two are relevant to ad tech: consent by the data subject and “legitimate interests,” which means that “processing is necessary for the purposes of the legitimate interests pursued by the controller or by a third party, except where such interests are overridden by the interests or fundamental rights and freedoms of the data subject.” We generally rely upon legitimate interests because we lack the direct relationships to users that would be required to satisfy the requirements the GDPR imposes to satisfy the consent requirements for processing of personal data. Some EU regulators or courts may conclude that the processing of personal data for the purposes of behavioral advertising does not satisfy the legitimate interests of the controller, or that such interests do not outweigh the privacy rights of end users, even with respect to ad tech parties that only collect device-identifiable information. Unavailability of this basis for processing end users’ personal data would require us to obtain end-user consent for processing under the GDPR, which may not be possible for us, 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49"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other ad tech intermediaries, without changes to the ad tech business that would be difficult, time-consuming, expensive, and perhaps unattainable.</w:t>
      </w:r>
    </w:p>
    <w:p>
      <w:pPr>
        <w:spacing w:after="0" w:line="10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Google currently relies on end-user consent as its basis for processing personal data, and has required its publishers and ad tech partners to obtain such end-user consent on behalf of Google. We are reliant upon third parties to obtain consent for Google in accordance with their policies. Consent is relatively easier for Google to obtain because of its direct relationships with end users and importance to publishers, but its practices may not translate well across the industry. If publishers are unable to obtain this consent our revenue and advertising spend could decline.</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may mean substantial disruption and inefficiency, demand constraints, and reduced inventory supply and value.</w:t>
      </w:r>
    </w:p>
    <w:p>
      <w:pPr>
        <w:spacing w:after="0" w:line="4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In this context, various things can disrupt standard transaction patterns, resulting in reduced inventory availability or ad spend and consequently less revenue for us and other ad tech providers.</w:t>
      </w:r>
    </w:p>
    <w:p>
      <w:pPr>
        <w:spacing w:after="0" w:line="3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Some publishers may be unprepared to comply with evolving regulatory guidance under the GDPR, and therefore may remove personal data from their inventory before passing it into the bid stream, at least temporarily. This will lower their inventory on the value scale from behavioral to contextual advertising, resulting in loss of ad spend and revenue for us.</w:t>
      </w:r>
    </w:p>
    <w:p>
      <w:pPr>
        <w:spacing w:after="0" w:line="6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GDPR gives end users expanded legal rights, and the onset of the GDPR has been accompanied by substantial publicity and may continue to spawn various end-user advocacy groups and businesses focused upon helping users understand and exercise those rights. Furthermore, whereas in the past, end-user consent under the EU ePrivacy Directive was generally obtainable through a simple click-through banner, acceptable methods of obtaining end-user consent under the GDPR may be substantially less user-friendly, and if the consent mechanism is too cumbersome, end users are more likely to decline. These factors may result in lower levels of users' consent for accessing of their devices and processing of their personal data. Without that consent, our publishers may not attempt to monetize inventory associated with such end users at all, or pass that inventory to us without personal data, again lowering that inventory on the value scale from behavioral to contextual advertising.</w:t>
      </w:r>
    </w:p>
    <w:p>
      <w:pPr>
        <w:spacing w:after="0" w:line="56"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Even well-prepared publishers and buyers will be confronted with difficult choices and administrative and technical hurdles to implement their GDPR compliance programs and integrate with multiple other parties in the ecosystem. IAB Europe has provided a user transparency and consent tool that can be adapted by “consent management providers” (CMPs) and implemented by publishers. There is limited guidance regarding proper implementation of the tool and some publishers and ad tech providers may not be using the tool or interpreting consent signals correctly. The IAB Europe tool continues to evolve, so some inefficiency can be expected. It is not clear whether Google will participate in the IAB Europe tool or if they will rely on a proprietary consent tool. If Google chooses not to participate in the IAB Europe tool, broad adoption of the IAB Europe tool by publishers may be limited. To the extent another tool emerges and publishers need to utilize multiple consent tools, this may be cumbersome and deleterious to end-user experience and consent levels. It is also not yet clear whether any consent tool will survive scrutiny and be accepted by regulators as appropriate consent mechanisms. Further, compliance program design and implementation will be an ongoing process as understanding of the new law increases and industry compliance standards evolve. The resulting process friction could result in substantial inefficiency and loss of inventory and demand, as well as increased burdens upon our organization as we seek to assist clients and adapt our own technology and processes as necessary to comply with the law and adapt to industry practice.</w:t>
      </w:r>
    </w:p>
    <w:p>
      <w:pPr>
        <w:spacing w:after="0" w:line="3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Buyers of digital advertising inventory need to access end users’ devices to serve advertisements and collect information, such as end-user interaction with ad content and frequency tracking. Buyers need end-user consent for this access. Large integrated purchasers of ad inventory like Google can obtain consent for the device access they need directly from their end users. Other buyers must rely upon the publishers supplying inventory to secure that consent. Some buyers may continue to rely upon publishers to obtain this consent without independent verification, consistent with historical practice under the ePrivacy Directive, but other buyers may not be willing to accept or bid on inventory that is not accompanied by consent signals documenting specific user consent. Because these signals must be deciphered by multiple parties in the ad tech ecosystem, most publishers will rely upon either an industry supported consent tool (e.g., the IAB Europe tool) or a tool created by a large company with direct relationship with end users (e.g., Google). As noted above, consent tool adoption remains in the early stages and it is unclear whether the market will settle on one standard. Some buyers may decline to bid on impressions from the EEA due to ambiguity about their rights, or may only bid on impressions that are stripped of personal data and converted to contextual advertising. This will have the effect of reducing demand for and value of EEA impressions on our platform.</w:t>
      </w:r>
    </w:p>
    <w:p>
      <w:pPr>
        <w:spacing w:after="0" w:line="48"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The uncertain regulatory environment caused by the GDPR may benefit large, integrated competitors like Google and Facebook, which have greater compliance resources and can take advantage of their direct relationships with end users to secure consents from end users that we and other intermediaries without direct user relationships are less able to obtain under current industry conditions.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Near-term declines in EU-based ad spend and revenue remain possible, and long-term adverse effects are also possible.</w:t>
      </w:r>
    </w:p>
    <w:p>
      <w:pPr>
        <w:spacing w:after="0" w:line="90"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It is possible that the value of digital advertising in the EU, and consequently our ad spend and revenue, may be permanently impaired if EU courts and regulators interpret or enforce the GDPR in ways that have the effect of limiting behavioral advertising or that prohibit critical ad tech industry practices.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949"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Recent Sales of Unregistered Securities</w:t>
      </w:r>
    </w:p>
    <w:p>
      <w:pPr>
        <w:spacing w:after="0" w:line="103"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i w:val="1"/>
          <w:iCs w:val="1"/>
          <w:color w:val="auto"/>
        </w:rPr>
      </w:pPr>
    </w:p>
    <w:p>
      <w:pPr>
        <w:ind w:left="920" w:hanging="264"/>
        <w:spacing w:after="0"/>
        <w:tabs>
          <w:tab w:leader="none" w:pos="9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104"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Our initial public offering of common stock was effected through a Registration Statement on Form S-1 (File No. 333-193739), which was declared effective on April 1, 2014. There has been no material change in the planned use of proceeds from our initial public offering as described in our final prospectus filed with the SEC pursuant to Rule 424(b) of the Securities Act and other periodic reports previously filed with the SEC.</w:t>
      </w:r>
    </w:p>
    <w:p>
      <w:pPr>
        <w:spacing w:after="0" w:line="125" w:lineRule="exact"/>
        <w:rPr>
          <w:sz w:val="20"/>
          <w:szCs w:val="20"/>
          <w:color w:val="auto"/>
        </w:rPr>
      </w:pPr>
    </w:p>
    <w:p>
      <w:pPr>
        <w:ind w:left="340" w:right="5200" w:firstLine="316"/>
        <w:spacing w:after="0" w:line="396" w:lineRule="auto"/>
        <w:tabs>
          <w:tab w:leader="none" w:pos="909"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spacing w:after="0" w:line="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There were no common stock repurchases during the quarter ended September 30, 2018.</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September 26, 2018, we amended and restated our loan and security agreement with SVB (the "Loan Agreement"), which was scheduled to expire on September 27, 2018. The Loan Agreement provides a senior secured revolving credit facility of up to $40.0 million with a maturity date of September 26, 2020. The amount available for borrowing as of September 30, 2018 is $30.0 million due to a $10.0 million reserve that will be released if we maintain positive Adjusted EBITDA for any trailing twelve-month period.</w:t>
      </w:r>
    </w:p>
    <w:p>
      <w:pPr>
        <w:spacing w:after="0" w:line="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unused revolver fee in the amount of 0.15% per annum of the average unused portion of the revolver line is charged and is payable monthly in arrears. We may elect for advances to bear interest calculated by reference to prime or LIBOR. If we elect LIBOR, amounts outstanding under the amended credit facility bear interest at a rate per annum equal to LIBOR plus 2.50% if a streamline period applies or LIBOR plus 4.00% if a streamline period does not apply. If we elect prime, advances bear interest at a rate of prime plus 0.50% if a streamline period applies or prime plus 2.00% if a streamline period does not apply. A streamline period is any period during which an event of default does not exist and our Adjusted Quick Ratio (as defined in the Loan Agreement) is at least 1.05 for each day in the preceding month.</w:t>
      </w:r>
    </w:p>
    <w:p>
      <w:pPr>
        <w:spacing w:after="0" w:line="5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our assets. Subject to certain exceptions, the Loan Agreement restricts our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we are required to maintain a lockbox arrangement where customer payments received in the lockbox will immediately reduce the amounts outstanding on the credit facility.</w:t>
      </w:r>
    </w:p>
    <w:p>
      <w:pPr>
        <w:spacing w:after="0" w:line="5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The Loan Agreement requires us to comply with financial covenants, including a minimum Adjusted Quick Ratio and the achievement of certain Adjusted EBITDA targets. On a monthly basis, or quarterly if there were no advances outstanding during the calendar quarter, we are required to maintain a minimum Adjusted Quick Ratio of: (i) 1.00 if the trailing six month adjusted EBITDA is $0 or less, or (ii) 0.90 if the trailing six month adjusted EBITDA is greater than $0. If our Adjusted Quick Ratio is 1.05 or greater, a streamline period applies. As of September 30, 2018, our Adjusted Quick Ratio was 1.2, which is in compliance with the covenant requirement and is higher than the minimum Adjusted Quick Ratio required to qualify for a streamline period. We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w:t>
      </w:r>
    </w:p>
    <w:p>
      <w:pPr>
        <w:spacing w:after="0" w:line="4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026" w:right="2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800" w:type="dxa"/>
            <w:vAlign w:val="bottom"/>
            <w:gridSpan w:val="1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7"/>
        </w:trPr>
        <w:tc>
          <w:tcPr>
            <w:tcW w:w="2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0" w:type="dxa"/>
            <w:vAlign w:val="bottom"/>
            <w:tcBorders>
              <w:top w:val="single" w:sz="8" w:color="auto"/>
            </w:tcBorders>
            <w:gridSpan w:val="16"/>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Sixth Amended and Restated Certificate of Incorporation of the Registrant (incorporated by reference to Exhibit 3.1 to</w:t>
              </w:r>
            </w:hyperlink>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9">
              <w:r>
                <w:rPr>
                  <w:rFonts w:ascii="Arial" w:cs="Arial" w:eastAsia="Arial" w:hAnsi="Arial"/>
                  <w:sz w:val="18"/>
                  <w:szCs w:val="18"/>
                  <w:color w:val="0000FF"/>
                </w:rPr>
                <w:t>the Registrant's Quarterly Report on Form 10-Q filed with the Commission on May 15, 2014).</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gridSpan w:val="16"/>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Amended and Restated Bylaws of the Registrant (incorporated by reference to Exhibit 3.1 to the Registrant's Current</w:t>
              </w:r>
            </w:hyperlink>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30">
              <w:r>
                <w:rPr>
                  <w:rFonts w:ascii="Arial" w:cs="Arial" w:eastAsia="Arial" w:hAnsi="Arial"/>
                  <w:sz w:val="18"/>
                  <w:szCs w:val="18"/>
                  <w:color w:val="0000FF"/>
                </w:rPr>
                <w:t>Report on Form 8-K filed with the Commission on April 8, 2016).</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gridSpan w:val="16"/>
          </w:tcPr>
          <w:p>
            <w:pPr>
              <w:spacing w:after="0" w:line="19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Amended and Restated Loan and Security Agreement, dated as of September 26, 2018, by and among Silicon Valley</w:t>
              </w:r>
            </w:hyperlink>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Bank, the Registrant, Rubicon Project Hopper, Inc., and Rubicon Project Bell, Inc.</w:t>
              </w:r>
            </w:hyperlink>
          </w:p>
        </w:tc>
        <w:tc>
          <w:tcPr>
            <w:tcW w:w="2460" w:type="dxa"/>
            <w:vAlign w:val="bottom"/>
            <w:tcBorders>
              <w:top w:val="single" w:sz="8" w:color="0000FF"/>
            </w:tcBorders>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Second Amendment to Stock Pledge Agreement, dated as of September 26, 2018, by and between Silicon Valley Bank</w:t>
              </w:r>
            </w:hyperlink>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14"/>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and the Registrant.</w:t>
              </w:r>
            </w:hyperlink>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8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The Rubicon Project, Inc. 2014 Employee Stock Purchase Plan, as amended and restated on July 26, 2018</w:t>
              </w:r>
            </w:hyperlink>
          </w:p>
        </w:tc>
        <w:tc>
          <w:tcPr>
            <w:tcW w:w="11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6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0" w:type="dxa"/>
            <w:vAlign w:val="bottom"/>
            <w:gridSpan w:val="16"/>
          </w:tcPr>
          <w:p>
            <w:pPr>
              <w:spacing w:after="0"/>
              <w:rPr>
                <w:rFonts w:ascii="Arial" w:cs="Arial" w:eastAsia="Arial" w:hAnsi="Arial"/>
                <w:sz w:val="18"/>
                <w:szCs w:val="18"/>
                <w:color w:val="0000FF"/>
                <w:w w:val="98"/>
              </w:rPr>
            </w:pPr>
            <w:hyperlink w:anchor="page101">
              <w:r>
                <w:rPr>
                  <w:rFonts w:ascii="Arial" w:cs="Arial" w:eastAsia="Arial" w:hAnsi="Arial"/>
                  <w:sz w:val="18"/>
                  <w:szCs w:val="18"/>
                  <w:color w:val="0000FF"/>
                  <w:w w:val="98"/>
                </w:rPr>
                <w:t>Certification of Principal Executive Officer Pursuant to Exchange Act Rules 13a-14(a) and 15d-14(a), as adopted</w:t>
              </w:r>
            </w:hyperlink>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pursuant to Section 302 of the Sarbanes-Oxley Act of 2002.</w:t>
              </w:r>
            </w:hyperlink>
          </w:p>
        </w:tc>
        <w:tc>
          <w:tcPr>
            <w:tcW w:w="340" w:type="dxa"/>
            <w:vAlign w:val="bottom"/>
            <w:gridSpan w:val="3"/>
          </w:tcPr>
          <w:p>
            <w:pPr>
              <w:spacing w:after="0"/>
              <w:rPr>
                <w:sz w:val="13"/>
                <w:szCs w:val="13"/>
                <w:color w:val="auto"/>
              </w:rPr>
            </w:pPr>
          </w:p>
        </w:tc>
        <w:tc>
          <w:tcPr>
            <w:tcW w:w="2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gridSpan w:val="16"/>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Certification of Principal Financial Officer Pursuant to Exchange Act Rules 13a-14(a) and 15d-14(a), as adopted pursuant</w:t>
              </w:r>
            </w:hyperlink>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to Section 302 of the Sarbanes-Oxley Act of 2002.</w:t>
              </w:r>
            </w:hyperlink>
          </w:p>
        </w:tc>
        <w:tc>
          <w:tcPr>
            <w:tcW w:w="512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line="210" w:lineRule="exact"/>
              <w:rPr>
                <w:sz w:val="20"/>
                <w:szCs w:val="20"/>
                <w:color w:val="auto"/>
              </w:rPr>
            </w:pPr>
            <w:r>
              <w:rPr>
                <w:rFonts w:ascii="Arial" w:cs="Arial" w:eastAsia="Arial" w:hAnsi="Arial"/>
                <w:sz w:val="18"/>
                <w:szCs w:val="18"/>
                <w:color w:val="auto"/>
              </w:rPr>
              <w:t>32*</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gridSpan w:val="16"/>
          </w:tcPr>
          <w:p>
            <w:pPr>
              <w:spacing w:after="0"/>
              <w:rPr>
                <w:rFonts w:ascii="Arial" w:cs="Arial" w:eastAsia="Arial" w:hAnsi="Arial"/>
                <w:sz w:val="18"/>
                <w:szCs w:val="18"/>
                <w:color w:val="0000FF"/>
                <w:w w:val="95"/>
              </w:rPr>
            </w:pPr>
            <w:hyperlink w:anchor="page104">
              <w:r>
                <w:rPr>
                  <w:rFonts w:ascii="Arial" w:cs="Arial" w:eastAsia="Arial" w:hAnsi="Arial"/>
                  <w:sz w:val="18"/>
                  <w:szCs w:val="18"/>
                  <w:color w:val="0000FF"/>
                  <w:w w:val="95"/>
                </w:rPr>
                <w:t>Certification of the Principal Executive Officer and Principal Financial Officer Pursuant to 18 U.S.C. Section 1350, as</w:t>
              </w:r>
            </w:hyperlink>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104">
              <w:r>
                <w:rPr>
                  <w:rFonts w:ascii="Arial" w:cs="Arial" w:eastAsia="Arial" w:hAnsi="Arial"/>
                  <w:sz w:val="18"/>
                  <w:szCs w:val="18"/>
                  <w:color w:val="0000FF"/>
                  <w:w w:val="89"/>
                </w:rPr>
                <w:t>adopted pursuant to Section 906 of the Sarbanes-Oxley Act of 2002.</w:t>
              </w:r>
            </w:hyperlink>
          </w:p>
        </w:tc>
        <w:tc>
          <w:tcPr>
            <w:tcW w:w="3580" w:type="dxa"/>
            <w:vAlign w:val="bottom"/>
            <w:tcBorders>
              <w:top w:val="single" w:sz="8" w:color="0000FF"/>
            </w:tcBorders>
            <w:gridSpan w:val="7"/>
          </w:tcPr>
          <w:p>
            <w:pPr>
              <w:spacing w:after="0"/>
              <w:rPr>
                <w:sz w:val="13"/>
                <w:szCs w:val="13"/>
                <w:color w:val="auto"/>
              </w:rPr>
            </w:pPr>
          </w:p>
        </w:tc>
        <w:tc>
          <w:tcPr>
            <w:tcW w:w="3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1"/>
                <w:szCs w:val="21"/>
                <w:color w:val="auto"/>
              </w:rPr>
            </w:pPr>
          </w:p>
        </w:tc>
        <w:tc>
          <w:tcPr>
            <w:tcW w:w="8800" w:type="dxa"/>
            <w:vAlign w:val="bottom"/>
            <w:gridSpan w:val="16"/>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19"/>
                <w:szCs w:val="19"/>
                <w:color w:val="auto"/>
              </w:rPr>
            </w:pPr>
          </w:p>
        </w:tc>
        <w:tc>
          <w:tcPr>
            <w:tcW w:w="8800" w:type="dxa"/>
            <w:vAlign w:val="bottom"/>
            <w:gridSpan w:val="16"/>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19"/>
                <w:szCs w:val="19"/>
                <w:color w:val="auto"/>
              </w:rPr>
            </w:pPr>
          </w:p>
        </w:tc>
        <w:tc>
          <w:tcPr>
            <w:tcW w:w="8800" w:type="dxa"/>
            <w:vAlign w:val="bottom"/>
            <w:gridSpan w:val="16"/>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19"/>
                <w:szCs w:val="19"/>
                <w:color w:val="auto"/>
              </w:rPr>
            </w:pPr>
          </w:p>
        </w:tc>
        <w:tc>
          <w:tcPr>
            <w:tcW w:w="8800" w:type="dxa"/>
            <w:vAlign w:val="bottom"/>
            <w:gridSpan w:val="16"/>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176"/>
        </w:trPr>
        <w:tc>
          <w:tcPr>
            <w:tcW w:w="258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15"/>
                <w:szCs w:val="15"/>
                <w:color w:val="auto"/>
              </w:rPr>
            </w:pPr>
          </w:p>
        </w:tc>
        <w:tc>
          <w:tcPr>
            <w:tcW w:w="8800" w:type="dxa"/>
            <w:vAlign w:val="bottom"/>
            <w:gridSpan w:val="16"/>
          </w:tcPr>
          <w:p>
            <w:pPr>
              <w:spacing w:after="0" w:line="176" w:lineRule="exact"/>
              <w:rPr>
                <w:sz w:val="20"/>
                <w:szCs w:val="20"/>
                <w:color w:val="auto"/>
              </w:rPr>
            </w:pPr>
            <w:r>
              <w:rPr>
                <w:rFonts w:ascii="Arial" w:cs="Arial" w:eastAsia="Arial" w:hAnsi="Arial"/>
                <w:sz w:val="18"/>
                <w:szCs w:val="18"/>
                <w:color w:val="auto"/>
                <w:w w:val="96"/>
              </w:rPr>
              <w:t>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25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80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left="500" w:right="20" w:hanging="492"/>
        <w:spacing w:after="0" w:line="278" w:lineRule="auto"/>
        <w:tabs>
          <w:tab w:leader="none" w:pos="179"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21" w:right="259" w:bottom="1440" w:gutter="0" w:footer="0" w:header="0"/>
        </w:sectPr>
      </w:pPr>
    </w:p>
    <w:bookmarkStart w:id="45" w:name="page46"/>
    <w:bookmarkEnd w:id="45"/>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40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1045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600"/>
          </w:cols>
          <w:pgMar w:left="240" w:top="850" w:right="10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AND SECURITY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THIS AMENDED AND RESTATED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September 26,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The Rubicon Project,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Rubicon</w:t>
      </w:r>
      <w:r>
        <w:rPr>
          <w:rFonts w:ascii="Arial" w:cs="Arial" w:eastAsia="Arial" w:hAnsi="Arial"/>
          <w:sz w:val="18"/>
          <w:szCs w:val="18"/>
          <w:color w:val="auto"/>
        </w:rPr>
        <w:t xml:space="preserve">”), </w:t>
      </w:r>
      <w:r>
        <w:rPr>
          <w:rFonts w:ascii="Arial" w:cs="Arial" w:eastAsia="Arial" w:hAnsi="Arial"/>
          <w:sz w:val="18"/>
          <w:szCs w:val="18"/>
          <w:b w:val="1"/>
          <w:bCs w:val="1"/>
          <w:color w:val="auto"/>
        </w:rPr>
        <w:t>Rubicon Project Hopper,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Hopper</w:t>
      </w:r>
      <w:r>
        <w:rPr>
          <w:rFonts w:ascii="Arial" w:cs="Arial" w:eastAsia="Arial" w:hAnsi="Arial"/>
          <w:sz w:val="18"/>
          <w:szCs w:val="18"/>
          <w:color w:val="auto"/>
        </w:rPr>
        <w:t xml:space="preserve">”), and </w:t>
      </w:r>
      <w:r>
        <w:rPr>
          <w:rFonts w:ascii="Arial" w:cs="Arial" w:eastAsia="Arial" w:hAnsi="Arial"/>
          <w:sz w:val="18"/>
          <w:szCs w:val="18"/>
          <w:b w:val="1"/>
          <w:bCs w:val="1"/>
          <w:color w:val="auto"/>
        </w:rPr>
        <w:t>Rubicon Project Bell,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Bell</w:t>
      </w:r>
      <w:r>
        <w:rPr>
          <w:rFonts w:ascii="Arial" w:cs="Arial" w:eastAsia="Arial" w:hAnsi="Arial"/>
          <w:sz w:val="18"/>
          <w:szCs w:val="18"/>
          <w:color w:val="auto"/>
        </w:rPr>
        <w:t>” and together with Rubicon and Hopper, individually and collectively,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 parties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Bank, Borrower, Rubicon Project Turing, Inc., a Delaware corporation (“</w:t>
      </w:r>
      <w:r>
        <w:rPr>
          <w:rFonts w:ascii="Arial" w:cs="Arial" w:eastAsia="Arial" w:hAnsi="Arial"/>
          <w:sz w:val="18"/>
          <w:szCs w:val="18"/>
          <w:b w:val="1"/>
          <w:bCs w:val="1"/>
          <w:color w:val="auto"/>
        </w:rPr>
        <w:t>Turing</w:t>
      </w:r>
      <w:r>
        <w:rPr>
          <w:rFonts w:ascii="Arial" w:cs="Arial" w:eastAsia="Arial" w:hAnsi="Arial"/>
          <w:sz w:val="18"/>
          <w:szCs w:val="18"/>
          <w:color w:val="auto"/>
        </w:rPr>
        <w:t>”), Rubicon Project Curie,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Curie</w:t>
      </w:r>
      <w:r>
        <w:rPr>
          <w:rFonts w:ascii="Arial" w:cs="Arial" w:eastAsia="Arial" w:hAnsi="Arial"/>
          <w:sz w:val="18"/>
          <w:szCs w:val="18"/>
          <w:color w:val="auto"/>
        </w:rPr>
        <w:t>”), Rubicon Project Edison, Inc., a Delaware corporation (“</w:t>
      </w:r>
      <w:r>
        <w:rPr>
          <w:rFonts w:ascii="Arial" w:cs="Arial" w:eastAsia="Arial" w:hAnsi="Arial"/>
          <w:sz w:val="18"/>
          <w:szCs w:val="18"/>
          <w:b w:val="1"/>
          <w:bCs w:val="1"/>
          <w:color w:val="auto"/>
        </w:rPr>
        <w:t>Edison</w:t>
      </w:r>
      <w:r>
        <w:rPr>
          <w:rFonts w:ascii="Arial" w:cs="Arial" w:eastAsia="Arial" w:hAnsi="Arial"/>
          <w:sz w:val="18"/>
          <w:szCs w:val="18"/>
          <w:color w:val="auto"/>
        </w:rPr>
        <w:t>”), Rubicon Project Unlatch, Inc., a Delaware corporation (“</w:t>
      </w:r>
      <w:r>
        <w:rPr>
          <w:rFonts w:ascii="Arial" w:cs="Arial" w:eastAsia="Arial" w:hAnsi="Arial"/>
          <w:sz w:val="18"/>
          <w:szCs w:val="18"/>
          <w:b w:val="1"/>
          <w:bCs w:val="1"/>
          <w:color w:val="auto"/>
        </w:rPr>
        <w:t>Unlatch</w:t>
      </w:r>
      <w:r>
        <w:rPr>
          <w:rFonts w:ascii="Arial" w:cs="Arial" w:eastAsia="Arial" w:hAnsi="Arial"/>
          <w:sz w:val="18"/>
          <w:szCs w:val="18"/>
          <w:color w:val="auto"/>
        </w:rPr>
        <w:t>”) and Advertisement Automation Accelerator, LLC, a Delaware limited liability company (“</w:t>
      </w:r>
      <w:r>
        <w:rPr>
          <w:rFonts w:ascii="Arial" w:cs="Arial" w:eastAsia="Arial" w:hAnsi="Arial"/>
          <w:sz w:val="18"/>
          <w:szCs w:val="18"/>
          <w:b w:val="1"/>
          <w:bCs w:val="1"/>
          <w:color w:val="auto"/>
        </w:rPr>
        <w:t>AAA</w:t>
      </w:r>
      <w:r>
        <w:rPr>
          <w:rFonts w:ascii="Arial" w:cs="Arial" w:eastAsia="Arial" w:hAnsi="Arial"/>
          <w:sz w:val="18"/>
          <w:szCs w:val="18"/>
          <w:color w:val="auto"/>
        </w:rPr>
        <w:t>” and together with Turing, Curie, and Edison, collectively, the “</w:t>
      </w:r>
      <w:r>
        <w:rPr>
          <w:rFonts w:ascii="Arial" w:cs="Arial" w:eastAsia="Arial" w:hAnsi="Arial"/>
          <w:sz w:val="18"/>
          <w:szCs w:val="18"/>
          <w:b w:val="1"/>
          <w:bCs w:val="1"/>
          <w:color w:val="auto"/>
        </w:rPr>
        <w:t>Merged Entities</w:t>
      </w:r>
      <w:r>
        <w:rPr>
          <w:rFonts w:ascii="Arial" w:cs="Arial" w:eastAsia="Arial" w:hAnsi="Arial"/>
          <w:sz w:val="18"/>
          <w:szCs w:val="18"/>
          <w:color w:val="auto"/>
        </w:rPr>
        <w:t>”) have entered into that certain Loan and Security Agreement dated as of September 27, 2011 (as amended, the “</w:t>
      </w:r>
      <w:r>
        <w:rPr>
          <w:rFonts w:ascii="Arial" w:cs="Arial" w:eastAsia="Arial" w:hAnsi="Arial"/>
          <w:sz w:val="18"/>
          <w:szCs w:val="18"/>
          <w:b w:val="1"/>
          <w:bCs w:val="1"/>
          <w:color w:val="auto"/>
        </w:rPr>
        <w:t>Prior 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Pursuant to a corporate restructuring as permitted under Section 7.3 of the Prior Loan Agreement, the Merged Entities were merged with and into</w:t>
      </w:r>
      <w:r>
        <w:rPr>
          <w:rFonts w:ascii="Arial" w:cs="Arial" w:eastAsia="Arial" w:hAnsi="Arial"/>
          <w:sz w:val="18"/>
          <w:szCs w:val="18"/>
          <w:b w:val="1"/>
          <w:bCs w:val="1"/>
          <w:color w:val="auto"/>
        </w:rPr>
        <w:t xml:space="preserve"> </w:t>
      </w:r>
      <w:r>
        <w:rPr>
          <w:rFonts w:ascii="Arial" w:cs="Arial" w:eastAsia="Arial" w:hAnsi="Arial"/>
          <w:sz w:val="18"/>
          <w:szCs w:val="18"/>
          <w:color w:val="auto"/>
        </w:rPr>
        <w:t>Rubicon on June 30, 2018, with Rubicon as the surviving entity. Bank and Borrower acknowledge that the Merged Entities were, as of June 30, 2018, no longer “Borrowers” under the Prior Loan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Borrower has requested that Unlatch be removed as a Borrower under the Agreement because Unlatch conducts no business operations and owns</w:t>
      </w:r>
      <w:r>
        <w:rPr>
          <w:rFonts w:ascii="Arial" w:cs="Arial" w:eastAsia="Arial" w:hAnsi="Arial"/>
          <w:sz w:val="18"/>
          <w:szCs w:val="18"/>
          <w:b w:val="1"/>
          <w:bCs w:val="1"/>
          <w:color w:val="auto"/>
        </w:rPr>
        <w:t xml:space="preserve"> </w:t>
      </w:r>
      <w:r>
        <w:rPr>
          <w:rFonts w:ascii="Arial" w:cs="Arial" w:eastAsia="Arial" w:hAnsi="Arial"/>
          <w:sz w:val="18"/>
          <w:szCs w:val="18"/>
          <w:color w:val="auto"/>
        </w:rPr>
        <w:t>no property other than an ownership interest in a subsidiary that is not material.</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Borrower has further requested, and Bank has agreed, to amend and restate the Prior Loan Agreement in its entirety. Bank and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the Prior Loan Agreement is amended and restated in its entirety as follows:</w:t>
      </w:r>
    </w:p>
    <w:p>
      <w:pPr>
        <w:spacing w:after="0" w:line="162" w:lineRule="exact"/>
        <w:rPr>
          <w:sz w:val="20"/>
          <w:szCs w:val="20"/>
          <w:color w:val="auto"/>
        </w:rPr>
      </w:pPr>
    </w:p>
    <w:p>
      <w:pPr>
        <w:ind w:left="1480" w:hanging="175"/>
        <w:spacing w:after="0"/>
        <w:tabs>
          <w:tab w:leader="none" w:pos="1480" w:val="left"/>
        </w:tabs>
        <w:numPr>
          <w:ilvl w:val="0"/>
          <w:numId w:val="15"/>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ACCOUNTING AND OTHER TERMS</w:t>
      </w:r>
    </w:p>
    <w:p>
      <w:pPr>
        <w:spacing w:after="0" w:line="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that if at any time any change in GAAP would affect the computation of any covenant or requirement set forth in any Loan Document, and either Borrower or Bank shall so request, Borrower and Bank shall negotiate in good faith to amend such covenant or requirement to preserve the original intent thereof in light of such change in GAAP; provided, further, that, until so amended (a) such covenant or requirement shall continue to be computed in accordance with GAAP prior to such change therein and (b) Borrower shall provide Bank financial statements and other documents required under this Agreement or as reasonably requested hereunder setting forth a reconciliation between calculations of such ratio or requirement made before and after giving effect to such change in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6" w:lineRule="exact"/>
        <w:rPr>
          <w:sz w:val="20"/>
          <w:szCs w:val="20"/>
          <w:color w:val="auto"/>
        </w:rPr>
      </w:pPr>
    </w:p>
    <w:p>
      <w:pPr>
        <w:ind w:left="1480" w:hanging="175"/>
        <w:spacing w:after="0"/>
        <w:tabs>
          <w:tab w:leader="none" w:pos="1480" w:val="left"/>
        </w:tabs>
        <w:numPr>
          <w:ilvl w:val="1"/>
          <w:numId w:val="16"/>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LOAN AND TERMS OF PAYMENT</w:t>
      </w:r>
    </w:p>
    <w:p>
      <w:pPr>
        <w:spacing w:after="0" w:line="27" w:lineRule="exact"/>
        <w:rPr>
          <w:rFonts w:ascii="Arial" w:cs="Arial" w:eastAsia="Arial" w:hAnsi="Arial"/>
          <w:sz w:val="18"/>
          <w:szCs w:val="18"/>
          <w:u w:val="single" w:color="auto"/>
          <w:color w:val="auto"/>
        </w:rPr>
      </w:pPr>
    </w:p>
    <w:p>
      <w:pPr>
        <w:jc w:val="both"/>
        <w:ind w:firstLine="648"/>
        <w:spacing w:after="0" w:line="250" w:lineRule="auto"/>
        <w:rPr>
          <w:rFonts w:ascii="Arial" w:cs="Arial" w:eastAsia="Arial" w:hAnsi="Arial"/>
          <w:sz w:val="18"/>
          <w:szCs w:val="18"/>
          <w:u w:val="single" w:color="auto"/>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Promise to Pay.</w:t>
      </w:r>
      <w:r>
        <w:rPr>
          <w:rFonts w:ascii="Arial" w:cs="Arial" w:eastAsia="Arial" w:hAnsi="Arial"/>
          <w:sz w:val="18"/>
          <w:szCs w:val="18"/>
          <w:color w:val="auto"/>
        </w:rPr>
        <w:t xml:space="preserve"> Borrower hereby unconditionally promises to pay Bank the outstanding principal amount of all Credit Extensions and accrued and unpaid interest thereon as and when due in accordance with this Agreement. For purposes of clarification, Unlatch is no longer a Borrower under this Agreement.</w:t>
      </w:r>
    </w:p>
    <w:p>
      <w:pPr>
        <w:spacing w:after="0" w:line="1" w:lineRule="exact"/>
        <w:rPr>
          <w:rFonts w:ascii="Arial" w:cs="Arial" w:eastAsia="Arial" w:hAnsi="Arial"/>
          <w:sz w:val="18"/>
          <w:szCs w:val="18"/>
          <w:u w:val="single" w:color="auto"/>
          <w:color w:val="auto"/>
        </w:rPr>
      </w:pPr>
    </w:p>
    <w:p>
      <w:pPr>
        <w:ind w:left="660"/>
        <w:spacing w:after="0"/>
        <w:rPr>
          <w:rFonts w:ascii="Arial" w:cs="Arial" w:eastAsia="Arial" w:hAnsi="Arial"/>
          <w:sz w:val="18"/>
          <w:szCs w:val="18"/>
          <w:u w:val="single" w:color="auto"/>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Revolving Line.</w:t>
      </w:r>
    </w:p>
    <w:p>
      <w:pPr>
        <w:spacing w:after="0" w:line="9" w:lineRule="exact"/>
        <w:rPr>
          <w:rFonts w:ascii="Arial" w:cs="Arial" w:eastAsia="Arial" w:hAnsi="Arial"/>
          <w:sz w:val="18"/>
          <w:szCs w:val="18"/>
          <w:u w:val="single" w:color="auto"/>
          <w:color w:val="auto"/>
        </w:rPr>
      </w:pPr>
    </w:p>
    <w:p>
      <w:pPr>
        <w:jc w:val="both"/>
        <w:ind w:firstLine="1305"/>
        <w:spacing w:after="0" w:line="250" w:lineRule="auto"/>
        <w:tabs>
          <w:tab w:leader="none" w:pos="1504" w:val="left"/>
        </w:tabs>
        <w:numPr>
          <w:ilvl w:val="1"/>
          <w:numId w:val="1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and to deduction of Reserves, Bank shall make Advances not exceeding the Availability Amount. Amounts borrowed under the Revolving Line may be repaid and, prior to the Revolving Line Maturity Date, reborrowed, subject to the applicable terms and conditions precedent herein.</w:t>
      </w:r>
    </w:p>
    <w:p>
      <w:pPr>
        <w:spacing w:after="0" w:line="1" w:lineRule="exact"/>
        <w:rPr>
          <w:rFonts w:ascii="Arial" w:cs="Arial" w:eastAsia="Arial" w:hAnsi="Arial"/>
          <w:sz w:val="18"/>
          <w:szCs w:val="18"/>
          <w:u w:val="single" w:color="auto"/>
          <w:color w:val="auto"/>
        </w:rPr>
      </w:pPr>
    </w:p>
    <w:p>
      <w:pPr>
        <w:ind w:firstLine="1305"/>
        <w:spacing w:after="0" w:line="261" w:lineRule="auto"/>
        <w:tabs>
          <w:tab w:leader="none" w:pos="1504" w:val="left"/>
        </w:tabs>
        <w:numPr>
          <w:ilvl w:val="1"/>
          <w:numId w:val="1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Repayment</w:t>
      </w:r>
      <w:r>
        <w:rPr>
          <w:rFonts w:ascii="Arial" w:cs="Arial" w:eastAsia="Arial" w:hAnsi="Arial"/>
          <w:sz w:val="18"/>
          <w:szCs w:val="18"/>
          <w:color w:val="auto"/>
        </w:rPr>
        <w:t>. The Revolving Line terminates on the Revolving Line Maturity Date, when the principal amount of all Advances, the unpaid interest thereon, and all other Obligations relating to the Revolving Line shall be immediately due and payable.</w:t>
      </w:r>
    </w:p>
    <w:p>
      <w:pPr>
        <w:sectPr>
          <w:pgSz w:w="11900" w:h="16838" w:orient="portrait"/>
          <w:cols w:equalWidth="0" w:num="1">
            <w:col w:w="11420"/>
          </w:cols>
          <w:pgMar w:left="240" w:top="1175" w:right="239" w:bottom="1440" w:gutter="0" w:footer="0" w:header="0"/>
        </w:sectPr>
      </w:pPr>
    </w:p>
    <w:bookmarkStart w:id="47" w:name="page48"/>
    <w:bookmarkEnd w:id="47"/>
    <w:p>
      <w:pPr>
        <w:jc w:val="both"/>
        <w:ind w:firstLine="1305"/>
        <w:spacing w:after="0" w:line="253" w:lineRule="auto"/>
        <w:tabs>
          <w:tab w:leader="none" w:pos="1490" w:val="left"/>
        </w:tabs>
        <w:numPr>
          <w:ilvl w:val="1"/>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Reserves</w:t>
      </w:r>
      <w:r>
        <w:rPr>
          <w:rFonts w:ascii="Arial" w:cs="Arial" w:eastAsia="Arial" w:hAnsi="Arial"/>
          <w:sz w:val="18"/>
          <w:szCs w:val="18"/>
          <w:color w:val="auto"/>
        </w:rPr>
        <w:t>. Notwithstanding anything in this Agreement to the contrary, Bank shall have the right (but not the obligation) to establish, increase, reduce, eliminate, or otherwise adjust Reserves from time to time against the Borrowing Base or the Revolving Line in such amounts, and with respect to such matters, as Bank in its sole discretion shall deem necessary or appropriate with notice to Borrower (provided that no notice is required if an Event of Default has occurred and is continuing). From and all times after the Effective Date until the Reserve Release Event, Bank shall maintain Reserves in an amount equal to at least Ten Million Dollars ($10,000,000).</w:t>
      </w:r>
    </w:p>
    <w:p>
      <w:pPr>
        <w:spacing w:after="0" w:line="3" w:lineRule="exact"/>
        <w:rPr>
          <w:rFonts w:ascii="Arial" w:cs="Arial" w:eastAsia="Arial" w:hAnsi="Arial"/>
          <w:sz w:val="18"/>
          <w:szCs w:val="18"/>
          <w:u w:val="single" w:color="auto"/>
          <w:color w:val="auto"/>
        </w:rPr>
      </w:pPr>
    </w:p>
    <w:p>
      <w:pPr>
        <w:jc w:val="both"/>
        <w:ind w:firstLine="656"/>
        <w:spacing w:after="0" w:line="265" w:lineRule="auto"/>
        <w:tabs>
          <w:tab w:leader="none" w:pos="828"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Overadvances. </w:t>
      </w:r>
      <w:r>
        <w:rPr>
          <w:rFonts w:ascii="Arial" w:cs="Arial" w:eastAsia="Arial" w:hAnsi="Arial"/>
          <w:sz w:val="17"/>
          <w:szCs w:val="17"/>
          <w:color w:val="auto"/>
        </w:rPr>
        <w:t>If, at any time, the outstanding principal amount of the Advances exceeds the lesser of either the Revolving Line or the Borrowing</w:t>
      </w:r>
      <w:r>
        <w:rPr>
          <w:rFonts w:ascii="Arial" w:cs="Arial" w:eastAsia="Arial" w:hAnsi="Arial"/>
          <w:sz w:val="17"/>
          <w:szCs w:val="17"/>
          <w:b w:val="1"/>
          <w:bCs w:val="1"/>
          <w:color w:val="auto"/>
        </w:rPr>
        <w:t xml:space="preserve"> </w:t>
      </w:r>
      <w:r>
        <w:rPr>
          <w:rFonts w:ascii="Arial" w:cs="Arial" w:eastAsia="Arial" w:hAnsi="Arial"/>
          <w:sz w:val="17"/>
          <w:szCs w:val="17"/>
          <w:color w:val="auto"/>
        </w:rPr>
        <w:t>Base, in each case, less any applicable Reserves, Borrower shall immediately pay to Bank in cash the amount of such excess (such excess, the “</w:t>
      </w:r>
      <w:r>
        <w:rPr>
          <w:rFonts w:ascii="Arial" w:cs="Arial" w:eastAsia="Arial" w:hAnsi="Arial"/>
          <w:sz w:val="17"/>
          <w:szCs w:val="17"/>
          <w:b w:val="1"/>
          <w:bCs w:val="1"/>
          <w:color w:val="auto"/>
        </w:rPr>
        <w:t>Overadvance</w:t>
      </w:r>
      <w:r>
        <w:rPr>
          <w:rFonts w:ascii="Arial" w:cs="Arial" w:eastAsia="Arial" w:hAnsi="Arial"/>
          <w:sz w:val="17"/>
          <w:szCs w:val="17"/>
          <w:color w:val="auto"/>
        </w:rPr>
        <w:t>”). Without limiting Borrower’s obligation to repay Bank any Overadvance, Borrower agrees to pay Bank interest on the outstanding amount of any Overadvance, on demand, at a per annum rate equal to the rate that is otherwise applicable to Advances plus five percent (5.00%).</w:t>
      </w: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Payment of Interest on the Credit Extensions.</w:t>
      </w:r>
    </w:p>
    <w:p>
      <w:pPr>
        <w:spacing w:after="0" w:line="9" w:lineRule="exact"/>
        <w:rPr>
          <w:rFonts w:ascii="Arial" w:cs="Arial" w:eastAsia="Arial" w:hAnsi="Arial"/>
          <w:sz w:val="18"/>
          <w:szCs w:val="18"/>
          <w:color w:val="auto"/>
        </w:rPr>
      </w:pPr>
    </w:p>
    <w:p>
      <w:pPr>
        <w:jc w:val="both"/>
        <w:ind w:firstLine="1305"/>
        <w:spacing w:after="0" w:line="265" w:lineRule="auto"/>
        <w:tabs>
          <w:tab w:leader="none" w:pos="1477" w:val="left"/>
        </w:tabs>
        <w:numPr>
          <w:ilvl w:val="1"/>
          <w:numId w:val="1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Interest; Payment</w:t>
      </w:r>
      <w:r>
        <w:rPr>
          <w:rFonts w:ascii="Arial" w:cs="Arial" w:eastAsia="Arial" w:hAnsi="Arial"/>
          <w:sz w:val="17"/>
          <w:szCs w:val="17"/>
          <w:color w:val="auto"/>
        </w:rPr>
        <w:t>. Each Advance shall bear interest on the outstanding principal amount thereof from the date when made, continued or converted until paid in full at a rate per annum equal to (i) for Prime Rate Advances, the Prime Rate plus the applicable Prime Rate Margin, and (ii) for LIBOR Advances, the LIBOR Rate plus the applicable LIBOR Rate Margin. On and after the expiration of any Interest Period applicable to any LIBOR Advance outstanding on the date of occurrence of an Event of Default or acceleration of the Obligations, the amount of such LIBOR Advance shall, during the continuance of such Event of Default or after acceleration, bear interest at a rate per annum equal to the Prime Rate plus five percent (5.00%). Pursuant to the terms hereof, interest on each Advance shall be paid in arrears on each Interest Payment Date. Interest shall also be paid on the date of any prepayment of any Advance pursuant to this Agreement for the portion of any Advance so prepaid and upon payment (including prepayment) in full thereof. All accrued but unpaid interest on the Advances shall be due and payable on the Revolving Line Maturity Date.</w:t>
      </w:r>
    </w:p>
    <w:p>
      <w:pPr>
        <w:spacing w:after="0" w:line="1" w:lineRule="exact"/>
        <w:rPr>
          <w:rFonts w:ascii="Arial" w:cs="Arial" w:eastAsia="Arial" w:hAnsi="Arial"/>
          <w:sz w:val="17"/>
          <w:szCs w:val="17"/>
          <w:u w:val="single" w:color="auto"/>
          <w:color w:val="auto"/>
        </w:rPr>
      </w:pPr>
    </w:p>
    <w:p>
      <w:pPr>
        <w:ind w:right="20" w:firstLine="1305"/>
        <w:spacing w:after="0" w:line="250" w:lineRule="auto"/>
        <w:tabs>
          <w:tab w:leader="none" w:pos="1477" w:val="left"/>
        </w:tabs>
        <w:numPr>
          <w:ilvl w:val="1"/>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Prime Rate Advances</w:t>
      </w:r>
      <w:r>
        <w:rPr>
          <w:rFonts w:ascii="Arial" w:cs="Arial" w:eastAsia="Arial" w:hAnsi="Arial"/>
          <w:sz w:val="18"/>
          <w:szCs w:val="18"/>
          <w:color w:val="auto"/>
        </w:rPr>
        <w:t>. Each change in the interest rate of the Prime Rate Advances based on changes in the Prime Rate shall be effective on the effective date of such change and to the extent of such change.</w:t>
      </w:r>
    </w:p>
    <w:p>
      <w:pPr>
        <w:jc w:val="both"/>
        <w:ind w:firstLine="1305"/>
        <w:spacing w:after="0" w:line="250" w:lineRule="auto"/>
        <w:tabs>
          <w:tab w:leader="none" w:pos="1477" w:val="left"/>
        </w:tabs>
        <w:numPr>
          <w:ilvl w:val="1"/>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LIBOR Advances</w:t>
      </w:r>
      <w:r>
        <w:rPr>
          <w:rFonts w:ascii="Arial" w:cs="Arial" w:eastAsia="Arial" w:hAnsi="Arial"/>
          <w:sz w:val="18"/>
          <w:szCs w:val="18"/>
          <w:color w:val="auto"/>
        </w:rPr>
        <w:t>. The interest rate applicable to each LIBOR Advance shall be determined in accordance with Section 3.6(a) hereunder. Subject to Sections 3.5 and 3.6, such rate shall apply during the entire Interest Period applicable to such LIBOR Advance, and interest calculated thereon shall be payable on the Interest Payment Date applicable to such LIBOR Advance.</w:t>
      </w:r>
    </w:p>
    <w:p>
      <w:pPr>
        <w:spacing w:after="0" w:line="1" w:lineRule="exact"/>
        <w:rPr>
          <w:rFonts w:ascii="Arial" w:cs="Arial" w:eastAsia="Arial" w:hAnsi="Arial"/>
          <w:sz w:val="18"/>
          <w:szCs w:val="18"/>
          <w:u w:val="single" w:color="auto"/>
          <w:color w:val="auto"/>
        </w:rPr>
      </w:pPr>
    </w:p>
    <w:p>
      <w:pPr>
        <w:jc w:val="both"/>
        <w:ind w:firstLine="1305"/>
        <w:spacing w:after="0" w:line="250" w:lineRule="auto"/>
        <w:tabs>
          <w:tab w:leader="none" w:pos="1477" w:val="left"/>
        </w:tabs>
        <w:numPr>
          <w:ilvl w:val="1"/>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Computation of Interest</w:t>
      </w:r>
      <w:r>
        <w:rPr>
          <w:rFonts w:ascii="Arial" w:cs="Arial" w:eastAsia="Arial" w:hAnsi="Arial"/>
          <w:sz w:val="18"/>
          <w:szCs w:val="18"/>
          <w:color w:val="auto"/>
        </w:rPr>
        <w:t>. Any interest hereunder will accrue from day to day and is calculated on the basis of the actual number of days elapsed and a year of 360 days. In computing interest on any Credit Extension, the date of the making of such Credit Extension shall be included and the date of payment shall be excluded.</w:t>
      </w:r>
    </w:p>
    <w:p>
      <w:pPr>
        <w:spacing w:after="0" w:line="1" w:lineRule="exact"/>
        <w:rPr>
          <w:rFonts w:ascii="Arial" w:cs="Arial" w:eastAsia="Arial" w:hAnsi="Arial"/>
          <w:sz w:val="18"/>
          <w:szCs w:val="18"/>
          <w:u w:val="single" w:color="auto"/>
          <w:color w:val="auto"/>
        </w:rPr>
      </w:pPr>
    </w:p>
    <w:p>
      <w:pPr>
        <w:jc w:val="both"/>
        <w:ind w:firstLine="1305"/>
        <w:spacing w:after="0" w:line="250" w:lineRule="auto"/>
        <w:tabs>
          <w:tab w:leader="none" w:pos="1490" w:val="left"/>
        </w:tabs>
        <w:numPr>
          <w:ilvl w:val="1"/>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Except as otherwise provided in Section 2.3(a), upon the occurrence and during the continuance of an Event of Default, Obligations shall bear interest at a rate per annum which is five percent (5.00%) above the rate that would otherwise be applicable thereto (the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 Payment or acceptance of the increased interest provided in this Section 2.3(e) is not a permitted alternative to timely payment and shall not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waiver of any Event of Default or otherwise prejudice or limit any rights or remedies of Bank.</w:t>
      </w:r>
    </w:p>
    <w:p>
      <w:pPr>
        <w:spacing w:after="0" w:line="1" w:lineRule="exact"/>
        <w:rPr>
          <w:rFonts w:ascii="Arial" w:cs="Arial" w:eastAsia="Arial" w:hAnsi="Arial"/>
          <w:sz w:val="18"/>
          <w:szCs w:val="18"/>
          <w:u w:val="single" w:color="auto"/>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Fees. </w:t>
      </w:r>
      <w:r>
        <w:rPr>
          <w:rFonts w:ascii="Arial" w:cs="Arial" w:eastAsia="Arial" w:hAnsi="Arial"/>
          <w:sz w:val="18"/>
          <w:szCs w:val="18"/>
          <w:color w:val="auto"/>
        </w:rPr>
        <w:t>Borrower shall pay to Bank:</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2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Revolving Line Commitment Fee</w:t>
      </w:r>
      <w:r>
        <w:rPr>
          <w:rFonts w:ascii="Arial" w:cs="Arial" w:eastAsia="Arial" w:hAnsi="Arial"/>
          <w:sz w:val="16"/>
          <w:szCs w:val="16"/>
          <w:color w:val="auto"/>
        </w:rPr>
        <w:t>. A fully earned, non-refundable commitment fee of Sixty Thousand Dollars ($60,000), on the Effective</w:t>
      </w:r>
    </w:p>
    <w:p>
      <w:pPr>
        <w:spacing w:after="0" w:line="32"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18"/>
          <w:szCs w:val="18"/>
          <w:color w:val="auto"/>
        </w:rPr>
        <w:t>Date;</w:t>
      </w:r>
    </w:p>
    <w:p>
      <w:pPr>
        <w:spacing w:after="0" w:line="9" w:lineRule="exact"/>
        <w:rPr>
          <w:rFonts w:ascii="Arial" w:cs="Arial" w:eastAsia="Arial" w:hAnsi="Arial"/>
          <w:sz w:val="16"/>
          <w:szCs w:val="16"/>
          <w:u w:val="single" w:color="auto"/>
          <w:color w:val="auto"/>
        </w:rPr>
      </w:pPr>
    </w:p>
    <w:p>
      <w:pPr>
        <w:jc w:val="both"/>
        <w:ind w:firstLine="1305"/>
        <w:spacing w:after="0" w:line="250" w:lineRule="auto"/>
        <w:tabs>
          <w:tab w:leader="none" w:pos="1566" w:val="left"/>
        </w:tabs>
        <w:numPr>
          <w:ilvl w:val="1"/>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Unused Revolving Line Facility Fee</w:t>
      </w:r>
      <w:r>
        <w:rPr>
          <w:rFonts w:ascii="Arial" w:cs="Arial" w:eastAsia="Arial" w:hAnsi="Arial"/>
          <w:sz w:val="18"/>
          <w:szCs w:val="18"/>
          <w:color w:val="auto"/>
        </w:rPr>
        <w:t>. Payable monthly in arrears on the last day of each calendar month occurring prior to the Revolving Line Maturity Date, and on the Revolving Line Maturity Date, a fee (the “</w:t>
      </w:r>
      <w:r>
        <w:rPr>
          <w:rFonts w:ascii="Arial" w:cs="Arial" w:eastAsia="Arial" w:hAnsi="Arial"/>
          <w:sz w:val="18"/>
          <w:szCs w:val="18"/>
          <w:b w:val="1"/>
          <w:bCs w:val="1"/>
          <w:color w:val="auto"/>
        </w:rPr>
        <w:t>Unused Revolving Line Facility Fee</w:t>
      </w:r>
      <w:r>
        <w:rPr>
          <w:rFonts w:ascii="Arial" w:cs="Arial" w:eastAsia="Arial" w:hAnsi="Arial"/>
          <w:sz w:val="18"/>
          <w:szCs w:val="18"/>
          <w:color w:val="auto"/>
        </w:rPr>
        <w:t>”) in an amount equal to fifteen-hundredths of one percent (0.15%) per annum of the average unused portion of the Revolving Line, as determined by Bank, computed on the basis of a year with the applicable number of days as set forth in Section 2.3(d). The unused portion of the Revolving Line, for purposes of this calculation, shall be calculated on a calendar year basis and shall equal the difference between (i) the Revolving Line, and (ii) the average for the period of the daily closing balance of the Revolving Line outstanding; and</w:t>
      </w:r>
    </w:p>
    <w:p>
      <w:pPr>
        <w:spacing w:after="0" w:line="2" w:lineRule="exact"/>
        <w:rPr>
          <w:rFonts w:ascii="Arial" w:cs="Arial" w:eastAsia="Arial" w:hAnsi="Arial"/>
          <w:sz w:val="18"/>
          <w:szCs w:val="18"/>
          <w:u w:val="single" w:color="auto"/>
          <w:color w:val="auto"/>
        </w:rPr>
      </w:pPr>
    </w:p>
    <w:p>
      <w:pPr>
        <w:ind w:firstLine="1305"/>
        <w:spacing w:after="0" w:line="250" w:lineRule="auto"/>
        <w:tabs>
          <w:tab w:leader="none" w:pos="1587" w:val="left"/>
        </w:tabs>
        <w:numPr>
          <w:ilvl w:val="1"/>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incurred through and after the Effective Date, when due (or, if no stated due date, upon demand by Bank).</w:t>
      </w:r>
    </w:p>
    <w:p>
      <w:pPr>
        <w:jc w:val="both"/>
        <w:ind w:firstLine="1305"/>
        <w:spacing w:after="0" w:line="250" w:lineRule="auto"/>
        <w:tabs>
          <w:tab w:leader="none" w:pos="1566" w:val="left"/>
        </w:tabs>
        <w:numPr>
          <w:ilvl w:val="1"/>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Fees Fully Earned</w:t>
      </w:r>
      <w:r>
        <w:rPr>
          <w:rFonts w:ascii="Arial" w:cs="Arial" w:eastAsia="Arial" w:hAnsi="Arial"/>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2.4 pursuant to the terms of Section 2.5(c). Bank shall provide Borrower written notice of deductions made from the Designated Deposit Account pursuant to the terms of the clauses of this Section 2.4.</w:t>
      </w:r>
    </w:p>
    <w:p>
      <w:pPr>
        <w:spacing w:after="0" w:line="2" w:lineRule="exact"/>
        <w:rPr>
          <w:rFonts w:ascii="Arial" w:cs="Arial" w:eastAsia="Arial" w:hAnsi="Arial"/>
          <w:sz w:val="18"/>
          <w:szCs w:val="18"/>
          <w:u w:val="single" w:color="auto"/>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Payments; Application of Payments; Debit of Accounts.</w:t>
      </w:r>
    </w:p>
    <w:p>
      <w:pPr>
        <w:spacing w:after="0" w:line="9" w:lineRule="exact"/>
        <w:rPr>
          <w:rFonts w:ascii="Arial" w:cs="Arial" w:eastAsia="Arial" w:hAnsi="Arial"/>
          <w:sz w:val="18"/>
          <w:szCs w:val="18"/>
          <w:color w:val="auto"/>
        </w:rPr>
      </w:pPr>
    </w:p>
    <w:p>
      <w:pPr>
        <w:jc w:val="both"/>
        <w:ind w:firstLine="1305"/>
        <w:spacing w:after="0" w:line="273" w:lineRule="auto"/>
        <w:tabs>
          <w:tab w:leader="none" w:pos="15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ectPr>
          <w:pgSz w:w="11900" w:h="16838" w:orient="portrait"/>
          <w:cols w:equalWidth="0" w:num="1">
            <w:col w:w="11420"/>
          </w:cols>
          <w:pgMar w:left="240" w:top="936" w:right="239" w:bottom="1440" w:gutter="0" w:footer="0" w:header="0"/>
        </w:sectPr>
      </w:pPr>
    </w:p>
    <w:bookmarkStart w:id="48" w:name="page49"/>
    <w:bookmarkEnd w:id="48"/>
    <w:p>
      <w:pPr>
        <w:jc w:val="both"/>
        <w:ind w:firstLine="1305"/>
        <w:spacing w:after="0" w:line="288" w:lineRule="auto"/>
        <w:tabs>
          <w:tab w:leader="none" w:pos="1566" w:val="left"/>
        </w:tabs>
        <w:numPr>
          <w:ilvl w:val="1"/>
          <w:numId w:val="22"/>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ind w:right="20" w:firstLine="1305"/>
        <w:spacing w:after="0" w:line="250" w:lineRule="auto"/>
        <w:tabs>
          <w:tab w:leader="none" w:pos="15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when due. These debits shall not constitute a set-off.</w:t>
      </w:r>
    </w:p>
    <w:p>
      <w:pPr>
        <w:jc w:val="both"/>
        <w:ind w:firstLine="648"/>
        <w:spacing w:after="0" w:line="265" w:lineRule="auto"/>
        <w:rPr>
          <w:rFonts w:ascii="Arial" w:cs="Arial" w:eastAsia="Arial" w:hAnsi="Arial"/>
          <w:sz w:val="18"/>
          <w:szCs w:val="18"/>
          <w:color w:val="auto"/>
        </w:rPr>
      </w:pPr>
      <w:r>
        <w:rPr>
          <w:rFonts w:ascii="Arial" w:cs="Arial" w:eastAsia="Arial" w:hAnsi="Arial"/>
          <w:sz w:val="17"/>
          <w:szCs w:val="17"/>
          <w:color w:val="auto"/>
        </w:rPr>
        <w:t xml:space="preserve">f. </w:t>
      </w:r>
      <w:r>
        <w:rPr>
          <w:rFonts w:ascii="Arial" w:cs="Arial" w:eastAsia="Arial" w:hAnsi="Arial"/>
          <w:sz w:val="17"/>
          <w:szCs w:val="17"/>
          <w:b w:val="1"/>
          <w:bCs w:val="1"/>
          <w:color w:val="auto"/>
        </w:rPr>
        <w:t>Withholding.</w:t>
      </w:r>
      <w:r>
        <w:rPr>
          <w:rFonts w:ascii="Arial" w:cs="Arial" w:eastAsia="Arial" w:hAnsi="Arial"/>
          <w:sz w:val="17"/>
          <w:szCs w:val="17"/>
          <w:color w:val="auto"/>
        </w:rPr>
        <w:t xml:space="preserve"> Payments received by Bank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 xml:space="preserve">3. </w:t>
      </w:r>
      <w:r>
        <w:rPr>
          <w:rFonts w:ascii="Arial" w:cs="Arial" w:eastAsia="Arial" w:hAnsi="Arial"/>
          <w:sz w:val="18"/>
          <w:szCs w:val="18"/>
          <w:b w:val="1"/>
          <w:bCs w:val="1"/>
          <w:u w:val="single" w:color="auto"/>
          <w:color w:val="auto"/>
        </w:rPr>
        <w:t>CONDITIONS OF LOANS</w:t>
      </w:r>
    </w:p>
    <w:p>
      <w:pPr>
        <w:spacing w:after="0" w:line="9" w:lineRule="exact"/>
        <w:rPr>
          <w:rFonts w:ascii="Arial" w:cs="Arial" w:eastAsia="Arial" w:hAnsi="Arial"/>
          <w:sz w:val="18"/>
          <w:szCs w:val="18"/>
          <w:color w:val="auto"/>
        </w:rPr>
      </w:pPr>
    </w:p>
    <w:p>
      <w:pPr>
        <w:jc w:val="both"/>
        <w:ind w:firstLine="648"/>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Conditions Precedent to Initial Credit Extension.</w:t>
      </w:r>
      <w:r>
        <w:rPr>
          <w:rFonts w:ascii="Arial" w:cs="Arial" w:eastAsia="Arial" w:hAnsi="Arial"/>
          <w:sz w:val="18"/>
          <w:szCs w:val="18"/>
          <w:color w:val="auto"/>
        </w:rPr>
        <w:t xml:space="preserve"> Bank’s obligation to make the initial Credit Extension after the Effective Date is subject to the condition precedent that Bank shall have received, in form and substance satisfactory to Bank, such documents, and completion of such other matters, as Bank may reasonably deem necessary or appropriate, including, without limitation:</w:t>
      </w:r>
    </w:p>
    <w:p>
      <w:pPr>
        <w:spacing w:after="0" w:line="1" w:lineRule="exact"/>
        <w:rPr>
          <w:rFonts w:ascii="Arial" w:cs="Arial" w:eastAsia="Arial" w:hAnsi="Arial"/>
          <w:sz w:val="18"/>
          <w:szCs w:val="18"/>
          <w:color w:val="auto"/>
        </w:rPr>
      </w:pPr>
    </w:p>
    <w:p>
      <w:pPr>
        <w:ind w:left="1580" w:hanging="275"/>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duly executed signatures to this Agreement;</w:t>
      </w:r>
    </w:p>
    <w:p>
      <w:pPr>
        <w:spacing w:after="0" w:line="9" w:lineRule="exact"/>
        <w:rPr>
          <w:rFonts w:ascii="Arial" w:cs="Arial" w:eastAsia="Arial" w:hAnsi="Arial"/>
          <w:sz w:val="18"/>
          <w:szCs w:val="18"/>
          <w:color w:val="auto"/>
        </w:rPr>
      </w:pPr>
    </w:p>
    <w:p>
      <w:pPr>
        <w:jc w:val="both"/>
        <w:ind w:firstLine="1305"/>
        <w:spacing w:after="0" w:line="250" w:lineRule="auto"/>
        <w:tabs>
          <w:tab w:leader="none" w:pos="15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 w:lineRule="exact"/>
        <w:rPr>
          <w:rFonts w:ascii="Arial" w:cs="Arial" w:eastAsia="Arial" w:hAnsi="Arial"/>
          <w:sz w:val="18"/>
          <w:szCs w:val="18"/>
          <w:color w:val="auto"/>
        </w:rPr>
      </w:pPr>
    </w:p>
    <w:p>
      <w:pPr>
        <w:ind w:firstLine="1305"/>
        <w:spacing w:after="0" w:line="250" w:lineRule="auto"/>
        <w:tabs>
          <w:tab w:leader="none" w:pos="15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secretary’s certificate of Borrower with respect to Borrower’s Operating Documents, incumbency, specimen signatures and resolutions authorizing the execution and delivery of this Agreement and the other Loan Documents to which it is a party;</w:t>
      </w:r>
    </w:p>
    <w:p>
      <w:pPr>
        <w:ind w:left="1580" w:hanging="275"/>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Borrower;</w:t>
      </w:r>
    </w:p>
    <w:p>
      <w:pPr>
        <w:spacing w:after="0" w:line="9" w:lineRule="exact"/>
        <w:rPr>
          <w:rFonts w:ascii="Arial" w:cs="Arial" w:eastAsia="Arial" w:hAnsi="Arial"/>
          <w:sz w:val="18"/>
          <w:szCs w:val="18"/>
          <w:color w:val="auto"/>
        </w:rPr>
      </w:pPr>
    </w:p>
    <w:p>
      <w:pPr>
        <w:jc w:val="both"/>
        <w:ind w:firstLine="1305"/>
        <w:spacing w:after="0" w:line="250" w:lineRule="auto"/>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 w:lineRule="exact"/>
        <w:rPr>
          <w:rFonts w:ascii="Arial" w:cs="Arial" w:eastAsia="Arial" w:hAnsi="Arial"/>
          <w:sz w:val="18"/>
          <w:szCs w:val="18"/>
          <w:color w:val="auto"/>
        </w:rPr>
      </w:pPr>
    </w:p>
    <w:p>
      <w:pPr>
        <w:ind w:left="1580" w:hanging="275"/>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Perfection Certificates of Borrower, together with the duly executed signatures thereto;</w:t>
      </w:r>
    </w:p>
    <w:p>
      <w:pPr>
        <w:spacing w:after="0" w:line="9" w:lineRule="exact"/>
        <w:rPr>
          <w:rFonts w:ascii="Arial" w:cs="Arial" w:eastAsia="Arial" w:hAnsi="Arial"/>
          <w:sz w:val="18"/>
          <w:szCs w:val="18"/>
          <w:color w:val="auto"/>
        </w:rPr>
      </w:pPr>
    </w:p>
    <w:p>
      <w:pPr>
        <w:ind w:firstLine="1305"/>
        <w:spacing w:after="0" w:line="250" w:lineRule="auto"/>
        <w:tabs>
          <w:tab w:leader="none" w:pos="15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evidence satisfactory to Bank that the insurance policies and endorsements required by Section 6.7 hereof are in full force and effect, together with appropriate evidence showing lender loss payable and/or additional insured clauses or endorsements in favor of Bank;</w:t>
      </w:r>
    </w:p>
    <w:p>
      <w:pPr>
        <w:ind w:left="1580" w:hanging="275"/>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completion of the Initial Audit;</w:t>
      </w:r>
    </w:p>
    <w:p>
      <w:pPr>
        <w:spacing w:after="0" w:line="9" w:lineRule="exact"/>
        <w:rPr>
          <w:rFonts w:ascii="Arial" w:cs="Arial" w:eastAsia="Arial" w:hAnsi="Arial"/>
          <w:sz w:val="18"/>
          <w:szCs w:val="18"/>
          <w:color w:val="auto"/>
        </w:rPr>
      </w:pPr>
    </w:p>
    <w:p>
      <w:pPr>
        <w:ind w:firstLine="1305"/>
        <w:spacing w:after="0" w:line="250" w:lineRule="auto"/>
        <w:tabs>
          <w:tab w:leader="none" w:pos="15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 respect to the initial Advance, a completed Borrowing Base Statement (and any schedules related thereto and including any other information requested by Bank with respect to Borrower’s Accounts); and</w:t>
      </w:r>
    </w:p>
    <w:p>
      <w:pPr>
        <w:ind w:left="1580" w:hanging="275"/>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2.4 hereof.</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Conditions Precedent to all Credit Extensions.</w:t>
      </w:r>
      <w:r>
        <w:rPr>
          <w:rFonts w:ascii="Arial" w:cs="Arial" w:eastAsia="Arial" w:hAnsi="Arial"/>
          <w:sz w:val="18"/>
          <w:szCs w:val="18"/>
          <w:color w:val="auto"/>
        </w:rPr>
        <w:t xml:space="preserve"> Bank’s obligations to make each Credit Extension, including the initial Credit Extension, is subject to the following conditions precedent: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26. timely receipt of the Credit Extension request and any materials and documents required by Section 3.4;</w:t>
      </w:r>
    </w:p>
    <w:p>
      <w:pPr>
        <w:sectPr>
          <w:pgSz w:w="11900" w:h="16838" w:orient="portrait"/>
          <w:cols w:equalWidth="0" w:num="1">
            <w:col w:w="11420"/>
          </w:cols>
          <w:pgMar w:left="240" w:top="936" w:right="239" w:bottom="1440" w:gutter="0" w:footer="0" w:header="0"/>
        </w:sectPr>
      </w:pPr>
    </w:p>
    <w:bookmarkStart w:id="49" w:name="page50"/>
    <w:bookmarkEnd w:id="49"/>
    <w:p>
      <w:pPr>
        <w:jc w:val="both"/>
        <w:ind w:left="-8" w:firstLine="1305"/>
        <w:spacing w:after="0" w:line="252" w:lineRule="auto"/>
        <w:tabs>
          <w:tab w:leader="none" w:pos="1572"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representations and warranties in this Agreement shall be true, accurate, and complete in all material respects on the date of the proposed Credit Extension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3" w:lineRule="exact"/>
        <w:rPr>
          <w:rFonts w:ascii="Arial" w:cs="Arial" w:eastAsia="Arial" w:hAnsi="Arial"/>
          <w:sz w:val="18"/>
          <w:szCs w:val="18"/>
          <w:color w:val="auto"/>
        </w:rPr>
      </w:pPr>
    </w:p>
    <w:p>
      <w:pPr>
        <w:ind w:left="1572" w:hanging="275"/>
        <w:spacing w:after="0"/>
        <w:tabs>
          <w:tab w:leader="none" w:pos="1572" w:val="left"/>
        </w:tabs>
        <w:numPr>
          <w:ilvl w:val="2"/>
          <w:numId w:val="23"/>
        </w:numPr>
        <w:rPr>
          <w:rFonts w:ascii="Arial" w:cs="Arial" w:eastAsia="Arial" w:hAnsi="Arial"/>
          <w:sz w:val="18"/>
          <w:szCs w:val="18"/>
          <w:color w:val="auto"/>
        </w:rPr>
      </w:pPr>
      <w:r>
        <w:rPr>
          <w:rFonts w:ascii="Arial" w:cs="Arial" w:eastAsia="Arial" w:hAnsi="Arial"/>
          <w:sz w:val="18"/>
          <w:szCs w:val="18"/>
          <w:color w:val="auto"/>
        </w:rPr>
        <w:t>Bank determines to its satisfaction that there has not been a Material Adverse Change.</w:t>
      </w:r>
    </w:p>
    <w:p>
      <w:pPr>
        <w:spacing w:after="0" w:line="9" w:lineRule="exact"/>
        <w:rPr>
          <w:rFonts w:ascii="Arial" w:cs="Arial" w:eastAsia="Arial" w:hAnsi="Arial"/>
          <w:sz w:val="18"/>
          <w:szCs w:val="18"/>
          <w:color w:val="auto"/>
        </w:rPr>
      </w:pPr>
    </w:p>
    <w:p>
      <w:pPr>
        <w:jc w:val="both"/>
        <w:ind w:left="-8" w:firstLine="656"/>
        <w:spacing w:after="0" w:line="250" w:lineRule="auto"/>
        <w:tabs>
          <w:tab w:leader="none" w:pos="837"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Covenant to Deliver. </w:t>
      </w:r>
      <w:r>
        <w:rPr>
          <w:rFonts w:ascii="Arial" w:cs="Arial" w:eastAsia="Arial" w:hAnsi="Arial"/>
          <w:sz w:val="18"/>
          <w:szCs w:val="18"/>
          <w:color w:val="auto"/>
        </w:rPr>
        <w:t>Borrower agrees to deliver to Bank each item required to be delivered to Bank under this Agreement as a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 w:lineRule="exact"/>
        <w:rPr>
          <w:rFonts w:ascii="Arial" w:cs="Arial" w:eastAsia="Arial" w:hAnsi="Arial"/>
          <w:sz w:val="18"/>
          <w:szCs w:val="18"/>
          <w:color w:val="auto"/>
        </w:rPr>
      </w:pPr>
    </w:p>
    <w:p>
      <w:pPr>
        <w:ind w:left="832" w:hanging="184"/>
        <w:spacing w:after="0"/>
        <w:tabs>
          <w:tab w:leader="none" w:pos="832"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Procedures for Borrowing.</w:t>
      </w:r>
    </w:p>
    <w:p>
      <w:pPr>
        <w:spacing w:after="0" w:line="9" w:lineRule="exact"/>
        <w:rPr>
          <w:rFonts w:ascii="Arial" w:cs="Arial" w:eastAsia="Arial" w:hAnsi="Arial"/>
          <w:sz w:val="18"/>
          <w:szCs w:val="18"/>
          <w:color w:val="auto"/>
        </w:rPr>
      </w:pPr>
    </w:p>
    <w:p>
      <w:pPr>
        <w:jc w:val="both"/>
        <w:ind w:left="-8" w:firstLine="1305"/>
        <w:spacing w:after="0" w:line="281" w:lineRule="auto"/>
        <w:tabs>
          <w:tab w:leader="none" w:pos="1558" w:val="left"/>
        </w:tabs>
        <w:numPr>
          <w:ilvl w:val="2"/>
          <w:numId w:val="24"/>
        </w:numPr>
        <w:rPr>
          <w:rFonts w:ascii="Arial" w:cs="Arial" w:eastAsia="Arial" w:hAnsi="Arial"/>
          <w:sz w:val="16"/>
          <w:szCs w:val="16"/>
          <w:color w:val="auto"/>
        </w:rPr>
      </w:pPr>
      <w:r>
        <w:rPr>
          <w:rFonts w:ascii="Arial" w:cs="Arial" w:eastAsia="Arial" w:hAnsi="Arial"/>
          <w:sz w:val="16"/>
          <w:szCs w:val="16"/>
          <w:color w:val="auto"/>
        </w:rPr>
        <w:t xml:space="preserve">Subject to the prior satisfaction of all other applicable conditions to the making of an Advance set forth in this Agreement, an Advance shall be made upon Borrower’s (via an individual duly authorized by an Administrator) irrevocable written notice delivered to Bank in the form of a Notice of Borrowing or without instructions if any Advances is necessary to meet Obligations which have become due. The Notice of Borrowing shall be made by Borrower through Bank’s online banking program, provided, however, if Borrower is not utilizing Bank’s online banking program, then such Notice of Borrowing shall be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shall be executed by an Authorized Signer. For purposes of clarification, to the extent that Bank’s online banking program does not allow an electronic submission of a Notice of Borrowing for a LIBOR Advance then Borrower shall be permitted to submit a Notice of Borrowing for a LIBOR Advance by email or other means described in Section 10, using a Notice of Borrowing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executed by an Authorized Signer. Bank shall have received satisfactory evidence that the Board has approved that such Authorized Signer may provide such notices and request Advances. The Notice of Borrowing must be received by Bank prior to 12:00 p.m. Pacific time, (i) at least three</w:t>
      </w:r>
    </w:p>
    <w:p>
      <w:pPr>
        <w:spacing w:after="0" w:line="6" w:lineRule="exact"/>
        <w:rPr>
          <w:rFonts w:ascii="Arial" w:cs="Arial" w:eastAsia="Arial" w:hAnsi="Arial"/>
          <w:sz w:val="16"/>
          <w:szCs w:val="16"/>
          <w:color w:val="auto"/>
        </w:rPr>
      </w:pPr>
    </w:p>
    <w:p>
      <w:pPr>
        <w:jc w:val="both"/>
        <w:ind w:left="-8" w:firstLine="8"/>
        <w:spacing w:after="0" w:line="281" w:lineRule="auto"/>
        <w:tabs>
          <w:tab w:leader="none" w:pos="259" w:val="left"/>
        </w:tabs>
        <w:numPr>
          <w:ilvl w:val="0"/>
          <w:numId w:val="25"/>
        </w:numPr>
        <w:rPr>
          <w:rFonts w:ascii="Arial" w:cs="Arial" w:eastAsia="Arial" w:hAnsi="Arial"/>
          <w:sz w:val="16"/>
          <w:szCs w:val="16"/>
          <w:color w:val="auto"/>
        </w:rPr>
      </w:pPr>
      <w:r>
        <w:rPr>
          <w:rFonts w:ascii="Arial" w:cs="Arial" w:eastAsia="Arial" w:hAnsi="Arial"/>
          <w:sz w:val="16"/>
          <w:szCs w:val="16"/>
          <w:color w:val="auto"/>
        </w:rPr>
        <w:t>Business Days prior to the requested Funding Date, in the case of any LIBOR Advance, and (ii) on the requested Funding Date, in the case of a Prime Rate Advance, specifying: (1) the amount of the Advance; (2) the requested Funding Date; (3) whether the Advance is to be comprised of LIBOR Advances or Prime Rate Advances; and (4) the duration of the Interest Period applicable to any such LIBOR Advances included in such notice; provided that if the Notice of Borrowing shall fail to specify the duration of the Interest Period for any Advance comprised of LIBOR Advances, such Interest Period shall be one</w:t>
      </w:r>
    </w:p>
    <w:p>
      <w:pPr>
        <w:spacing w:after="0" w:line="2" w:lineRule="exact"/>
        <w:rPr>
          <w:rFonts w:ascii="Arial" w:cs="Arial" w:eastAsia="Arial" w:hAnsi="Arial"/>
          <w:sz w:val="16"/>
          <w:szCs w:val="16"/>
          <w:color w:val="auto"/>
        </w:rPr>
      </w:pPr>
    </w:p>
    <w:p>
      <w:pPr>
        <w:jc w:val="both"/>
        <w:ind w:left="-8" w:firstLine="8"/>
        <w:spacing w:after="0" w:line="250" w:lineRule="auto"/>
        <w:tabs>
          <w:tab w:leader="none" w:pos="2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month. Notwithstanding any terms in this Agreement to the contrary, each LIBOR Advance shall not be less than One Million Dollars ($1,000,000) and shall be in a multiple of One Hundred Thousand Dollars ($100,000). In addition to such Notice of Borrowing, Borrower must promptly deliver to Bank by electronic mail or through Bank’s online banking program such reports and information, including without limitation, sales journals, cash receipts journals, accounts receivable aging reports, as Bank may request in its sole discretion.</w:t>
      </w:r>
    </w:p>
    <w:p>
      <w:pPr>
        <w:spacing w:after="0" w:line="1" w:lineRule="exact"/>
        <w:rPr>
          <w:rFonts w:ascii="Arial" w:cs="Arial" w:eastAsia="Arial" w:hAnsi="Arial"/>
          <w:sz w:val="18"/>
          <w:szCs w:val="18"/>
          <w:color w:val="auto"/>
        </w:rPr>
      </w:pPr>
    </w:p>
    <w:p>
      <w:pPr>
        <w:jc w:val="both"/>
        <w:ind w:left="-8" w:firstLine="1305"/>
        <w:spacing w:after="0" w:line="281" w:lineRule="auto"/>
        <w:tabs>
          <w:tab w:leader="none" w:pos="1572" w:val="left"/>
        </w:tabs>
        <w:numPr>
          <w:ilvl w:val="2"/>
          <w:numId w:val="26"/>
        </w:numPr>
        <w:rPr>
          <w:rFonts w:ascii="Arial" w:cs="Arial" w:eastAsia="Arial" w:hAnsi="Arial"/>
          <w:sz w:val="16"/>
          <w:szCs w:val="16"/>
          <w:color w:val="auto"/>
        </w:rPr>
      </w:pPr>
      <w:r>
        <w:rPr>
          <w:rFonts w:ascii="Arial" w:cs="Arial" w:eastAsia="Arial" w:hAnsi="Arial"/>
          <w:sz w:val="16"/>
          <w:szCs w:val="16"/>
          <w:color w:val="auto"/>
        </w:rPr>
        <w:t>On the Funding Date, Bank shall credit proceeds of an Advance to the Designated Deposit Account and, subsequently, shall transfer such proceeds by wire transfer to such other account as Borrower may instruct in the Notice of Borrowing. No Advances shall be deemed made to Borrower, and no interest shall accrue on any such Advance, until the related funds have been deposited in the applicable Designated Deposit Account.</w:t>
      </w:r>
    </w:p>
    <w:p>
      <w:pPr>
        <w:spacing w:after="0" w:line="2" w:lineRule="exact"/>
        <w:rPr>
          <w:rFonts w:ascii="Arial" w:cs="Arial" w:eastAsia="Arial" w:hAnsi="Arial"/>
          <w:sz w:val="16"/>
          <w:szCs w:val="16"/>
          <w:color w:val="auto"/>
        </w:rPr>
      </w:pPr>
    </w:p>
    <w:p>
      <w:pPr>
        <w:ind w:left="812" w:hanging="164"/>
        <w:spacing w:after="0"/>
        <w:tabs>
          <w:tab w:leader="none" w:pos="812"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Conversion and Continuation Elections.</w:t>
      </w:r>
    </w:p>
    <w:p>
      <w:pPr>
        <w:spacing w:after="0" w:line="9" w:lineRule="exact"/>
        <w:rPr>
          <w:rFonts w:ascii="Arial" w:cs="Arial" w:eastAsia="Arial" w:hAnsi="Arial"/>
          <w:sz w:val="18"/>
          <w:szCs w:val="18"/>
          <w:color w:val="auto"/>
        </w:rPr>
      </w:pPr>
    </w:p>
    <w:p>
      <w:pPr>
        <w:jc w:val="both"/>
        <w:ind w:left="-8" w:firstLine="1305"/>
        <w:spacing w:after="0" w:line="250" w:lineRule="auto"/>
        <w:tabs>
          <w:tab w:leader="none" w:pos="1585" w:val="left"/>
        </w:tabs>
        <w:numPr>
          <w:ilvl w:val="2"/>
          <w:numId w:val="27"/>
        </w:numPr>
        <w:rPr>
          <w:rFonts w:ascii="Arial" w:cs="Arial" w:eastAsia="Arial" w:hAnsi="Arial"/>
          <w:sz w:val="18"/>
          <w:szCs w:val="18"/>
          <w:color w:val="auto"/>
        </w:rPr>
      </w:pPr>
      <w:r>
        <w:rPr>
          <w:rFonts w:ascii="Arial" w:cs="Arial" w:eastAsia="Arial" w:hAnsi="Arial"/>
          <w:sz w:val="18"/>
          <w:szCs w:val="18"/>
          <w:color w:val="auto"/>
        </w:rPr>
        <w:t>So long as (i) no Event of Default exists; (ii) Borrower shall not have sent any notice of termination of this Agreement; and (iii) Borrower shall have complied with such customary procedures as Bank has established from time to time for Borrower’s requests for LIBOR Advances, Borrower may, upon irrevocable written notice to Bank:</w:t>
      </w:r>
    </w:p>
    <w:p>
      <w:pPr>
        <w:spacing w:after="0" w:line="1" w:lineRule="exact"/>
        <w:rPr>
          <w:rFonts w:ascii="Arial" w:cs="Arial" w:eastAsia="Arial" w:hAnsi="Arial"/>
          <w:sz w:val="18"/>
          <w:szCs w:val="18"/>
          <w:color w:val="auto"/>
        </w:rPr>
      </w:pPr>
    </w:p>
    <w:p>
      <w:pPr>
        <w:ind w:left="2772" w:hanging="179"/>
        <w:spacing w:after="0"/>
        <w:tabs>
          <w:tab w:leader="none" w:pos="2772" w:val="left"/>
        </w:tabs>
        <w:numPr>
          <w:ilvl w:val="3"/>
          <w:numId w:val="27"/>
        </w:numPr>
        <w:rPr>
          <w:rFonts w:ascii="Arial" w:cs="Arial" w:eastAsia="Arial" w:hAnsi="Arial"/>
          <w:sz w:val="18"/>
          <w:szCs w:val="18"/>
          <w:color w:val="auto"/>
        </w:rPr>
      </w:pPr>
      <w:r>
        <w:rPr>
          <w:rFonts w:ascii="Arial" w:cs="Arial" w:eastAsia="Arial" w:hAnsi="Arial"/>
          <w:sz w:val="18"/>
          <w:szCs w:val="18"/>
          <w:color w:val="auto"/>
        </w:rPr>
        <w:t>elect to convert on any Business Day, Prime Rate Advances into LIBOR Advances;</w:t>
      </w:r>
    </w:p>
    <w:p>
      <w:pPr>
        <w:spacing w:after="0" w:line="9" w:lineRule="exact"/>
        <w:rPr>
          <w:rFonts w:ascii="Arial" w:cs="Arial" w:eastAsia="Arial" w:hAnsi="Arial"/>
          <w:sz w:val="18"/>
          <w:szCs w:val="18"/>
          <w:color w:val="auto"/>
        </w:rPr>
      </w:pPr>
    </w:p>
    <w:p>
      <w:pPr>
        <w:ind w:left="2772" w:hanging="179"/>
        <w:spacing w:after="0"/>
        <w:tabs>
          <w:tab w:leader="none" w:pos="2772" w:val="left"/>
        </w:tabs>
        <w:numPr>
          <w:ilvl w:val="3"/>
          <w:numId w:val="27"/>
        </w:numPr>
        <w:rPr>
          <w:rFonts w:ascii="Arial" w:cs="Arial" w:eastAsia="Arial" w:hAnsi="Arial"/>
          <w:sz w:val="17"/>
          <w:szCs w:val="17"/>
          <w:color w:val="auto"/>
        </w:rPr>
      </w:pPr>
      <w:r>
        <w:rPr>
          <w:rFonts w:ascii="Arial" w:cs="Arial" w:eastAsia="Arial" w:hAnsi="Arial"/>
          <w:sz w:val="17"/>
          <w:szCs w:val="17"/>
          <w:color w:val="auto"/>
        </w:rPr>
        <w:t>elect to continue on any Interest Payment Date any LIBOR Advances maturing on such Interest Payment Date; or</w:t>
      </w:r>
    </w:p>
    <w:p>
      <w:pPr>
        <w:spacing w:after="0" w:line="20" w:lineRule="exact"/>
        <w:rPr>
          <w:rFonts w:ascii="Arial" w:cs="Arial" w:eastAsia="Arial" w:hAnsi="Arial"/>
          <w:sz w:val="17"/>
          <w:szCs w:val="17"/>
          <w:color w:val="auto"/>
        </w:rPr>
      </w:pPr>
    </w:p>
    <w:p>
      <w:pPr>
        <w:ind w:left="1952" w:firstLine="641"/>
        <w:spacing w:after="0" w:line="250" w:lineRule="auto"/>
        <w:tabs>
          <w:tab w:leader="none" w:pos="2794" w:val="left"/>
        </w:tabs>
        <w:numPr>
          <w:ilvl w:val="3"/>
          <w:numId w:val="27"/>
        </w:numPr>
        <w:rPr>
          <w:rFonts w:ascii="Arial" w:cs="Arial" w:eastAsia="Arial" w:hAnsi="Arial"/>
          <w:sz w:val="18"/>
          <w:szCs w:val="18"/>
          <w:color w:val="auto"/>
        </w:rPr>
      </w:pPr>
      <w:r>
        <w:rPr>
          <w:rFonts w:ascii="Arial" w:cs="Arial" w:eastAsia="Arial" w:hAnsi="Arial"/>
          <w:sz w:val="18"/>
          <w:szCs w:val="18"/>
          <w:color w:val="auto"/>
        </w:rPr>
        <w:t>elect to convert on any Interest Payment Date any LIBOR Advances maturing on such Interest Payment Date into Prime Rate Advances.</w:t>
      </w:r>
    </w:p>
    <w:p>
      <w:pPr>
        <w:jc w:val="both"/>
        <w:ind w:left="-8" w:firstLine="1305"/>
        <w:spacing w:after="0" w:line="250" w:lineRule="auto"/>
        <w:tabs>
          <w:tab w:leader="none" w:pos="15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Borrower shall deliver a Notice of Conversion/Continuation by electronic mail via Bank’s online banking program to be received by Bank prior to 12:00 p.m. Pacific time (i) at least three (3) Business Days in advance of the Conversion Date or Continuation Date, if any Advances are to be converted into or continued as LIBOR Advances; and (ii) on the Conversion Date, if any Advances are to be converted into Prime Rate Advances, in each case specifying the:</w:t>
      </w:r>
    </w:p>
    <w:p>
      <w:pPr>
        <w:spacing w:after="0" w:line="1" w:lineRule="exact"/>
        <w:rPr>
          <w:rFonts w:ascii="Arial" w:cs="Arial" w:eastAsia="Arial" w:hAnsi="Arial"/>
          <w:sz w:val="18"/>
          <w:szCs w:val="18"/>
          <w:color w:val="auto"/>
        </w:rPr>
      </w:pPr>
    </w:p>
    <w:p>
      <w:pPr>
        <w:ind w:left="2772" w:hanging="179"/>
        <w:spacing w:after="0"/>
        <w:tabs>
          <w:tab w:leader="none" w:pos="2772" w:val="left"/>
        </w:tabs>
        <w:numPr>
          <w:ilvl w:val="3"/>
          <w:numId w:val="28"/>
        </w:numPr>
        <w:rPr>
          <w:rFonts w:ascii="Arial" w:cs="Arial" w:eastAsia="Arial" w:hAnsi="Arial"/>
          <w:sz w:val="18"/>
          <w:szCs w:val="18"/>
          <w:color w:val="auto"/>
        </w:rPr>
      </w:pPr>
      <w:r>
        <w:rPr>
          <w:rFonts w:ascii="Arial" w:cs="Arial" w:eastAsia="Arial" w:hAnsi="Arial"/>
          <w:sz w:val="18"/>
          <w:szCs w:val="18"/>
          <w:color w:val="auto"/>
        </w:rPr>
        <w:t>proposed Conversion Date or Continuation Date;</w:t>
      </w:r>
    </w:p>
    <w:p>
      <w:pPr>
        <w:spacing w:after="0" w:line="9" w:lineRule="exact"/>
        <w:rPr>
          <w:rFonts w:ascii="Arial" w:cs="Arial" w:eastAsia="Arial" w:hAnsi="Arial"/>
          <w:sz w:val="18"/>
          <w:szCs w:val="18"/>
          <w:color w:val="auto"/>
        </w:rPr>
      </w:pPr>
    </w:p>
    <w:p>
      <w:pPr>
        <w:ind w:left="2772" w:hanging="179"/>
        <w:spacing w:after="0"/>
        <w:tabs>
          <w:tab w:leader="none" w:pos="2772" w:val="left"/>
        </w:tabs>
        <w:numPr>
          <w:ilvl w:val="3"/>
          <w:numId w:val="28"/>
        </w:numPr>
        <w:rPr>
          <w:rFonts w:ascii="Arial" w:cs="Arial" w:eastAsia="Arial" w:hAnsi="Arial"/>
          <w:sz w:val="18"/>
          <w:szCs w:val="18"/>
          <w:color w:val="auto"/>
        </w:rPr>
      </w:pPr>
      <w:r>
        <w:rPr>
          <w:rFonts w:ascii="Arial" w:cs="Arial" w:eastAsia="Arial" w:hAnsi="Arial"/>
          <w:sz w:val="18"/>
          <w:szCs w:val="18"/>
          <w:color w:val="auto"/>
        </w:rPr>
        <w:t>aggregate amount of the Advances to be converted or continued;</w:t>
      </w:r>
    </w:p>
    <w:p>
      <w:pPr>
        <w:spacing w:after="0" w:line="9" w:lineRule="exact"/>
        <w:rPr>
          <w:rFonts w:ascii="Arial" w:cs="Arial" w:eastAsia="Arial" w:hAnsi="Arial"/>
          <w:sz w:val="18"/>
          <w:szCs w:val="18"/>
          <w:color w:val="auto"/>
        </w:rPr>
      </w:pPr>
    </w:p>
    <w:p>
      <w:pPr>
        <w:ind w:left="2772" w:hanging="179"/>
        <w:spacing w:after="0"/>
        <w:tabs>
          <w:tab w:leader="none" w:pos="2772" w:val="left"/>
        </w:tabs>
        <w:numPr>
          <w:ilvl w:val="3"/>
          <w:numId w:val="28"/>
        </w:numPr>
        <w:rPr>
          <w:rFonts w:ascii="Arial" w:cs="Arial" w:eastAsia="Arial" w:hAnsi="Arial"/>
          <w:sz w:val="18"/>
          <w:szCs w:val="18"/>
          <w:color w:val="auto"/>
        </w:rPr>
      </w:pPr>
      <w:r>
        <w:rPr>
          <w:rFonts w:ascii="Arial" w:cs="Arial" w:eastAsia="Arial" w:hAnsi="Arial"/>
          <w:sz w:val="18"/>
          <w:szCs w:val="18"/>
          <w:color w:val="auto"/>
        </w:rPr>
        <w:t>nature of the proposed conversion or continuation; and</w:t>
      </w:r>
    </w:p>
    <w:p>
      <w:pPr>
        <w:spacing w:after="0" w:line="9" w:lineRule="exact"/>
        <w:rPr>
          <w:rFonts w:ascii="Arial" w:cs="Arial" w:eastAsia="Arial" w:hAnsi="Arial"/>
          <w:sz w:val="18"/>
          <w:szCs w:val="18"/>
          <w:color w:val="auto"/>
        </w:rPr>
      </w:pPr>
    </w:p>
    <w:p>
      <w:pPr>
        <w:ind w:left="2772" w:hanging="179"/>
        <w:spacing w:after="0"/>
        <w:tabs>
          <w:tab w:leader="none" w:pos="2772" w:val="left"/>
        </w:tabs>
        <w:numPr>
          <w:ilvl w:val="3"/>
          <w:numId w:val="28"/>
        </w:numPr>
        <w:rPr>
          <w:rFonts w:ascii="Arial" w:cs="Arial" w:eastAsia="Arial" w:hAnsi="Arial"/>
          <w:sz w:val="18"/>
          <w:szCs w:val="18"/>
          <w:color w:val="auto"/>
        </w:rPr>
      </w:pPr>
      <w:r>
        <w:rPr>
          <w:rFonts w:ascii="Arial" w:cs="Arial" w:eastAsia="Arial" w:hAnsi="Arial"/>
          <w:sz w:val="18"/>
          <w:szCs w:val="18"/>
          <w:color w:val="auto"/>
        </w:rPr>
        <w:t>if the resulting Advance is to be a LIBOR Advance, the duration of the requested Interest Period.</w:t>
      </w:r>
    </w:p>
    <w:p>
      <w:pPr>
        <w:spacing w:after="0" w:line="9" w:lineRule="exact"/>
        <w:rPr>
          <w:rFonts w:ascii="Arial" w:cs="Arial" w:eastAsia="Arial" w:hAnsi="Arial"/>
          <w:sz w:val="18"/>
          <w:szCs w:val="18"/>
          <w:color w:val="auto"/>
        </w:rPr>
      </w:pPr>
    </w:p>
    <w:p>
      <w:pPr>
        <w:jc w:val="both"/>
        <w:ind w:left="-8" w:firstLine="1305"/>
        <w:spacing w:after="0" w:line="255" w:lineRule="auto"/>
        <w:tabs>
          <w:tab w:leader="none" w:pos="1572" w:val="left"/>
        </w:tabs>
        <w:numPr>
          <w:ilvl w:val="2"/>
          <w:numId w:val="29"/>
        </w:numPr>
        <w:rPr>
          <w:rFonts w:ascii="Arial" w:cs="Arial" w:eastAsia="Arial" w:hAnsi="Arial"/>
          <w:sz w:val="18"/>
          <w:szCs w:val="18"/>
          <w:color w:val="auto"/>
        </w:rPr>
      </w:pPr>
      <w:r>
        <w:rPr>
          <w:rFonts w:ascii="Arial" w:cs="Arial" w:eastAsia="Arial" w:hAnsi="Arial"/>
          <w:sz w:val="18"/>
          <w:szCs w:val="18"/>
          <w:color w:val="auto"/>
        </w:rPr>
        <w:t>If upon the expiration of any Interest Period applicable to any LIBOR Advances, Borrower shall have timely failed to select a new Interest Period to be applicable to such LIBOR Advances or request to convert a LIBOR Advance into a Prime Rate Advance, Borrower shall be deemed to have elected to convert such LIBOR Advances into Prime Rate Advances.</w:t>
      </w:r>
    </w:p>
    <w:p>
      <w:pPr>
        <w:sectPr>
          <w:pgSz w:w="11900" w:h="16838" w:orient="portrait"/>
          <w:cols w:equalWidth="0" w:num="1">
            <w:col w:w="11412"/>
          </w:cols>
          <w:pgMar w:left="248" w:top="935" w:right="239" w:bottom="1440" w:gutter="0" w:footer="0" w:header="0"/>
        </w:sectPr>
      </w:pPr>
    </w:p>
    <w:bookmarkStart w:id="50" w:name="page51"/>
    <w:bookmarkEnd w:id="50"/>
    <w:p>
      <w:pPr>
        <w:jc w:val="both"/>
        <w:ind w:firstLine="1305"/>
        <w:spacing w:after="0" w:line="267" w:lineRule="auto"/>
        <w:tabs>
          <w:tab w:leader="none" w:pos="1566"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LIBOR Advances shall, at Bank’s option, convert into Prime Rate Advances in the event that (i) an Event of Default exists and has not been cured, or (ii) the aggregate principal amount of the Prime Rate Advances which have been previously converted to LIBOR Advances, or the aggregate principal amount of existing LIBOR Advances continued, as the case may be, at the beginning of an Interest Period shall at any time during such Interest Period exceed the lesser of the Revolving Line or the Borrowing Base, in each case, less any applicable Reserves. Borrower agrees to pay Bank, upon demand by Bank (or Bank may, at its option, debit the Designated Deposit Account or any other account Borrower maintains with Bank) any amounts required to compensate Bank for any loss (excluding loss of anticipated profits), cost, or expense incurred by Bank, as a result of the conversion of LIBOR Advances to Prime Rate Advances pursuant to this Section 3.5(d).</w:t>
      </w:r>
    </w:p>
    <w:p>
      <w:pPr>
        <w:spacing w:after="0" w:line="4" w:lineRule="exact"/>
        <w:rPr>
          <w:rFonts w:ascii="Arial" w:cs="Arial" w:eastAsia="Arial" w:hAnsi="Arial"/>
          <w:sz w:val="17"/>
          <w:szCs w:val="17"/>
          <w:color w:val="auto"/>
        </w:rPr>
      </w:pPr>
    </w:p>
    <w:p>
      <w:pPr>
        <w:jc w:val="both"/>
        <w:ind w:firstLine="1305"/>
        <w:spacing w:after="0" w:line="250" w:lineRule="auto"/>
        <w:tabs>
          <w:tab w:leader="none" w:pos="15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Bank shall not be required to purchase Dollar deposits in the London interbank market or other applicable LIBOR market to fund any LIBOR Advances, but the provisions hereof shall be deemed to apply as if Bank had purchased such deposits to fund the LIBOR Advances.</w:t>
      </w:r>
    </w:p>
    <w:p>
      <w:pPr>
        <w:spacing w:after="0" w:line="1" w:lineRule="exact"/>
        <w:rPr>
          <w:rFonts w:ascii="Arial" w:cs="Arial" w:eastAsia="Arial" w:hAnsi="Arial"/>
          <w:sz w:val="18"/>
          <w:szCs w:val="18"/>
          <w:color w:val="auto"/>
        </w:rPr>
      </w:pPr>
    </w:p>
    <w:p>
      <w:pPr>
        <w:ind w:firstLine="648"/>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Special Provisions Governing LIBOR Advances.</w:t>
      </w:r>
      <w:r>
        <w:rPr>
          <w:rFonts w:ascii="Arial" w:cs="Arial" w:eastAsia="Arial" w:hAnsi="Arial"/>
          <w:sz w:val="18"/>
          <w:szCs w:val="18"/>
          <w:color w:val="auto"/>
        </w:rPr>
        <w:t xml:space="preserve"> Notwithstanding any other provision of this Agreement to the contrary, the following provisions shall govern with respect to LIBOR Advances as to the matters covered:</w:t>
      </w:r>
    </w:p>
    <w:p>
      <w:pPr>
        <w:jc w:val="both"/>
        <w:ind w:firstLine="1305"/>
        <w:spacing w:after="0" w:line="250" w:lineRule="auto"/>
        <w:tabs>
          <w:tab w:leader="none" w:pos="1580" w:val="left"/>
        </w:tabs>
        <w:numPr>
          <w:ilvl w:val="1"/>
          <w:numId w:val="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Determination of Applicable Interest Rate</w:t>
      </w:r>
      <w:r>
        <w:rPr>
          <w:rFonts w:ascii="Arial" w:cs="Arial" w:eastAsia="Arial" w:hAnsi="Arial"/>
          <w:sz w:val="18"/>
          <w:szCs w:val="18"/>
          <w:color w:val="auto"/>
        </w:rPr>
        <w:t>. As soon as practicable on each Interest Rate Determination Date, Bank shall determine (which determination shall, absent manifest error in calculation, be final, conclusive and binding upon all parties) the interest rate that shall apply to the LIBOR Advances for which an interest rate is then being determined for the applicable Interest Period and shall promptly give notice thereof (in writing or by telephone confirmed in writing) to Borrower.</w:t>
      </w:r>
    </w:p>
    <w:p>
      <w:pPr>
        <w:spacing w:after="0" w:line="1" w:lineRule="exact"/>
        <w:rPr>
          <w:rFonts w:ascii="Arial" w:cs="Arial" w:eastAsia="Arial" w:hAnsi="Arial"/>
          <w:sz w:val="18"/>
          <w:szCs w:val="18"/>
          <w:u w:val="single" w:color="auto"/>
          <w:color w:val="auto"/>
        </w:rPr>
      </w:pPr>
    </w:p>
    <w:p>
      <w:pPr>
        <w:jc w:val="both"/>
        <w:ind w:firstLine="1305"/>
        <w:spacing w:after="0" w:line="265" w:lineRule="auto"/>
        <w:tabs>
          <w:tab w:leader="none" w:pos="1580" w:val="left"/>
        </w:tabs>
        <w:numPr>
          <w:ilvl w:val="1"/>
          <w:numId w:val="3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Inability to Determine Applicable Interest Rate</w:t>
      </w:r>
      <w:r>
        <w:rPr>
          <w:rFonts w:ascii="Arial" w:cs="Arial" w:eastAsia="Arial" w:hAnsi="Arial"/>
          <w:sz w:val="17"/>
          <w:szCs w:val="17"/>
          <w:color w:val="auto"/>
        </w:rPr>
        <w:t>. In the event that Bank shall have determined (which determination shall be final and conclusive and binding upon all parties hereto), on any Interest Rate Determination Date with respect to any LIBOR Advance, that by reason of circumstances affecting the London interbank market adequate and fair means do not exist for ascertaining the interest rate applicable to such LIBOR Advance on the basis provided for in the definition of LIBOR, Bank shall on such date give notice (by facsimile or by telephone confirmed in writing) to Borrower of such determination, whereupon (i) no Advances may be made as, or converted to, LIBOR Advances until such time as Bank notifies Borrower that the circumstances giving rise to such notice no longer exist, and (ii) any Notice of Borrowing or Notice of Conversion/Continuation given by Borrower with respect to LIBOR Advances in respect of which such determination was made shall be deemed to be rescinded by Borrower.</w:t>
      </w:r>
    </w:p>
    <w:p>
      <w:pPr>
        <w:spacing w:after="0" w:line="1" w:lineRule="exact"/>
        <w:rPr>
          <w:rFonts w:ascii="Arial" w:cs="Arial" w:eastAsia="Arial" w:hAnsi="Arial"/>
          <w:sz w:val="17"/>
          <w:szCs w:val="17"/>
          <w:u w:val="single" w:color="auto"/>
          <w:color w:val="auto"/>
        </w:rPr>
      </w:pPr>
    </w:p>
    <w:p>
      <w:pPr>
        <w:jc w:val="both"/>
        <w:ind w:firstLine="1305"/>
        <w:spacing w:after="0" w:line="281" w:lineRule="auto"/>
        <w:tabs>
          <w:tab w:leader="none" w:pos="1566" w:val="left"/>
        </w:tabs>
        <w:numPr>
          <w:ilvl w:val="1"/>
          <w:numId w:val="3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Compensation for Breakage or Non-Commencement of Interest Periods</w:t>
      </w:r>
      <w:r>
        <w:rPr>
          <w:rFonts w:ascii="Arial" w:cs="Arial" w:eastAsia="Arial" w:hAnsi="Arial"/>
          <w:sz w:val="16"/>
          <w:szCs w:val="16"/>
          <w:color w:val="auto"/>
        </w:rPr>
        <w:t>. If (i) for any reason, other than a default by Bank or any failure of Bank to fund LIBOR Advances due to impracticability or illegality under Sections 3.7(c) and 3.7(d) of this Agreement, a borrowing or a conversion to or continuation of any LIBOR Advance does not occur on a date specified in a Notice of Borrowing or a Notice of Conversion/Continuation, as the case may be, or (ii) any complete or partial principal payment or reduction of a LIBOR Advance, or any conversion of any LIBOR Advance, occurs on a date prior to the last day of an Interest Period applicable to that LIBOR Advance, including due to voluntary or mandatory prepayment or acceleration, then, in each case, Borrower shall compensate Bank, upon written request by Bank, for all losses and expenses incurred by Bank in an amount equal to the excess, if any, of:</w:t>
      </w:r>
    </w:p>
    <w:p>
      <w:pPr>
        <w:spacing w:after="0" w:line="4" w:lineRule="exact"/>
        <w:rPr>
          <w:rFonts w:ascii="Arial" w:cs="Arial" w:eastAsia="Arial" w:hAnsi="Arial"/>
          <w:sz w:val="16"/>
          <w:szCs w:val="16"/>
          <w:u w:val="single" w:color="auto"/>
          <w:color w:val="auto"/>
        </w:rPr>
      </w:pPr>
    </w:p>
    <w:p>
      <w:pPr>
        <w:jc w:val="both"/>
        <w:ind w:left="1300" w:firstLine="653"/>
        <w:spacing w:after="0" w:line="265" w:lineRule="auto"/>
        <w:tabs>
          <w:tab w:leader="none" w:pos="2088" w:val="left"/>
        </w:tabs>
        <w:numPr>
          <w:ilvl w:val="2"/>
          <w:numId w:val="30"/>
        </w:numPr>
        <w:rPr>
          <w:rFonts w:ascii="Arial" w:cs="Arial" w:eastAsia="Arial" w:hAnsi="Arial"/>
          <w:sz w:val="17"/>
          <w:szCs w:val="17"/>
          <w:color w:val="auto"/>
        </w:rPr>
      </w:pPr>
      <w:r>
        <w:rPr>
          <w:rFonts w:ascii="Arial" w:cs="Arial" w:eastAsia="Arial" w:hAnsi="Arial"/>
          <w:sz w:val="17"/>
          <w:szCs w:val="17"/>
          <w:color w:val="auto"/>
        </w:rPr>
        <w:t>the amount of interest that would have accrued on the amount (1) not borrowed, converted or continued as provided in clause (i) above, or (2) paid, reduced or converted as provided in clause (ii) above, for the period from (y) the date of such failure to borrow, convert or continue as provided in clause (i) above, or the date of such payment, reduction or conversion as provided in clause (ii) above, as the case may be, to (z) in the case of a failure to borrow, convert or continue as provided in clause (i) above, the last day of the Interest Period that would have commenced on the date of such borrowing, conversion or continuing but for such failure, and in the case of a payment, reduction or conversion prior to the last day of an Interest Period applicable to a LIBOR Advance as provided in clause (ii) above, the last day of such Interest Period, in each case at the applicable rate of interest or other return for such LIBOR Advance(s) provided for herein (excluding, however, in each case, the LIBOR Rate Margin included therein, if any, and any incremental interest payable as a result of the existence of an Event of Default), over</w:t>
      </w:r>
    </w:p>
    <w:p>
      <w:pPr>
        <w:spacing w:after="0" w:line="2" w:lineRule="exact"/>
        <w:rPr>
          <w:rFonts w:ascii="Arial" w:cs="Arial" w:eastAsia="Arial" w:hAnsi="Arial"/>
          <w:sz w:val="17"/>
          <w:szCs w:val="17"/>
          <w:color w:val="auto"/>
        </w:rPr>
      </w:pPr>
    </w:p>
    <w:p>
      <w:pPr>
        <w:jc w:val="both"/>
        <w:ind w:left="1300" w:firstLine="653"/>
        <w:spacing w:after="0" w:line="281" w:lineRule="auto"/>
        <w:tabs>
          <w:tab w:leader="none" w:pos="2138"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interest which would have accrued to Bank on the applicable amount provided in clause (A) above through the purchase of a Eurodollar deposit bearing interest at the rate obtained pursuant to the definition of LIBOR Rate on the date of such failure to borrow, convert or continue as provided in clause (i) above, or the date of such payment, reduction or conversion as provided in clause (ii) above, as the case may be, for a period equal to the remaining period of such applicable Interest Period provided in clause (A) above.</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Bank’s request shall set forth the manner and method of computing such compensation and such determination as to such compensation shall be conclusive absent manifest error.</w:t>
      </w:r>
    </w:p>
    <w:p>
      <w:pPr>
        <w:sectPr>
          <w:pgSz w:w="11900" w:h="16838" w:orient="portrait"/>
          <w:cols w:equalWidth="0" w:num="1">
            <w:col w:w="11420"/>
          </w:cols>
          <w:pgMar w:left="240" w:top="936" w:right="239" w:bottom="1440" w:gutter="0" w:footer="0" w:header="0"/>
        </w:sectPr>
      </w:pPr>
    </w:p>
    <w:bookmarkStart w:id="51" w:name="page52"/>
    <w:bookmarkEnd w:id="51"/>
    <w:p>
      <w:pPr>
        <w:jc w:val="both"/>
        <w:ind w:left="660" w:firstLine="1293"/>
        <w:spacing w:after="0" w:line="285" w:lineRule="auto"/>
        <w:tabs>
          <w:tab w:leader="none" w:pos="2226" w:val="left"/>
        </w:tabs>
        <w:numPr>
          <w:ilvl w:val="2"/>
          <w:numId w:val="3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Assumptions Concerning Funding of LIBOR Advances</w:t>
      </w:r>
      <w:r>
        <w:rPr>
          <w:rFonts w:ascii="Arial" w:cs="Arial" w:eastAsia="Arial" w:hAnsi="Arial"/>
          <w:sz w:val="16"/>
          <w:szCs w:val="16"/>
          <w:color w:val="auto"/>
        </w:rPr>
        <w:t>. Calculation of all amounts payable to Bank under this Section 3.6 and under Section 3.7 shall be made as though Bank had actually funded each relevant LIBOR Advance through the purchase of a Eurodollar deposit bearing interest at the rate obtained pursuant to the definition of LIBOR Rate in an amount equal to the amount of such LIBOR Advance and having a maturity comparable to the relevant Interest Period; provided, however, that Bank may fund each of its LIBOR Advances in any manner it sees fit and the foregoing assumptions shall be utilized only for the purposes of calculating amounts payable under this Section 3.6 and under Section 3.7.</w:t>
      </w:r>
    </w:p>
    <w:p>
      <w:pPr>
        <w:spacing w:after="0" w:line="2" w:lineRule="exact"/>
        <w:rPr>
          <w:rFonts w:ascii="Arial" w:cs="Arial" w:eastAsia="Arial" w:hAnsi="Arial"/>
          <w:sz w:val="16"/>
          <w:szCs w:val="16"/>
          <w:u w:val="single" w:color="auto"/>
          <w:color w:val="auto"/>
        </w:rPr>
      </w:pPr>
    </w:p>
    <w:p>
      <w:pPr>
        <w:jc w:val="both"/>
        <w:ind w:firstLine="1305"/>
        <w:spacing w:after="0" w:line="250" w:lineRule="auto"/>
        <w:tabs>
          <w:tab w:leader="none" w:pos="1566" w:val="left"/>
        </w:tabs>
        <w:numPr>
          <w:ilvl w:val="1"/>
          <w:numId w:val="3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LIBOR Advances After an Event of Default</w:t>
      </w:r>
      <w:r>
        <w:rPr>
          <w:rFonts w:ascii="Arial" w:cs="Arial" w:eastAsia="Arial" w:hAnsi="Arial"/>
          <w:sz w:val="18"/>
          <w:szCs w:val="18"/>
          <w:color w:val="auto"/>
        </w:rPr>
        <w:t>. After the occurrence and during the continuance of an Event of Default, (i) Borrower may not elect to have an Advance be made or continued as, or converted to, a LIBOR Advance after the expiration of any Interest Period then in effect for such Advance and (ii) subject to the provisions of Section 3.6(c), any Notice of Conversion/Continuation given by Borrower with respect to a requested conversion/continuation that has not yet occurred shall, at Bank’s option, be deemed to be rescinded by Borrower and be deemed a request to convert or continue Advances referred to therein as Prime Rate Advances.</w:t>
      </w:r>
    </w:p>
    <w:p>
      <w:pPr>
        <w:spacing w:after="0" w:line="2" w:lineRule="exact"/>
        <w:rPr>
          <w:rFonts w:ascii="Arial" w:cs="Arial" w:eastAsia="Arial" w:hAnsi="Arial"/>
          <w:sz w:val="18"/>
          <w:szCs w:val="18"/>
          <w:u w:val="single" w:color="auto"/>
          <w:color w:val="auto"/>
        </w:rPr>
      </w:pPr>
    </w:p>
    <w:p>
      <w:pPr>
        <w:ind w:left="660"/>
        <w:spacing w:after="0"/>
        <w:rPr>
          <w:rFonts w:ascii="Arial" w:cs="Arial" w:eastAsia="Arial" w:hAnsi="Arial"/>
          <w:sz w:val="18"/>
          <w:szCs w:val="18"/>
          <w:u w:val="single" w:color="auto"/>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Additional Requirements/Provisions Regarding LIBOR Advances.</w:t>
      </w:r>
    </w:p>
    <w:p>
      <w:pPr>
        <w:spacing w:after="0" w:line="9" w:lineRule="exact"/>
        <w:rPr>
          <w:rFonts w:ascii="Arial" w:cs="Arial" w:eastAsia="Arial" w:hAnsi="Arial"/>
          <w:sz w:val="18"/>
          <w:szCs w:val="18"/>
          <w:u w:val="single" w:color="auto"/>
          <w:color w:val="auto"/>
        </w:rPr>
      </w:pPr>
    </w:p>
    <w:p>
      <w:pPr>
        <w:jc w:val="both"/>
        <w:ind w:firstLine="1305"/>
        <w:spacing w:after="0" w:line="250" w:lineRule="auto"/>
        <w:tabs>
          <w:tab w:leader="none" w:pos="15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Borrower shall pay Bank, upon demand by Bank, from time to time such amounts as Bank may determine to be necessary to compensate it for any costs incurred by Bank that Bank determines are attributable to its making or maintaining of any amount receivable by Bank hereunder in respect of any LIBOR Advances relating thereto (such increases in costs and reductions in amounts receivable being herein called “</w:t>
      </w:r>
      <w:r>
        <w:rPr>
          <w:rFonts w:ascii="Arial" w:cs="Arial" w:eastAsia="Arial" w:hAnsi="Arial"/>
          <w:sz w:val="18"/>
          <w:szCs w:val="18"/>
          <w:b w:val="1"/>
          <w:bCs w:val="1"/>
          <w:color w:val="auto"/>
        </w:rPr>
        <w:t>Additional Costs</w:t>
      </w:r>
      <w:r>
        <w:rPr>
          <w:rFonts w:ascii="Arial" w:cs="Arial" w:eastAsia="Arial" w:hAnsi="Arial"/>
          <w:sz w:val="18"/>
          <w:szCs w:val="18"/>
          <w:color w:val="auto"/>
        </w:rPr>
        <w:t>”), in each case resulting from any Regulatory Change (exclusive of Regulatory Changes that are already accounted for in the determination of LIBOR Rate) which:</w:t>
      </w:r>
    </w:p>
    <w:p>
      <w:pPr>
        <w:spacing w:after="0" w:line="2" w:lineRule="exact"/>
        <w:rPr>
          <w:sz w:val="20"/>
          <w:szCs w:val="20"/>
          <w:color w:val="auto"/>
        </w:rPr>
      </w:pPr>
    </w:p>
    <w:p>
      <w:pPr>
        <w:jc w:val="both"/>
        <w:ind w:right="20" w:firstLine="1945"/>
        <w:spacing w:after="0" w:line="281" w:lineRule="auto"/>
        <w:rPr>
          <w:sz w:val="20"/>
          <w:szCs w:val="20"/>
          <w:color w:val="auto"/>
        </w:rPr>
      </w:pPr>
      <w:r>
        <w:rPr>
          <w:rFonts w:ascii="Arial" w:cs="Arial" w:eastAsia="Arial" w:hAnsi="Arial"/>
          <w:sz w:val="16"/>
          <w:szCs w:val="16"/>
          <w:color w:val="auto"/>
        </w:rPr>
        <w:t>a. changes the basis of taxation of any amounts payable to Bank under this Agreement in respect of any LIBOR Advances (other than changes which affect taxes measured by or imposed on the overall net income of Bank by the jurisdiction in which Bank has its principal office);</w:t>
      </w:r>
    </w:p>
    <w:p>
      <w:pPr>
        <w:spacing w:after="0" w:line="1" w:lineRule="exact"/>
        <w:rPr>
          <w:sz w:val="20"/>
          <w:szCs w:val="20"/>
          <w:color w:val="auto"/>
        </w:rPr>
      </w:pPr>
    </w:p>
    <w:p>
      <w:pPr>
        <w:jc w:val="both"/>
        <w:ind w:firstLine="1945"/>
        <w:spacing w:after="0" w:line="265" w:lineRule="auto"/>
        <w:rPr>
          <w:sz w:val="20"/>
          <w:szCs w:val="20"/>
          <w:color w:val="auto"/>
        </w:rPr>
      </w:pPr>
      <w:r>
        <w:rPr>
          <w:rFonts w:ascii="Arial" w:cs="Arial" w:eastAsia="Arial" w:hAnsi="Arial"/>
          <w:sz w:val="17"/>
          <w:szCs w:val="17"/>
          <w:color w:val="auto"/>
        </w:rPr>
        <w:t>b. imposes or modifies any reserve, special deposit or similar requirements relating to any extensions of credit or other assets of, or any deposits with, or other liabilities of Bank (including any LIBOR Advances or any deposits referred to in the definition of LIBOR); or</w:t>
      </w:r>
    </w:p>
    <w:p>
      <w:pPr>
        <w:jc w:val="center"/>
        <w:ind w:right="-119"/>
        <w:spacing w:after="0"/>
        <w:rPr>
          <w:sz w:val="20"/>
          <w:szCs w:val="20"/>
          <w:color w:val="auto"/>
        </w:rPr>
      </w:pPr>
      <w:r>
        <w:rPr>
          <w:rFonts w:ascii="Arial" w:cs="Arial" w:eastAsia="Arial" w:hAnsi="Arial"/>
          <w:sz w:val="18"/>
          <w:szCs w:val="18"/>
          <w:color w:val="auto"/>
        </w:rPr>
        <w:t>c. imposes any other condition affecting this Agreement (or any of such extensions of credit or liabilities).</w:t>
      </w:r>
    </w:p>
    <w:p>
      <w:pPr>
        <w:spacing w:after="0" w:line="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Bank will notify Borrower of any event occurring after the Effective Date which will entitle Bank to compensation pursuant to this Section 3.7(a) as promptly as practicable after it obtains knowledge thereof and determines to request such compensation. Bank will furnish Borrower with a statement setting forth the basis (including reasonable supporting detail) and amount of each request by Bank for compensation under this Section 3.7(a). Determinations and allocations by Bank for purposes of this Section 3.7(a) of the effect of any Regulatory Change on its costs of maintaining its obligations to make LIBOR Advances, of making or maintaining LIBOR Advances, or on amounts receivable by it in respect of LIBOR Advances, and of the additional amounts required to compensate Bank in respect of any Additional Costs, shall be conclusive absent manifest error.</w:t>
      </w:r>
    </w:p>
    <w:p>
      <w:pPr>
        <w:spacing w:after="0" w:line="179" w:lineRule="exact"/>
        <w:rPr>
          <w:sz w:val="20"/>
          <w:szCs w:val="20"/>
          <w:color w:val="auto"/>
        </w:rPr>
      </w:pPr>
    </w:p>
    <w:p>
      <w:pPr>
        <w:jc w:val="both"/>
        <w:ind w:left="660" w:firstLine="1293"/>
        <w:spacing w:after="0" w:line="266" w:lineRule="auto"/>
        <w:tabs>
          <w:tab w:leader="none" w:pos="222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Bank shall determine that the adoption or implementation of any applicable law, rule, regulation, or treaty regarding capital adequacy, or any change therein, or any change in the interpretation or administration thereof by any governmental authority, central bank, or comparable agency charged with the interpretation or administration thereof, or compliance by Bank (or its applicable lending office) with any request or directive regarding capital adequacy (whether or not having the force of law) of any such authority, central bank, or comparable agency, has or would have the effect of reducing the rate of return on capital of Bank or any person or entity controlling Bank (a “</w:t>
      </w:r>
      <w:r>
        <w:rPr>
          <w:rFonts w:ascii="Arial" w:cs="Arial" w:eastAsia="Arial" w:hAnsi="Arial"/>
          <w:sz w:val="17"/>
          <w:szCs w:val="17"/>
          <w:b w:val="1"/>
          <w:bCs w:val="1"/>
          <w:color w:val="auto"/>
        </w:rPr>
        <w:t>Parent</w:t>
      </w:r>
      <w:r>
        <w:rPr>
          <w:rFonts w:ascii="Arial" w:cs="Arial" w:eastAsia="Arial" w:hAnsi="Arial"/>
          <w:sz w:val="17"/>
          <w:szCs w:val="17"/>
          <w:color w:val="auto"/>
        </w:rPr>
        <w:t>”) as a consequence of its obligations hereunder to a level below that which Bank (or its Parent) could have achieved but for such adoption, change, or compliance (taking into consideration policies with respect to capital adequacy) by an amount deemed by Bank to be material, then from time to time, within five (5) days after demand by Bank, Borrower shall pay (without duplication of amounts contemplated by Section 3.7(a)) to Bank such additional amount or amounts as will compensate Bank for such reduction. A statement of Bank claiming compensation under this Section 3.7(b) and setting forth the additional amount or amounts to be paid to it hereunder (including reasonable supporting detail in respect thereof) shall be conclusive absent manifest error.</w:t>
      </w:r>
    </w:p>
    <w:p>
      <w:pPr>
        <w:spacing w:after="0" w:line="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Notwithstanding anything to the contrary in this Section 3.7, Borrower shall not be required to compensate Bank pursuant to this Section 3.7(b) for</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amounts incurred more than nine (9) months prior to the date that Bank notifies Borrower of Bank’s intention to claim compensation therefor; provided that if the circumstances giving rise to such claim have a retroactive effect, then such nine-month period shall be extended to include the period of such retroactive effect. The obligations of Borrower arising pursuant to this Section 3.7(b) shall survive the Revolving Line Maturity Date, the termination of this Agreement and the repayment of all Obligations.</w:t>
      </w:r>
    </w:p>
    <w:p>
      <w:pPr>
        <w:sectPr>
          <w:pgSz w:w="11900" w:h="16838" w:orient="portrait"/>
          <w:cols w:equalWidth="0" w:num="1">
            <w:col w:w="11420"/>
          </w:cols>
          <w:pgMar w:left="240" w:top="935" w:right="239" w:bottom="1440" w:gutter="0" w:footer="0" w:header="0"/>
        </w:sectPr>
      </w:pPr>
    </w:p>
    <w:bookmarkStart w:id="52" w:name="page53"/>
    <w:bookmarkEnd w:id="52"/>
    <w:p>
      <w:pPr>
        <w:jc w:val="both"/>
        <w:ind w:left="660" w:firstLine="1293"/>
        <w:spacing w:after="0" w:line="253" w:lineRule="auto"/>
        <w:tabs>
          <w:tab w:leader="none" w:pos="2226" w:val="left"/>
        </w:tabs>
        <w:numPr>
          <w:ilvl w:val="2"/>
          <w:numId w:val="34"/>
        </w:numPr>
        <w:rPr>
          <w:rFonts w:ascii="Arial" w:cs="Arial" w:eastAsia="Arial" w:hAnsi="Arial"/>
          <w:sz w:val="18"/>
          <w:szCs w:val="18"/>
          <w:color w:val="auto"/>
        </w:rPr>
      </w:pPr>
      <w:r>
        <w:rPr>
          <w:rFonts w:ascii="Arial" w:cs="Arial" w:eastAsia="Arial" w:hAnsi="Arial"/>
          <w:sz w:val="18"/>
          <w:szCs w:val="18"/>
          <w:color w:val="auto"/>
        </w:rPr>
        <w:t>If, at any time, Bank, in its sole and absolute discretion, determines that (i) the amount of LIBOR Advances for periods equal to the corresponding Interest Periods are not available to Bank in the offshore currency interbank markets, or (ii) LIBOR does not accurately reflect the cost to Bank of lending the LIBOR Advances, then Bank shall promptly give notice thereof to Borrower. Upon the giving of such notice, Bank’s obligation to make the LIBOR Advances shall terminate; provided, however, LIBOR Advances shall not terminate if Bank and Borrower agree in writing to a different interest rate applicable to LIBOR Advances.</w:t>
      </w:r>
    </w:p>
    <w:p>
      <w:pPr>
        <w:spacing w:after="0" w:line="3" w:lineRule="exact"/>
        <w:rPr>
          <w:rFonts w:ascii="Arial" w:cs="Arial" w:eastAsia="Arial" w:hAnsi="Arial"/>
          <w:sz w:val="18"/>
          <w:szCs w:val="18"/>
          <w:color w:val="auto"/>
        </w:rPr>
      </w:pPr>
    </w:p>
    <w:p>
      <w:pPr>
        <w:jc w:val="both"/>
        <w:ind w:firstLine="1305"/>
        <w:spacing w:after="0" w:line="265" w:lineRule="auto"/>
        <w:tabs>
          <w:tab w:leader="none" w:pos="15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it shall become unlawful for Bank to continue to fund or maintain any LIBOR Advances, or to perform its obligations hereunder, upon demand by Bank, Borrower shall convert to Prime Rate Advances all LIBOR Advances, and in connection therewith pay all amounts payable hereunder in connection with such conversion pursuant to Section 3.6(c)(ii). Notwithstanding the foregoing, to the extent a determination by Bank as described above relates to a LIBOR Advance then being requested by Borrower pursuant to a Notice of Borrowing or a Notice of Conversion/Continuation, Borrower shall have the option, subject to the provisions of Section 3.6(c)(ii), to (i) rescind such Notice of Borrowing or Notice of Conversion/Continuation by giving notice (by facsimile, email, or by telephone confirmed in writing) to Bank of such rescission on the date on which Bank gives notice of its determination as described above, or (ii) modify such Notice of Borrowing or Notice of Conversion/Continuation to obtain a Prime Rate Advance or to have outstanding Advances converted into or continued as Prime Rate Advances by giving notice (by facsimile, email, or by telephone confirmed in writing) to Bank of such modification on the date on which Bank gives notice of its determination as described above.</w:t>
      </w:r>
    </w:p>
    <w:p>
      <w:pPr>
        <w:spacing w:after="0" w:line="2" w:lineRule="exact"/>
        <w:rPr>
          <w:rFonts w:ascii="Arial" w:cs="Arial" w:eastAsia="Arial" w:hAnsi="Arial"/>
          <w:sz w:val="17"/>
          <w:szCs w:val="17"/>
          <w:color w:val="auto"/>
        </w:rPr>
      </w:pPr>
    </w:p>
    <w:p>
      <w:pPr>
        <w:ind w:left="840" w:hanging="184"/>
        <w:spacing w:after="0"/>
        <w:tabs>
          <w:tab w:leader="none" w:pos="840" w:val="left"/>
        </w:tabs>
        <w:numPr>
          <w:ilvl w:val="0"/>
          <w:numId w:val="36"/>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CREATION OF SECURITY INTEREST</w:t>
      </w:r>
    </w:p>
    <w:p>
      <w:pPr>
        <w:spacing w:after="0" w:line="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Grant of Security Interest.</w:t>
      </w:r>
      <w:r>
        <w:rPr>
          <w:rFonts w:ascii="Arial" w:cs="Arial" w:eastAsia="Arial" w:hAnsi="Arial"/>
          <w:sz w:val="18"/>
          <w:szCs w:val="18"/>
          <w:color w:val="auto"/>
        </w:rPr>
        <w:t xml:space="preserve"> 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174"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color w:val="auto"/>
        </w:rPr>
        <w:t>Priority of Security Interest.</w:t>
      </w:r>
      <w:r>
        <w:rPr>
          <w:rFonts w:ascii="Arial" w:cs="Arial" w:eastAsia="Arial" w:hAnsi="Arial"/>
          <w:sz w:val="16"/>
          <w:szCs w:val="16"/>
          <w:color w:val="auto"/>
        </w:rPr>
        <w:t xml:space="preserve"> Borrower represents, warrants, and covenants that the security interest granted herein is and shall at all times 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b w:val="1"/>
          <w:bCs w:val="1"/>
          <w:color w:val="auto"/>
        </w:rPr>
        <w:t>Authorization to File Financing Statements.</w:t>
      </w:r>
      <w:r>
        <w:rPr>
          <w:rFonts w:ascii="Arial" w:cs="Arial" w:eastAsia="Arial" w:hAnsi="Arial"/>
          <w:sz w:val="17"/>
          <w:szCs w:val="17"/>
          <w:color w:val="auto"/>
        </w:rPr>
        <w:t xml:space="preserve"> Borrower hereby authorizes Bank to file financing statements, without notice to Borrower, with 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200" w:lineRule="exact"/>
        <w:rPr>
          <w:sz w:val="20"/>
          <w:szCs w:val="20"/>
          <w:color w:val="auto"/>
        </w:rPr>
      </w:pPr>
    </w:p>
    <w:p>
      <w:pPr>
        <w:spacing w:after="0" w:line="216" w:lineRule="exact"/>
        <w:rPr>
          <w:sz w:val="20"/>
          <w:szCs w:val="20"/>
          <w:color w:val="auto"/>
        </w:rPr>
      </w:pPr>
    </w:p>
    <w:p>
      <w:pPr>
        <w:ind w:left="660" w:right="6500" w:firstLine="645"/>
        <w:spacing w:after="0" w:line="313" w:lineRule="auto"/>
        <w:tabs>
          <w:tab w:leader="none" w:pos="1488" w:val="left"/>
        </w:tabs>
        <w:numPr>
          <w:ilvl w:val="0"/>
          <w:numId w:val="37"/>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 xml:space="preserve">REPRESENTATIONS AND WARRANTIES </w:t>
      </w:r>
      <w:r>
        <w:rPr>
          <w:rFonts w:ascii="Arial" w:cs="Arial" w:eastAsia="Arial" w:hAnsi="Arial"/>
          <w:sz w:val="17"/>
          <w:szCs w:val="17"/>
          <w:color w:val="auto"/>
        </w:rPr>
        <w:t>Borrower represents and warrants as follows:</w:t>
      </w:r>
    </w:p>
    <w:p>
      <w:pPr>
        <w:sectPr>
          <w:pgSz w:w="11900" w:h="16838" w:orient="portrait"/>
          <w:cols w:equalWidth="0" w:num="1">
            <w:col w:w="11420"/>
          </w:cols>
          <w:pgMar w:left="240" w:top="936" w:right="239" w:bottom="1440" w:gutter="0" w:footer="0" w:header="0"/>
        </w:sectPr>
      </w:pPr>
    </w:p>
    <w:bookmarkStart w:id="53" w:name="page54"/>
    <w:bookmarkEnd w:id="53"/>
    <w:p>
      <w:pPr>
        <w:jc w:val="both"/>
        <w:ind w:left="660" w:firstLine="648"/>
        <w:spacing w:after="0" w:line="26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Due Organization, Authorization; Power and Authority.</w:t>
      </w:r>
      <w:r>
        <w:rPr>
          <w:rFonts w:ascii="Arial" w:cs="Arial" w:eastAsia="Arial" w:hAnsi="Arial"/>
          <w:sz w:val="17"/>
          <w:szCs w:val="17"/>
          <w:color w:val="auto"/>
        </w:rPr>
        <w:t xml:space="preserve"> Borrower is duly existing and in good standing as a Registered 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completed certificates signed by Borrower, entitled “Perfection Certificate” (collectively, the “</w:t>
      </w:r>
      <w:r>
        <w:rPr>
          <w:rFonts w:ascii="Arial" w:cs="Arial" w:eastAsia="Arial" w:hAnsi="Arial"/>
          <w:sz w:val="17"/>
          <w:szCs w:val="17"/>
          <w:b w:val="1"/>
          <w:bCs w:val="1"/>
          <w:color w:val="auto"/>
        </w:rPr>
        <w:t>Perfection Certificate</w:t>
      </w:r>
      <w:r>
        <w:rPr>
          <w:rFonts w:ascii="Arial" w:cs="Arial" w:eastAsia="Arial" w:hAnsi="Arial"/>
          <w:sz w:val="17"/>
          <w:szCs w:val="17"/>
          <w:color w:val="auto"/>
        </w:rPr>
        <w:t>”).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(i) such Governmental Approvals which have already been obtained and are in full force and effect or are being obtained pursuant to Section 6.1(b)), and (ii) any filings required by the Code in connection with perfecting the security interests granted herein),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8"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Borrower has good title to, rights in, and the power to transfer each item of the Collateral upon which it purports to grant a 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6.8(b). The Accounts are bona fide, existing obligations of the Account Debtors.</w:t>
      </w:r>
    </w:p>
    <w:p>
      <w:pPr>
        <w:spacing w:after="0" w:line="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or as permitted pursuant to Section 7.2. None of the components of the Collateral shall be maintained at locations other than as provided in the Perfection Certificate or as permitted pursuant to Section 7.2.</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in the ordinary course of business, (b) licenses permitted under clause (g) of the definition of Permitted Liens, (c) over-the-counter software that is commercially available to the public, and (d) material Intellectual Property licensed to Borrower and noted on the Perfection Certificate or in written notice to Bank. To the best of Borrower’s knowledge,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noted on the Perfection Certificate or in written notice to Bank, Borrower is not a party to, nor is it bound by, any Restricted License.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firstLine="1305"/>
        <w:spacing w:after="0" w:line="261" w:lineRule="auto"/>
        <w:tabs>
          <w:tab w:leader="none" w:pos="15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each Account with respect to which Advances are requested, on the date each Advance is requested and made, such Account shall be an Eligible Account.</w:t>
      </w:r>
    </w:p>
    <w:p>
      <w:pPr>
        <w:sectPr>
          <w:pgSz w:w="11900" w:h="16838" w:orient="portrait"/>
          <w:cols w:equalWidth="0" w:num="1">
            <w:col w:w="11420"/>
          </w:cols>
          <w:pgMar w:left="240" w:top="932" w:right="239" w:bottom="1440" w:gutter="0" w:footer="0" w:header="0"/>
        </w:sectPr>
      </w:pPr>
    </w:p>
    <w:bookmarkStart w:id="54" w:name="page55"/>
    <w:bookmarkEnd w:id="54"/>
    <w:p>
      <w:pPr>
        <w:jc w:val="both"/>
        <w:ind w:firstLine="1305"/>
        <w:spacing w:after="0" w:line="252" w:lineRule="auto"/>
        <w:tabs>
          <w:tab w:leader="none" w:pos="15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laws and governmental rules and regulations. Borrower has no knowledge of any actual or imminent Insolvency Proceeding of any Account Debtor whose accounts are Eligible Accounts in any Borrowing Base Statement.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5" w:lineRule="exact"/>
        <w:rPr>
          <w:rFonts w:ascii="Arial" w:cs="Arial" w:eastAsia="Arial" w:hAnsi="Arial"/>
          <w:sz w:val="18"/>
          <w:szCs w:val="18"/>
          <w:color w:val="auto"/>
        </w:rPr>
      </w:pPr>
    </w:p>
    <w:p>
      <w:pPr>
        <w:jc w:val="both"/>
        <w:ind w:firstLine="656"/>
        <w:spacing w:after="0" w:line="250" w:lineRule="auto"/>
        <w:tabs>
          <w:tab w:leader="none" w:pos="842"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Except as set forth in the Perfection Certificate or in written notice to Bank, there are no actions or proceedings pending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any Responsible Officer, threatened in writing by or against Borrower or any of its Subsidiaries involving more than, individually or in the aggregate, Five Hundred Thousand Dollars ($500,000).</w:t>
      </w:r>
    </w:p>
    <w:p>
      <w:pPr>
        <w:spacing w:after="0" w:line="1" w:lineRule="exact"/>
        <w:rPr>
          <w:rFonts w:ascii="Arial" w:cs="Arial" w:eastAsia="Arial" w:hAnsi="Arial"/>
          <w:sz w:val="18"/>
          <w:szCs w:val="18"/>
          <w:color w:val="auto"/>
        </w:rPr>
      </w:pPr>
    </w:p>
    <w:p>
      <w:pPr>
        <w:jc w:val="both"/>
        <w:ind w:firstLine="656"/>
        <w:spacing w:after="0" w:line="250" w:lineRule="auto"/>
        <w:tabs>
          <w:tab w:leader="none" w:pos="818"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Financial Condition. </w:t>
      </w:r>
      <w:r>
        <w:rPr>
          <w:rFonts w:ascii="Arial" w:cs="Arial" w:eastAsia="Arial" w:hAnsi="Arial"/>
          <w:sz w:val="18"/>
          <w:szCs w:val="18"/>
          <w:color w:val="auto"/>
        </w:rPr>
        <w:t>All consolidated financial statements for Borrower and any of its Subsidiaries delivered to Bank by</w:t>
      </w:r>
      <w:r>
        <w:rPr>
          <w:rFonts w:ascii="Arial" w:cs="Arial" w:eastAsia="Arial" w:hAnsi="Arial"/>
          <w:sz w:val="18"/>
          <w:szCs w:val="18"/>
          <w:b w:val="1"/>
          <w:bCs w:val="1"/>
          <w:color w:val="auto"/>
        </w:rPr>
        <w:t xml:space="preserve"> </w:t>
      </w:r>
      <w:r>
        <w:rPr>
          <w:rFonts w:ascii="Arial" w:cs="Arial" w:eastAsia="Arial" w:hAnsi="Arial"/>
          <w:sz w:val="18"/>
          <w:szCs w:val="18"/>
          <w:color w:val="auto"/>
        </w:rPr>
        <w:t>submission to the Financial Statement Repository or otherwise submitted to Bank fairly present in all material respects Borrower’s consolidated financial condition and Borrower’s consolidated results of operations (except with respect to unaudited financial statements, subject to normal year-end adjustments and the absence of footnotes). There has not been any material deterioration in Borrower’s consolidated financial condition since the date of the most recent financial statements submitted to the Financial Statement Repository, posted on Borrower’s website on the internet at Borrower’s website address or otherwise submitted to Bank.</w:t>
      </w:r>
    </w:p>
    <w:p>
      <w:pPr>
        <w:spacing w:after="0" w:line="2" w:lineRule="exact"/>
        <w:rPr>
          <w:rFonts w:ascii="Arial" w:cs="Arial" w:eastAsia="Arial" w:hAnsi="Arial"/>
          <w:sz w:val="18"/>
          <w:szCs w:val="18"/>
          <w:color w:val="auto"/>
        </w:rPr>
      </w:pPr>
    </w:p>
    <w:p>
      <w:pPr>
        <w:jc w:val="both"/>
        <w:ind w:firstLine="656"/>
        <w:spacing w:after="0" w:line="250" w:lineRule="auto"/>
        <w:tabs>
          <w:tab w:leader="none" w:pos="825"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 w:lineRule="exact"/>
        <w:rPr>
          <w:rFonts w:ascii="Arial" w:cs="Arial" w:eastAsia="Arial" w:hAnsi="Arial"/>
          <w:sz w:val="18"/>
          <w:szCs w:val="18"/>
          <w:color w:val="auto"/>
        </w:rPr>
      </w:pPr>
    </w:p>
    <w:p>
      <w:pPr>
        <w:jc w:val="both"/>
        <w:ind w:firstLine="656"/>
        <w:spacing w:after="0" w:line="265" w:lineRule="auto"/>
        <w:tabs>
          <w:tab w:leader="none" w:pos="869"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Regulatory Compliance. </w:t>
      </w:r>
      <w:r>
        <w:rPr>
          <w:rFonts w:ascii="Arial" w:cs="Arial" w:eastAsia="Arial" w:hAnsi="Arial"/>
          <w:sz w:val="17"/>
          <w:szCs w:val="17"/>
          <w:color w:val="auto"/>
        </w:rPr>
        <w:t>Borrower is not an “investment company” or a company “controlled” by an “investment company”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do so could not reasonably be expected to cause a material adverse effect on Borrower’s business.</w:t>
      </w:r>
    </w:p>
    <w:p>
      <w:pPr>
        <w:spacing w:after="0" w:line="2" w:lineRule="exact"/>
        <w:rPr>
          <w:rFonts w:ascii="Arial" w:cs="Arial" w:eastAsia="Arial" w:hAnsi="Arial"/>
          <w:sz w:val="17"/>
          <w:szCs w:val="17"/>
          <w:color w:val="auto"/>
        </w:rPr>
      </w:pPr>
    </w:p>
    <w:p>
      <w:pPr>
        <w:ind w:firstLine="656"/>
        <w:spacing w:after="0" w:line="250" w:lineRule="auto"/>
        <w:tabs>
          <w:tab w:leader="none" w:pos="855"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jc w:val="both"/>
        <w:ind w:right="20" w:firstLine="656"/>
        <w:spacing w:after="0" w:line="250" w:lineRule="auto"/>
        <w:tabs>
          <w:tab w:leader="none" w:pos="788"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Tax Returns and Payments; Pension Contributions. </w:t>
      </w:r>
      <w:r>
        <w:rPr>
          <w:rFonts w:ascii="Arial" w:cs="Arial" w:eastAsia="Arial" w:hAnsi="Arial"/>
          <w:sz w:val="18"/>
          <w:szCs w:val="18"/>
          <w:color w:val="auto"/>
        </w:rPr>
        <w:t>Borrower has timely filed all required tax returns and reports, and Borrower has timely paid</w:t>
      </w:r>
      <w:r>
        <w:rPr>
          <w:rFonts w:ascii="Arial" w:cs="Arial" w:eastAsia="Arial" w:hAnsi="Arial"/>
          <w:sz w:val="18"/>
          <w:szCs w:val="18"/>
          <w:b w:val="1"/>
          <w:bCs w:val="1"/>
          <w:color w:val="auto"/>
        </w:rPr>
        <w:t xml:space="preserve"> </w:t>
      </w:r>
      <w:r>
        <w:rPr>
          <w:rFonts w:ascii="Arial" w:cs="Arial" w:eastAsia="Arial" w:hAnsi="Arial"/>
          <w:sz w:val="18"/>
          <w:szCs w:val="18"/>
          <w:color w:val="auto"/>
        </w:rPr>
        <w:t>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2" w:lineRule="exact"/>
        <w:rPr>
          <w:rFonts w:ascii="Arial" w:cs="Arial" w:eastAsia="Arial" w:hAnsi="Arial"/>
          <w:sz w:val="18"/>
          <w:szCs w:val="18"/>
          <w:color w:val="auto"/>
        </w:rPr>
      </w:pPr>
    </w:p>
    <w:p>
      <w:pPr>
        <w:jc w:val="both"/>
        <w:ind w:firstLine="648"/>
        <w:spacing w:after="0" w:line="268" w:lineRule="auto"/>
        <w:rPr>
          <w:rFonts w:ascii="Arial" w:cs="Arial" w:eastAsia="Arial" w:hAnsi="Arial"/>
          <w:sz w:val="18"/>
          <w:szCs w:val="18"/>
          <w:color w:val="auto"/>
        </w:rPr>
      </w:pPr>
      <w:r>
        <w:rPr>
          <w:rFonts w:ascii="Arial" w:cs="Arial" w:eastAsia="Arial" w:hAnsi="Arial"/>
          <w:sz w:val="17"/>
          <w:szCs w:val="17"/>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Fifty Thousand Dollars ($50,000).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80" w:lineRule="exact"/>
        <w:rPr>
          <w:sz w:val="20"/>
          <w:szCs w:val="20"/>
          <w:color w:val="auto"/>
        </w:rPr>
      </w:pPr>
    </w:p>
    <w:p>
      <w:pPr>
        <w:ind w:left="660" w:right="20" w:firstLine="648"/>
        <w:spacing w:after="0" w:line="261"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Use of Proceeds.</w:t>
      </w:r>
      <w:r>
        <w:rPr>
          <w:rFonts w:ascii="Arial" w:cs="Arial" w:eastAsia="Arial" w:hAnsi="Arial"/>
          <w:sz w:val="18"/>
          <w:szCs w:val="18"/>
          <w:color w:val="auto"/>
        </w:rPr>
        <w:t xml:space="preserve"> Borrower shall use the proceeds of the Credit Extensions solely as working capital and to fund its general business requirements and not for personal, family, household or agricultural purposes.</w:t>
      </w:r>
    </w:p>
    <w:p>
      <w:pPr>
        <w:jc w:val="both"/>
        <w:ind w:firstLine="648"/>
        <w:spacing w:after="0" w:line="250"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Full Disclosure.</w:t>
      </w:r>
      <w:r>
        <w:rPr>
          <w:rFonts w:ascii="Arial" w:cs="Arial" w:eastAsia="Arial" w:hAnsi="Arial"/>
          <w:sz w:val="18"/>
          <w:szCs w:val="18"/>
          <w:color w:val="auto"/>
        </w:rPr>
        <w:t xml:space="preserve"> No written representation, warranty or other statement of Borrower in any report, certificate, or written statement submitted to the 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Definition of “Knowledge.”</w:t>
      </w:r>
      <w:r>
        <w:rPr>
          <w:rFonts w:ascii="Arial" w:cs="Arial" w:eastAsia="Arial" w:hAnsi="Arial"/>
          <w:sz w:val="18"/>
          <w:szCs w:val="18"/>
          <w:color w:val="auto"/>
        </w:rPr>
        <w:t xml:space="preserve"> For purposes of the Loan Documents, whenever a representation or warranty is made to Borrower’s knowledge or awareness, to the “best of” Borrower’s knowledge, or with a similar qualification, knowledge or awareness means the actual knowledge, after reasonable investigation, of any Responsible Officer.</w:t>
      </w:r>
    </w:p>
    <w:p>
      <w:pPr>
        <w:sectPr>
          <w:pgSz w:w="11900" w:h="16838" w:orient="portrait"/>
          <w:cols w:equalWidth="0" w:num="1">
            <w:col w:w="11420"/>
          </w:cols>
          <w:pgMar w:left="240" w:top="936" w:right="239" w:bottom="1440" w:gutter="0" w:footer="0" w:header="0"/>
        </w:sectPr>
      </w:pPr>
    </w:p>
    <w:bookmarkStart w:id="55" w:name="page56"/>
    <w:bookmarkEnd w:id="55"/>
    <w:p>
      <w:pPr>
        <w:ind w:left="660" w:right="7980" w:hanging="4"/>
        <w:spacing w:after="0" w:line="313" w:lineRule="auto"/>
        <w:tabs>
          <w:tab w:leader="none" w:pos="840" w:val="left"/>
        </w:tabs>
        <w:numPr>
          <w:ilvl w:val="0"/>
          <w:numId w:val="41"/>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 xml:space="preserve">AFFIRMATIVE COVENANTS </w:t>
      </w:r>
      <w:r>
        <w:rPr>
          <w:rFonts w:ascii="Arial" w:cs="Arial" w:eastAsia="Arial" w:hAnsi="Arial"/>
          <w:sz w:val="17"/>
          <w:szCs w:val="17"/>
          <w:color w:val="auto"/>
        </w:rPr>
        <w:t>Borrower shall do all of the following:</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Compliance.</w:t>
      </w:r>
    </w:p>
    <w:p>
      <w:pPr>
        <w:spacing w:after="0" w:line="27" w:lineRule="exact"/>
        <w:rPr>
          <w:sz w:val="20"/>
          <w:szCs w:val="20"/>
          <w:color w:val="auto"/>
        </w:rPr>
      </w:pPr>
    </w:p>
    <w:p>
      <w:pPr>
        <w:jc w:val="both"/>
        <w:ind w:firstLine="1305"/>
        <w:spacing w:after="0" w:line="269" w:lineRule="auto"/>
        <w:tabs>
          <w:tab w:leader="none" w:pos="1593" w:val="left"/>
        </w:tabs>
        <w:numPr>
          <w:ilvl w:val="2"/>
          <w:numId w:val="42"/>
        </w:numPr>
        <w:rPr>
          <w:rFonts w:ascii="Arial" w:cs="Arial" w:eastAsia="Arial" w:hAnsi="Arial"/>
          <w:sz w:val="17"/>
          <w:szCs w:val="17"/>
          <w:color w:val="auto"/>
        </w:rPr>
      </w:pPr>
      <w:r>
        <w:rPr>
          <w:rFonts w:ascii="Arial" w:cs="Arial" w:eastAsia="Arial" w:hAnsi="Arial"/>
          <w:sz w:val="17"/>
          <w:szCs w:val="17"/>
          <w:color w:val="auto"/>
        </w:rPr>
        <w:t xml:space="preserve">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prohibit or prevent Borrower from discontinuing the legal existence and qualification of any Immaterial Subsidiary, with prior written notice to Bank, if in the reasonable good faith judgment of Borrower, such discontinuance or qualification is no longer desirable in the conduct of its business or such Subsidiary is no longer useful to the business of Borrower or such Subsidiary.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207" w:lineRule="exact"/>
        <w:rPr>
          <w:rFonts w:ascii="Arial" w:cs="Arial" w:eastAsia="Arial" w:hAnsi="Arial"/>
          <w:sz w:val="17"/>
          <w:szCs w:val="17"/>
          <w:color w:val="auto"/>
        </w:rPr>
      </w:pPr>
    </w:p>
    <w:p>
      <w:pPr>
        <w:jc w:val="both"/>
        <w:ind w:left="660" w:firstLine="1293"/>
        <w:spacing w:after="0" w:line="256" w:lineRule="auto"/>
        <w:tabs>
          <w:tab w:leader="none" w:pos="2253" w:val="left"/>
        </w:tabs>
        <w:numPr>
          <w:ilvl w:val="3"/>
          <w:numId w:val="42"/>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ind w:left="660"/>
        <w:spacing w:after="0"/>
        <w:rPr>
          <w:rFonts w:ascii="Arial" w:cs="Arial" w:eastAsia="Arial" w:hAnsi="Arial"/>
          <w:sz w:val="18"/>
          <w:szCs w:val="18"/>
          <w:color w:val="auto"/>
        </w:rPr>
      </w:pPr>
      <w:r>
        <w:rPr>
          <w:rFonts w:ascii="Arial" w:cs="Arial" w:eastAsia="Arial" w:hAnsi="Arial"/>
          <w:sz w:val="16"/>
          <w:szCs w:val="16"/>
          <w:color w:val="auto"/>
        </w:rPr>
        <w:t xml:space="preserve">b. </w:t>
      </w:r>
      <w:r>
        <w:rPr>
          <w:rFonts w:ascii="Arial" w:cs="Arial" w:eastAsia="Arial" w:hAnsi="Arial"/>
          <w:sz w:val="16"/>
          <w:szCs w:val="16"/>
          <w:b w:val="1"/>
          <w:bCs w:val="1"/>
          <w:color w:val="auto"/>
        </w:rPr>
        <w:t>Financial Statements, Reports.</w:t>
      </w:r>
      <w:r>
        <w:rPr>
          <w:rFonts w:ascii="Arial" w:cs="Arial" w:eastAsia="Arial" w:hAnsi="Arial"/>
          <w:sz w:val="16"/>
          <w:szCs w:val="16"/>
          <w:color w:val="auto"/>
        </w:rPr>
        <w:t xml:space="preserve"> Provide Bank with the following by submitting to the Financial Statement Repository or otherwise submitting to</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Bank:</w:t>
      </w:r>
    </w:p>
    <w:p>
      <w:pPr>
        <w:spacing w:after="0" w:line="9" w:lineRule="exact"/>
        <w:rPr>
          <w:rFonts w:ascii="Arial" w:cs="Arial" w:eastAsia="Arial" w:hAnsi="Arial"/>
          <w:sz w:val="18"/>
          <w:szCs w:val="18"/>
          <w:color w:val="auto"/>
        </w:rPr>
      </w:pPr>
    </w:p>
    <w:p>
      <w:pPr>
        <w:jc w:val="both"/>
        <w:ind w:firstLine="1305"/>
        <w:spacing w:after="0" w:line="250" w:lineRule="auto"/>
        <w:tabs>
          <w:tab w:leader="none" w:pos="1566" w:val="left"/>
        </w:tabs>
        <w:numPr>
          <w:ilvl w:val="2"/>
          <w:numId w:val="43"/>
        </w:numPr>
        <w:rPr>
          <w:rFonts w:ascii="Arial" w:cs="Arial" w:eastAsia="Arial" w:hAnsi="Arial"/>
          <w:sz w:val="18"/>
          <w:szCs w:val="18"/>
          <w:color w:val="auto"/>
        </w:rPr>
      </w:pPr>
      <w:r>
        <w:rPr>
          <w:rFonts w:ascii="Arial" w:cs="Arial" w:eastAsia="Arial" w:hAnsi="Arial"/>
          <w:sz w:val="18"/>
          <w:szCs w:val="18"/>
          <w:color w:val="auto"/>
        </w:rPr>
        <w:t>a Borrowing Base Statement (and any schedules related thereto and including any other information requested by Bank with respect to Borrower’s Accounts, including, without limitation, an accounts receivable ledger report), (i) at all times when a Streamline Period is not in effect and Advances are outstanding, within seven (7) Business Days after the end of each month and, (ii) at all other times, within five (5) days after Rubicon files its 10-Q and 10-K reports with the SEC;</w:t>
      </w:r>
    </w:p>
    <w:p>
      <w:pPr>
        <w:spacing w:after="0" w:line="1" w:lineRule="exact"/>
        <w:rPr>
          <w:rFonts w:ascii="Arial" w:cs="Arial" w:eastAsia="Arial" w:hAnsi="Arial"/>
          <w:sz w:val="18"/>
          <w:szCs w:val="18"/>
          <w:color w:val="auto"/>
        </w:rPr>
      </w:pPr>
    </w:p>
    <w:p>
      <w:pPr>
        <w:jc w:val="both"/>
        <w:ind w:firstLine="1305"/>
        <w:spacing w:after="0" w:line="281" w:lineRule="auto"/>
        <w:tabs>
          <w:tab w:leader="none" w:pos="1566" w:val="left"/>
        </w:tabs>
        <w:numPr>
          <w:ilvl w:val="2"/>
          <w:numId w:val="43"/>
        </w:numPr>
        <w:rPr>
          <w:rFonts w:ascii="Arial" w:cs="Arial" w:eastAsia="Arial" w:hAnsi="Arial"/>
          <w:sz w:val="16"/>
          <w:szCs w:val="16"/>
          <w:color w:val="auto"/>
        </w:rPr>
      </w:pPr>
      <w:r>
        <w:rPr>
          <w:rFonts w:ascii="Arial" w:cs="Arial" w:eastAsia="Arial" w:hAnsi="Arial"/>
          <w:sz w:val="16"/>
          <w:szCs w:val="16"/>
          <w:color w:val="auto"/>
        </w:rPr>
        <w:t>(i) accounts receivable agings, aged by invoice date, (ii) accounts payable agings, aged by invoice date, and outstanding or held check registers, if any, and (iii) reconciliations of accounts receivable agings (aged by invoice date), transaction reports, a detailed debtor listing, and general ledger,</w:t>
      </w:r>
    </w:p>
    <w:p>
      <w:pPr>
        <w:spacing w:after="0" w:line="1" w:lineRule="exact"/>
        <w:rPr>
          <w:rFonts w:ascii="Arial" w:cs="Arial" w:eastAsia="Arial" w:hAnsi="Arial"/>
          <w:sz w:val="16"/>
          <w:szCs w:val="16"/>
          <w:color w:val="auto"/>
        </w:rPr>
      </w:pPr>
    </w:p>
    <w:p>
      <w:pPr>
        <w:ind w:right="20" w:firstLine="8"/>
        <w:spacing w:after="0" w:line="250" w:lineRule="auto"/>
        <w:tabs>
          <w:tab w:leader="none" w:pos="3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all times when a Streamline Period is in effect, within five (5) days after Rubicon files its 10-Q and 10-K reports with the SEC, and, (B) at all times when a Streamline Period is not in effect, within thirty (30) days after the end of each month;</w:t>
      </w:r>
    </w:p>
    <w:p>
      <w:pPr>
        <w:jc w:val="both"/>
        <w:ind w:firstLine="1305"/>
        <w:spacing w:after="0" w:line="250" w:lineRule="auto"/>
        <w:tabs>
          <w:tab w:leader="none" w:pos="1566" w:val="left"/>
        </w:tabs>
        <w:numPr>
          <w:ilvl w:val="2"/>
          <w:numId w:val="44"/>
        </w:numPr>
        <w:rPr>
          <w:rFonts w:ascii="Arial" w:cs="Arial" w:eastAsia="Arial" w:hAnsi="Arial"/>
          <w:sz w:val="18"/>
          <w:szCs w:val="18"/>
          <w:color w:val="auto"/>
        </w:rPr>
      </w:pPr>
      <w:r>
        <w:rPr>
          <w:rFonts w:ascii="Arial" w:cs="Arial" w:eastAsia="Arial" w:hAnsi="Arial"/>
          <w:sz w:val="18"/>
          <w:szCs w:val="18"/>
          <w:color w:val="auto"/>
        </w:rPr>
        <w:t>at all times a Streamline Period is not in effect, as soon as available, but no later than thirty (30) days after the last day of each month, a company prepared consolidated balance sheet and income statement covering Borrower’s consolidated operations for such month in a form acceptable to Bank;</w:t>
      </w:r>
    </w:p>
    <w:p>
      <w:pPr>
        <w:spacing w:after="0" w:line="1" w:lineRule="exact"/>
        <w:rPr>
          <w:rFonts w:ascii="Arial" w:cs="Arial" w:eastAsia="Arial" w:hAnsi="Arial"/>
          <w:sz w:val="18"/>
          <w:szCs w:val="18"/>
          <w:color w:val="auto"/>
        </w:rPr>
      </w:pPr>
    </w:p>
    <w:p>
      <w:pPr>
        <w:jc w:val="both"/>
        <w:ind w:firstLine="1305"/>
        <w:spacing w:after="0" w:line="265" w:lineRule="auto"/>
        <w:tabs>
          <w:tab w:leader="none" w:pos="1566" w:val="left"/>
        </w:tabs>
        <w:numPr>
          <w:ilvl w:val="2"/>
          <w:numId w:val="44"/>
        </w:numPr>
        <w:rPr>
          <w:rFonts w:ascii="Arial" w:cs="Arial" w:eastAsia="Arial" w:hAnsi="Arial"/>
          <w:sz w:val="17"/>
          <w:szCs w:val="17"/>
          <w:color w:val="auto"/>
        </w:rPr>
      </w:pPr>
      <w:r>
        <w:rPr>
          <w:rFonts w:ascii="Arial" w:cs="Arial" w:eastAsia="Arial" w:hAnsi="Arial"/>
          <w:sz w:val="17"/>
          <w:szCs w:val="17"/>
          <w:color w:val="auto"/>
        </w:rPr>
        <w:t>a completed Compliance Statement, confirming that, as of the end of the applicable quarter or month, Borrower was in full compliance with all of the terms and conditions of this Agreement, and setting forth calculations showing compliance with the financial covenants set forth in this Agreement (if applicable) and such other information as Bank may reasonably request, including, without limitation, a statement that at the end of such quarter there were no held checks, (i) at all times when a Streamline Period is in effect, within five (5) days after Rubicon files its 10-Q and 10-K reports with the SEC, and, (ii) at all times when a Streamline Period is not in effect, within thirty (30) days after the end of each month;</w:t>
      </w:r>
    </w:p>
    <w:p>
      <w:pPr>
        <w:spacing w:after="0" w:line="1" w:lineRule="exact"/>
        <w:rPr>
          <w:rFonts w:ascii="Arial" w:cs="Arial" w:eastAsia="Arial" w:hAnsi="Arial"/>
          <w:sz w:val="17"/>
          <w:szCs w:val="17"/>
          <w:color w:val="auto"/>
        </w:rPr>
      </w:pPr>
    </w:p>
    <w:p>
      <w:pPr>
        <w:jc w:val="both"/>
        <w:ind w:firstLine="1305"/>
        <w:spacing w:after="0" w:line="281" w:lineRule="auto"/>
        <w:tabs>
          <w:tab w:leader="none" w:pos="1566" w:val="left"/>
        </w:tabs>
        <w:numPr>
          <w:ilvl w:val="2"/>
          <w:numId w:val="44"/>
        </w:numPr>
        <w:rPr>
          <w:rFonts w:ascii="Arial" w:cs="Arial" w:eastAsia="Arial" w:hAnsi="Arial"/>
          <w:sz w:val="16"/>
          <w:szCs w:val="16"/>
          <w:color w:val="auto"/>
        </w:rPr>
      </w:pPr>
      <w:r>
        <w:rPr>
          <w:rFonts w:ascii="Arial" w:cs="Arial" w:eastAsia="Arial" w:hAnsi="Arial"/>
          <w:sz w:val="16"/>
          <w:szCs w:val="16"/>
          <w:color w:val="auto"/>
        </w:rPr>
        <w:t>the earlier of (i) thirty (30) days after the approval by the Board or (ii) sixty (60) days after the end of each fiscal year of Borrower, and contemporaneously with any updates or amendments thereto, (A) annual operating budgets (including income statements, balance sheets and cash flow statements, by quarter) for the upcoming fiscal year of Borrower, and (B) annual financial projections for the following fiscal year (on a quarterly basis), in each case as approved by the Board, together with any related business forecasts used in the preparation of such annual financial projections;</w:t>
      </w:r>
    </w:p>
    <w:p>
      <w:pPr>
        <w:spacing w:after="0" w:line="2" w:lineRule="exact"/>
        <w:rPr>
          <w:rFonts w:ascii="Arial" w:cs="Arial" w:eastAsia="Arial" w:hAnsi="Arial"/>
          <w:sz w:val="16"/>
          <w:szCs w:val="16"/>
          <w:color w:val="auto"/>
        </w:rPr>
      </w:pPr>
    </w:p>
    <w:p>
      <w:pPr>
        <w:jc w:val="both"/>
        <w:ind w:firstLine="1305"/>
        <w:spacing w:after="0" w:line="281" w:lineRule="auto"/>
        <w:tabs>
          <w:tab w:leader="none" w:pos="1566" w:val="left"/>
        </w:tabs>
        <w:numPr>
          <w:ilvl w:val="2"/>
          <w:numId w:val="44"/>
        </w:numPr>
        <w:rPr>
          <w:rFonts w:ascii="Arial" w:cs="Arial" w:eastAsia="Arial" w:hAnsi="Arial"/>
          <w:sz w:val="16"/>
          <w:szCs w:val="16"/>
          <w:color w:val="auto"/>
        </w:rPr>
      </w:pPr>
      <w:r>
        <w:rPr>
          <w:rFonts w:ascii="Arial" w:cs="Arial" w:eastAsia="Arial" w:hAnsi="Arial"/>
          <w:sz w:val="16"/>
          <w:szCs w:val="16"/>
          <w:color w:val="auto"/>
        </w:rPr>
        <w:t>as long as Borrower is subject to the reporting requirements under the Exchange Act, 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including without limitation any 10-Q or 10-K of Borrower filed with the SEC.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4" w:lineRule="exact"/>
        <w:rPr>
          <w:rFonts w:ascii="Arial" w:cs="Arial" w:eastAsia="Arial" w:hAnsi="Arial"/>
          <w:sz w:val="16"/>
          <w:szCs w:val="16"/>
          <w:color w:val="auto"/>
        </w:rPr>
      </w:pPr>
    </w:p>
    <w:p>
      <w:pPr>
        <w:ind w:firstLine="1305"/>
        <w:spacing w:after="0" w:line="250" w:lineRule="auto"/>
        <w:tabs>
          <w:tab w:leader="none" w:pos="15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within five (5) days of delivery, copies of all statements, reports and notices made available to Borrower’s security holders or to any holders of Subordinated Debt;</w:t>
      </w:r>
    </w:p>
    <w:p>
      <w:pPr>
        <w:jc w:val="both"/>
        <w:ind w:firstLine="1305"/>
        <w:spacing w:after="0" w:line="255" w:lineRule="auto"/>
        <w:tabs>
          <w:tab w:leader="none" w:pos="15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result in damages or costs, if adversely determined, to Borrower or any of its Subsidiaries of, individually or in the aggregate, Five Hundred Thousand Dollars ($500,000) or more, net of insurance contributions;</w:t>
      </w:r>
    </w:p>
    <w:p>
      <w:pPr>
        <w:sectPr>
          <w:pgSz w:w="11900" w:h="16838" w:orient="portrait"/>
          <w:cols w:equalWidth="0" w:num="1">
            <w:col w:w="11420"/>
          </w:cols>
          <w:pgMar w:left="240" w:top="931" w:right="239" w:bottom="1440" w:gutter="0" w:footer="0" w:header="0"/>
        </w:sectPr>
      </w:pPr>
    </w:p>
    <w:bookmarkStart w:id="56" w:name="page57"/>
    <w:bookmarkEnd w:id="56"/>
    <w:p>
      <w:pPr>
        <w:jc w:val="both"/>
        <w:ind w:firstLine="1305"/>
        <w:spacing w:after="0" w:line="271" w:lineRule="auto"/>
        <w:tabs>
          <w:tab w:leader="none" w:pos="1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prompt written notice of any changes to the beneficial ownership information set out in items 2d, 2e, 2f, and 2g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and</w:t>
      </w:r>
    </w:p>
    <w:p>
      <w:pPr>
        <w:ind w:right="20" w:firstLine="1305"/>
        <w:spacing w:after="0" w:line="250" w:lineRule="auto"/>
        <w:tabs>
          <w:tab w:leader="none" w:pos="1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Bank.</w:t>
      </w:r>
    </w:p>
    <w:p>
      <w:pPr>
        <w:jc w:val="both"/>
        <w:spacing w:after="0" w:line="286" w:lineRule="auto"/>
        <w:rPr>
          <w:rFonts w:ascii="Arial" w:cs="Arial" w:eastAsia="Arial" w:hAnsi="Arial"/>
          <w:sz w:val="18"/>
          <w:szCs w:val="18"/>
          <w:color w:val="auto"/>
        </w:rPr>
      </w:pPr>
      <w:r>
        <w:rPr>
          <w:rFonts w:ascii="Arial" w:cs="Arial" w:eastAsia="Arial" w:hAnsi="Arial"/>
          <w:sz w:val="16"/>
          <w:szCs w:val="16"/>
          <w:color w:val="auto"/>
        </w:rPr>
        <w:t>Any submission by Borrower of a Compliance Statement, a Borrowing Base Statement or any other financial statement submitted to the Financial Statement Repository pursuant to this Section 6.2 or otherwise submitted to Bank shall be deemed to be a representation by Borrower that (i) as of the date of such Compliance Statement, Borrowing Base Statement or other financial statement, the information and calculations set forth therein are true, accurate and correct, (ii) as of the end of the compliance period set forth in such submission, Borrower is in complete compliance with all required covenants except as noted in such Compliance Statement, Borrowing Base Statement or other financial statement, as applicable, (iii) as of the date of such submission, no Events of Default have occurred or are continuing, (iv) all representations and warranties other than any representations or warranties that are made as of a specific date in Section 5 remain true and correct in all material respects as of the date of such submission except as noted in such Compliance Statement, Borrowing Base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(vi) as of the date of such submission, no Liens have been levied or claims made against Borrower relating to unpaid employee payroll or benefits of which Borrower has not previously provided written notification to Bank.</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ind w:firstLine="1305"/>
        <w:spacing w:after="0" w:line="250" w:lineRule="auto"/>
        <w:tabs>
          <w:tab w:leader="none" w:pos="1580" w:val="left"/>
        </w:tabs>
        <w:numPr>
          <w:ilvl w:val="0"/>
          <w:numId w:val="4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Schedules and Documents Relating to Accounts</w:t>
      </w:r>
      <w:r>
        <w:rPr>
          <w:rFonts w:ascii="Arial" w:cs="Arial" w:eastAsia="Arial" w:hAnsi="Arial"/>
          <w:sz w:val="18"/>
          <w:szCs w:val="18"/>
          <w:color w:val="auto"/>
        </w:rPr>
        <w:t>. Borrower shall deliver to Bank transaction reports and schedules of collections, as provided in Section 6.2,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3" w:lineRule="exact"/>
        <w:rPr>
          <w:rFonts w:ascii="Arial" w:cs="Arial" w:eastAsia="Arial" w:hAnsi="Arial"/>
          <w:sz w:val="18"/>
          <w:szCs w:val="18"/>
          <w:u w:val="single" w:color="auto"/>
          <w:color w:val="auto"/>
        </w:rPr>
      </w:pPr>
    </w:p>
    <w:p>
      <w:pPr>
        <w:jc w:val="both"/>
        <w:ind w:firstLine="1305"/>
        <w:spacing w:after="0" w:line="250" w:lineRule="auto"/>
        <w:tabs>
          <w:tab w:leader="none" w:pos="1580" w:val="left"/>
        </w:tabs>
        <w:numPr>
          <w:ilvl w:val="0"/>
          <w:numId w:val="4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Borrower shall promptly notify Bank of all disputes or claims relating to Accounts in excess of Five Hundred Thousand Dollars ($500,000).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after taking into account all such discounts, settlements and forgiveness, the total outstanding Advances will not exceed the lesser of the Revolving Line or the Borrowing Base.</w:t>
      </w:r>
    </w:p>
    <w:p>
      <w:pPr>
        <w:spacing w:after="0" w:line="2" w:lineRule="exact"/>
        <w:rPr>
          <w:rFonts w:ascii="Arial" w:cs="Arial" w:eastAsia="Arial" w:hAnsi="Arial"/>
          <w:sz w:val="18"/>
          <w:szCs w:val="18"/>
          <w:u w:val="single" w:color="auto"/>
          <w:color w:val="auto"/>
        </w:rPr>
      </w:pPr>
    </w:p>
    <w:p>
      <w:pPr>
        <w:jc w:val="both"/>
        <w:ind w:firstLine="1305"/>
        <w:spacing w:after="0" w:line="281" w:lineRule="auto"/>
        <w:tabs>
          <w:tab w:leader="none" w:pos="1566" w:val="left"/>
        </w:tabs>
        <w:numPr>
          <w:ilvl w:val="0"/>
          <w:numId w:val="4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Collection of Accounts</w:t>
      </w:r>
      <w:r>
        <w:rPr>
          <w:rFonts w:ascii="Arial" w:cs="Arial" w:eastAsia="Arial" w:hAnsi="Arial"/>
          <w:sz w:val="16"/>
          <w:szCs w:val="16"/>
          <w:color w:val="auto"/>
        </w:rPr>
        <w:t>. Borrower shall direct Account Debtors to deliver or transmit all proceeds of Accounts into a lockbox account or such other “blocked account” as specified by Bank (either such account, the “</w:t>
      </w:r>
      <w:r>
        <w:rPr>
          <w:rFonts w:ascii="Arial" w:cs="Arial" w:eastAsia="Arial" w:hAnsi="Arial"/>
          <w:sz w:val="16"/>
          <w:szCs w:val="16"/>
          <w:b w:val="1"/>
          <w:bCs w:val="1"/>
          <w:color w:val="auto"/>
        </w:rPr>
        <w:t>Cash Collateral Account</w:t>
      </w:r>
      <w:r>
        <w:rPr>
          <w:rFonts w:ascii="Arial" w:cs="Arial" w:eastAsia="Arial" w:hAnsi="Arial"/>
          <w:sz w:val="16"/>
          <w:szCs w:val="16"/>
          <w:color w:val="auto"/>
        </w:rPr>
        <w:t>”). Whether or not an Event of Default has occurred and is continuing, Borrower shall immediately deliver all payments on and proceeds of Accounts to the Cash Collateral Account. Subject to Bank’s right to maintain a reserve pursuant to Section 6.3(d), all amounts received in the Cash Collateral Account shall be (i) when a Streamline Period is not in effect, applied to immediately reduce the Obligations under the Revolving Line (unless Bank, in its sole discretion, at times when an Event of Default exists, elects not to so apply such amounts), or (ii) when a Streamline Period is in effect, transferred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spacing w:after="0" w:line="5" w:lineRule="exact"/>
        <w:rPr>
          <w:rFonts w:ascii="Arial" w:cs="Arial" w:eastAsia="Arial" w:hAnsi="Arial"/>
          <w:sz w:val="16"/>
          <w:szCs w:val="16"/>
          <w:u w:val="single" w:color="auto"/>
          <w:color w:val="auto"/>
        </w:rPr>
      </w:pPr>
    </w:p>
    <w:p>
      <w:pPr>
        <w:jc w:val="both"/>
        <w:ind w:firstLine="1305"/>
        <w:spacing w:after="0" w:line="250" w:lineRule="auto"/>
        <w:tabs>
          <w:tab w:leader="none" w:pos="1566" w:val="left"/>
        </w:tabs>
        <w:numPr>
          <w:ilvl w:val="0"/>
          <w:numId w:val="4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Reserves</w:t>
      </w:r>
      <w:r>
        <w:rPr>
          <w:rFonts w:ascii="Arial" w:cs="Arial" w:eastAsia="Arial" w:hAnsi="Arial"/>
          <w:sz w:val="18"/>
          <w:szCs w:val="18"/>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Borrower’s operating account with Bank when a Streamline Period is in effect) as a reserve to be applied to any Obligations regardless of whether such Obligations are then due and payable.</w:t>
      </w:r>
    </w:p>
    <w:p>
      <w:pPr>
        <w:spacing w:after="0" w:line="1" w:lineRule="exact"/>
        <w:rPr>
          <w:rFonts w:ascii="Arial" w:cs="Arial" w:eastAsia="Arial" w:hAnsi="Arial"/>
          <w:sz w:val="18"/>
          <w:szCs w:val="18"/>
          <w:u w:val="single" w:color="auto"/>
          <w:color w:val="auto"/>
        </w:rPr>
      </w:pPr>
    </w:p>
    <w:p>
      <w:pPr>
        <w:jc w:val="both"/>
        <w:ind w:firstLine="1305"/>
        <w:spacing w:after="0" w:line="273" w:lineRule="auto"/>
        <w:tabs>
          <w:tab w:leader="none" w:pos="1566" w:val="left"/>
        </w:tabs>
        <w:numPr>
          <w:ilvl w:val="0"/>
          <w:numId w:val="46"/>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Verifications; Confirmations; Credit Quality; Notifications</w:t>
      </w:r>
      <w:r>
        <w:rPr>
          <w:rFonts w:ascii="Arial" w:cs="Arial" w:eastAsia="Arial" w:hAnsi="Arial"/>
          <w:sz w:val="17"/>
          <w:szCs w:val="17"/>
          <w:color w:val="auto"/>
        </w:rPr>
        <w:t>. Bank may, from time to time with notice to Borrower (no such notice shall be required if an Event of Default has occurred and is continuing), (i)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w:t>
      </w:r>
    </w:p>
    <w:p>
      <w:pPr>
        <w:sectPr>
          <w:pgSz w:w="11900" w:h="16838" w:orient="portrait"/>
          <w:cols w:equalWidth="0" w:num="1">
            <w:col w:w="11420"/>
          </w:cols>
          <w:pgMar w:left="240" w:top="935" w:right="239" w:bottom="1440" w:gutter="0" w:footer="0" w:header="0"/>
        </w:sectPr>
      </w:pPr>
    </w:p>
    <w:bookmarkStart w:id="57" w:name="page58"/>
    <w:bookmarkEnd w:id="57"/>
    <w:p>
      <w:pPr>
        <w:jc w:val="both"/>
        <w:ind w:left="-656" w:firstLine="1305"/>
        <w:spacing w:after="0" w:line="253" w:lineRule="auto"/>
        <w:tabs>
          <w:tab w:leader="none" w:pos="910" w:val="left"/>
        </w:tabs>
        <w:numPr>
          <w:ilvl w:val="1"/>
          <w:numId w:val="4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spacing w:after="0" w:line="3" w:lineRule="exact"/>
        <w:rPr>
          <w:rFonts w:ascii="Arial" w:cs="Arial" w:eastAsia="Arial" w:hAnsi="Arial"/>
          <w:sz w:val="18"/>
          <w:szCs w:val="18"/>
          <w:u w:val="single" w:color="auto"/>
          <w:color w:val="auto"/>
        </w:rPr>
      </w:pPr>
    </w:p>
    <w:p>
      <w:pPr>
        <w:jc w:val="both"/>
        <w:ind w:left="-656" w:firstLine="656"/>
        <w:spacing w:after="0" w:line="281" w:lineRule="auto"/>
        <w:tabs>
          <w:tab w:leader="none" w:pos="199"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Remittance of Proceeds. </w:t>
      </w:r>
      <w:r>
        <w:rPr>
          <w:rFonts w:ascii="Arial" w:cs="Arial" w:eastAsia="Arial" w:hAnsi="Arial"/>
          <w:sz w:val="16"/>
          <w:szCs w:val="16"/>
          <w:color w:val="auto"/>
        </w:rPr>
        <w:t>Except as otherwise provided in Section 6.3(c), deliver, in kind, all proceeds arising from the disposition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to Bank in the original form in which received by Borrower not later than the following Business Day after receipt by Borrower, to be applied to the Obligations (a) prior to an Event of Default, pursuant to the terms of Section 6.3(c) hereof, and (b) after the occurrence and during the continuance of an Event of Default, pursuant to the terms of Section 9.4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Five Hundred Thousand Dollars ($500,000) or less (for all such transactions in any fiscal year). Borrower agrees that it will maintain in an account with Bank proceeds of Collateral and will hold such proceeds separate and apart from such other funds and property and in an express trust for Bank. Nothing in this Section 6.4 limits the restrictions on disposition of Collateral set forth elsewhere in this Agreement.</w:t>
      </w:r>
    </w:p>
    <w:p>
      <w:pPr>
        <w:spacing w:after="0" w:line="5" w:lineRule="exact"/>
        <w:rPr>
          <w:rFonts w:ascii="Arial" w:cs="Arial" w:eastAsia="Arial" w:hAnsi="Arial"/>
          <w:sz w:val="16"/>
          <w:szCs w:val="16"/>
          <w:color w:val="auto"/>
        </w:rPr>
      </w:pPr>
    </w:p>
    <w:p>
      <w:pPr>
        <w:jc w:val="both"/>
        <w:ind w:left="-656" w:firstLine="656"/>
        <w:spacing w:after="0" w:line="250" w:lineRule="auto"/>
        <w:tabs>
          <w:tab w:leader="none" w:pos="175"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Taxes; Pensions. </w:t>
      </w:r>
      <w:r>
        <w:rPr>
          <w:rFonts w:ascii="Arial" w:cs="Arial" w:eastAsia="Arial" w:hAnsi="Arial"/>
          <w:sz w:val="18"/>
          <w:szCs w:val="18"/>
          <w:color w:val="auto"/>
        </w:rPr>
        <w:t>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2" w:lineRule="exact"/>
        <w:rPr>
          <w:rFonts w:ascii="Arial" w:cs="Arial" w:eastAsia="Arial" w:hAnsi="Arial"/>
          <w:sz w:val="18"/>
          <w:szCs w:val="18"/>
          <w:color w:val="auto"/>
        </w:rPr>
      </w:pPr>
    </w:p>
    <w:p>
      <w:pPr>
        <w:jc w:val="both"/>
        <w:ind w:left="-656" w:firstLine="656"/>
        <w:spacing w:after="0" w:line="281" w:lineRule="auto"/>
        <w:tabs>
          <w:tab w:leader="none" w:pos="142"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Access to Collateral; Books and Records. </w:t>
      </w:r>
      <w:r>
        <w:rPr>
          <w:rFonts w:ascii="Arial" w:cs="Arial" w:eastAsia="Arial" w:hAnsi="Arial"/>
          <w:sz w:val="16"/>
          <w:szCs w:val="16"/>
          <w:color w:val="auto"/>
        </w:rPr>
        <w:t>At reasonable times, on three (3) Business Days’ notice (provided no notice is required if an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has occurred and is continuing), Bank, or its agents, shall have the right to inspect the Collateral and the right to audit and copy Borrower’s Books. The foregoing inspections and audits shall be conducted no more often than once every twelve (12) months (or more frequently as Bank in its sole discretion determines that conditions warrant) unless an Event of Default has occurred and is continuing in which case such inspections and audits shall occur as often as Bank shall determine is necessary. Borrower hereby acknowledges that the Initial Audit shall be conducted prior to the initial Advance occurring after the Effective Date and, in any event, not more than ninety (90) days after the Effective Date.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spacing w:after="0" w:line="7" w:lineRule="exact"/>
        <w:rPr>
          <w:rFonts w:ascii="Arial" w:cs="Arial" w:eastAsia="Arial" w:hAnsi="Arial"/>
          <w:sz w:val="16"/>
          <w:szCs w:val="16"/>
          <w:color w:val="auto"/>
        </w:rPr>
      </w:pPr>
    </w:p>
    <w:p>
      <w:pPr>
        <w:ind w:left="184" w:hanging="184"/>
        <w:spacing w:after="0"/>
        <w:tabs>
          <w:tab w:leader="none" w:pos="184"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9" w:lineRule="exact"/>
        <w:rPr>
          <w:rFonts w:ascii="Arial" w:cs="Arial" w:eastAsia="Arial" w:hAnsi="Arial"/>
          <w:sz w:val="18"/>
          <w:szCs w:val="18"/>
          <w:color w:val="auto"/>
        </w:rPr>
      </w:pPr>
    </w:p>
    <w:p>
      <w:pPr>
        <w:jc w:val="both"/>
        <w:ind w:left="-656" w:firstLine="1305"/>
        <w:spacing w:after="0" w:line="265" w:lineRule="auto"/>
        <w:tabs>
          <w:tab w:leader="none" w:pos="910" w:val="left"/>
        </w:tabs>
        <w:numPr>
          <w:ilvl w:val="1"/>
          <w:numId w:val="48"/>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 w:lineRule="exact"/>
        <w:rPr>
          <w:rFonts w:ascii="Arial" w:cs="Arial" w:eastAsia="Arial" w:hAnsi="Arial"/>
          <w:sz w:val="17"/>
          <w:szCs w:val="17"/>
          <w:color w:val="auto"/>
        </w:rPr>
      </w:pPr>
    </w:p>
    <w:p>
      <w:pPr>
        <w:jc w:val="both"/>
        <w:ind w:left="-656" w:firstLine="1305"/>
        <w:spacing w:after="0" w:line="265" w:lineRule="auto"/>
        <w:tabs>
          <w:tab w:leader="none" w:pos="951" w:val="left"/>
        </w:tabs>
        <w:numPr>
          <w:ilvl w:val="1"/>
          <w:numId w:val="48"/>
        </w:numPr>
        <w:rPr>
          <w:rFonts w:ascii="Arial" w:cs="Arial" w:eastAsia="Arial" w:hAnsi="Arial"/>
          <w:sz w:val="17"/>
          <w:szCs w:val="17"/>
          <w:color w:val="auto"/>
        </w:rPr>
      </w:pPr>
      <w:r>
        <w:rPr>
          <w:rFonts w:ascii="Arial" w:cs="Arial" w:eastAsia="Arial" w:hAnsi="Arial"/>
          <w:sz w:val="17"/>
          <w:szCs w:val="17"/>
          <w:color w:val="auto"/>
        </w:rPr>
        <w:t>Ensure that proceeds payable under any property policy are, at Bank’s option, payable to Bank on account of the Obligations. Notwithstanding the foregoing, (i) so long as no Event of Default has occurred and is continuing, Borrower shall have the option of applying the proceeds of any casualty policy up to Five Hundred Thousand Dollars ($500,000) in the aggregate for all losses under all casualty policies in any one year, toward the replacement or repair of destroyed or damaged property; provided that any such replaced or repaired property (A) shall be of equal or like value as the replaced or repaired Collateral and (B) shall be deemed Collateral in which Bank has been granted a first priority security interest (except for Liens permitted under clause (c) of the definition of Permitted Liens), and (ii) after the occurrence and during the continuance of an Event of Default, all proceeds payable under such casualty policy shall, at the option of Bank, be payable to Bank on account of the Obligations.</w:t>
      </w:r>
    </w:p>
    <w:p>
      <w:pPr>
        <w:spacing w:after="0" w:line="1" w:lineRule="exact"/>
        <w:rPr>
          <w:rFonts w:ascii="Arial" w:cs="Arial" w:eastAsia="Arial" w:hAnsi="Arial"/>
          <w:sz w:val="17"/>
          <w:szCs w:val="17"/>
          <w:color w:val="auto"/>
        </w:rPr>
      </w:pPr>
    </w:p>
    <w:p>
      <w:pPr>
        <w:jc w:val="both"/>
        <w:ind w:left="-656" w:firstLine="1305"/>
        <w:spacing w:after="0" w:line="250" w:lineRule="auto"/>
        <w:tabs>
          <w:tab w:leader="none" w:pos="91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At Bank’s request, Borrower shall deliver certified copies of insurance policies and evidence of all premium payments. Each provider of any such insurance required under this Section 6.7 shall agree, by endorsement upon the policy or policies issued by it or by independent instruments furnished to Bank, that it will give Bank twenty (20) days (ten (10) days for nonpayment of premium) prior written notice before any such policy or policies shall be canceled. If Borrower fails to obtain insurance as required under this Section 6.7 or to pay any amount or furnish any required proof of payment to third persons and Bank, Bank may make all or part of such payment or obtain such insurance policies required in this Section 6.7, and take any action under the policies Bank deems prudent.</w:t>
      </w:r>
    </w:p>
    <w:p>
      <w:pPr>
        <w:spacing w:after="0" w:line="2" w:lineRule="exact"/>
        <w:rPr>
          <w:rFonts w:ascii="Arial" w:cs="Arial" w:eastAsia="Arial" w:hAnsi="Arial"/>
          <w:sz w:val="18"/>
          <w:szCs w:val="18"/>
          <w:color w:val="auto"/>
        </w:rPr>
      </w:pPr>
    </w:p>
    <w:p>
      <w:pPr>
        <w:ind w:left="184" w:hanging="184"/>
        <w:spacing w:after="0"/>
        <w:tabs>
          <w:tab w:leader="none" w:pos="184"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Accounts.</w:t>
      </w:r>
    </w:p>
    <w:p>
      <w:pPr>
        <w:sectPr>
          <w:pgSz w:w="11900" w:h="16838" w:orient="portrait"/>
          <w:cols w:equalWidth="0" w:num="1">
            <w:col w:w="10764"/>
          </w:cols>
          <w:pgMar w:left="896" w:top="936" w:right="239" w:bottom="1440" w:gutter="0" w:footer="0" w:header="0"/>
        </w:sectPr>
      </w:pPr>
    </w:p>
    <w:bookmarkStart w:id="58" w:name="page59"/>
    <w:bookmarkEnd w:id="58"/>
    <w:p>
      <w:pPr>
        <w:jc w:val="both"/>
        <w:ind w:left="-656" w:firstLine="1305"/>
        <w:spacing w:after="0" w:line="256" w:lineRule="auto"/>
        <w:tabs>
          <w:tab w:leader="none" w:pos="91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Maintain its and all of its Material Subsidiaries’ (other than The Rubicon Project Ltd.’s) primary domestic operating and other deposit accounts, the Cash Collateral Account and securities/investment accounts with Bank and Bank’s Affiliates, which accounts shall represent at least eighty-five percent (85%) of the dollar value of Borrower’s and such Subsidiaries’ accounts at all financial institutions.</w:t>
      </w:r>
    </w:p>
    <w:p>
      <w:pPr>
        <w:jc w:val="both"/>
        <w:ind w:left="-656" w:firstLine="1305"/>
        <w:spacing w:after="0" w:line="281" w:lineRule="auto"/>
        <w:tabs>
          <w:tab w:leader="none" w:pos="91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 addition to and without limiting the restrictions in clause (a) above, Borrower shall provide Bank five (5) days prior written notice before establishing any domestic Collateral Account (other than Collateral Accounts described in clauses (i) and (ii) in the definition of Excluded Accounts below) at or with any bank or financial institution other than Bank or Bank’s Affiliates. For each domestic Collateral Account (other than Excluded Accounts)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(ii) payment processing accounts for which Borrower has provided written notice to Bank and provided that all funds in such payment processing accounts are swept to the Designated Deposit Account on a weekly basis and (iii) escrow or trust accounts established in connection with a merger or acquisition, so long as the merger or acquisition is a Permitted Acquisition and Bank has approved the establishment of such escrow or trust fund prior to the escrow or trust fund being established (“</w:t>
      </w:r>
      <w:r>
        <w:rPr>
          <w:rFonts w:ascii="Arial" w:cs="Arial" w:eastAsia="Arial" w:hAnsi="Arial"/>
          <w:sz w:val="16"/>
          <w:szCs w:val="16"/>
          <w:b w:val="1"/>
          <w:bCs w:val="1"/>
          <w:color w:val="auto"/>
        </w:rPr>
        <w:t>Excluded Accounts</w:t>
      </w:r>
      <w:r>
        <w:rPr>
          <w:rFonts w:ascii="Arial" w:cs="Arial" w:eastAsia="Arial" w:hAnsi="Arial"/>
          <w:sz w:val="16"/>
          <w:szCs w:val="16"/>
          <w:color w:val="auto"/>
        </w:rPr>
        <w:t>”).</w:t>
      </w:r>
    </w:p>
    <w:p>
      <w:pPr>
        <w:spacing w:after="0" w:line="7" w:lineRule="exact"/>
        <w:rPr>
          <w:rFonts w:ascii="Arial" w:cs="Arial" w:eastAsia="Arial" w:hAnsi="Arial"/>
          <w:sz w:val="16"/>
          <w:szCs w:val="16"/>
          <w:color w:val="auto"/>
        </w:rPr>
      </w:pPr>
    </w:p>
    <w:p>
      <w:pPr>
        <w:ind w:left="144" w:hanging="144"/>
        <w:spacing w:after="0"/>
        <w:tabs>
          <w:tab w:leader="none" w:pos="14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Financial Covenants.</w:t>
      </w:r>
    </w:p>
    <w:p>
      <w:pPr>
        <w:spacing w:after="0" w:line="9" w:lineRule="exact"/>
        <w:rPr>
          <w:rFonts w:ascii="Arial" w:cs="Arial" w:eastAsia="Arial" w:hAnsi="Arial"/>
          <w:sz w:val="18"/>
          <w:szCs w:val="18"/>
          <w:color w:val="auto"/>
        </w:rPr>
      </w:pPr>
    </w:p>
    <w:p>
      <w:pPr>
        <w:jc w:val="both"/>
        <w:ind w:left="-656" w:firstLine="1305"/>
        <w:spacing w:after="0" w:line="250" w:lineRule="auto"/>
        <w:tabs>
          <w:tab w:leader="none" w:pos="910" w:val="left"/>
        </w:tabs>
        <w:numPr>
          <w:ilvl w:val="1"/>
          <w:numId w:val="5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Adjusted Quick Ratio</w:t>
      </w:r>
      <w:r>
        <w:rPr>
          <w:rFonts w:ascii="Arial" w:cs="Arial" w:eastAsia="Arial" w:hAnsi="Arial"/>
          <w:sz w:val="18"/>
          <w:szCs w:val="18"/>
          <w:color w:val="auto"/>
        </w:rPr>
        <w:t>. Maintain at all times, tested on a consolidated basis with respect to Borrower, (i) quarterly as of the last day of each calendar quarter if no Advances were outstanding at any time during such calendar quarter, or (ii) monthly as of the last day of each month if otherwise, an Adjusted Quick Ratio of at least (A) 1.00 to 1.00, if Borrower’s Adjusted EBITDA for the trailing six (6) month period ending as of the testing date is Zero Dollars ($0.00) or less, or (B) 0.90 to 1.00, if Borrower’s Adjusted EBITDA for the trailing six (6) month period ending as of the testing date is greater than Zero Dollars ($0.00).</w:t>
      </w:r>
    </w:p>
    <w:p>
      <w:pPr>
        <w:spacing w:after="0" w:line="2" w:lineRule="exact"/>
        <w:rPr>
          <w:rFonts w:ascii="Arial" w:cs="Arial" w:eastAsia="Arial" w:hAnsi="Arial"/>
          <w:sz w:val="18"/>
          <w:szCs w:val="18"/>
          <w:u w:val="single" w:color="auto"/>
          <w:color w:val="auto"/>
        </w:rPr>
      </w:pPr>
    </w:p>
    <w:p>
      <w:pPr>
        <w:jc w:val="both"/>
        <w:ind w:left="-656" w:firstLine="1305"/>
        <w:spacing w:after="0" w:line="265" w:lineRule="auto"/>
        <w:tabs>
          <w:tab w:leader="none" w:pos="924" w:val="left"/>
        </w:tabs>
        <w:numPr>
          <w:ilvl w:val="1"/>
          <w:numId w:val="5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Measured as of the last day of each calendar quarter, beginning with the calendar quarter ending September 30, 2018, Borrower shall have trailing twelve (12) month Adjusted EBITDA as follows: (i) for the calendar quarters ending September 30, 2018 through and including June 30, 2019, Borrower’s trailing twelve (12) month Adjusted EBITDA shall not vary (negatively) by more than twenty percent (20.0%) from the Adjusted EBITDA Projections, (ii) for the calendar quarter ending September 30, 2019, Borrower’s trailing twelve (12) month Adjusted EBITDA shall not be less than One Dollar ($1.00), and (iii) for the calendar quarters ending December 31, 2019 and thereafter, Borrower’s trailing twelve (12) month Adjusted EBITDA shall not be less than an amount equal to Five Million Dollars ($5,000,000).</w:t>
      </w:r>
    </w:p>
    <w:p>
      <w:pPr>
        <w:spacing w:after="0" w:line="1" w:lineRule="exact"/>
        <w:rPr>
          <w:rFonts w:ascii="Arial" w:cs="Arial" w:eastAsia="Arial" w:hAnsi="Arial"/>
          <w:sz w:val="17"/>
          <w:szCs w:val="17"/>
          <w:u w:val="single" w:color="auto"/>
          <w:color w:val="auto"/>
        </w:rPr>
      </w:pPr>
    </w:p>
    <w:p>
      <w:pPr>
        <w:ind w:left="144" w:hanging="144"/>
        <w:spacing w:after="0"/>
        <w:tabs>
          <w:tab w:leader="none" w:pos="14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Protection of Intellectual Property Rights.</w:t>
      </w:r>
    </w:p>
    <w:p>
      <w:pPr>
        <w:spacing w:after="0" w:line="9" w:lineRule="exact"/>
        <w:rPr>
          <w:rFonts w:ascii="Arial" w:cs="Arial" w:eastAsia="Arial" w:hAnsi="Arial"/>
          <w:sz w:val="18"/>
          <w:szCs w:val="18"/>
          <w:color w:val="auto"/>
        </w:rPr>
      </w:pPr>
    </w:p>
    <w:p>
      <w:pPr>
        <w:jc w:val="both"/>
        <w:ind w:left="-656" w:firstLine="1305"/>
        <w:spacing w:after="0" w:line="250" w:lineRule="auto"/>
        <w:tabs>
          <w:tab w:leader="none" w:pos="9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(i) Use commercially reasonable efforts to protect, defend and maintain the validity and enforceability of its Intellectual Property material to its business; (ii) promptly advise Bank in writing of material infringements or any other event that could reasonably be expected to materially and adversely affect the value of its Intellectual Property material to its business; and (iii) not allow any Intellectual Property material to Borrower’s business to be abandoned, forfeited or dedicated to the public without Bank’s written consent.</w:t>
      </w:r>
    </w:p>
    <w:p>
      <w:pPr>
        <w:spacing w:after="0" w:line="1" w:lineRule="exact"/>
        <w:rPr>
          <w:rFonts w:ascii="Arial" w:cs="Arial" w:eastAsia="Arial" w:hAnsi="Arial"/>
          <w:sz w:val="18"/>
          <w:szCs w:val="18"/>
          <w:color w:val="auto"/>
        </w:rPr>
      </w:pPr>
    </w:p>
    <w:p>
      <w:pPr>
        <w:jc w:val="both"/>
        <w:ind w:left="-656" w:firstLine="1305"/>
        <w:spacing w:after="0" w:line="250" w:lineRule="auto"/>
        <w:tabs>
          <w:tab w:leader="none" w:pos="924" w:val="left"/>
        </w:tabs>
        <w:numPr>
          <w:ilvl w:val="1"/>
          <w:numId w:val="51"/>
        </w:numPr>
        <w:rPr>
          <w:rFonts w:ascii="Arial" w:cs="Arial" w:eastAsia="Arial" w:hAnsi="Arial"/>
          <w:sz w:val="18"/>
          <w:szCs w:val="18"/>
          <w:color w:val="auto"/>
        </w:rPr>
      </w:pPr>
      <w:r>
        <w:rPr>
          <w:rFonts w:ascii="Arial" w:cs="Arial" w:eastAsia="Arial" w:hAnsi="Arial"/>
          <w:sz w:val="18"/>
          <w:szCs w:val="18"/>
          <w:color w:val="auto"/>
        </w:rPr>
        <w:t>Provide written notice to Bank within ten (10) days of entering or becoming bound by any Restricted License (other than over-the-counter software that is commercially available to the public). Borrower shall take such steps as Bank requests in its reasonable discretion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2" w:lineRule="exact"/>
        <w:rPr>
          <w:rFonts w:ascii="Arial" w:cs="Arial" w:eastAsia="Arial" w:hAnsi="Arial"/>
          <w:sz w:val="18"/>
          <w:szCs w:val="18"/>
          <w:color w:val="auto"/>
        </w:rPr>
      </w:pPr>
    </w:p>
    <w:p>
      <w:pPr>
        <w:jc w:val="both"/>
        <w:ind w:left="-656" w:firstLine="656"/>
        <w:spacing w:after="0" w:line="265" w:lineRule="auto"/>
        <w:tabs>
          <w:tab w:leader="none" w:pos="199"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Litigation Cooperation. </w:t>
      </w:r>
      <w:r>
        <w:rPr>
          <w:rFonts w:ascii="Arial" w:cs="Arial" w:eastAsia="Arial" w:hAnsi="Arial"/>
          <w:sz w:val="17"/>
          <w:szCs w:val="17"/>
          <w:color w:val="auto"/>
        </w:rPr>
        <w:t>From the date hereof and continuing through the termination of this Agreement, make available to Bank,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 provided, however, that any information provided to Bank shall be subject to the confidentiality provisions set forth in Section 12.9.</w:t>
      </w:r>
    </w:p>
    <w:p>
      <w:pPr>
        <w:ind w:left="144" w:hanging="144"/>
        <w:spacing w:after="0"/>
        <w:tabs>
          <w:tab w:leader="none" w:pos="144"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Online Banking.</w:t>
      </w:r>
    </w:p>
    <w:p>
      <w:pPr>
        <w:spacing w:after="0" w:line="9" w:lineRule="exact"/>
        <w:rPr>
          <w:rFonts w:ascii="Arial" w:cs="Arial" w:eastAsia="Arial" w:hAnsi="Arial"/>
          <w:sz w:val="18"/>
          <w:szCs w:val="18"/>
          <w:color w:val="auto"/>
        </w:rPr>
      </w:pPr>
    </w:p>
    <w:p>
      <w:pPr>
        <w:jc w:val="both"/>
        <w:ind w:left="-656" w:firstLine="1305"/>
        <w:spacing w:after="0" w:line="253" w:lineRule="auto"/>
        <w:tabs>
          <w:tab w:leader="none" w:pos="910" w:val="left"/>
        </w:tabs>
        <w:numPr>
          <w:ilvl w:val="1"/>
          <w:numId w:val="52"/>
        </w:numPr>
        <w:rPr>
          <w:rFonts w:ascii="Arial" w:cs="Arial" w:eastAsia="Arial" w:hAnsi="Arial"/>
          <w:sz w:val="18"/>
          <w:szCs w:val="18"/>
          <w:color w:val="auto"/>
        </w:rPr>
      </w:pPr>
      <w:r>
        <w:rPr>
          <w:rFonts w:ascii="Arial" w:cs="Arial" w:eastAsia="Arial" w:hAnsi="Arial"/>
          <w:sz w:val="18"/>
          <w:szCs w:val="18"/>
          <w:color w:val="auto"/>
        </w:rPr>
        <w:t>Utilize Bank’s online banking platform for all matters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 provided, however, if Bank’s online banking platform is not operational then Borrower shall notify Bank and arrange with Bank for an alternative method of delivering the applicable information.</w:t>
      </w:r>
    </w:p>
    <w:p>
      <w:pPr>
        <w:sectPr>
          <w:pgSz w:w="11900" w:h="16838" w:orient="portrait"/>
          <w:cols w:equalWidth="0" w:num="1">
            <w:col w:w="10764"/>
          </w:cols>
          <w:pgMar w:left="896" w:top="936" w:right="239" w:bottom="1440" w:gutter="0" w:footer="0" w:header="0"/>
        </w:sectPr>
      </w:pPr>
    </w:p>
    <w:bookmarkStart w:id="59" w:name="page60"/>
    <w:bookmarkEnd w:id="59"/>
    <w:p>
      <w:pPr>
        <w:jc w:val="both"/>
        <w:ind w:firstLine="1305"/>
        <w:spacing w:after="0" w:line="254" w:lineRule="auto"/>
        <w:tabs>
          <w:tab w:leader="none" w:pos="1566"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Comply with the terms of Bank’s Online Banking Agreement as in effect from time to time and ensure that all persons utilizing Bank’s online banking platform are duly authorized to do so by an Administrator. Bank shall be entitled to assume the authenticity, accuracy and completeness on any information, instruction or request for a Credit Extension submitted via Bank’s online banking platform and to further assume that any submissions or requests made via Bank’s online banking platform have been duly authorized by an Administrator.</w:t>
      </w:r>
    </w:p>
    <w:p>
      <w:pPr>
        <w:spacing w:after="0" w:line="2" w:lineRule="exact"/>
        <w:rPr>
          <w:rFonts w:ascii="Arial" w:cs="Arial" w:eastAsia="Arial" w:hAnsi="Arial"/>
          <w:sz w:val="18"/>
          <w:szCs w:val="18"/>
          <w:color w:val="auto"/>
        </w:rPr>
      </w:pPr>
    </w:p>
    <w:p>
      <w:pPr>
        <w:jc w:val="both"/>
        <w:ind w:firstLine="656"/>
        <w:spacing w:after="0" w:line="265" w:lineRule="auto"/>
        <w:tabs>
          <w:tab w:leader="none" w:pos="892"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Formation or Acquisition of Subsidiaries. </w:t>
      </w:r>
      <w:r>
        <w:rPr>
          <w:rFonts w:ascii="Arial" w:cs="Arial" w:eastAsia="Arial" w:hAnsi="Arial"/>
          <w:sz w:val="17"/>
          <w:szCs w:val="17"/>
          <w:color w:val="auto"/>
        </w:rPr>
        <w:t>Notwithstanding and without limiting the negative covenants contained in Sections 7.3 and 7.7</w:t>
      </w:r>
      <w:r>
        <w:rPr>
          <w:rFonts w:ascii="Arial" w:cs="Arial" w:eastAsia="Arial" w:hAnsi="Arial"/>
          <w:sz w:val="17"/>
          <w:szCs w:val="17"/>
          <w:b w:val="1"/>
          <w:bCs w:val="1"/>
          <w:color w:val="auto"/>
        </w:rPr>
        <w:t xml:space="preserve"> </w:t>
      </w:r>
      <w:r>
        <w:rPr>
          <w:rFonts w:ascii="Arial" w:cs="Arial" w:eastAsia="Arial" w:hAnsi="Arial"/>
          <w:sz w:val="17"/>
          <w:szCs w:val="17"/>
          <w:color w:val="auto"/>
        </w:rPr>
        <w:t>hereof, within thirty (30) days of the date that Borrower forms any direct or indirect Material Subsidiary or acquires any direct or indirect Material Subsidiary after the Effective Date, Borrower shall (a) with respect to any such new Material Subsidiary that is a wholly-owned Domestic Subsidiary, cause such new Material Subsidiary to provide to Bank a joinder to this Agreement to become a co-borrower hereunder, together with such appropriate financing statements and/or Control Agreements, all in form and substance satisfactory to Bank (including being sufficient to grant Bank a first priority Lien (subject to Permitted Liens) in and to the assets of such newly formed or acquired Material Subsidiary), (b) provide to Bank appropriate certificates and powers and financing statements, pledging all (or sixty-five percent (65%) with respect to any Foreign Subsidiary that is a Material Subsidiary) of the direct or beneficial ownership interest in such new Material Subsidiary, in form and substance satisfactory to Bank; and (c) provide to Bank all other documentation in form and substance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2" w:lineRule="exact"/>
        <w:rPr>
          <w:rFonts w:ascii="Arial" w:cs="Arial" w:eastAsia="Arial" w:hAnsi="Arial"/>
          <w:sz w:val="17"/>
          <w:szCs w:val="17"/>
          <w:color w:val="auto"/>
        </w:rPr>
      </w:pPr>
    </w:p>
    <w:p>
      <w:pPr>
        <w:jc w:val="both"/>
        <w:ind w:firstLine="656"/>
        <w:spacing w:after="0" w:line="250" w:lineRule="auto"/>
        <w:tabs>
          <w:tab w:leader="none" w:pos="828"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Execute any further instruments and take further action as Bank reasonably requests to perfect or continue Bank’s Lien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 xml:space="preserve">7. </w:t>
      </w:r>
      <w:r>
        <w:rPr>
          <w:rFonts w:ascii="Arial" w:cs="Arial" w:eastAsia="Arial" w:hAnsi="Arial"/>
          <w:sz w:val="18"/>
          <w:szCs w:val="18"/>
          <w:b w:val="1"/>
          <w:bCs w:val="1"/>
          <w:u w:val="single" w:color="auto"/>
          <w:color w:val="auto"/>
        </w:rPr>
        <w:t>NEGATIVE COVENANTS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Borrower shall not do any of the following without Bank’s prior written consent:</w:t>
      </w:r>
    </w:p>
    <w:p>
      <w:pPr>
        <w:spacing w:after="0" w:line="207"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Dispositions.</w:t>
      </w:r>
      <w:r>
        <w:rPr>
          <w:rFonts w:ascii="Arial" w:cs="Arial" w:eastAsia="Arial" w:hAnsi="Arial"/>
          <w:sz w:val="17"/>
          <w:szCs w:val="17"/>
          <w:color w:val="auto"/>
        </w:rPr>
        <w:t xml:space="preserve"> Convey, sell, lease, transfer, assign, or otherwise dispose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and (f) of non-exclusive licenses for the use of the property of Borrower or its Subsidiaries in the ordinary course of business.</w:t>
      </w:r>
    </w:p>
    <w:p>
      <w:pPr>
        <w:spacing w:after="0" w:line="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Changes in Business, Control, or Business Locations.</w:t>
      </w:r>
      <w:r>
        <w:rPr>
          <w:rFonts w:ascii="Arial" w:cs="Arial" w:eastAsia="Arial" w:hAnsi="Arial"/>
          <w:sz w:val="18"/>
          <w:szCs w:val="18"/>
          <w:color w:val="auto"/>
        </w:rPr>
        <w:t xml:space="preserve"> (a) Engage in or permit any of its Subsidiaries to engage in any business other than the businesses currently engaged in by Borrower and such Subsidiary, as applicable, or reasonably related thereto; (b) liquidate or dissolve; or (c) permit or suffer any Change in Control in regard to any Borrower.</w:t>
      </w:r>
    </w:p>
    <w:p>
      <w:pPr>
        <w:spacing w:after="0" w:line="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Borrower shall not, without at least thirty (30) days prior written notice to Bank: (1) add any new offices or business locations, including warehouses (unless such new offices or business locations contain less than One Hundred Thousand Dollars ($100,000)) in Borrower’s assets or property) or deliver any portion of the Collateral valued, individually or in the aggregate, in excess of One Hundred Thousand Dollars ($100,000)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Five Hundred Thousand Dollars ($500,000) of Borrower's assets or property, then the landlord of any such new offices or business locations, including warehouses, shall execute and deliver a landlord consent in form and substance satisfactory to Bank in Bank’s reasonable discretion (for any new offices or business locations containing Five Hundred Thousand Dollars ($500,000) or less of Borrower's assets or property Borrower shall use good faith efforts to obtain such a landlord consent for that location). If Borrower intends to deliver any portion of the Collateral valued, individually or in the aggregate, in excess of Five Hundred Thousand Dollars ($500,000) to a bailee, and Bank and such bailee are not already parties to a bailee agreement governing both the Collateral and the location to which Borrower intends to deliver the Collateral, then such bailee shall execute and deliver a bailee agreement in form and substance satisfactory to Bank in Bank’s reasonable discretion (for any bailee location where the Collateral is valued at Five Hundred Thousand Dollars ($500,000) or less Borrower shall use good faith efforts to obtain such a bailee agreement from such bailee).</w:t>
      </w:r>
    </w:p>
    <w:p>
      <w:pPr>
        <w:sectPr>
          <w:pgSz w:w="11900" w:h="16838" w:orient="portrait"/>
          <w:cols w:equalWidth="0" w:num="1">
            <w:col w:w="11420"/>
          </w:cols>
          <w:pgMar w:left="240" w:top="935" w:right="239" w:bottom="1440" w:gutter="0" w:footer="0" w:header="0"/>
        </w:sectPr>
      </w:pPr>
    </w:p>
    <w:bookmarkStart w:id="60" w:name="page61"/>
    <w:bookmarkEnd w:id="60"/>
    <w:p>
      <w:pPr>
        <w:jc w:val="both"/>
        <w:ind w:left="660" w:firstLine="648"/>
        <w:spacing w:after="0" w:line="255"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Mergers or Acquisitions.</w:t>
      </w:r>
      <w:r>
        <w:rPr>
          <w:rFonts w:ascii="Arial" w:cs="Arial" w:eastAsia="Arial" w:hAnsi="Arial"/>
          <w:sz w:val="18"/>
          <w:szCs w:val="18"/>
          <w:color w:val="auto"/>
        </w:rPr>
        <w:t xml:space="preserve"> Merge or consolidate, or permit any of its Subsidiaries to merge or consolidate, with any other Person, or acquire, or permit any of its Subsidiaries to acquire, all or substantially all of the capital stock or property of another Person (including, without limitation, by the formation of any Subsidiary), except for Permitted Acquisitions and Permitted Investments. A Subsidiary may merge or consolidate into another Subsidiary or into Borrower (if such Subsidiary is also a Borrower hereunder).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Create, incur, assume, or be liable for any Indebtedness, or permit any Subsidiary to do so, other than Permitted Indebtedness.</w:t>
      </w:r>
    </w:p>
    <w:p>
      <w:pPr>
        <w:spacing w:after="0" w:line="3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color w:val="auto"/>
        </w:rPr>
        <w:t>Encumbrance.</w:t>
      </w:r>
      <w:r>
        <w:rPr>
          <w:rFonts w:ascii="Arial" w:cs="Arial" w:eastAsia="Arial" w:hAnsi="Arial"/>
          <w:sz w:val="17"/>
          <w:szCs w:val="17"/>
          <w:color w:val="auto"/>
        </w:rPr>
        <w:t xml:space="preserve"> Create, incur, allow, or suffer any Lien on any of its property, or assign or convey any right to receive income, including the sale of any Accounts, or permit any of its Subsidiaries to do so, except for Permitted Liens, permit any Collateral not to be subject to the first priority security interest granted herein (except for Liens permitted under clause (c) of the definition of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Maintenance of Collateral Accounts.</w:t>
      </w:r>
      <w:r>
        <w:rPr>
          <w:rFonts w:ascii="Arial" w:cs="Arial" w:eastAsia="Arial" w:hAnsi="Arial"/>
          <w:sz w:val="18"/>
          <w:szCs w:val="18"/>
          <w:color w:val="auto"/>
        </w:rPr>
        <w:t xml:space="preserve"> Maintain any Collateral Account except pursuant to the terms of Section 6.8(b) hereof.</w:t>
      </w:r>
    </w:p>
    <w:p>
      <w:pPr>
        <w:spacing w:after="0" w:line="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b w:val="1"/>
          <w:bCs w:val="1"/>
          <w:color w:val="auto"/>
        </w:rPr>
        <w:t>Distributions; Investments.</w:t>
      </w:r>
      <w:r>
        <w:rPr>
          <w:rFonts w:ascii="Arial" w:cs="Arial" w:eastAsia="Arial" w:hAnsi="Arial"/>
          <w:sz w:val="17"/>
          <w:szCs w:val="17"/>
          <w:color w:val="auto"/>
        </w:rPr>
        <w:t xml:space="preserve"> (a) Pay any dividends or make any distribution or payment or redeem, retire or purchase any capital stock provided that Borrower may (i) convert any of its convertible securities into other securities pursuant to the terms of such convertible securities or otherwise in exchange thereof, (ii) pay dividends solely in common stock; (iii) withholding of shares otherwise issuable to employees or former employees upon the vesting of such employee’s restricted stock or restricted stock units in order to cover such employee’s tax liabilities; and (iv) repurchase the stock of former or current employees or consultants pursuant to stock repurchase agreements so long as an Event of Default does not exist at the time of any such repurchase and would not exist after giving effect to any such repurchase, provided that the aggregate amount of all such repurchases does not exceed One Million Dollars ($1,000,000) per fiscal year; or (b) directly or indirectly make any Investment (including, without limitation, by the formation of any Subsidiary) other than Permitted Investments, or permit any of its Subsidiaries to do so.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b w:val="1"/>
          <w:bCs w:val="1"/>
          <w:color w:val="auto"/>
        </w:rPr>
        <w:t>Transactions with Affiliates.</w:t>
      </w:r>
      <w:r>
        <w:rPr>
          <w:rFonts w:ascii="Arial" w:cs="Arial" w:eastAsia="Arial" w:hAnsi="Arial"/>
          <w:sz w:val="16"/>
          <w:szCs w:val="16"/>
          <w:color w:val="auto"/>
        </w:rPr>
        <w:t xml:space="preserve"> Directly or indirectly enter into or permit to exist any material transaction with any Affiliate of Borrower, except for</w:t>
      </w:r>
    </w:p>
    <w:p>
      <w:pPr>
        <w:spacing w:after="0" w:line="32" w:lineRule="exact"/>
        <w:rPr>
          <w:sz w:val="20"/>
          <w:szCs w:val="20"/>
          <w:color w:val="auto"/>
        </w:rPr>
      </w:pPr>
    </w:p>
    <w:p>
      <w:pPr>
        <w:jc w:val="both"/>
        <w:ind w:firstLine="8"/>
        <w:spacing w:after="0" w:line="250"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equity financing transactions in which Borrower’s stockholders or their Affiliates participate; or (ii) transactions that are in the ordinary course of Borrower’s business, upon fair and reasonable terms that are no less favorable to Borrower than would be obtained in an arm’s length transaction with a non-affiliated Person.</w:t>
      </w:r>
    </w:p>
    <w:p>
      <w:pPr>
        <w:spacing w:after="0" w:line="1" w:lineRule="exact"/>
        <w:rPr>
          <w:rFonts w:ascii="Arial" w:cs="Arial" w:eastAsia="Arial" w:hAnsi="Arial"/>
          <w:sz w:val="18"/>
          <w:szCs w:val="18"/>
          <w:color w:val="auto"/>
        </w:rPr>
      </w:pPr>
    </w:p>
    <w:p>
      <w:pPr>
        <w:jc w:val="both"/>
        <w:ind w:firstLine="656"/>
        <w:spacing w:after="0" w:line="250" w:lineRule="auto"/>
        <w:tabs>
          <w:tab w:leader="none" w:pos="802"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Debt. </w:t>
      </w:r>
      <w:r>
        <w:rPr>
          <w:rFonts w:ascii="Arial" w:cs="Arial" w:eastAsia="Arial" w:hAnsi="Arial"/>
          <w:sz w:val="18"/>
          <w:szCs w:val="18"/>
          <w:color w:val="auto"/>
        </w:rPr>
        <w:t>(a)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 w:lineRule="exact"/>
        <w:rPr>
          <w:rFonts w:ascii="Arial" w:cs="Arial" w:eastAsia="Arial" w:hAnsi="Arial"/>
          <w:sz w:val="18"/>
          <w:szCs w:val="18"/>
          <w:color w:val="auto"/>
        </w:rPr>
      </w:pPr>
    </w:p>
    <w:p>
      <w:pPr>
        <w:jc w:val="both"/>
        <w:ind w:firstLine="656"/>
        <w:spacing w:after="0" w:line="281" w:lineRule="auto"/>
        <w:tabs>
          <w:tab w:leader="none" w:pos="802"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Compliance. </w:t>
      </w:r>
      <w:r>
        <w:rPr>
          <w:rFonts w:ascii="Arial" w:cs="Arial" w:eastAsia="Arial" w:hAnsi="Arial"/>
          <w:sz w:val="16"/>
          <w:szCs w:val="16"/>
          <w:color w:val="auto"/>
        </w:rPr>
        <w:t>Become an “investment company” or a company controlled by an “investment company”, under the Investment Company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 xml:space="preserve">8. </w:t>
      </w:r>
      <w:r>
        <w:rPr>
          <w:rFonts w:ascii="Arial" w:cs="Arial" w:eastAsia="Arial" w:hAnsi="Arial"/>
          <w:sz w:val="18"/>
          <w:szCs w:val="18"/>
          <w:b w:val="1"/>
          <w:bCs w:val="1"/>
          <w:u w:val="single" w:color="auto"/>
          <w:color w:val="auto"/>
        </w:rPr>
        <w:t>EVENTS OF DEFAULT</w:t>
      </w:r>
    </w:p>
    <w:p>
      <w:pPr>
        <w:spacing w:after="0" w:line="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06" w:lineRule="exact"/>
        <w:rPr>
          <w:rFonts w:ascii="Arial" w:cs="Arial" w:eastAsia="Arial" w:hAnsi="Arial"/>
          <w:sz w:val="16"/>
          <w:szCs w:val="16"/>
          <w:color w:val="auto"/>
        </w:rPr>
      </w:pPr>
    </w:p>
    <w:p>
      <w:pPr>
        <w:jc w:val="both"/>
        <w:ind w:left="660" w:firstLine="645"/>
        <w:spacing w:after="0" w:line="289" w:lineRule="auto"/>
        <w:tabs>
          <w:tab w:leader="none" w:pos="1492" w:val="left"/>
        </w:tabs>
        <w:numPr>
          <w:ilvl w:val="2"/>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Payment Default. </w:t>
      </w:r>
      <w:r>
        <w:rPr>
          <w:rFonts w:ascii="Arial" w:cs="Arial" w:eastAsia="Arial" w:hAnsi="Arial"/>
          <w:sz w:val="16"/>
          <w:szCs w:val="16"/>
          <w:color w:val="auto"/>
        </w:rPr>
        <w:t>Borrower fails to (a) make any payment of principal or interest on any Credit Extension when due, or (b) pay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Obligations within three (3) Business Days after such Obligations are due and payable (which three (3) Business Day cure period shall not apply to payments due on the Revolving Line Maturity Date). During the cure period, the failure to make or pay any payment specified under clause</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 hereunder is not an Event of Default (but no Credit Extension will be made during the cure period);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Covenant Default.</w:t>
      </w:r>
    </w:p>
    <w:p>
      <w:pPr>
        <w:spacing w:after="0" w:line="9" w:lineRule="exact"/>
        <w:rPr>
          <w:sz w:val="20"/>
          <w:szCs w:val="20"/>
          <w:color w:val="auto"/>
        </w:rPr>
      </w:pPr>
    </w:p>
    <w:p>
      <w:pPr>
        <w:ind w:firstLine="1305"/>
        <w:spacing w:after="0" w:line="250" w:lineRule="auto"/>
        <w:tabs>
          <w:tab w:leader="none" w:pos="1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6.3, 6.4, 6.5, 6.6, 6.7, 6.8, 6.9, 6.10(b), 6.12, or 6.13 or violates any covenant in Section 7;</w:t>
      </w:r>
    </w:p>
    <w:p>
      <w:pPr>
        <w:ind w:firstLine="1305"/>
        <w:spacing w:after="0" w:line="261" w:lineRule="auto"/>
        <w:tabs>
          <w:tab w:leader="none" w:pos="15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obligation in Section 6.2 and has failed to cure the default within five (5) days after the occurrence thereof; or</w:t>
      </w:r>
    </w:p>
    <w:p>
      <w:pPr>
        <w:sectPr>
          <w:pgSz w:w="11900" w:h="16838" w:orient="portrait"/>
          <w:cols w:equalWidth="0" w:num="1">
            <w:col w:w="11420"/>
          </w:cols>
          <w:pgMar w:left="240" w:top="932" w:right="239" w:bottom="1440" w:gutter="0" w:footer="0" w:header="0"/>
        </w:sectPr>
      </w:pPr>
    </w:p>
    <w:bookmarkStart w:id="61" w:name="page62"/>
    <w:bookmarkEnd w:id="61"/>
    <w:p>
      <w:pPr>
        <w:jc w:val="both"/>
        <w:ind w:left="-656" w:firstLine="1305"/>
        <w:spacing w:after="0" w:line="252" w:lineRule="auto"/>
        <w:tabs>
          <w:tab w:leader="none" w:pos="9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4" w:lineRule="exact"/>
        <w:rPr>
          <w:rFonts w:ascii="Arial" w:cs="Arial" w:eastAsia="Arial" w:hAnsi="Arial"/>
          <w:sz w:val="18"/>
          <w:szCs w:val="18"/>
          <w:color w:val="auto"/>
        </w:rPr>
      </w:pPr>
    </w:p>
    <w:p>
      <w:pPr>
        <w:ind w:left="164" w:hanging="164"/>
        <w:spacing w:after="0"/>
        <w:tabs>
          <w:tab w:leader="none" w:pos="164"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Material Adverse Change. </w:t>
      </w:r>
      <w:r>
        <w:rPr>
          <w:rFonts w:ascii="Arial" w:cs="Arial" w:eastAsia="Arial" w:hAnsi="Arial"/>
          <w:sz w:val="18"/>
          <w:szCs w:val="18"/>
          <w:color w:val="auto"/>
        </w:rPr>
        <w:t>A Material Adverse Change occurs;</w:t>
      </w:r>
    </w:p>
    <w:p>
      <w:pPr>
        <w:spacing w:after="0" w:line="9" w:lineRule="exact"/>
        <w:rPr>
          <w:rFonts w:ascii="Arial" w:cs="Arial" w:eastAsia="Arial" w:hAnsi="Arial"/>
          <w:sz w:val="18"/>
          <w:szCs w:val="18"/>
          <w:color w:val="auto"/>
        </w:rPr>
      </w:pPr>
    </w:p>
    <w:p>
      <w:pPr>
        <w:ind w:left="184" w:hanging="184"/>
        <w:spacing w:after="0"/>
        <w:tabs>
          <w:tab w:leader="none" w:pos="184"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Attachment; Levy; Restraint on Business.</w:t>
      </w:r>
    </w:p>
    <w:p>
      <w:pPr>
        <w:spacing w:after="0" w:line="9" w:lineRule="exact"/>
        <w:rPr>
          <w:rFonts w:ascii="Arial" w:cs="Arial" w:eastAsia="Arial" w:hAnsi="Arial"/>
          <w:sz w:val="18"/>
          <w:szCs w:val="18"/>
          <w:color w:val="auto"/>
        </w:rPr>
      </w:pPr>
    </w:p>
    <w:p>
      <w:pPr>
        <w:jc w:val="both"/>
        <w:ind w:left="-656" w:firstLine="1305"/>
        <w:spacing w:after="0" w:line="265" w:lineRule="auto"/>
        <w:tabs>
          <w:tab w:leader="none" w:pos="910" w:val="left"/>
        </w:tabs>
        <w:numPr>
          <w:ilvl w:val="1"/>
          <w:numId w:val="58"/>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ind w:left="-656" w:firstLine="1305"/>
        <w:spacing w:after="0" w:line="250" w:lineRule="auto"/>
        <w:tabs>
          <w:tab w:leader="none" w:pos="91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jc w:val="both"/>
        <w:ind w:left="-656" w:firstLine="656"/>
        <w:spacing w:after="0" w:line="281" w:lineRule="auto"/>
        <w:tabs>
          <w:tab w:leader="none" w:pos="175"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Insolvency. </w:t>
      </w:r>
      <w:r>
        <w:rPr>
          <w:rFonts w:ascii="Arial" w:cs="Arial" w:eastAsia="Arial" w:hAnsi="Arial"/>
          <w:sz w:val="16"/>
          <w:szCs w:val="16"/>
          <w:color w:val="auto"/>
        </w:rPr>
        <w:t>(a) Borrower is unable to pay its debts (including trade debts) as they become due or otherwise becomes insolvent; (b)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2" w:lineRule="exact"/>
        <w:rPr>
          <w:rFonts w:ascii="Arial" w:cs="Arial" w:eastAsia="Arial" w:hAnsi="Arial"/>
          <w:sz w:val="16"/>
          <w:szCs w:val="16"/>
          <w:color w:val="auto"/>
        </w:rPr>
      </w:pPr>
    </w:p>
    <w:p>
      <w:pPr>
        <w:jc w:val="both"/>
        <w:ind w:left="-656" w:firstLine="656"/>
        <w:spacing w:after="0" w:line="282" w:lineRule="auto"/>
        <w:tabs>
          <w:tab w:leader="none" w:pos="155"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Other Agreements. </w:t>
      </w:r>
      <w:r>
        <w:rPr>
          <w:rFonts w:ascii="Arial" w:cs="Arial" w:eastAsia="Arial" w:hAnsi="Arial"/>
          <w:sz w:val="16"/>
          <w:szCs w:val="16"/>
          <w:color w:val="auto"/>
        </w:rPr>
        <w:t>There is, under any agreement to which Borrower or any Guarantor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Bank receiving written notice from the party asserting such breach or default of such cure or waiver of the breach or default under such other agreement, if at the time of such cure or waiver under such other agreement (x) Bank has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Bank be materially less advantageous to Borrower or any Guarantor</w:t>
      </w:r>
      <w:r>
        <w:rPr>
          <w:rFonts w:ascii="Arial" w:cs="Arial" w:eastAsia="Arial" w:hAnsi="Arial"/>
          <w:sz w:val="17"/>
          <w:szCs w:val="17"/>
          <w:color w:val="auto"/>
        </w:rPr>
        <w:t>;</w:t>
      </w:r>
    </w:p>
    <w:p>
      <w:pPr>
        <w:jc w:val="both"/>
        <w:ind w:left="-656" w:firstLine="656"/>
        <w:spacing w:after="0" w:line="250" w:lineRule="auto"/>
        <w:tabs>
          <w:tab w:leader="none" w:pos="17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Judgments; Penalties. </w:t>
      </w:r>
      <w:r>
        <w:rPr>
          <w:rFonts w:ascii="Arial" w:cs="Arial" w:eastAsia="Arial" w:hAnsi="Arial"/>
          <w:sz w:val="18"/>
          <w:szCs w:val="18"/>
          <w:color w:val="auto"/>
        </w:rPr>
        <w:t>One or more fines, penalties or final judgments, orders or decrees for the payment of money in an amount, individually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aggregate, of at least One Hundred Thousand Dollars ($100,000)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 w:lineRule="exact"/>
        <w:rPr>
          <w:rFonts w:ascii="Arial" w:cs="Arial" w:eastAsia="Arial" w:hAnsi="Arial"/>
          <w:sz w:val="18"/>
          <w:szCs w:val="18"/>
          <w:color w:val="auto"/>
        </w:rPr>
      </w:pPr>
    </w:p>
    <w:p>
      <w:pPr>
        <w:jc w:val="both"/>
        <w:ind w:left="-656" w:firstLine="656"/>
        <w:spacing w:after="0" w:line="250" w:lineRule="auto"/>
        <w:tabs>
          <w:tab w:leader="none" w:pos="18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 w:lineRule="exact"/>
        <w:rPr>
          <w:rFonts w:ascii="Arial" w:cs="Arial" w:eastAsia="Arial" w:hAnsi="Arial"/>
          <w:sz w:val="18"/>
          <w:szCs w:val="18"/>
          <w:color w:val="auto"/>
        </w:rPr>
      </w:pPr>
    </w:p>
    <w:p>
      <w:pPr>
        <w:jc w:val="both"/>
        <w:ind w:left="-656" w:firstLine="656"/>
        <w:spacing w:after="0" w:line="254" w:lineRule="auto"/>
        <w:tabs>
          <w:tab w:leader="none" w:pos="13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Debt. </w:t>
      </w:r>
      <w:r>
        <w:rPr>
          <w:rFonts w:ascii="Arial" w:cs="Arial" w:eastAsia="Arial" w:hAnsi="Arial"/>
          <w:sz w:val="18"/>
          <w:szCs w:val="18"/>
          <w:color w:val="auto"/>
        </w:rPr>
        <w:t>Any document, instrument, or agreement evidencing any Subordinated Debt shall for any reason be revoked or invalidated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cease to be in full force and effect, any Person shall be in material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ectPr>
          <w:pgSz w:w="11900" w:h="16838" w:orient="portrait"/>
          <w:cols w:equalWidth="0" w:num="1">
            <w:col w:w="10764"/>
          </w:cols>
          <w:pgMar w:left="896" w:top="936" w:right="239" w:bottom="1440" w:gutter="0" w:footer="0" w:header="0"/>
        </w:sectPr>
      </w:pPr>
    </w:p>
    <w:bookmarkStart w:id="62" w:name="page63"/>
    <w:bookmarkEnd w:id="62"/>
    <w:p>
      <w:pPr>
        <w:jc w:val="both"/>
        <w:ind w:firstLine="648"/>
        <w:spacing w:after="0" w:line="253"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Guaranty.</w:t>
      </w:r>
      <w:r>
        <w:rPr>
          <w:rFonts w:ascii="Arial" w:cs="Arial" w:eastAsia="Arial" w:hAnsi="Arial"/>
          <w:sz w:val="18"/>
          <w:szCs w:val="18"/>
          <w:color w:val="auto"/>
        </w:rPr>
        <w:t xml:space="preserve"> (a) Any guaranty of any Obligations terminates or ceases for any reason to be in full force and effect; (b) any Guarantor does not perform any obligation or covenant under any guaranty of the Obligations; (c) any circumstance described in Sections 8.3, 8.4, 8.5, 8.7, or 8.8 of this Agreement occurs with respect to any Guarantor, (d) the death, liquidation, winding up, or termination of existence of any Guarantor (except to the extent that Guarantor is (i) a Subsidiary of Borrower, (ii) a Borrower hereunder, and (iii) such winding up or termination is otherwise permitted under the terms of this Agreement); or (e) (i)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color w:val="auto"/>
        </w:rPr>
        <w:t>Governmental Approvals.</w:t>
      </w:r>
      <w:r>
        <w:rPr>
          <w:rFonts w:ascii="Arial" w:cs="Arial" w:eastAsia="Arial" w:hAnsi="Arial"/>
          <w:sz w:val="16"/>
          <w:szCs w:val="16"/>
          <w:color w:val="auto"/>
        </w:rPr>
        <w:t xml:space="preserve"> Any Governmental Approval shall have been (a) revoked, rescinded, suspended, modified in a materially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materially adversely affect the status of or legal qualifications of Borrower or any of its Subsidiaries to hold any Governmental Approval in any other jurisdiction.</w:t>
      </w:r>
    </w:p>
    <w:p>
      <w:pPr>
        <w:spacing w:after="0" w:line="5" w:lineRule="exact"/>
        <w:rPr>
          <w:sz w:val="20"/>
          <w:szCs w:val="20"/>
          <w:color w:val="auto"/>
        </w:rPr>
      </w:pPr>
    </w:p>
    <w:p>
      <w:pPr>
        <w:ind w:left="840" w:hanging="184"/>
        <w:spacing w:after="0"/>
        <w:tabs>
          <w:tab w:leader="none" w:pos="840" w:val="left"/>
        </w:tabs>
        <w:numPr>
          <w:ilvl w:val="0"/>
          <w:numId w:val="59"/>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BANK’S RIGHTS AND REMEDIES</w:t>
      </w:r>
    </w:p>
    <w:p>
      <w:pPr>
        <w:spacing w:after="0" w:line="9"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Rights and Remedies.</w:t>
      </w:r>
      <w:r>
        <w:rPr>
          <w:rFonts w:ascii="Arial" w:cs="Arial" w:eastAsia="Arial" w:hAnsi="Arial"/>
          <w:sz w:val="18"/>
          <w:szCs w:val="18"/>
          <w:color w:val="auto"/>
        </w:rPr>
        <w:t xml:space="preserve"> Upon the occurrence and during the continuance of an Event of Default, Bank may, without notice or demand, do any or all of the following:</w:t>
      </w:r>
    </w:p>
    <w:p>
      <w:pPr>
        <w:spacing w:after="0" w:line="1" w:lineRule="exact"/>
        <w:rPr>
          <w:sz w:val="20"/>
          <w:szCs w:val="20"/>
          <w:color w:val="auto"/>
        </w:rPr>
      </w:pPr>
    </w:p>
    <w:p>
      <w:pPr>
        <w:ind w:right="20" w:firstLine="1305"/>
        <w:spacing w:after="0" w:line="250" w:lineRule="auto"/>
        <w:tabs>
          <w:tab w:leader="none" w:pos="1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ind w:left="1580" w:hanging="275"/>
        <w:spacing w:after="0"/>
        <w:tabs>
          <w:tab w:leader="none" w:pos="1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 Borrower</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Bank;</w:t>
      </w:r>
    </w:p>
    <w:p>
      <w:pPr>
        <w:spacing w:after="0" w:line="9" w:lineRule="exact"/>
        <w:rPr>
          <w:rFonts w:ascii="Arial" w:cs="Arial" w:eastAsia="Arial" w:hAnsi="Arial"/>
          <w:sz w:val="16"/>
          <w:szCs w:val="16"/>
          <w:color w:val="auto"/>
        </w:rPr>
      </w:pPr>
    </w:p>
    <w:p>
      <w:pPr>
        <w:jc w:val="both"/>
        <w:ind w:firstLine="1305"/>
        <w:spacing w:after="0" w:line="281" w:lineRule="auto"/>
        <w:tabs>
          <w:tab w:leader="none" w:pos="1566"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4" w:lineRule="exact"/>
        <w:rPr>
          <w:rFonts w:ascii="Arial" w:cs="Arial" w:eastAsia="Arial" w:hAnsi="Arial"/>
          <w:sz w:val="16"/>
          <w:szCs w:val="16"/>
          <w:color w:val="auto"/>
        </w:rPr>
      </w:pPr>
    </w:p>
    <w:p>
      <w:pPr>
        <w:ind w:left="1580" w:hanging="275"/>
        <w:spacing w:after="0"/>
        <w:tabs>
          <w:tab w:leader="none" w:pos="1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9" w:lineRule="exact"/>
        <w:rPr>
          <w:rFonts w:ascii="Arial" w:cs="Arial" w:eastAsia="Arial" w:hAnsi="Arial"/>
          <w:sz w:val="18"/>
          <w:szCs w:val="18"/>
          <w:color w:val="auto"/>
        </w:rPr>
      </w:pPr>
    </w:p>
    <w:p>
      <w:pPr>
        <w:jc w:val="both"/>
        <w:ind w:firstLine="1305"/>
        <w:spacing w:after="0" w:line="265" w:lineRule="auto"/>
        <w:tabs>
          <w:tab w:leader="none" w:pos="15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Borrower shall collect all payments in trust for Bank and, if requested by Bank, immediately deliver the payments to Bank in the form received from the Account Debtor, with proper endorsements for deposit;</w:t>
      </w:r>
    </w:p>
    <w:p>
      <w:pPr>
        <w:jc w:val="both"/>
        <w:ind w:firstLine="1305"/>
        <w:spacing w:after="0" w:line="250" w:lineRule="auto"/>
        <w:tabs>
          <w:tab w:leader="none" w:pos="1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2" w:lineRule="exact"/>
        <w:rPr>
          <w:rFonts w:ascii="Arial" w:cs="Arial" w:eastAsia="Arial" w:hAnsi="Arial"/>
          <w:sz w:val="18"/>
          <w:szCs w:val="18"/>
          <w:color w:val="auto"/>
        </w:rPr>
      </w:pPr>
    </w:p>
    <w:p>
      <w:pPr>
        <w:ind w:left="1580" w:hanging="275"/>
        <w:spacing w:after="0"/>
        <w:tabs>
          <w:tab w:leader="none" w:pos="1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apply to the Obligations any (i) balances and deposits of Borrower it holds, or (ii) amount held by Bank owing to or for the credit or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 of Borrower;</w:t>
      </w:r>
    </w:p>
    <w:p>
      <w:pPr>
        <w:spacing w:after="0" w:line="9" w:lineRule="exact"/>
        <w:rPr>
          <w:rFonts w:ascii="Arial" w:cs="Arial" w:eastAsia="Arial" w:hAnsi="Arial"/>
          <w:sz w:val="16"/>
          <w:szCs w:val="16"/>
          <w:color w:val="auto"/>
        </w:rPr>
      </w:pPr>
    </w:p>
    <w:p>
      <w:pPr>
        <w:jc w:val="both"/>
        <w:ind w:firstLine="1305"/>
        <w:spacing w:after="0" w:line="250" w:lineRule="auto"/>
        <w:tabs>
          <w:tab w:leader="none" w:pos="15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Borrower’s rights under all licenses and all franchise agreements inure to Bank’s benefit;</w:t>
      </w:r>
    </w:p>
    <w:p>
      <w:pPr>
        <w:spacing w:after="0" w:line="2" w:lineRule="exact"/>
        <w:rPr>
          <w:rFonts w:ascii="Arial" w:cs="Arial" w:eastAsia="Arial" w:hAnsi="Arial"/>
          <w:sz w:val="18"/>
          <w:szCs w:val="18"/>
          <w:color w:val="auto"/>
        </w:rPr>
      </w:pPr>
    </w:p>
    <w:p>
      <w:pPr>
        <w:ind w:firstLine="1305"/>
        <w:spacing w:after="0" w:line="250" w:lineRule="auto"/>
        <w:tabs>
          <w:tab w:leader="none" w:pos="15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ind w:left="1580" w:hanging="275"/>
        <w:spacing w:after="0"/>
        <w:tabs>
          <w:tab w:leader="none" w:pos="1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9" w:lineRule="exact"/>
        <w:rPr>
          <w:rFonts w:ascii="Arial" w:cs="Arial" w:eastAsia="Arial" w:hAnsi="Arial"/>
          <w:sz w:val="18"/>
          <w:szCs w:val="18"/>
          <w:color w:val="auto"/>
        </w:rPr>
      </w:pPr>
    </w:p>
    <w:p>
      <w:pPr>
        <w:ind w:firstLine="1305"/>
        <w:spacing w:after="0" w:line="261" w:lineRule="auto"/>
        <w:tabs>
          <w:tab w:leader="none" w:pos="15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ectPr>
          <w:pgSz w:w="11900" w:h="16838" w:orient="portrait"/>
          <w:cols w:equalWidth="0" w:num="1">
            <w:col w:w="11420"/>
          </w:cols>
          <w:pgMar w:left="240" w:top="931" w:right="239" w:bottom="1440" w:gutter="0" w:footer="0" w:header="0"/>
        </w:sectPr>
      </w:pPr>
    </w:p>
    <w:bookmarkStart w:id="63" w:name="page64"/>
    <w:bookmarkEnd w:id="63"/>
    <w:p>
      <w:pPr>
        <w:jc w:val="both"/>
        <w:ind w:firstLine="648"/>
        <w:spacing w:after="0" w:line="283"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color w:val="auto"/>
        </w:rPr>
        <w:t>Power of Attorney.</w:t>
      </w:r>
      <w:r>
        <w:rPr>
          <w:rFonts w:ascii="Arial" w:cs="Arial" w:eastAsia="Arial" w:hAnsi="Arial"/>
          <w:sz w:val="16"/>
          <w:szCs w:val="16"/>
          <w:color w:val="auto"/>
        </w:rPr>
        <w:t xml:space="preserve"> Borrower hereby irrevocably appoints Bank as its lawful attorney-in-fact, exercisable following the occurrence of an Event of Default, to: (a) endorse Borrower’s name on any checks, payment instruments, or other forms of payment or security; (b) sign Borrower’s name on any invoice or bill of lading for any Account or drafts against Account Debtors; (c)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(d) make, settle, and adjust all claims under Borrower’s insurance policies; (e) pay, contest or settle any Lien, charge, encumbrance, security interest, or other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have been satisfied in full and the Loan Documents have been terminated. Bank’s foregoing appointment as Borrower’s attorney in fact, and all of Bank’s rights and powers, coupled with an interest, are irrevocable until all Obligations (other than inchoate indemnity obligations) have been fully repaid and performed and the Loan Documents have been terminated.</w:t>
      </w:r>
    </w:p>
    <w:p>
      <w:pPr>
        <w:spacing w:after="0" w:line="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Protective Payments.</w:t>
      </w:r>
      <w:r>
        <w:rPr>
          <w:rFonts w:ascii="Arial" w:cs="Arial" w:eastAsia="Arial" w:hAnsi="Arial"/>
          <w:sz w:val="18"/>
          <w:szCs w:val="18"/>
          <w:color w:val="auto"/>
        </w:rPr>
        <w:t xml:space="preserve"> If Borrower fails to obtain the insurance called for by Section 6.7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color w:val="auto"/>
        </w:rPr>
        <w:t>Application of Payments and Proceeds.</w:t>
      </w:r>
      <w:r>
        <w:rPr>
          <w:rFonts w:ascii="Arial" w:cs="Arial" w:eastAsia="Arial" w:hAnsi="Arial"/>
          <w:sz w:val="17"/>
          <w:szCs w:val="17"/>
          <w:color w:val="auto"/>
        </w:rPr>
        <w:t xml:space="preserve"> Bank shall have the right to 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Bank’s Liability for Collateral.</w:t>
      </w:r>
      <w:r>
        <w:rPr>
          <w:rFonts w:ascii="Arial" w:cs="Arial" w:eastAsia="Arial" w:hAnsi="Arial"/>
          <w:sz w:val="18"/>
          <w:szCs w:val="18"/>
          <w:color w:val="auto"/>
        </w:rPr>
        <w:t xml:space="preserve"> So long as Bank complies with reasonable banking practices regarding the safekeeping of the 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b w:val="1"/>
          <w:bCs w:val="1"/>
          <w:color w:val="auto"/>
        </w:rPr>
        <w:t>No Waiver; Remedies Cumulative.</w:t>
      </w:r>
      <w:r>
        <w:rPr>
          <w:rFonts w:ascii="Arial" w:cs="Arial" w:eastAsia="Arial" w:hAnsi="Arial"/>
          <w:sz w:val="17"/>
          <w:szCs w:val="17"/>
          <w:color w:val="auto"/>
        </w:rPr>
        <w:t xml:space="preserve"> Bank’s failure, at any time or times, to require strict 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Demand Waiver.</w:t>
      </w:r>
      <w:r>
        <w:rPr>
          <w:rFonts w:ascii="Arial" w:cs="Arial" w:eastAsia="Arial" w:hAnsi="Arial"/>
          <w:sz w:val="18"/>
          <w:szCs w:val="18"/>
          <w:color w:val="auto"/>
        </w:rPr>
        <w:t xml:space="preserve"> 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w:t>
      </w:r>
    </w:p>
    <w:p>
      <w:pPr>
        <w:sectPr>
          <w:pgSz w:w="11900" w:h="16838" w:orient="portrait"/>
          <w:cols w:equalWidth="0" w:num="1">
            <w:col w:w="11420"/>
          </w:cols>
          <w:pgMar w:left="240" w:top="932" w:right="239" w:bottom="1440" w:gutter="0" w:footer="0" w:header="0"/>
        </w:sectPr>
      </w:pPr>
    </w:p>
    <w:bookmarkStart w:id="64" w:name="page65"/>
    <w:bookmarkEnd w:id="64"/>
    <w:p>
      <w:pPr>
        <w:jc w:val="both"/>
        <w:ind w:firstLine="648"/>
        <w:spacing w:after="0" w:line="283"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b w:val="1"/>
          <w:bCs w:val="1"/>
          <w:color w:val="auto"/>
        </w:rPr>
        <w:t>Borrower Liability.</w:t>
      </w:r>
      <w:r>
        <w:rPr>
          <w:rFonts w:ascii="Arial" w:cs="Arial" w:eastAsia="Arial" w:hAnsi="Arial"/>
          <w:sz w:val="16"/>
          <w:szCs w:val="16"/>
          <w:color w:val="auto"/>
        </w:rPr>
        <w:t xml:space="preserve"> Any Borrower may, acting singly, request Credit Extensions hereunder. Each Borrower hereby appoints each other 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Bank to: (i) proceed against any Borrower or any other person; (ii) proceed against or exhaust any security; or (iii) pursue any other remedy. Bank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Bank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9.8 shall be null and void. If any payment is made to a Borrower in contravention of this Section 9.8, such Borrower shall hold such payment in trust for Bank and such payment shall be promptly delivered to Bank for application to the Obligations, whether matured or unmatured.</w:t>
      </w:r>
    </w:p>
    <w:p>
      <w:pPr>
        <w:spacing w:after="0" w:line="4" w:lineRule="exact"/>
        <w:rPr>
          <w:sz w:val="20"/>
          <w:szCs w:val="20"/>
          <w:color w:val="auto"/>
        </w:rPr>
      </w:pPr>
    </w:p>
    <w:p>
      <w:pPr>
        <w:ind w:left="920" w:hanging="264"/>
        <w:spacing w:after="0"/>
        <w:tabs>
          <w:tab w:leader="none" w:pos="920" w:val="left"/>
        </w:tabs>
        <w:numPr>
          <w:ilvl w:val="0"/>
          <w:numId w:val="61"/>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NOTICES</w:t>
      </w:r>
    </w:p>
    <w:p>
      <w:pPr>
        <w:spacing w:after="0" w:line="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Borrower: c/o The Rubicon Project,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12181 Bluff Creek,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Playa Vista, CA 90094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Chief Accounting Officer and General Counsel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legal@rubiconproject.com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Bank: Silicon Valley Bank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15260 Ventura Blvd., Suite 1800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Sherman Oaks, CA 91403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Victoria Regan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(818) 783-7984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vregan@svb.com</w:t>
      </w:r>
    </w:p>
    <w:p>
      <w:pPr>
        <w:spacing w:after="0" w:line="221" w:lineRule="exact"/>
        <w:rPr>
          <w:sz w:val="20"/>
          <w:szCs w:val="20"/>
          <w:color w:val="auto"/>
        </w:rPr>
      </w:pPr>
    </w:p>
    <w:p>
      <w:pPr>
        <w:ind w:left="1560" w:hanging="255"/>
        <w:spacing w:after="0"/>
        <w:tabs>
          <w:tab w:leader="none" w:pos="1560" w:val="left"/>
        </w:tabs>
        <w:numPr>
          <w:ilvl w:val="0"/>
          <w:numId w:val="62"/>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Except as otherwise expressly provided in any of the Loan Documents, California law governs the Loan Documents without regard to principles of conflicts of law. Borrower and Bank each submit to the exclusive jurisdiction of the State and Federal courts in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ectPr>
          <w:pgSz w:w="11900" w:h="16838" w:orient="portrait"/>
          <w:cols w:equalWidth="0" w:num="1">
            <w:col w:w="11420"/>
          </w:cols>
          <w:pgMar w:left="240" w:top="932" w:right="239" w:bottom="1440" w:gutter="0" w:footer="0" w:header="0"/>
        </w:sectPr>
      </w:pPr>
    </w:p>
    <w:bookmarkStart w:id="65" w:name="page66"/>
    <w:bookmarkEnd w:id="65"/>
    <w:p>
      <w:pPr>
        <w:jc w:val="both"/>
        <w:ind w:firstLine="648"/>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1580" w:hanging="275"/>
        <w:spacing w:after="0"/>
        <w:tabs>
          <w:tab w:leader="none" w:pos="1580" w:val="left"/>
        </w:tabs>
        <w:numPr>
          <w:ilvl w:val="1"/>
          <w:numId w:val="63"/>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GENERAL PROVISIONS</w:t>
      </w:r>
    </w:p>
    <w:p>
      <w:pPr>
        <w:spacing w:after="0" w:line="27" w:lineRule="exact"/>
        <w:rPr>
          <w:rFonts w:ascii="Arial" w:cs="Arial" w:eastAsia="Arial" w:hAnsi="Arial"/>
          <w:sz w:val="18"/>
          <w:szCs w:val="18"/>
          <w:u w:val="single" w:color="auto"/>
          <w:color w:val="auto"/>
        </w:rPr>
      </w:pPr>
    </w:p>
    <w:p>
      <w:pPr>
        <w:jc w:val="both"/>
        <w:ind w:firstLine="656"/>
        <w:spacing w:after="0" w:line="250" w:lineRule="auto"/>
        <w:tabs>
          <w:tab w:leader="none" w:pos="818"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Prior to Maturity Date; Survival. </w:t>
      </w:r>
      <w:r>
        <w:rPr>
          <w:rFonts w:ascii="Arial" w:cs="Arial" w:eastAsia="Arial" w:hAnsi="Arial"/>
          <w:sz w:val="18"/>
          <w:szCs w:val="18"/>
          <w:color w:val="auto"/>
        </w:rPr>
        <w:t>All covenants, representations and warranties made in this Agreement shall continue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this Agreement has terminated pursuant to its terms and all Obligations have been satisfied (other than inchoate indemnity obligations).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3" w:lineRule="exact"/>
        <w:rPr>
          <w:rFonts w:ascii="Arial" w:cs="Arial" w:eastAsia="Arial" w:hAnsi="Arial"/>
          <w:sz w:val="18"/>
          <w:szCs w:val="18"/>
          <w:color w:val="auto"/>
        </w:rPr>
      </w:pPr>
    </w:p>
    <w:p>
      <w:pPr>
        <w:jc w:val="both"/>
        <w:ind w:firstLine="656"/>
        <w:spacing w:after="0" w:line="265" w:lineRule="auto"/>
        <w:tabs>
          <w:tab w:leader="none" w:pos="842"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binds and is for the benefit of the successors and permitted assigns of each party. Borrower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w:t>
      </w:r>
    </w:p>
    <w:p>
      <w:pPr>
        <w:jc w:val="both"/>
        <w:ind w:firstLine="656"/>
        <w:spacing w:after="0" w:line="250" w:lineRule="auto"/>
        <w:tabs>
          <w:tab w:leader="none" w:pos="83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Borrower agrees to indemnify, defend and hold Bank and its directors, officers, employees, agents, attorneys,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run.</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Time of Essence.</w:t>
      </w:r>
      <w:r>
        <w:rPr>
          <w:rFonts w:ascii="Arial" w:cs="Arial" w:eastAsia="Arial" w:hAnsi="Arial"/>
          <w:sz w:val="18"/>
          <w:szCs w:val="18"/>
          <w:color w:val="auto"/>
        </w:rPr>
        <w:t xml:space="preserve"> Time is of the essence for the performance of all Obligations in this Agreement.</w:t>
      </w:r>
    </w:p>
    <w:p>
      <w:pPr>
        <w:spacing w:after="0" w:line="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Severability of Provisions.</w:t>
      </w:r>
      <w:r>
        <w:rPr>
          <w:rFonts w:ascii="Arial" w:cs="Arial" w:eastAsia="Arial" w:hAnsi="Arial"/>
          <w:sz w:val="18"/>
          <w:szCs w:val="18"/>
          <w:color w:val="auto"/>
        </w:rPr>
        <w:t xml:space="preserve"> Each provision of this Agreement is severable from every other provision in determining the enforceability of any provision.</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b w:val="1"/>
          <w:bCs w:val="1"/>
          <w:color w:val="auto"/>
        </w:rPr>
        <w:t>Correction of Loan Documents.</w:t>
      </w:r>
      <w:r>
        <w:rPr>
          <w:rFonts w:ascii="Arial" w:cs="Arial" w:eastAsia="Arial" w:hAnsi="Arial"/>
          <w:sz w:val="17"/>
          <w:szCs w:val="17"/>
          <w:color w:val="auto"/>
        </w:rPr>
        <w:t xml:space="preserve"> Bank may correct patent errors and fill in any blanks in the Loan Documents consistent with the agreement of the parties, so long as Bank provides Borrower with written notice of such correction and allows Borrower at least ten (10) days to object to such correction. In the event of such objection, such correction shall not be made except by an amendment signed by both Bank and Borrower.</w:t>
      </w:r>
    </w:p>
    <w:p>
      <w:pPr>
        <w:sectPr>
          <w:pgSz w:w="11900" w:h="16838" w:orient="portrait"/>
          <w:cols w:equalWidth="0" w:num="1">
            <w:col w:w="11420"/>
          </w:cols>
          <w:pgMar w:left="240" w:top="935" w:right="239" w:bottom="1440" w:gutter="0" w:footer="0" w:header="0"/>
        </w:sectPr>
      </w:pPr>
    </w:p>
    <w:bookmarkStart w:id="66" w:name="page67"/>
    <w:bookmarkEnd w:id="66"/>
    <w:p>
      <w:pPr>
        <w:jc w:val="both"/>
        <w:ind w:firstLine="648"/>
        <w:spacing w:after="0" w:line="252"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Amendments in Writing; Waiver; Integration.</w:t>
      </w:r>
      <w:r>
        <w:rPr>
          <w:rFonts w:ascii="Arial" w:cs="Arial" w:eastAsia="Arial" w:hAnsi="Arial"/>
          <w:sz w:val="18"/>
          <w:szCs w:val="18"/>
          <w:color w:val="auto"/>
        </w:rPr>
        <w:t xml:space="preserve"> No purported amendment or modification of any Loan Document, or waiver, 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7" w:lineRule="exact"/>
        <w:rPr>
          <w:sz w:val="20"/>
          <w:szCs w:val="20"/>
          <w:color w:val="auto"/>
        </w:rPr>
      </w:pPr>
    </w:p>
    <w:p>
      <w:pPr>
        <w:ind w:right="160" w:firstLine="648"/>
        <w:spacing w:after="0" w:line="250"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Agreement may be executed in any number of counterparts and by different parties on separate counterparts, each of which, when executed and delivered, is an original, and all taken together, constitute one Agreement.</w:t>
      </w:r>
    </w:p>
    <w:p>
      <w:pPr>
        <w:spacing w:after="0" w:line="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Confidentiality.</w:t>
      </w:r>
      <w:r>
        <w:rPr>
          <w:rFonts w:ascii="Arial" w:cs="Arial" w:eastAsia="Arial" w:hAnsi="Arial"/>
          <w:sz w:val="17"/>
          <w:szCs w:val="17"/>
          <w:color w:val="auto"/>
        </w:rPr>
        <w:t xml:space="preserve"> In handling any confidential information, which shall include all information about Borrower provided by Borrower to Bank hereunder and any other information the nature of which should reasonably be understood to be confidential, Bank shall exercise the same degree of care that it exercises for its own proprietary 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Bank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158"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Attorneys’ Fees, Costs and Expenses.</w:t>
      </w:r>
      <w:r>
        <w:rPr>
          <w:rFonts w:ascii="Arial" w:cs="Arial" w:eastAsia="Arial" w:hAnsi="Arial"/>
          <w:sz w:val="18"/>
          <w:szCs w:val="18"/>
          <w:color w:val="auto"/>
        </w:rPr>
        <w:t xml:space="preserve"> In any action or proceeding between Borrower and Bank arising out of or relating to the Loan Documents, the prevailing party shall be entitled to recover its reasonable attorneys’ fees and other costs and expenses incurred, in addition to any other relief to which it may be entitled.</w:t>
      </w:r>
    </w:p>
    <w:p>
      <w:pPr>
        <w:spacing w:after="0" w:line="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Electronic Execution of Documents.</w:t>
      </w:r>
      <w:r>
        <w:rPr>
          <w:rFonts w:ascii="Arial" w:cs="Arial" w:eastAsia="Arial" w:hAnsi="Arial"/>
          <w:sz w:val="18"/>
          <w:szCs w:val="18"/>
          <w:color w:val="auto"/>
        </w:rPr>
        <w:t xml:space="preserve">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 xml:space="preserve">l. </w:t>
      </w:r>
      <w:r>
        <w:rPr>
          <w:rFonts w:ascii="Arial" w:cs="Arial" w:eastAsia="Arial" w:hAnsi="Arial"/>
          <w:sz w:val="17"/>
          <w:szCs w:val="17"/>
          <w:b w:val="1"/>
          <w:bCs w:val="1"/>
          <w:color w:val="auto"/>
        </w:rPr>
        <w:t>Right of Setoff.</w:t>
      </w:r>
      <w:r>
        <w:rPr>
          <w:rFonts w:ascii="Arial" w:cs="Arial" w:eastAsia="Arial" w:hAnsi="Arial"/>
          <w:sz w:val="17"/>
          <w:szCs w:val="17"/>
          <w:color w:val="auto"/>
        </w:rPr>
        <w:t xml:space="preserve"> Borrower hereby grants to Bank a Lien and a right of setoff as security for all 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color w:val="auto"/>
        </w:rPr>
        <w:t>Captions.</w:t>
      </w:r>
      <w:r>
        <w:rPr>
          <w:rFonts w:ascii="Arial" w:cs="Arial" w:eastAsia="Arial" w:hAnsi="Arial"/>
          <w:sz w:val="18"/>
          <w:szCs w:val="18"/>
          <w:color w:val="auto"/>
        </w:rPr>
        <w:t xml:space="preserve"> The headings used in this Agreement are for convenience only and shall not affect the interpretation of this Agreement.</w:t>
      </w:r>
    </w:p>
    <w:p>
      <w:pPr>
        <w:spacing w:after="0" w:line="9"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b w:val="1"/>
          <w:bCs w:val="1"/>
          <w:color w:val="auto"/>
        </w:rPr>
        <w:t>Construction of Agreement.</w:t>
      </w:r>
      <w:r>
        <w:rPr>
          <w:rFonts w:ascii="Arial" w:cs="Arial" w:eastAsia="Arial" w:hAnsi="Arial"/>
          <w:sz w:val="16"/>
          <w:szCs w:val="16"/>
          <w:color w:val="auto"/>
        </w:rPr>
        <w:t xml:space="preserve"> The parties mutually acknowledge that they and their attorneys have participated in the preparation and negotiation of this Agreement. In cases of uncertainty this Agreement shall be construed without regard to which of the parties caused the uncertainty to exist.</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Relationship.</w:t>
      </w:r>
      <w:r>
        <w:rPr>
          <w:rFonts w:ascii="Arial" w:cs="Arial" w:eastAsia="Arial" w:hAnsi="Arial"/>
          <w:sz w:val="18"/>
          <w:szCs w:val="18"/>
          <w:color w:val="auto"/>
        </w:rPr>
        <w:t xml:space="preserve">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sectPr>
          <w:pgSz w:w="11900" w:h="16838" w:orient="portrait"/>
          <w:cols w:equalWidth="0" w:num="1">
            <w:col w:w="11420"/>
          </w:cols>
          <w:pgMar w:left="240" w:top="931" w:right="239" w:bottom="1440" w:gutter="0" w:footer="0" w:header="0"/>
        </w:sectPr>
      </w:pPr>
    </w:p>
    <w:bookmarkStart w:id="67" w:name="page68"/>
    <w:bookmarkEnd w:id="67"/>
    <w:p>
      <w:pPr>
        <w:jc w:val="both"/>
        <w:ind w:firstLine="648"/>
        <w:spacing w:after="0" w:line="255" w:lineRule="auto"/>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color w:val="auto"/>
        </w:rPr>
        <w:t>Third Parties.</w:t>
      </w:r>
      <w:r>
        <w:rPr>
          <w:rFonts w:ascii="Arial" w:cs="Arial" w:eastAsia="Arial" w:hAnsi="Arial"/>
          <w:sz w:val="18"/>
          <w:szCs w:val="18"/>
          <w:color w:val="auto"/>
        </w:rPr>
        <w:t xml:space="preserve"> 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 xml:space="preserve">q. </w:t>
      </w:r>
      <w:r>
        <w:rPr>
          <w:rFonts w:ascii="Arial" w:cs="Arial" w:eastAsia="Arial" w:hAnsi="Arial"/>
          <w:sz w:val="17"/>
          <w:szCs w:val="17"/>
          <w:b w:val="1"/>
          <w:bCs w:val="1"/>
          <w:color w:val="auto"/>
        </w:rPr>
        <w:t>No Novation</w:t>
      </w:r>
      <w:r>
        <w:rPr>
          <w:rFonts w:ascii="Arial" w:cs="Arial" w:eastAsia="Arial" w:hAnsi="Arial"/>
          <w:sz w:val="17"/>
          <w:szCs w:val="17"/>
          <w:color w:val="auto"/>
        </w:rPr>
        <w:t>. Nothing contained herein shall in any way impair the Prior Loan Agreement and the other Loan Documents now held for the Obligations, nor affect or impair any rights, powers, or remedies under the Prior Loan Agreement or any Loan Document, it being the intent of the parties hereto that this Agreement shall not constitute a novation of the Prior Loan Agreement or an accord and satisfaction of the Obligations. Except as expressly provided for in this Agreement, the Loan Documents are hereby ratified and reaffirmed and shall remain in full force and effect. Borrower hereby ratifies and reaffirms the validity and enforceability of all of the liens and security interests heretofore granted pursuant to the Loan Documents, as collateral security for the Obligations, and acknowledges that all of such liens and security interests, and all Collateral heretofore pledged as security for the Obligations, continues to be and remains in full force and effect as Collateral for the Obligations from and after the date of this Agreement.</w:t>
      </w:r>
    </w:p>
    <w:p>
      <w:pPr>
        <w:spacing w:after="0" w:line="2" w:lineRule="exact"/>
        <w:rPr>
          <w:sz w:val="20"/>
          <w:szCs w:val="20"/>
          <w:color w:val="auto"/>
        </w:rPr>
      </w:pPr>
    </w:p>
    <w:p>
      <w:pPr>
        <w:ind w:left="920" w:hanging="264"/>
        <w:spacing w:after="0"/>
        <w:tabs>
          <w:tab w:leader="none" w:pos="920" w:val="left"/>
        </w:tabs>
        <w:numPr>
          <w:ilvl w:val="0"/>
          <w:numId w:val="65"/>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DEFINITIONS</w:t>
      </w:r>
    </w:p>
    <w:p>
      <w:pPr>
        <w:spacing w:after="0" w:line="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As used in the Loan Documents, the word “shall” is mandatory, the word “may” is 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AAA</w:t>
      </w:r>
      <w:r>
        <w:rPr>
          <w:rFonts w:ascii="Arial" w:cs="Arial" w:eastAsia="Arial" w:hAnsi="Arial"/>
          <w:sz w:val="18"/>
          <w:szCs w:val="18"/>
          <w:color w:val="auto"/>
        </w:rPr>
        <w:t>” is defined in the recitals hereto.</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is defined in Section 3.7(a).</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EBITDA</w:t>
      </w:r>
      <w:r>
        <w:rPr>
          <w:rFonts w:ascii="Arial" w:cs="Arial" w:eastAsia="Arial" w:hAnsi="Arial"/>
          <w:sz w:val="16"/>
          <w:szCs w:val="16"/>
          <w:color w:val="auto"/>
        </w:rPr>
        <w:t>” shall mean (a) Net Income, plus (b) Interest Expense, plus (c) to the extent deducted in the calculation of Net Income, depreciation expense and amortization expense, plus (d) income tax expense, plus (e) impairment charges, plus (f) non-cash stock compensation expense, plus (g) other non-cash expenses less any non-cash gains, plus (h) other non-recurring expenses agreed to in writing by Bank, minus (i) interest income.</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 Projections</w:t>
      </w:r>
      <w:r>
        <w:rPr>
          <w:rFonts w:ascii="Arial" w:cs="Arial" w:eastAsia="Arial" w:hAnsi="Arial"/>
          <w:sz w:val="18"/>
          <w:szCs w:val="18"/>
          <w:color w:val="auto"/>
        </w:rPr>
        <w:t>” means the trailing twelve (12) month Adjusted EBITDA projections set forth in the business plan delivered by Borrower to Bank on June 7, 2018 titled “RP FY 2018-2022_Forecast (May 2018) - w. opex by category.xlsx”.</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Quick Ratio</w:t>
      </w:r>
      <w:r>
        <w:rPr>
          <w:rFonts w:ascii="Arial" w:cs="Arial" w:eastAsia="Arial" w:hAnsi="Arial"/>
          <w:sz w:val="18"/>
          <w:szCs w:val="18"/>
          <w:color w:val="auto"/>
        </w:rPr>
        <w:t>” is a ratio of (a) Quick Assets to (b)(i) Current Liabilities minus (ii) the current portion of Deferred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is an individual that is named:</w:t>
      </w:r>
    </w:p>
    <w:p>
      <w:pPr>
        <w:spacing w:after="0" w:line="229" w:lineRule="exact"/>
        <w:rPr>
          <w:sz w:val="20"/>
          <w:szCs w:val="20"/>
          <w:color w:val="auto"/>
        </w:rPr>
      </w:pPr>
    </w:p>
    <w:p>
      <w:pPr>
        <w:ind w:left="660" w:firstLine="1293"/>
        <w:spacing w:after="0" w:line="291" w:lineRule="auto"/>
        <w:tabs>
          <w:tab w:leader="none" w:pos="2226" w:val="left"/>
        </w:tabs>
        <w:numPr>
          <w:ilvl w:val="1"/>
          <w:numId w:val="66"/>
        </w:numPr>
        <w:rPr>
          <w:rFonts w:ascii="Arial" w:cs="Arial" w:eastAsia="Arial" w:hAnsi="Arial"/>
          <w:sz w:val="16"/>
          <w:szCs w:val="16"/>
          <w:color w:val="auto"/>
        </w:rPr>
      </w:pPr>
      <w:r>
        <w:rPr>
          <w:rFonts w:ascii="Arial" w:cs="Arial" w:eastAsia="Arial" w:hAnsi="Arial"/>
          <w:sz w:val="16"/>
          <w:szCs w:val="16"/>
          <w:color w:val="auto"/>
        </w:rPr>
        <w:t>as an “Administrator” in the “SVB Online Services” form completed by Borrower with the authority to determine who will be authorized to use SVB Online Services (as defined in Bank’s Online Banking Agreement as in effect from time to time) on behalf of Borrower; and</w:t>
      </w:r>
    </w:p>
    <w:p>
      <w:pPr>
        <w:ind w:left="1580" w:hanging="275"/>
        <w:spacing w:after="0"/>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an Authorized Signer of Borrower in an approval by the Board.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or “</w:t>
      </w:r>
      <w:r>
        <w:rPr>
          <w:rFonts w:ascii="Arial" w:cs="Arial" w:eastAsia="Arial" w:hAnsi="Arial"/>
          <w:sz w:val="18"/>
          <w:szCs w:val="18"/>
          <w:b w:val="1"/>
          <w:bCs w:val="1"/>
          <w:color w:val="auto"/>
        </w:rPr>
        <w:t>Advances</w:t>
      </w:r>
      <w:r>
        <w:rPr>
          <w:rFonts w:ascii="Arial" w:cs="Arial" w:eastAsia="Arial" w:hAnsi="Arial"/>
          <w:sz w:val="18"/>
          <w:szCs w:val="18"/>
          <w:color w:val="auto"/>
        </w:rPr>
        <w:t>” means a revolving credit loan (or revolving credit loans) under the Revolving Line.</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making (and executing if applicable) any Credit Extension request, on behalf of Borrower.</w:t>
      </w:r>
    </w:p>
    <w:p>
      <w:pPr>
        <w:sectPr>
          <w:pgSz w:w="11900" w:h="16838" w:orient="portrait"/>
          <w:cols w:equalWidth="0" w:num="1">
            <w:col w:w="11420"/>
          </w:cols>
          <w:pgMar w:left="240" w:top="932" w:right="239" w:bottom="1440" w:gutter="0" w:footer="0" w:header="0"/>
        </w:sectPr>
      </w:pPr>
    </w:p>
    <w:bookmarkStart w:id="68" w:name="page69"/>
    <w:bookmarkEnd w:id="68"/>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Amount</w:t>
      </w:r>
      <w:r>
        <w:rPr>
          <w:rFonts w:ascii="Arial" w:cs="Arial" w:eastAsia="Arial" w:hAnsi="Arial"/>
          <w:sz w:val="18"/>
          <w:szCs w:val="18"/>
          <w:color w:val="auto"/>
        </w:rPr>
        <w:t>” is (a) the lesser of (i) the Revolving Line or (ii) the amount available under the Borrowing Base, minus (b) any applicable Reserves, minus (c) the outstanding principal balance of any Advances.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Bell</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 or equivalent governing body.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w:t>
      </w:r>
      <w:r>
        <w:rPr>
          <w:rFonts w:ascii="Arial" w:cs="Arial" w:eastAsia="Arial" w:hAnsi="Arial"/>
          <w:sz w:val="16"/>
          <w:szCs w:val="16"/>
          <w:color w:val="auto"/>
        </w:rPr>
        <w:t>” is eighty-five percent (85%) of Eligible Accounts, as determined by Bank from Borrower’s most recent Borrowing Base Statement (and as may subsequently be updated by Bank based upon information received by Bank including, without limitation, Accounts that are paid and/or billed following the date of the Borrowing Base Statement); provided, however, that Bank has the right to decrease the foregoing percentage in its good faith business judgment to mitigate the impact of events, conditions, contingencies, or risks which may adversely affect the Collateral or its value.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 Statement</w:t>
      </w:r>
      <w:r>
        <w:rPr>
          <w:rFonts w:ascii="Arial" w:cs="Arial" w:eastAsia="Arial" w:hAnsi="Arial"/>
          <w:sz w:val="16"/>
          <w:szCs w:val="16"/>
          <w:color w:val="auto"/>
        </w:rPr>
        <w:t>” is that certain report of the value of certain Collateral in the form specified by Bank to Borrower from time to time.</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6.3(c).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w:t>
      </w:r>
    </w:p>
    <w:p>
      <w:pPr>
        <w:sectPr>
          <w:pgSz w:w="11900" w:h="16838" w:orient="portrait"/>
          <w:cols w:equalWidth="0" w:num="1">
            <w:col w:w="11420"/>
          </w:cols>
          <w:pgMar w:left="240" w:top="932" w:right="239" w:bottom="1440" w:gutter="0" w:footer="0" w:header="0"/>
        </w:sectPr>
      </w:pPr>
    </w:p>
    <w:bookmarkStart w:id="69" w:name="page70"/>
    <w:bookmarkEnd w:id="69"/>
    <w:p>
      <w:pPr>
        <w:jc w:val="both"/>
        <w:spacing w:after="0" w:line="264" w:lineRule="auto"/>
        <w:rPr>
          <w:sz w:val="20"/>
          <w:szCs w:val="20"/>
          <w:color w:val="auto"/>
        </w:rPr>
      </w:pPr>
      <w:r>
        <w:rPr>
          <w:rFonts w:ascii="Arial" w:cs="Arial" w:eastAsia="Arial" w:hAnsi="Arial"/>
          <w:sz w:val="18"/>
          <w:szCs w:val="18"/>
          <w:color w:val="auto"/>
        </w:rPr>
        <w:t>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7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w:t>
      </w:r>
      <w:r>
        <w:rPr>
          <w:rFonts w:ascii="MS PGothic" w:cs="MS PGothic" w:eastAsia="MS PGothic" w:hAnsi="MS PGothic"/>
          <w:sz w:val="16"/>
          <w:szCs w:val="16"/>
          <w:color w:val="auto"/>
        </w:rPr>
        <w:t>‑</w:t>
      </w:r>
      <w:r>
        <w:rPr>
          <w:rFonts w:ascii="Arial" w:cs="Arial" w:eastAsia="Arial" w:hAnsi="Arial"/>
          <w:sz w:val="16"/>
          <w:szCs w:val="16"/>
          <w:color w:val="auto"/>
        </w:rPr>
        <w:t>5 under the Exchange Act), directly or indirectly, of fifty percent (50%) or more of the ordinary voting power for the election of directors of Rubicon (determined on a fully diluted basis) other than by the sale of Rubicon’s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Board of Rubicon cease to be composed of individuals (i) who were members of the Board on the first day of such period, (ii) whose election or nomination to the Board was approved by individuals referred to in clause (i) above constituting at the time of such election or nomination at least a majority of the Board or</w:t>
      </w:r>
    </w:p>
    <w:p>
      <w:pPr>
        <w:spacing w:after="0" w:line="5" w:lineRule="exact"/>
        <w:rPr>
          <w:sz w:val="20"/>
          <w:szCs w:val="20"/>
          <w:color w:val="auto"/>
        </w:rPr>
      </w:pPr>
    </w:p>
    <w:p>
      <w:pPr>
        <w:jc w:val="both"/>
        <w:ind w:firstLine="8"/>
        <w:spacing w:after="0" w:line="254" w:lineRule="auto"/>
        <w:tabs>
          <w:tab w:leader="none" w:pos="316"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whose election or nomination to the Board was approved by individuals referred to in clauses (i) and (ii) above constituting at the time of such election or nomination at least a majority of the Board; or (c) at any time, Borrower shall cease to own and control, of record and beneficially, directly or indirectly, one hundred percent (100%) of each class of outstanding capital stock of each subsidiary of Borrower free and clear of all Liens (except Liens created by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Statement</w:t>
      </w:r>
      <w:r>
        <w:rPr>
          <w:rFonts w:ascii="Arial" w:cs="Arial" w:eastAsia="Arial" w:hAnsi="Arial"/>
          <w:sz w:val="18"/>
          <w:szCs w:val="18"/>
          <w:color w:val="auto"/>
        </w:rPr>
        <w:t xml:space="preserve">” is that certain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Continuation Date</w:t>
      </w:r>
      <w:r>
        <w:rPr>
          <w:rFonts w:ascii="Arial" w:cs="Arial" w:eastAsia="Arial" w:hAnsi="Arial"/>
          <w:sz w:val="18"/>
          <w:szCs w:val="18"/>
          <w:color w:val="auto"/>
        </w:rPr>
        <w:t>” means any date on which Borrower continues a LIBOR Advance into another Interest Period.</w:t>
      </w:r>
    </w:p>
    <w:p>
      <w:pPr>
        <w:sectPr>
          <w:pgSz w:w="11900" w:h="16838" w:orient="portrait"/>
          <w:cols w:equalWidth="0" w:num="1">
            <w:col w:w="11420"/>
          </w:cols>
          <w:pgMar w:left="240" w:top="935" w:right="239" w:bottom="1440" w:gutter="0" w:footer="0" w:header="0"/>
        </w:sectPr>
      </w:pPr>
    </w:p>
    <w:bookmarkStart w:id="70" w:name="page71"/>
    <w:bookmarkEnd w:id="70"/>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means any date on which Borrower converts a Prime Rate Advance to a LIBOR Advance or a LIBOR Advance to a Prime Rate Advance.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Advance, any Overadvance, or any other extension of credit by Bank for Borrower’s benefit.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Curie</w:t>
      </w:r>
      <w:r>
        <w:rPr>
          <w:rFonts w:ascii="Arial" w:cs="Arial" w:eastAsia="Arial" w:hAnsi="Arial"/>
          <w:sz w:val="18"/>
          <w:szCs w:val="18"/>
          <w:color w:val="auto"/>
        </w:rPr>
        <w:t>” is defined in the recitals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are all obligations and liabilities of Borrower to Bank, plus, without duplication, the aggregate amount of Borrower’s Total Liabilities that mature within one (1) year.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account number ending 640 (last three digits) maintained by Borrower with Bank (provided, however, if no such account number is included, then the Designated Deposit Account shall be any deposit account of Borrower maintained with Bank as chosen by Bank).</w:t>
      </w:r>
    </w:p>
    <w:p>
      <w:pPr>
        <w:spacing w:after="0" w:line="11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Edison</w:t>
      </w:r>
      <w:r>
        <w:rPr>
          <w:rFonts w:ascii="Arial" w:cs="Arial" w:eastAsia="Arial" w:hAnsi="Arial"/>
          <w:sz w:val="18"/>
          <w:szCs w:val="18"/>
          <w:color w:val="auto"/>
        </w:rPr>
        <w:t>” is defined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Accounts</w:t>
      </w:r>
      <w:r>
        <w:rPr>
          <w:rFonts w:ascii="Arial" w:cs="Arial" w:eastAsia="Arial" w:hAnsi="Arial"/>
          <w:sz w:val="18"/>
          <w:szCs w:val="18"/>
          <w:color w:val="auto"/>
        </w:rPr>
        <w:t>” means Accounts owing to Borrower which arise in the ordinary course of Borrower’s business that meet all Borrower’s representations and warranties in Section 5.3, that have been, at the option of Bank, confirmed in accordance with Section 6.3(e) of this Agreement, and are due and owing from Account Debtors deemed creditworthy by Bank in its good faith business judgment. Bank reserves the right at any time after the Effective Date to adjust any of the criteria set forth below and to establish new criteria in its good faith business judgment after notice to Borrower. Unless Bank otherwise agrees in writing, Eligible Accounts shall not include:</w:t>
      </w:r>
    </w:p>
    <w:p>
      <w:pPr>
        <w:spacing w:after="0" w:line="188" w:lineRule="exact"/>
        <w:rPr>
          <w:sz w:val="20"/>
          <w:szCs w:val="20"/>
          <w:color w:val="auto"/>
        </w:rPr>
      </w:pPr>
    </w:p>
    <w:p>
      <w:pPr>
        <w:ind w:left="660" w:firstLine="1293"/>
        <w:spacing w:after="0" w:line="258" w:lineRule="auto"/>
        <w:tabs>
          <w:tab w:leader="none" w:pos="225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Accounts (i) for which the Account Debtor is Borrower’s Affiliate, officer, employee, investor, or agent, or (ii) that are intercompany Accounts;</w:t>
      </w:r>
    </w:p>
    <w:p>
      <w:pPr>
        <w:spacing w:after="0" w:line="1" w:lineRule="exact"/>
        <w:rPr>
          <w:rFonts w:ascii="Arial" w:cs="Arial" w:eastAsia="Arial" w:hAnsi="Arial"/>
          <w:sz w:val="18"/>
          <w:szCs w:val="18"/>
          <w:color w:val="auto"/>
        </w:rPr>
      </w:pPr>
    </w:p>
    <w:p>
      <w:pPr>
        <w:ind w:left="1580" w:hanging="275"/>
        <w:spacing w:after="0"/>
        <w:tabs>
          <w:tab w:leader="none" w:pos="1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Accounts that the Account Debtor has not paid within ninety (90) days of invoice date regardless of invoice payment period terms;</w:t>
      </w:r>
    </w:p>
    <w:p>
      <w:pPr>
        <w:spacing w:after="0" w:line="20" w:lineRule="exact"/>
        <w:rPr>
          <w:rFonts w:ascii="Arial" w:cs="Arial" w:eastAsia="Arial" w:hAnsi="Arial"/>
          <w:sz w:val="17"/>
          <w:szCs w:val="17"/>
          <w:color w:val="auto"/>
        </w:rPr>
      </w:pPr>
    </w:p>
    <w:p>
      <w:pPr>
        <w:ind w:left="1580" w:hanging="275"/>
        <w:spacing w:after="0"/>
        <w:tabs>
          <w:tab w:leader="none" w:pos="1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Accounts with credit balances over ninety (90) days from invoice date;</w:t>
      </w:r>
    </w:p>
    <w:p>
      <w:pPr>
        <w:spacing w:after="0" w:line="9" w:lineRule="exact"/>
        <w:rPr>
          <w:rFonts w:ascii="Arial" w:cs="Arial" w:eastAsia="Arial" w:hAnsi="Arial"/>
          <w:sz w:val="18"/>
          <w:szCs w:val="18"/>
          <w:color w:val="auto"/>
        </w:rPr>
      </w:pPr>
    </w:p>
    <w:p>
      <w:pPr>
        <w:ind w:right="20" w:firstLine="1305"/>
        <w:spacing w:after="0" w:line="261" w:lineRule="auto"/>
        <w:tabs>
          <w:tab w:leader="none" w:pos="1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Accounts owing from an Account Debtor if fifty percent (50%) or more of the Accounts owing from such Account Debtor have not been paid within ninety (90) days of invoice date;</w:t>
      </w:r>
    </w:p>
    <w:p>
      <w:pPr>
        <w:sectPr>
          <w:pgSz w:w="11900" w:h="16838" w:orient="portrait"/>
          <w:cols w:equalWidth="0" w:num="1">
            <w:col w:w="11420"/>
          </w:cols>
          <w:pgMar w:left="240" w:top="932" w:right="239" w:bottom="1440" w:gutter="0" w:footer="0" w:header="0"/>
        </w:sectPr>
      </w:pPr>
    </w:p>
    <w:bookmarkStart w:id="71" w:name="page72"/>
    <w:bookmarkEnd w:id="71"/>
    <w:p>
      <w:pPr>
        <w:jc w:val="both"/>
        <w:ind w:left="-8" w:firstLine="1305"/>
        <w:spacing w:after="0" w:line="286" w:lineRule="auto"/>
        <w:tabs>
          <w:tab w:leader="none" w:pos="1558" w:val="left"/>
        </w:tabs>
        <w:numPr>
          <w:ilvl w:val="1"/>
          <w:numId w:val="71"/>
        </w:numPr>
        <w:rPr>
          <w:rFonts w:ascii="Arial" w:cs="Arial" w:eastAsia="Arial" w:hAnsi="Arial"/>
          <w:sz w:val="16"/>
          <w:szCs w:val="16"/>
          <w:color w:val="auto"/>
        </w:rPr>
      </w:pPr>
      <w:r>
        <w:rPr>
          <w:rFonts w:ascii="Arial" w:cs="Arial" w:eastAsia="Arial" w:hAnsi="Arial"/>
          <w:sz w:val="16"/>
          <w:szCs w:val="16"/>
          <w:color w:val="auto"/>
        </w:rPr>
        <w:t>Accounts owing from an Account Debtor (i) which does not have its principal place of business in the United States or (ii) whose billing address (as set forth in the applicable invoice for such Account) is not in the United States, unless in the case of both (i) and (ii) such Accounts are otherwise Eligible Accounts and (A) are covered in full by credit insurance (which respect to which Bank is the beneficiary) satisfactory to Bank from an insurer with investment grade debt ratings (unless otherwise approved by Bank in writing), less any deductible, (B) are supported by letter(s) of credit acceptable to Bank,</w:t>
      </w:r>
    </w:p>
    <w:p>
      <w:pPr>
        <w:spacing w:after="0" w:line="1" w:lineRule="exact"/>
        <w:rPr>
          <w:rFonts w:ascii="Arial" w:cs="Arial" w:eastAsia="Arial" w:hAnsi="Arial"/>
          <w:sz w:val="16"/>
          <w:szCs w:val="16"/>
          <w:color w:val="auto"/>
        </w:rPr>
      </w:pPr>
    </w:p>
    <w:p>
      <w:pPr>
        <w:jc w:val="both"/>
        <w:ind w:left="-8" w:firstLine="8"/>
        <w:spacing w:after="0" w:line="250" w:lineRule="auto"/>
        <w:tabs>
          <w:tab w:leader="none" w:pos="2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Accounts owing from Microsoft, Yahoo, AOL, Google, Criteo or AdForm, or (D) are otherwise approved of in writing by Bank; provided, however, that Accounts described in clause (A) through (D) above shall not be deemed to be Eligible Accounts to the extent that such Accounts represent more than twenty percent (20%) of the Borrowing Base;</w:t>
      </w:r>
    </w:p>
    <w:p>
      <w:pPr>
        <w:spacing w:after="0" w:line="1" w:lineRule="exact"/>
        <w:rPr>
          <w:rFonts w:ascii="Arial" w:cs="Arial" w:eastAsia="Arial" w:hAnsi="Arial"/>
          <w:sz w:val="18"/>
          <w:szCs w:val="18"/>
          <w:color w:val="auto"/>
        </w:rPr>
      </w:pPr>
    </w:p>
    <w:p>
      <w:pPr>
        <w:ind w:left="1572" w:hanging="275"/>
        <w:spacing w:after="0"/>
        <w:tabs>
          <w:tab w:leader="none" w:pos="15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billed from and/or payable to Borrower outside of the United States (sometimes called foreign invoiced accounts);</w:t>
      </w:r>
    </w:p>
    <w:p>
      <w:pPr>
        <w:spacing w:after="0" w:line="9" w:lineRule="exact"/>
        <w:rPr>
          <w:rFonts w:ascii="Arial" w:cs="Arial" w:eastAsia="Arial" w:hAnsi="Arial"/>
          <w:sz w:val="18"/>
          <w:szCs w:val="18"/>
          <w:color w:val="auto"/>
        </w:rPr>
      </w:pPr>
    </w:p>
    <w:p>
      <w:pPr>
        <w:ind w:left="1652" w:hanging="355"/>
        <w:spacing w:after="0"/>
        <w:tabs>
          <w:tab w:leader="none" w:pos="16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in which Bank does not have a first priority, perfected security interest under all applicable laws;</w:t>
      </w:r>
    </w:p>
    <w:p>
      <w:pPr>
        <w:spacing w:after="0" w:line="9" w:lineRule="exact"/>
        <w:rPr>
          <w:rFonts w:ascii="Arial" w:cs="Arial" w:eastAsia="Arial" w:hAnsi="Arial"/>
          <w:sz w:val="18"/>
          <w:szCs w:val="18"/>
          <w:color w:val="auto"/>
        </w:rPr>
      </w:pPr>
    </w:p>
    <w:p>
      <w:pPr>
        <w:ind w:left="-8" w:firstLine="1305"/>
        <w:spacing w:after="0" w:line="250" w:lineRule="auto"/>
        <w:tabs>
          <w:tab w:leader="none" w:pos="16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billed and/or payable in a Currency other than Dollars (other than Accounts which are Eligible Accounts under clause (e) above), unless approved by Bank in writing on a case by case basis;</w:t>
      </w:r>
    </w:p>
    <w:p>
      <w:pPr>
        <w:jc w:val="both"/>
        <w:ind w:left="-8" w:firstLine="1305"/>
        <w:spacing w:after="0" w:line="281" w:lineRule="auto"/>
        <w:tabs>
          <w:tab w:leader="none" w:pos="1649" w:val="left"/>
        </w:tabs>
        <w:numPr>
          <w:ilvl w:val="1"/>
          <w:numId w:val="72"/>
        </w:numPr>
        <w:rPr>
          <w:rFonts w:ascii="Arial" w:cs="Arial" w:eastAsia="Arial" w:hAnsi="Arial"/>
          <w:sz w:val="16"/>
          <w:szCs w:val="16"/>
          <w:color w:val="auto"/>
        </w:rPr>
      </w:pPr>
      <w:r>
        <w:rPr>
          <w:rFonts w:ascii="Arial" w:cs="Arial" w:eastAsia="Arial" w:hAnsi="Arial"/>
          <w:sz w:val="16"/>
          <w:szCs w:val="16"/>
          <w:color w:val="auto"/>
        </w:rPr>
        <w:t>Accounts owing from an Account Debtor to the extent that Borrower is indebted or obligated in any manner to the Account Debtor (as creditor, lessor, supplier or otherwise - sometimes called “contra” accounts, accounts payable, customer deposits or credit accounts), provided that Accounts owing from any publisher (to the extent the amounts thereunder are not aged more than thirty (30) days) shall not be offset under this clause (i), so long as Borrower provides appropriate payment tracking reports showing that such publisher’s obligations are met within thirty (30) days of their respective due date;</w:t>
      </w:r>
    </w:p>
    <w:p>
      <w:pPr>
        <w:spacing w:after="0" w:line="2" w:lineRule="exact"/>
        <w:rPr>
          <w:rFonts w:ascii="Arial" w:cs="Arial" w:eastAsia="Arial" w:hAnsi="Arial"/>
          <w:sz w:val="16"/>
          <w:szCs w:val="16"/>
          <w:color w:val="auto"/>
        </w:rPr>
      </w:pPr>
    </w:p>
    <w:p>
      <w:pPr>
        <w:ind w:left="-8" w:firstLine="1305"/>
        <w:spacing w:after="0" w:line="250" w:lineRule="auto"/>
        <w:tabs>
          <w:tab w:leader="none" w:pos="1649"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with or in respect of accruals for marketing allowances, incentive rebates, price protection, cooperative advertising and other similar marketing credits, unless otherwise approved by Bank in writing;</w:t>
      </w:r>
    </w:p>
    <w:p>
      <w:pPr>
        <w:jc w:val="both"/>
        <w:ind w:left="-8" w:firstLine="1305"/>
        <w:spacing w:after="0" w:line="250" w:lineRule="auto"/>
        <w:tabs>
          <w:tab w:leader="none" w:pos="16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spacing w:after="0" w:line="1" w:lineRule="exact"/>
        <w:rPr>
          <w:rFonts w:ascii="Arial" w:cs="Arial" w:eastAsia="Arial" w:hAnsi="Arial"/>
          <w:sz w:val="18"/>
          <w:szCs w:val="18"/>
          <w:color w:val="auto"/>
        </w:rPr>
      </w:pPr>
    </w:p>
    <w:p>
      <w:pPr>
        <w:ind w:left="-8" w:firstLine="1305"/>
        <w:spacing w:after="0" w:line="250" w:lineRule="auto"/>
        <w:tabs>
          <w:tab w:leader="none" w:pos="1676"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with customer deposits and/or with respect to which Borrower has received an upfront payment, to the extent of such customer deposit and/or upfront payment;</w:t>
      </w:r>
    </w:p>
    <w:p>
      <w:pPr>
        <w:ind w:left="-8" w:right="20" w:firstLine="1305"/>
        <w:spacing w:after="0" w:line="250" w:lineRule="auto"/>
        <w:tabs>
          <w:tab w:leader="none" w:pos="16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for demonstration or promotional equipment, or in which goods are consigned, or sold on a “sale guaranteed”, “sale or return”, “sale on approval”, or other terms if Account Debtor’s payment may be conditional;</w:t>
      </w:r>
    </w:p>
    <w:p>
      <w:pPr>
        <w:ind w:left="-8" w:firstLine="1305"/>
        <w:spacing w:after="0" w:line="250" w:lineRule="auto"/>
        <w:tabs>
          <w:tab w:leader="none" w:pos="1649"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owing from an Account Debtor where goods or services have not yet been rendered to the Account Debtor (sometimes called memo billings or pre-billings);</w:t>
      </w:r>
    </w:p>
    <w:p>
      <w:pPr>
        <w:jc w:val="both"/>
        <w:ind w:left="-8" w:firstLine="1305"/>
        <w:spacing w:after="0" w:line="250" w:lineRule="auto"/>
        <w:tabs>
          <w:tab w:leader="none" w:pos="16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spacing w:after="0" w:line="1" w:lineRule="exact"/>
        <w:rPr>
          <w:rFonts w:ascii="Arial" w:cs="Arial" w:eastAsia="Arial" w:hAnsi="Arial"/>
          <w:sz w:val="18"/>
          <w:szCs w:val="18"/>
          <w:color w:val="auto"/>
        </w:rPr>
      </w:pPr>
    </w:p>
    <w:p>
      <w:pPr>
        <w:ind w:left="-8" w:firstLine="1305"/>
        <w:spacing w:after="0" w:line="250" w:lineRule="auto"/>
        <w:tabs>
          <w:tab w:leader="none" w:pos="1676"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ind w:left="1652" w:hanging="355"/>
        <w:spacing w:after="0"/>
        <w:tabs>
          <w:tab w:leader="none" w:pos="16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subject to trust provisions, subrogation rights of a bonding company, or a statutory trust;</w:t>
      </w:r>
    </w:p>
    <w:p>
      <w:pPr>
        <w:spacing w:after="0" w:line="9" w:lineRule="exact"/>
        <w:rPr>
          <w:rFonts w:ascii="Arial" w:cs="Arial" w:eastAsia="Arial" w:hAnsi="Arial"/>
          <w:sz w:val="18"/>
          <w:szCs w:val="18"/>
          <w:color w:val="auto"/>
        </w:rPr>
      </w:pPr>
    </w:p>
    <w:p>
      <w:pPr>
        <w:jc w:val="both"/>
        <w:ind w:left="-8" w:firstLine="1305"/>
        <w:spacing w:after="0" w:line="265" w:lineRule="auto"/>
        <w:tabs>
          <w:tab w:leader="none" w:pos="1635" w:val="left"/>
        </w:tabs>
        <w:numPr>
          <w:ilvl w:val="1"/>
          <w:numId w:val="72"/>
        </w:numPr>
        <w:rPr>
          <w:rFonts w:ascii="Arial" w:cs="Arial" w:eastAsia="Arial" w:hAnsi="Arial"/>
          <w:sz w:val="17"/>
          <w:szCs w:val="17"/>
          <w:color w:val="auto"/>
        </w:rPr>
      </w:pPr>
      <w:r>
        <w:rPr>
          <w:rFonts w:ascii="Arial" w:cs="Arial" w:eastAsia="Arial" w:hAnsi="Arial"/>
          <w:sz w:val="17"/>
          <w:szCs w:val="17"/>
          <w:color w:val="auto"/>
        </w:rPr>
        <w:t>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ind w:left="1652" w:hanging="355"/>
        <w:spacing w:after="0"/>
        <w:tabs>
          <w:tab w:leader="none" w:pos="16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for which the Account Debtor has not been invoiced;</w:t>
      </w:r>
    </w:p>
    <w:p>
      <w:pPr>
        <w:spacing w:after="0" w:line="9" w:lineRule="exact"/>
        <w:rPr>
          <w:rFonts w:ascii="Arial" w:cs="Arial" w:eastAsia="Arial" w:hAnsi="Arial"/>
          <w:sz w:val="18"/>
          <w:szCs w:val="18"/>
          <w:color w:val="auto"/>
        </w:rPr>
      </w:pPr>
    </w:p>
    <w:p>
      <w:pPr>
        <w:ind w:left="1652" w:hanging="355"/>
        <w:spacing w:after="0"/>
        <w:tabs>
          <w:tab w:leader="none" w:pos="1652" w:val="left"/>
        </w:tabs>
        <w:numPr>
          <w:ilvl w:val="1"/>
          <w:numId w:val="72"/>
        </w:numPr>
        <w:rPr>
          <w:rFonts w:ascii="Arial" w:cs="Arial" w:eastAsia="Arial" w:hAnsi="Arial"/>
          <w:sz w:val="16"/>
          <w:szCs w:val="16"/>
          <w:color w:val="auto"/>
        </w:rPr>
      </w:pPr>
      <w:r>
        <w:rPr>
          <w:rFonts w:ascii="Arial" w:cs="Arial" w:eastAsia="Arial" w:hAnsi="Arial"/>
          <w:sz w:val="16"/>
          <w:szCs w:val="16"/>
          <w:color w:val="auto"/>
        </w:rPr>
        <w:t>Accounts that represent non-trade receivables or that are derived by means other than in the ordinary course of Borrower’s business;</w:t>
      </w:r>
    </w:p>
    <w:p>
      <w:pPr>
        <w:spacing w:after="0" w:line="32" w:lineRule="exact"/>
        <w:rPr>
          <w:rFonts w:ascii="Arial" w:cs="Arial" w:eastAsia="Arial" w:hAnsi="Arial"/>
          <w:sz w:val="16"/>
          <w:szCs w:val="16"/>
          <w:color w:val="auto"/>
        </w:rPr>
      </w:pPr>
    </w:p>
    <w:p>
      <w:pPr>
        <w:ind w:left="-8" w:firstLine="1305"/>
        <w:spacing w:after="0" w:line="265" w:lineRule="auto"/>
        <w:tabs>
          <w:tab w:leader="none" w:pos="1642" w:val="left"/>
        </w:tabs>
        <w:numPr>
          <w:ilvl w:val="1"/>
          <w:numId w:val="72"/>
        </w:numPr>
        <w:rPr>
          <w:rFonts w:ascii="Arial" w:cs="Arial" w:eastAsia="Arial" w:hAnsi="Arial"/>
          <w:sz w:val="17"/>
          <w:szCs w:val="17"/>
          <w:color w:val="auto"/>
        </w:rPr>
      </w:pPr>
      <w:r>
        <w:rPr>
          <w:rFonts w:ascii="Arial" w:cs="Arial" w:eastAsia="Arial" w:hAnsi="Arial"/>
          <w:sz w:val="17"/>
          <w:szCs w:val="17"/>
          <w:color w:val="auto"/>
        </w:rPr>
        <w:t>Accounts for which Borrower has permitted Account Debtor’s payment to extend beyond ninety (90) days (including Accounts with a due date that is more than ninety (90) days from invoice date);</w:t>
      </w:r>
    </w:p>
    <w:p>
      <w:pPr>
        <w:ind w:left="1652" w:hanging="355"/>
        <w:spacing w:after="0"/>
        <w:tabs>
          <w:tab w:leader="none" w:pos="16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arising from chargebacks, debit memos or other payment deductions taken by an Account Debtor;</w:t>
      </w:r>
    </w:p>
    <w:p>
      <w:pPr>
        <w:spacing w:after="0" w:line="9" w:lineRule="exact"/>
        <w:rPr>
          <w:rFonts w:ascii="Arial" w:cs="Arial" w:eastAsia="Arial" w:hAnsi="Arial"/>
          <w:sz w:val="18"/>
          <w:szCs w:val="18"/>
          <w:color w:val="auto"/>
        </w:rPr>
      </w:pPr>
    </w:p>
    <w:p>
      <w:pPr>
        <w:ind w:left="1652" w:hanging="355"/>
        <w:spacing w:after="0"/>
        <w:tabs>
          <w:tab w:leader="none" w:pos="16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arising from product returns and/or exchanges (sometimes called “warranty” or “RMA” accounts);</w:t>
      </w:r>
    </w:p>
    <w:p>
      <w:pPr>
        <w:spacing w:after="0" w:line="9" w:lineRule="exact"/>
        <w:rPr>
          <w:rFonts w:ascii="Arial" w:cs="Arial" w:eastAsia="Arial" w:hAnsi="Arial"/>
          <w:sz w:val="18"/>
          <w:szCs w:val="18"/>
          <w:color w:val="auto"/>
        </w:rPr>
      </w:pPr>
    </w:p>
    <w:p>
      <w:pPr>
        <w:ind w:left="-8" w:firstLine="1305"/>
        <w:spacing w:after="0" w:line="265" w:lineRule="auto"/>
        <w:tabs>
          <w:tab w:leader="none" w:pos="1642" w:val="left"/>
        </w:tabs>
        <w:numPr>
          <w:ilvl w:val="1"/>
          <w:numId w:val="72"/>
        </w:numPr>
        <w:rPr>
          <w:rFonts w:ascii="Arial" w:cs="Arial" w:eastAsia="Arial" w:hAnsi="Arial"/>
          <w:sz w:val="17"/>
          <w:szCs w:val="17"/>
          <w:color w:val="auto"/>
        </w:rPr>
      </w:pPr>
      <w:r>
        <w:rPr>
          <w:rFonts w:ascii="Arial" w:cs="Arial" w:eastAsia="Arial" w:hAnsi="Arial"/>
          <w:sz w:val="17"/>
          <w:szCs w:val="17"/>
          <w:color w:val="auto"/>
        </w:rPr>
        <w:t>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ind w:left="-8" w:firstLine="1305"/>
        <w:spacing w:after="0" w:line="250" w:lineRule="auto"/>
        <w:tabs>
          <w:tab w:leader="none" w:pos="16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Accounts owing from an Account Debtor with respect to which Borrower has received Deferred Revenue (but only to the extent of such Deferred Revenue);</w:t>
      </w:r>
    </w:p>
    <w:p>
      <w:pPr>
        <w:ind w:left="-8" w:right="20" w:firstLine="1305"/>
        <w:spacing w:after="0" w:line="290" w:lineRule="auto"/>
        <w:tabs>
          <w:tab w:leader="none" w:pos="1642" w:val="left"/>
        </w:tabs>
        <w:numPr>
          <w:ilvl w:val="1"/>
          <w:numId w:val="72"/>
        </w:numPr>
        <w:rPr>
          <w:rFonts w:ascii="Arial" w:cs="Arial" w:eastAsia="Arial" w:hAnsi="Arial"/>
          <w:sz w:val="17"/>
          <w:szCs w:val="17"/>
          <w:color w:val="auto"/>
        </w:rPr>
      </w:pPr>
      <w:r>
        <w:rPr>
          <w:rFonts w:ascii="Arial" w:cs="Arial" w:eastAsia="Arial" w:hAnsi="Arial"/>
          <w:sz w:val="17"/>
          <w:szCs w:val="17"/>
          <w:color w:val="auto"/>
        </w:rPr>
        <w:t>Accounts owing from an Account Debtor, whose total obligations to Borrower exceed twenty-five percent (25.0%) of all Accounts, for the amounts that exceed that percentage, unless Bank approves in writing; and</w:t>
      </w:r>
    </w:p>
    <w:p>
      <w:pPr>
        <w:sectPr>
          <w:pgSz w:w="11900" w:h="16838" w:orient="portrait"/>
          <w:cols w:equalWidth="0" w:num="1">
            <w:col w:w="11412"/>
          </w:cols>
          <w:pgMar w:left="248" w:top="936" w:right="239" w:bottom="1440" w:gutter="0" w:footer="0" w:header="0"/>
        </w:sectPr>
      </w:pPr>
    </w:p>
    <w:bookmarkStart w:id="72" w:name="page73"/>
    <w:bookmarkEnd w:id="72"/>
    <w:p>
      <w:pPr>
        <w:ind w:firstLine="1305"/>
        <w:spacing w:after="0" w:line="258" w:lineRule="auto"/>
        <w:tabs>
          <w:tab w:leader="none" w:pos="168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Accounts for which Bank in its good faith business judgment determines collection to be doubtful, including, without limitation, accounts represented by “refreshed” or “recycled” invoices.</w:t>
      </w:r>
    </w:p>
    <w:p>
      <w:pPr>
        <w:spacing w:after="0" w:line="1" w:lineRule="exact"/>
        <w:rPr>
          <w:rFonts w:ascii="Arial" w:cs="Arial" w:eastAsia="Arial" w:hAnsi="Arial"/>
          <w:sz w:val="18"/>
          <w:szCs w:val="18"/>
          <w:color w:val="auto"/>
        </w:rPr>
      </w:pPr>
    </w:p>
    <w:p>
      <w:pPr>
        <w:ind w:firstLine="648"/>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Accounts</w:t>
      </w:r>
      <w:r>
        <w:rPr>
          <w:rFonts w:ascii="Arial" w:cs="Arial" w:eastAsia="Arial" w:hAnsi="Arial"/>
          <w:sz w:val="18"/>
          <w:szCs w:val="18"/>
          <w:color w:val="auto"/>
        </w:rPr>
        <w:t>” is defined in Section 6.8(b).</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Statement Repository</w:t>
      </w:r>
      <w:r>
        <w:rPr>
          <w:rFonts w:ascii="Arial" w:cs="Arial" w:eastAsia="Arial" w:hAnsi="Arial"/>
          <w:sz w:val="17"/>
          <w:szCs w:val="17"/>
          <w:color w:val="auto"/>
        </w:rPr>
        <w:t>” is each of (a) the Bank’s Box.com account, or such other means of collecting information approved and designated by Bank after providing notice thereof to Borrower from time to time, and (b) Bank’s online banking platform as described in Section 6.12.</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Hopper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w:t>
      </w:r>
      <w:r>
        <w:rPr>
          <w:rFonts w:ascii="Arial" w:cs="Arial" w:eastAsia="Arial" w:hAnsi="Arial"/>
          <w:sz w:val="18"/>
          <w:szCs w:val="18"/>
          <w:color w:val="auto"/>
        </w:rPr>
        <w:t>” is any Subsidiary of Borrower which is not a Material Subsidiary.</w:t>
      </w:r>
    </w:p>
    <w:p>
      <w:pPr>
        <w:sectPr>
          <w:pgSz w:w="11900" w:h="16838" w:orient="portrait"/>
          <w:cols w:equalWidth="0" w:num="1">
            <w:col w:w="11420"/>
          </w:cols>
          <w:pgMar w:left="240" w:top="935" w:right="239" w:bottom="1440" w:gutter="0" w:footer="0" w:header="0"/>
        </w:sectPr>
      </w:pPr>
    </w:p>
    <w:bookmarkStart w:id="73" w:name="page74"/>
    <w:bookmarkEnd w:id="73"/>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 For purposes of clarification, operating lease obligations shall not be deemed to be “Indebtedness” hereunder.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Audit</w:t>
      </w:r>
      <w:r>
        <w:rPr>
          <w:rFonts w:ascii="Arial" w:cs="Arial" w:eastAsia="Arial" w:hAnsi="Arial"/>
          <w:sz w:val="18"/>
          <w:szCs w:val="18"/>
          <w:color w:val="auto"/>
        </w:rPr>
        <w:t>” is Bank’s initial inspection of Borrower’s Accounts, the Collateral, and Borrower’s Books, with results satisfactory to Bank in its sole and absolute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320" w:hanging="367"/>
        <w:spacing w:after="0"/>
        <w:tabs>
          <w:tab w:leader="none" w:pos="2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3" w:lineRule="exact"/>
        <w:rPr>
          <w:rFonts w:ascii="Arial" w:cs="Arial" w:eastAsia="Arial" w:hAnsi="Arial"/>
          <w:sz w:val="18"/>
          <w:szCs w:val="18"/>
          <w:color w:val="auto"/>
        </w:rPr>
      </w:pPr>
    </w:p>
    <w:p>
      <w:pPr>
        <w:ind w:left="1660" w:hanging="355"/>
        <w:spacing w:after="0"/>
        <w:tabs>
          <w:tab w:leader="none" w:pos="1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and</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operating manuals;</w:t>
      </w:r>
    </w:p>
    <w:p>
      <w:pPr>
        <w:spacing w:after="0" w:line="9" w:lineRule="exact"/>
        <w:rPr>
          <w:rFonts w:ascii="Arial" w:cs="Arial" w:eastAsia="Arial" w:hAnsi="Arial"/>
          <w:sz w:val="17"/>
          <w:szCs w:val="17"/>
          <w:color w:val="auto"/>
        </w:rPr>
      </w:pPr>
    </w:p>
    <w:p>
      <w:pPr>
        <w:ind w:left="1660" w:hanging="355"/>
        <w:spacing w:after="0"/>
        <w:tabs>
          <w:tab w:leader="none" w:pos="1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9" w:lineRule="exact"/>
        <w:rPr>
          <w:rFonts w:ascii="Arial" w:cs="Arial" w:eastAsia="Arial" w:hAnsi="Arial"/>
          <w:sz w:val="18"/>
          <w:szCs w:val="18"/>
          <w:color w:val="auto"/>
        </w:rPr>
      </w:pPr>
    </w:p>
    <w:p>
      <w:pPr>
        <w:ind w:left="1660" w:hanging="355"/>
        <w:spacing w:after="0"/>
        <w:tabs>
          <w:tab w:leader="none" w:pos="1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9" w:lineRule="exact"/>
        <w:rPr>
          <w:rFonts w:ascii="Arial" w:cs="Arial" w:eastAsia="Arial" w:hAnsi="Arial"/>
          <w:sz w:val="18"/>
          <w:szCs w:val="18"/>
          <w:color w:val="auto"/>
        </w:rPr>
      </w:pPr>
    </w:p>
    <w:p>
      <w:pPr>
        <w:ind w:right="440" w:firstLine="1305"/>
        <w:spacing w:after="0" w:line="265" w:lineRule="auto"/>
        <w:tabs>
          <w:tab w:leader="none" w:pos="1657"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ind w:left="1660" w:hanging="355"/>
        <w:spacing w:after="0"/>
        <w:tabs>
          <w:tab w:leader="none" w:pos="1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fiscal period, interest expense (whether cash or non-cash) determined in accordance with GAAP for the relevant period ending on such date, including, in any event, interest expense with respect to any Credit Extension and other Indebtedness of Borrower,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with respect to any LIBOR Advance, the last day of each Interest Period applicable to such LIBOR Advance and, with respect to Prime Rate Advances, the Payment Date.</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means, as to any LIBOR Advance, the period commencing on the date of such LIBOR Advance, or on the conversion/continuation date on which the LIBOR Advance is converted into or continued as a LIBOR Advance, and ending on the date that is one (1), two</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(2), or three (3) months thereafter, in each case as Borrower may elect in the applicable Notice of Borrowing or Notice of Conversion/Continuation; provided, however, that (a) no Interest Period with respect to any LIBOR Advance shall end later than the Revolving Line Maturity Date, (b) the last day of an Interest Period shall be determined in accordance with the practices of the LIBOR interbank market as from time to time in effect, (c) if any Interest Period would otherwise end on a day that is not a Business Day, that Interest Period shall be extended to the following Business Day unless, in the case of a LIBOR Advance, the result of such extension would be to carry such Interest Period into another calendar month, in which event such Interest Period shall end on the preceding Business Day, (d) any Interest Period pertaining to a LIBOR Advance that begins on the last Business Day of a calendar month (or on a day for which there is no numerically corresponding day in the calendar month at the end of such Interest Period) shall end on the last Business Day of the calendar month at the end of such Interest Period, and (e) interest shall accrue from and include the first Business Day of an Interest Period but exclude the last Business Day of such Interest Period.</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Determination Date</w:t>
      </w:r>
      <w:r>
        <w:rPr>
          <w:rFonts w:ascii="Arial" w:cs="Arial" w:eastAsia="Arial" w:hAnsi="Arial"/>
          <w:sz w:val="18"/>
          <w:szCs w:val="18"/>
          <w:color w:val="auto"/>
        </w:rPr>
        <w:t>” means each date for calculating the LIBOR for purposes of determining the interest rate in respect of an Interest Period. The Interest Rate Determination Date shall be the second Business Day prior to the first day of the related Interest Period for a LIBOR Advance.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w:t>
      </w:r>
    </w:p>
    <w:p>
      <w:pPr>
        <w:sectPr>
          <w:pgSz w:w="11900" w:h="16838" w:orient="portrait"/>
          <w:cols w:equalWidth="0" w:num="1">
            <w:col w:w="11420"/>
          </w:cols>
          <w:pgMar w:left="240" w:top="93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Borrower’s custody or possession or in transit and including any returned goods and any documents of title representing any of the above.</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any Interest Rate Determination Date with respect to an Interest Period for any Advance to be made, continued as or converted into a LIBOR Advance, the rate of interest per annum determined by Bank to be the per annum rate of interest at which deposits in Dollars are offered to Bank in the London interbank market (rounded upward, if necessary, to the nearest 0.00001%) in which Bank customarily participates at 11:00 a.m. (local time in such interbank market) two (2) Business Days prior to the first day of such Interest Period for a period approximately equal to such Interest Period and in an amount approximately equal to the amount of such Advance; provided that, in the event such rate of interest is less than zero, such rate shall be deemed to be zero for purposes of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Advance</w:t>
      </w:r>
      <w:r>
        <w:rPr>
          <w:rFonts w:ascii="Arial" w:cs="Arial" w:eastAsia="Arial" w:hAnsi="Arial"/>
          <w:sz w:val="18"/>
          <w:szCs w:val="18"/>
          <w:color w:val="auto"/>
        </w:rPr>
        <w:t>” means an Advance that bears interest based at the LIBOR Rate.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means, for each Interest Period in respect of LIBOR Advances comprising part of the same Advances, an interest rate per annum (rounded upward, if necessary, to the nearest 0.00001%) equal to LIBOR for such Interest Period divided by one (1) minus the Reserve Requirement for such Interest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Rate Margin</w:t>
      </w:r>
      <w:r>
        <w:rPr>
          <w:rFonts w:ascii="Arial" w:cs="Arial" w:eastAsia="Arial" w:hAnsi="Arial"/>
          <w:sz w:val="16"/>
          <w:szCs w:val="16"/>
          <w:color w:val="auto"/>
        </w:rPr>
        <w:t>” is (a) if a Streamline Period is in effect, two and one-half percent (2.50%) and (b) in all other cases, four percent (4.00%).</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any Bank Services Agreement, any subordination agreement, any note, or notes or guaranties executed by Borrower or any Guarantor, and any other present or future agreement by Borrower and/or any Guarantor with or for the benefit of Bank, all as amended, restated, or otherwise modified.</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(c) a material impairment of the prospect of repayment of any portion of the Obligations; or (d) Bank determines, based upon information available to it and in its reasonable judgment, that there is a reasonable likelihood that Borrower shall fail to comply with one or more of the financial covenants in Section 6 during the next succeeding financial reporting period.</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is any Subsidiary of Borrower that has assets or annual revenue in excess of Five Hundred Thousand Dollars ($500,000) or is a Borrower 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Merged Entities</w:t>
      </w:r>
      <w:r>
        <w:rPr>
          <w:rFonts w:ascii="Arial" w:cs="Arial" w:eastAsia="Arial" w:hAnsi="Arial"/>
          <w:sz w:val="18"/>
          <w:szCs w:val="18"/>
          <w:color w:val="auto"/>
        </w:rPr>
        <w:t>” is defined in the recitals hereto.</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Income</w:t>
      </w:r>
      <w:r>
        <w:rPr>
          <w:rFonts w:ascii="Arial" w:cs="Arial" w:eastAsia="Arial" w:hAnsi="Arial"/>
          <w:sz w:val="17"/>
          <w:szCs w:val="17"/>
          <w:color w:val="auto"/>
        </w:rPr>
        <w:t>” means, as calculated on a consolidated basis for Borrower and its Subsidiaries for any period as at any date of determination, the net profit (or loss), after provision for taxes, of Borrower and its Subsidiaries for such period taken as a single accounting period.</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means a notice given by Borrower to Bank in accordance with Section 3.4(a),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with appropriate insertions.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Conversion/Continuation</w:t>
      </w:r>
      <w:r>
        <w:rPr>
          <w:rFonts w:ascii="Arial" w:cs="Arial" w:eastAsia="Arial" w:hAnsi="Arial"/>
          <w:sz w:val="18"/>
          <w:szCs w:val="18"/>
          <w:color w:val="auto"/>
        </w:rPr>
        <w:t xml:space="preserve">” means a notice given by Borrower to Bank in accordance with Section 3.5,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with appropriate insertions.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Bank Expenses, the Unused Revolving Line Facility Fee, and other amounts Borrower owes Bank now or later, whether under this Agreement, the other Loan Documents, or otherwise, including, without limitation, all obligations relating to Bank Services and interest</w:t>
      </w:r>
    </w:p>
    <w:p>
      <w:pPr>
        <w:sectPr>
          <w:pgSz w:w="11900" w:h="16838" w:orient="portrait"/>
          <w:cols w:equalWidth="0" w:num="1">
            <w:col w:w="11420"/>
          </w:cols>
          <w:pgMar w:left="240" w:top="936" w:right="2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accruing after Insolvency Proceedings begin and debts, liabilities, or obligations of Borrower assigned to Bank, and to perform Borrower’s duties under the Loan Documents.</w:t>
      </w:r>
    </w:p>
    <w:p>
      <w:pPr>
        <w:spacing w:after="0" w:line="1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defined in Section 3.7(b).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last calendar day of each month.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means any merger or consolidation with any other Person, or the acquisition of all or substantially all of the capital stock or property of another Person that meets the following requirements: (a) Bank shall receive at least twenty (20) days' prior written notice of each such Permitted Acquisition, which notice shall include a reasonably detailed description of the transaction, and such other financial information, financial analysis, documentation or other information relating to such transaction as Bank shall reasonably request; (b) the total consideration for all such transactions, including cash and the value of any non-cash consideration, does not in the aggregate exceed Five Million Dollars ($5,000,000) in any twelve month period;</w:t>
      </w:r>
    </w:p>
    <w:p>
      <w:pPr>
        <w:spacing w:after="0" w:line="2" w:lineRule="exact"/>
        <w:rPr>
          <w:sz w:val="20"/>
          <w:szCs w:val="20"/>
          <w:color w:val="auto"/>
        </w:rPr>
      </w:pPr>
    </w:p>
    <w:p>
      <w:pPr>
        <w:jc w:val="both"/>
        <w:ind w:firstLine="8"/>
        <w:spacing w:after="0" w:line="286" w:lineRule="auto"/>
        <w:tabs>
          <w:tab w:leader="none" w:pos="24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total cash consideration for all such transactions does not in the aggregate exceed Two Million Dollars ($2,000,000) in any twelve month period; (d) no Event of Default has occurred and is continuing or would exist after giving effect to each such transaction; (e) Borrower is the surviving legal entity; (f) Borrower shall demonstrate compliance, both before and after (on a pro forma basis) giving effect to such transaction, with the terms of this Agreement; (g) the credit risk to Bank, in its sole discretion, shall not be increased as a result of the Permitted Acquisition; (h) such transaction shall only involve assets located in the United States and comprising a business, or those assets of a business, of the type engaged in by Borrower and its Subsidiaries as of the date hereof (or any business reasonably related or ancillary thereto or a reasonable extension thereof, as determined in good faith by the board of directors); (i) such transaction shall be consensual and shall have been approved by the target’s board of directors; and (j) if the target is not merged with and into Borrower then, simultaneously with the closing of the Permitted Acquisition, the target must, if requested by Bank, become a "Borrower" under this Agreement and the other Loan Documents and become subject to all rights and obligations of this Agreement and the other Loan Documents, and must, if requested by Bank, execute and deliver to Bank a joinder agreement acceptable to Bank as well as such other documents and agreements as required by Bank in connection with the target becoming a Borrower and granting a Lien in favor of Bank on the Collateral.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320" w:hanging="367"/>
        <w:spacing w:after="0"/>
        <w:tabs>
          <w:tab w:leader="none" w:pos="2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23" w:lineRule="exact"/>
        <w:rPr>
          <w:rFonts w:ascii="Arial" w:cs="Arial" w:eastAsia="Arial" w:hAnsi="Arial"/>
          <w:sz w:val="18"/>
          <w:szCs w:val="18"/>
          <w:color w:val="auto"/>
        </w:rPr>
      </w:pPr>
    </w:p>
    <w:p>
      <w:pPr>
        <w:ind w:left="1660" w:hanging="355"/>
        <w:spacing w:after="0"/>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9" w:lineRule="exact"/>
        <w:rPr>
          <w:rFonts w:ascii="Arial" w:cs="Arial" w:eastAsia="Arial" w:hAnsi="Arial"/>
          <w:sz w:val="18"/>
          <w:szCs w:val="18"/>
          <w:color w:val="auto"/>
        </w:rPr>
      </w:pPr>
    </w:p>
    <w:p>
      <w:pPr>
        <w:ind w:left="1660" w:hanging="355"/>
        <w:spacing w:after="0"/>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9" w:lineRule="exact"/>
        <w:rPr>
          <w:rFonts w:ascii="Arial" w:cs="Arial" w:eastAsia="Arial" w:hAnsi="Arial"/>
          <w:sz w:val="18"/>
          <w:szCs w:val="18"/>
          <w:color w:val="auto"/>
        </w:rPr>
      </w:pPr>
    </w:p>
    <w:p>
      <w:pPr>
        <w:ind w:left="1660" w:hanging="355"/>
        <w:spacing w:after="0"/>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9" w:lineRule="exact"/>
        <w:rPr>
          <w:rFonts w:ascii="Arial" w:cs="Arial" w:eastAsia="Arial" w:hAnsi="Arial"/>
          <w:sz w:val="18"/>
          <w:szCs w:val="18"/>
          <w:color w:val="auto"/>
        </w:rPr>
      </w:pPr>
    </w:p>
    <w:p>
      <w:pPr>
        <w:ind w:left="1660" w:hanging="355"/>
        <w:spacing w:after="0"/>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9" w:lineRule="exact"/>
        <w:rPr>
          <w:rFonts w:ascii="Arial" w:cs="Arial" w:eastAsia="Arial" w:hAnsi="Arial"/>
          <w:sz w:val="18"/>
          <w:szCs w:val="18"/>
          <w:color w:val="auto"/>
        </w:rPr>
      </w:pPr>
    </w:p>
    <w:p>
      <w:pPr>
        <w:ind w:left="1660" w:hanging="355"/>
        <w:spacing w:after="0"/>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9" w:lineRule="exact"/>
        <w:rPr>
          <w:rFonts w:ascii="Arial" w:cs="Arial" w:eastAsia="Arial" w:hAnsi="Arial"/>
          <w:sz w:val="18"/>
          <w:szCs w:val="18"/>
          <w:color w:val="auto"/>
        </w:rPr>
      </w:pPr>
    </w:p>
    <w:p>
      <w:pPr>
        <w:ind w:firstLine="1305"/>
        <w:spacing w:after="0" w:line="250" w:lineRule="auto"/>
        <w:tabs>
          <w:tab w:leader="none" w:pos="16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unsecured Indebtedness incurred on corporate credit cards in the ordinary course of business in an aggregate outstanding amount not to exceed Five Hundred Thousand Dollars ($500,000) at any time;</w:t>
      </w:r>
    </w:p>
    <w:p>
      <w:pPr>
        <w:ind w:firstLine="1305"/>
        <w:spacing w:after="0" w:line="250" w:lineRule="auto"/>
        <w:tabs>
          <w:tab w:leader="none" w:pos="16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unsecured Indebtedness not otherwise permitted by Section 7.4 not exceeding Five Hundred Thousand Dollars ($500,000) in the aggregate outstanding at any time; and</w:t>
      </w:r>
    </w:p>
    <w:p>
      <w:pPr>
        <w:jc w:val="both"/>
        <w:ind w:firstLine="1305"/>
        <w:spacing w:after="0" w:line="255" w:lineRule="auto"/>
        <w:tabs>
          <w:tab w:leader="none" w:pos="16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ectPr>
          <w:pgSz w:w="11900" w:h="16838" w:orient="portrait"/>
          <w:cols w:equalWidth="0" w:num="1">
            <w:col w:w="11420"/>
          </w:cols>
          <w:pgMar w:left="240" w:top="936"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136. Investments (including, without limitation, Subsidiaries) existing on the Effective Date which are shown on the Perfection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Certificate;</w:t>
      </w:r>
    </w:p>
    <w:p>
      <w:pPr>
        <w:spacing w:after="0" w:line="9" w:lineRule="exact"/>
        <w:rPr>
          <w:sz w:val="20"/>
          <w:szCs w:val="20"/>
          <w:color w:val="auto"/>
        </w:rPr>
      </w:pPr>
    </w:p>
    <w:p>
      <w:pPr>
        <w:ind w:right="20" w:firstLine="1305"/>
        <w:spacing w:after="0" w:line="250" w:lineRule="auto"/>
        <w:tabs>
          <w:tab w:leader="none" w:pos="16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consisting of cash and Cash Equivalents and any Investments permitted by borrower’s investment policy, as amended from time to time, provided that such investment policy (and any such amendment thereto) has been approved in writing by Bank;</w:t>
      </w:r>
    </w:p>
    <w:p>
      <w:pPr>
        <w:ind w:left="1680" w:hanging="375"/>
        <w:spacing w:after="0"/>
        <w:tabs>
          <w:tab w:leader="none" w:pos="1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Borrower;</w:t>
      </w:r>
    </w:p>
    <w:p>
      <w:pPr>
        <w:spacing w:after="0" w:line="9" w:lineRule="exact"/>
        <w:rPr>
          <w:rFonts w:ascii="Arial" w:cs="Arial" w:eastAsia="Arial" w:hAnsi="Arial"/>
          <w:sz w:val="16"/>
          <w:szCs w:val="16"/>
          <w:color w:val="auto"/>
        </w:rPr>
      </w:pPr>
    </w:p>
    <w:p>
      <w:pPr>
        <w:ind w:firstLine="1305"/>
        <w:spacing w:after="0" w:line="250" w:lineRule="auto"/>
        <w:tabs>
          <w:tab w:leader="none" w:pos="16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consisting of deposit accounts (but only to the extent that Borrower is permitted to maintain such accounts pursuant to Section 6.8 of this Agreement) in which Bank has a first priority perfected security interest;</w:t>
      </w:r>
    </w:p>
    <w:p>
      <w:pPr>
        <w:ind w:left="1660" w:hanging="355"/>
        <w:spacing w:after="0"/>
        <w:tabs>
          <w:tab w:leader="none" w:pos="1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9" w:lineRule="exact"/>
        <w:rPr>
          <w:rFonts w:ascii="Arial" w:cs="Arial" w:eastAsia="Arial" w:hAnsi="Arial"/>
          <w:sz w:val="18"/>
          <w:szCs w:val="18"/>
          <w:color w:val="auto"/>
        </w:rPr>
      </w:pPr>
    </w:p>
    <w:p>
      <w:pPr>
        <w:ind w:firstLine="1305"/>
        <w:spacing w:after="0" w:line="250" w:lineRule="auto"/>
        <w:tabs>
          <w:tab w:leader="none" w:pos="165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jc w:val="both"/>
        <w:ind w:right="20" w:firstLine="1305"/>
        <w:spacing w:after="0" w:line="250" w:lineRule="auto"/>
        <w:tabs>
          <w:tab w:leader="none" w:pos="165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(i) by Borrower in other Borrowers, (ii) by Borrower in Subsidiaries who are not Borrowers in an aggregate amount not to exceed Three Million Dollars ($3,000,000) in any fiscal year, and (iii) by Subsidiaries who are not Borrowers in other Subsidiaries who are not Borrowers or in Borrower;</w:t>
      </w:r>
    </w:p>
    <w:p>
      <w:pPr>
        <w:spacing w:after="0" w:line="1" w:lineRule="exact"/>
        <w:rPr>
          <w:rFonts w:ascii="Arial" w:cs="Arial" w:eastAsia="Arial" w:hAnsi="Arial"/>
          <w:sz w:val="18"/>
          <w:szCs w:val="18"/>
          <w:color w:val="auto"/>
        </w:rPr>
      </w:pPr>
    </w:p>
    <w:p>
      <w:pPr>
        <w:jc w:val="both"/>
        <w:ind w:firstLine="1305"/>
        <w:spacing w:after="0" w:line="250" w:lineRule="auto"/>
        <w:tabs>
          <w:tab w:leader="none" w:pos="16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 w:lineRule="exact"/>
        <w:rPr>
          <w:rFonts w:ascii="Arial" w:cs="Arial" w:eastAsia="Arial" w:hAnsi="Arial"/>
          <w:sz w:val="18"/>
          <w:szCs w:val="18"/>
          <w:color w:val="auto"/>
        </w:rPr>
      </w:pPr>
    </w:p>
    <w:p>
      <w:pPr>
        <w:ind w:firstLine="1305"/>
        <w:spacing w:after="0" w:line="265" w:lineRule="auto"/>
        <w:tabs>
          <w:tab w:leader="none" w:pos="1657"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ind w:firstLine="1305"/>
        <w:spacing w:after="0" w:line="265" w:lineRule="auto"/>
        <w:tabs>
          <w:tab w:leader="none" w:pos="1657"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jc w:val="both"/>
        <w:ind w:firstLine="1305"/>
        <w:spacing w:after="0" w:line="250" w:lineRule="auto"/>
        <w:tabs>
          <w:tab w:leader="none" w:pos="16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Three Million Dollars ($3,000,000) in the aggregate in any fiscal year;</w:t>
      </w:r>
    </w:p>
    <w:p>
      <w:pPr>
        <w:spacing w:after="0" w:line="1" w:lineRule="exact"/>
        <w:rPr>
          <w:rFonts w:ascii="Arial" w:cs="Arial" w:eastAsia="Arial" w:hAnsi="Arial"/>
          <w:sz w:val="18"/>
          <w:szCs w:val="18"/>
          <w:color w:val="auto"/>
        </w:rPr>
      </w:pPr>
    </w:p>
    <w:p>
      <w:pPr>
        <w:ind w:left="1660" w:hanging="355"/>
        <w:spacing w:after="0"/>
        <w:tabs>
          <w:tab w:leader="none" w:pos="1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9" w:lineRule="exact"/>
        <w:rPr>
          <w:rFonts w:ascii="Arial" w:cs="Arial" w:eastAsia="Arial" w:hAnsi="Arial"/>
          <w:sz w:val="18"/>
          <w:szCs w:val="18"/>
          <w:color w:val="auto"/>
        </w:rPr>
      </w:pPr>
    </w:p>
    <w:p>
      <w:pPr>
        <w:ind w:firstLine="1305"/>
        <w:spacing w:after="0" w:line="281" w:lineRule="auto"/>
        <w:tabs>
          <w:tab w:leader="none" w:pos="1657"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Intercompany advances or loans not exceeding Five Hundred Thousand Dollars ($500,000) in the aggregate outstanding at any time, repaid within one hundred eighty (180) days, in connection with the settlement of transfer pricing arrangements in the ordinary course of business; and</w:t>
      </w:r>
    </w:p>
    <w:p>
      <w:pPr>
        <w:spacing w:after="0" w:line="1" w:lineRule="exact"/>
        <w:rPr>
          <w:rFonts w:ascii="Arial" w:cs="Arial" w:eastAsia="Arial" w:hAnsi="Arial"/>
          <w:sz w:val="16"/>
          <w:szCs w:val="16"/>
          <w:color w:val="auto"/>
        </w:rPr>
      </w:pPr>
    </w:p>
    <w:p>
      <w:pPr>
        <w:ind w:firstLine="1305"/>
        <w:spacing w:after="0" w:line="250" w:lineRule="auto"/>
        <w:tabs>
          <w:tab w:leader="none" w:pos="1657"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in an amount not to exceed Five Hundred Thousand Dollars ($500,000) in the aggregate in any twelve (12) month period.</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10" w:lineRule="exact"/>
        <w:rPr>
          <w:rFonts w:ascii="Arial" w:cs="Arial" w:eastAsia="Arial" w:hAnsi="Arial"/>
          <w:sz w:val="18"/>
          <w:szCs w:val="18"/>
          <w:color w:val="auto"/>
        </w:rPr>
      </w:pPr>
    </w:p>
    <w:p>
      <w:pPr>
        <w:ind w:left="660" w:firstLine="1293"/>
        <w:spacing w:after="0" w:line="258" w:lineRule="auto"/>
        <w:tabs>
          <w:tab w:leader="none" w:pos="2330" w:val="left"/>
        </w:tabs>
        <w:numPr>
          <w:ilvl w:val="1"/>
          <w:numId w:val="79"/>
        </w:numPr>
        <w:rPr>
          <w:rFonts w:ascii="Arial" w:cs="Arial" w:eastAsia="Arial" w:hAnsi="Arial"/>
          <w:sz w:val="18"/>
          <w:szCs w:val="18"/>
          <w:color w:val="auto"/>
        </w:rPr>
      </w:pPr>
      <w:r>
        <w:rPr>
          <w:rFonts w:ascii="Arial" w:cs="Arial" w:eastAsia="Arial" w:hAnsi="Arial"/>
          <w:sz w:val="18"/>
          <w:szCs w:val="18"/>
          <w:color w:val="auto"/>
        </w:rPr>
        <w:t>Liens existing on the Effective Date which are shown on the Perfection Certificate or arising under this Agreement or the other Loan Documents;</w:t>
      </w:r>
    </w:p>
    <w:p>
      <w:pPr>
        <w:spacing w:after="0" w:line="1" w:lineRule="exact"/>
        <w:rPr>
          <w:rFonts w:ascii="Arial" w:cs="Arial" w:eastAsia="Arial" w:hAnsi="Arial"/>
          <w:sz w:val="18"/>
          <w:szCs w:val="18"/>
          <w:color w:val="auto"/>
        </w:rPr>
      </w:pPr>
    </w:p>
    <w:p>
      <w:pPr>
        <w:ind w:left="1660" w:hanging="355"/>
        <w:spacing w:after="0"/>
        <w:tabs>
          <w:tab w:leader="none" w:pos="1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Liens for taxes, fees, assessments or other government charges or levies, either (i) not due and payable or (ii) being contested in good</w:t>
      </w:r>
    </w:p>
    <w:p>
      <w:pPr>
        <w:spacing w:after="0" w:line="3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 w:lineRule="exact"/>
        <w:rPr>
          <w:sz w:val="20"/>
          <w:szCs w:val="20"/>
          <w:color w:val="auto"/>
        </w:rPr>
      </w:pPr>
    </w:p>
    <w:p>
      <w:pPr>
        <w:jc w:val="both"/>
        <w:ind w:firstLine="1305"/>
        <w:spacing w:after="0" w:line="250" w:lineRule="auto"/>
        <w:tabs>
          <w:tab w:leader="none" w:pos="1684"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 money Liens or capital leases (i) on Equipment or software acquired or held by 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1" w:lineRule="exact"/>
        <w:rPr>
          <w:rFonts w:ascii="Arial" w:cs="Arial" w:eastAsia="Arial" w:hAnsi="Arial"/>
          <w:sz w:val="18"/>
          <w:szCs w:val="18"/>
          <w:color w:val="auto"/>
        </w:rPr>
      </w:pPr>
    </w:p>
    <w:p>
      <w:pPr>
        <w:jc w:val="both"/>
        <w:ind w:firstLine="1305"/>
        <w:spacing w:after="0" w:line="265" w:lineRule="auto"/>
        <w:tabs>
          <w:tab w:leader="none" w:pos="1657" w:val="left"/>
        </w:tabs>
        <w:numPr>
          <w:ilvl w:val="0"/>
          <w:numId w:val="81"/>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which are not delinquent or remain payable without penalty or which are being contested in good faith and by appropriate proceedings which proceedings have the effect of preventing the forfeiture or sale of the property subject thereto;</w:t>
      </w:r>
    </w:p>
    <w:p>
      <w:pPr>
        <w:ind w:firstLine="1305"/>
        <w:spacing w:after="0" w:line="261" w:lineRule="auto"/>
        <w:tabs>
          <w:tab w:leader="none" w:pos="1657"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ectPr>
          <w:pgSz w:w="11900" w:h="16838" w:orient="portrait"/>
          <w:cols w:equalWidth="0" w:num="1">
            <w:col w:w="11420"/>
          </w:cols>
          <w:pgMar w:left="240" w:top="931" w:right="239" w:bottom="1440" w:gutter="0" w:footer="0" w:header="0"/>
        </w:sectPr>
      </w:pPr>
    </w:p>
    <w:bookmarkStart w:id="77" w:name="page78"/>
    <w:bookmarkEnd w:id="77"/>
    <w:p>
      <w:pPr>
        <w:jc w:val="both"/>
        <w:ind w:right="20" w:firstLine="1305"/>
        <w:spacing w:after="0" w:line="254" w:lineRule="auto"/>
        <w:tabs>
          <w:tab w:leader="none" w:pos="16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2" w:lineRule="exact"/>
        <w:rPr>
          <w:rFonts w:ascii="Arial" w:cs="Arial" w:eastAsia="Arial" w:hAnsi="Arial"/>
          <w:sz w:val="18"/>
          <w:szCs w:val="18"/>
          <w:color w:val="auto"/>
        </w:rPr>
      </w:pPr>
    </w:p>
    <w:p>
      <w:pPr>
        <w:jc w:val="both"/>
        <w:ind w:firstLine="1305"/>
        <w:spacing w:after="0" w:line="250" w:lineRule="auto"/>
        <w:tabs>
          <w:tab w:leader="none" w:pos="1657"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non-exclusive licenses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1" w:lineRule="exact"/>
        <w:rPr>
          <w:rFonts w:ascii="Arial" w:cs="Arial" w:eastAsia="Arial" w:hAnsi="Arial"/>
          <w:sz w:val="18"/>
          <w:szCs w:val="18"/>
          <w:color w:val="auto"/>
        </w:rPr>
      </w:pPr>
    </w:p>
    <w:p>
      <w:pPr>
        <w:ind w:left="1660" w:hanging="355"/>
        <w:spacing w:after="0"/>
        <w:tabs>
          <w:tab w:leader="none" w:pos="1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8.4 and 8.7; and</w:t>
      </w:r>
    </w:p>
    <w:p>
      <w:pPr>
        <w:spacing w:after="0" w:line="9" w:lineRule="exact"/>
        <w:rPr>
          <w:rFonts w:ascii="Arial" w:cs="Arial" w:eastAsia="Arial" w:hAnsi="Arial"/>
          <w:sz w:val="16"/>
          <w:szCs w:val="16"/>
          <w:color w:val="auto"/>
        </w:rPr>
      </w:pPr>
    </w:p>
    <w:p>
      <w:pPr>
        <w:jc w:val="both"/>
        <w:ind w:firstLine="1305"/>
        <w:spacing w:after="0" w:line="250" w:lineRule="auto"/>
        <w:tabs>
          <w:tab w:leader="none" w:pos="16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(i) Bank has a first priority perfected security interest in the amounts held in such deposit and/or securities accounts if required under Section 6.8 and (ii) such accounts are permitted to be maintained pursuant to Section 6.8 of this Agreement; and</w:t>
      </w:r>
    </w:p>
    <w:p>
      <w:pPr>
        <w:spacing w:after="0" w:line="1" w:lineRule="exact"/>
        <w:rPr>
          <w:rFonts w:ascii="Arial" w:cs="Arial" w:eastAsia="Arial" w:hAnsi="Arial"/>
          <w:sz w:val="18"/>
          <w:szCs w:val="18"/>
          <w:color w:val="auto"/>
        </w:rPr>
      </w:pPr>
    </w:p>
    <w:p>
      <w:pPr>
        <w:jc w:val="both"/>
        <w:ind w:firstLine="1305"/>
        <w:spacing w:after="0" w:line="250" w:lineRule="auto"/>
        <w:tabs>
          <w:tab w:leader="none" w:pos="16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(other than for borrowed money), contracts for the purchase of property, leases, statutory obligations, ERISA, surety and appeal bonds, performance bonds and other obligations of a like nature, in each case, incurred in the ordinary course of business and not representing an obligation for borrowed money;</w:t>
      </w:r>
    </w:p>
    <w:p>
      <w:pPr>
        <w:spacing w:after="0" w:line="1" w:lineRule="exact"/>
        <w:rPr>
          <w:rFonts w:ascii="Arial" w:cs="Arial" w:eastAsia="Arial" w:hAnsi="Arial"/>
          <w:sz w:val="18"/>
          <w:szCs w:val="18"/>
          <w:color w:val="auto"/>
        </w:rPr>
      </w:pPr>
    </w:p>
    <w:p>
      <w:pPr>
        <w:jc w:val="both"/>
        <w:ind w:firstLine="1305"/>
        <w:spacing w:after="0" w:line="250" w:lineRule="auto"/>
        <w:tabs>
          <w:tab w:leader="none" w:pos="1657"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arising from the filing of precautionary Code financing statements with respect to operating leases or other leases not prohibited by this Agreement provided that such Liens and the financing statements are restricted to the specific personal property that is being leased under the applicable lease; and</w:t>
      </w:r>
    </w:p>
    <w:p>
      <w:pPr>
        <w:spacing w:after="0" w:line="1" w:lineRule="exact"/>
        <w:rPr>
          <w:rFonts w:ascii="Arial" w:cs="Arial" w:eastAsia="Arial" w:hAnsi="Arial"/>
          <w:sz w:val="18"/>
          <w:szCs w:val="18"/>
          <w:color w:val="auto"/>
        </w:rPr>
      </w:pPr>
    </w:p>
    <w:p>
      <w:pPr>
        <w:jc w:val="both"/>
        <w:ind w:firstLine="1305"/>
        <w:spacing w:after="0" w:line="250" w:lineRule="auto"/>
        <w:tabs>
          <w:tab w:leader="none" w:pos="16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(k), but any extension, renewal or replacement Lien must be limited to the property encumbered by the existing Lien and the principal amount of the indebtedness may not increase.</w:t>
      </w:r>
    </w:p>
    <w:p>
      <w:pPr>
        <w:spacing w:after="0" w:line="1" w:lineRule="exact"/>
        <w:rPr>
          <w:rFonts w:ascii="Arial" w:cs="Arial" w:eastAsia="Arial" w:hAnsi="Arial"/>
          <w:sz w:val="18"/>
          <w:szCs w:val="18"/>
          <w:color w:val="auto"/>
        </w:rPr>
      </w:pPr>
    </w:p>
    <w:p>
      <w:pPr>
        <w:ind w:right="20" w:firstLine="648"/>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is the rate of interest per annum from time to time published in the money rates section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 Advance</w:t>
      </w:r>
      <w:r>
        <w:rPr>
          <w:rFonts w:ascii="Arial" w:cs="Arial" w:eastAsia="Arial" w:hAnsi="Arial"/>
          <w:sz w:val="18"/>
          <w:szCs w:val="18"/>
          <w:color w:val="auto"/>
        </w:rPr>
        <w:t>” means an Advance that bears interest based at the Prime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 Margin</w:t>
      </w:r>
      <w:r>
        <w:rPr>
          <w:rFonts w:ascii="Arial" w:cs="Arial" w:eastAsia="Arial" w:hAnsi="Arial"/>
          <w:sz w:val="17"/>
          <w:szCs w:val="17"/>
          <w:color w:val="auto"/>
        </w:rPr>
        <w:t>” is (a) if a Streamline Period is in effect, one-half of one percent (0.50%) and (b) in all other cases, two percent (2.00%).</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Loan Agreement</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Quick Assets</w:t>
      </w:r>
      <w:r>
        <w:rPr>
          <w:rFonts w:ascii="Arial" w:cs="Arial" w:eastAsia="Arial" w:hAnsi="Arial"/>
          <w:sz w:val="18"/>
          <w:szCs w:val="18"/>
          <w:color w:val="auto"/>
        </w:rPr>
        <w:t>” is, on any date, Borrower’s consolidated, unrestricted and unencumbered (other than Liens in favor of Bank or Bank’s Affiliates) cash, Cash Equivalents and marketable securities maintained with Bank and Eligible Accounts.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Change</w:t>
      </w:r>
      <w:r>
        <w:rPr>
          <w:rFonts w:ascii="Arial" w:cs="Arial" w:eastAsia="Arial" w:hAnsi="Arial"/>
          <w:sz w:val="17"/>
          <w:szCs w:val="17"/>
          <w:color w:val="auto"/>
        </w:rPr>
        <w:t>” means, with respect to Bank, any change on or after the date of this Agreement in United States federal, state, or foreign laws or regulations, including Regulation D, or the adoption or making on or after such date of any interpretations, directives, or requests applying to a class of lenders including Bank, of or under any United States federal or state, or any foreign laws or regulations (whether or not having the force of law) by any court or governmental or monetary authority charged with the interpretation or administration thereof.</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ectPr>
          <w:pgSz w:w="11900" w:h="16838" w:orient="portrait"/>
          <w:cols w:equalWidth="0" w:num="1">
            <w:col w:w="11420"/>
          </w:cols>
          <w:pgMar w:left="240" w:top="935" w:right="239" w:bottom="1440" w:gutter="0" w:footer="0" w:header="0"/>
        </w:sectPr>
      </w:pPr>
    </w:p>
    <w:bookmarkStart w:id="78" w:name="page79"/>
    <w:bookmarkEnd w:id="78"/>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 Release Event</w:t>
      </w:r>
      <w:r>
        <w:rPr>
          <w:rFonts w:ascii="Arial" w:cs="Arial" w:eastAsia="Arial" w:hAnsi="Arial"/>
          <w:sz w:val="18"/>
          <w:szCs w:val="18"/>
          <w:color w:val="auto"/>
        </w:rPr>
        <w:t>” means that Borrower has achieved Adjusted EBITDA for any trailing twelve (12) month period ending as of the last day of any month after the Effective Date of at least One Dollar ($1.00).</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 Requirement</w:t>
      </w:r>
      <w:r>
        <w:rPr>
          <w:rFonts w:ascii="Arial" w:cs="Arial" w:eastAsia="Arial" w:hAnsi="Arial"/>
          <w:sz w:val="18"/>
          <w:szCs w:val="18"/>
          <w:color w:val="auto"/>
        </w:rPr>
        <w:t>” means, for any Interest Period, the average maximum rate at which reserves (including any marginal, supplemental, or emergency reserves) are required to be maintained during such Interest Period under Regulation D against “Eurocurrency liabilities” (as such term is used in Regulation D) by member banks of the Federal Reserve System. Without limiting the effect of the foregoing, the Reserve Requirement shall reflect any other reserves required to be maintained by Bank by reason of any Regulatory Change against (a) any category of liabilities which includes deposits by reference to which the LIBOR Rate is to be determined as provided in the definition of LIBOR or (b) any category of extensions of credit or other assets which include Advances.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Reserves</w:t>
      </w:r>
      <w:r>
        <w:rPr>
          <w:rFonts w:ascii="Arial" w:cs="Arial" w:eastAsia="Arial" w:hAnsi="Arial"/>
          <w:sz w:val="17"/>
          <w:szCs w:val="17"/>
          <w:color w:val="auto"/>
        </w:rPr>
        <w:t>” means, as of any date of determination, such amounts as Bank may from time to time establish and revise in its good faith business judgment, reducing the amount of Advances and other financial accommodations which would otherwise be available to Borrower (a) to reflect events, conditions, contingencies or risks which, as determined by Bank in its good faith business judgment,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 (c) in respect of any state of facts which Bank determines constitutes an Event of Default or may, with notice or passage of time or both, constitute an Event of Default.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is an aggregate principal amount equal to Forty Million Dollars ($40,000,000).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Maturity Date</w:t>
      </w:r>
      <w:r>
        <w:rPr>
          <w:rFonts w:ascii="Arial" w:cs="Arial" w:eastAsia="Arial" w:hAnsi="Arial"/>
          <w:sz w:val="18"/>
          <w:szCs w:val="18"/>
          <w:color w:val="auto"/>
        </w:rPr>
        <w:t>” is the date two (2) years after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Rubicon</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Affiliate</w:t>
      </w:r>
      <w:r>
        <w:rPr>
          <w:rFonts w:ascii="Arial" w:cs="Arial" w:eastAsia="Arial" w:hAnsi="Arial"/>
          <w:sz w:val="18"/>
          <w:szCs w:val="18"/>
          <w:color w:val="auto"/>
        </w:rPr>
        <w:t>” is any Person (a) more than ten percent (10.0%) of whose aggregate issued and outstanding equity or ownership securities or interests, voting, non-voting or both, are owned or held directly or indirectly, beneficially or of record, by Borrower, and/or (ii) whose equity or ownership securities or interests representing more than ten percent (10.0%) of such Person’s total outstanding combined voting power are owned or held directly or indirectly, beneficially or of record, by Borrower.</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Streamline Period</w:t>
      </w:r>
      <w:r>
        <w:rPr>
          <w:rFonts w:ascii="Arial" w:cs="Arial" w:eastAsia="Arial" w:hAnsi="Arial"/>
          <w:sz w:val="16"/>
          <w:szCs w:val="16"/>
          <w:color w:val="auto"/>
        </w:rPr>
        <w:t>” is, on and after the Effective Date, provided no Event of Default has occurred and is continuing, the period (a) commencing on the first day of the month following the day that Borrower provides to Bank a written report that Borrower has, for each consecutive day in the immediately preceding month an Adjusted Quick Ratio, as determined by Bank in its discretion, of at least 1.05 to 1.00 (the “</w:t>
      </w:r>
      <w:r>
        <w:rPr>
          <w:rFonts w:ascii="Arial" w:cs="Arial" w:eastAsia="Arial" w:hAnsi="Arial"/>
          <w:sz w:val="16"/>
          <w:szCs w:val="16"/>
          <w:b w:val="1"/>
          <w:bCs w:val="1"/>
          <w:color w:val="auto"/>
        </w:rPr>
        <w:t>Streamline Ratio</w:t>
      </w:r>
      <w:r>
        <w:rPr>
          <w:rFonts w:ascii="Arial" w:cs="Arial" w:eastAsia="Arial" w:hAnsi="Arial"/>
          <w:sz w:val="16"/>
          <w:szCs w:val="16"/>
          <w:color w:val="auto"/>
        </w:rPr>
        <w:t>”); and (b) terminating on the earlier to occur of (i) the occurrence of an Event of Default, and (ii) the first day thereafter in which Borrower fails to maintain the Streamline Ratio, as determined by Bank in its discretion. Upon the termination of a Streamline Period, Borrower must maintain the Streamline Ratio each consecutive day for three (3) consecutive months as determined by Bank in its discretion, prior to entering into a subsequent Streamline Period. Borrower shall give Bank prior written notice of Borrower’s election to enter into any such Streamline Period, and each such Streamline Period shall commence on the first day of the monthly period following the date Bank determines, in its reasonable discretion, that the Streamline Balance has been achieved.</w:t>
      </w:r>
    </w:p>
    <w:p>
      <w:pPr>
        <w:sectPr>
          <w:pgSz w:w="11900" w:h="16838" w:orient="portrait"/>
          <w:cols w:equalWidth="0" w:num="1">
            <w:col w:w="11420"/>
          </w:cols>
          <w:pgMar w:left="240" w:top="931"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Streamline Ratio</w:t>
      </w:r>
      <w:r>
        <w:rPr>
          <w:rFonts w:ascii="Arial" w:cs="Arial" w:eastAsia="Arial" w:hAnsi="Arial"/>
          <w:sz w:val="18"/>
          <w:szCs w:val="18"/>
          <w:color w:val="auto"/>
        </w:rPr>
        <w:t>” is defined in the definition of “Streamline Period.”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Liabilities</w:t>
      </w:r>
      <w:r>
        <w:rPr>
          <w:rFonts w:ascii="Arial" w:cs="Arial" w:eastAsia="Arial" w:hAnsi="Arial"/>
          <w:sz w:val="18"/>
          <w:szCs w:val="18"/>
          <w:color w:val="auto"/>
        </w:rPr>
        <w:t>” is on any day, obligations that should, under GAAP, be classified as liabilities on Borrower’s consolidated balance sheet, including all Indebtedness.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Turing</w:t>
      </w:r>
      <w:r>
        <w:rPr>
          <w:rFonts w:ascii="Arial" w:cs="Arial" w:eastAsia="Arial" w:hAnsi="Arial"/>
          <w:sz w:val="18"/>
          <w:szCs w:val="18"/>
          <w:color w:val="auto"/>
        </w:rPr>
        <w:t>” is defined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Unlatch</w:t>
      </w:r>
      <w:r>
        <w:rPr>
          <w:rFonts w:ascii="Arial" w:cs="Arial" w:eastAsia="Arial" w:hAnsi="Arial"/>
          <w:sz w:val="18"/>
          <w:szCs w:val="18"/>
          <w:color w:val="auto"/>
        </w:rPr>
        <w:t>” is defined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Revolving Line Facility Fee</w:t>
      </w:r>
      <w:r>
        <w:rPr>
          <w:rFonts w:ascii="Arial" w:cs="Arial" w:eastAsia="Arial" w:hAnsi="Arial"/>
          <w:sz w:val="18"/>
          <w:szCs w:val="18"/>
          <w:color w:val="auto"/>
        </w:rPr>
        <w:t>” is defined in Section 2.4(b).</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Signature Pages to Amended and Restated Loan and Security Agreement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Effective Date.</w:t>
      </w:r>
    </w:p>
    <w:p>
      <w:pPr>
        <w:spacing w:after="0" w:line="20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THE RUBICON PROJECT, INC.</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Day</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David Day</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Financial Officer</w:t>
      </w:r>
    </w:p>
    <w:p>
      <w:pPr>
        <w:spacing w:after="0" w:line="200" w:lineRule="exact"/>
        <w:rPr>
          <w:sz w:val="20"/>
          <w:szCs w:val="20"/>
          <w:color w:val="auto"/>
        </w:rPr>
      </w:pPr>
    </w:p>
    <w:p>
      <w:pPr>
        <w:spacing w:after="0" w:line="29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RUBICON PROJECT HOPPER, INC.</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Day</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David Day</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RUBICON PROJECT BELL, INC.</w:t>
      </w:r>
    </w:p>
    <w:p>
      <w:pPr>
        <w:sectPr>
          <w:pgSz w:w="11900" w:h="16838" w:orient="portrait"/>
          <w:cols w:equalWidth="0" w:num="1">
            <w:col w:w="11420"/>
          </w:cols>
          <w:pgMar w:left="240" w:top="932" w:right="239" w:bottom="1440" w:gutter="0" w:footer="0" w:header="0"/>
        </w:sectPr>
      </w:pPr>
    </w:p>
    <w:bookmarkStart w:id="80" w:name="page81"/>
    <w:bookmarkEnd w:id="80"/>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Day</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David Day</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BANK:</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SILICON VALLEY BANK</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Michaela Brady</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Michaela Brady</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Notwithstanding the foregoing, the Collateral does not include any of the following: (a) more than 65% of the presently existing and hereafter arising issued and outstanding shares of capital stock owned by Borrower of any Foreign Subsidiary which shares entitle the holder thereof to vote for directors or any other matter, (b) more than 65% of the presently existing and hereafter arising issued and outstanding shares of capital stock owned by Borrower of any Domestic Subsidiary that is a disregarded entity for United States federal income tax purposes substantially all of the assets of which consist of equity securities in one or more Foreign Subsidiaries, (c) rights held under a license that are not assignable by their terms without the consent of the licensor thereof (but only to the extent such restriction on assignment is enforceable under applicable law); (d)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and (e)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ectPr>
          <w:pgSz w:w="11900" w:h="16838" w:orient="portrait"/>
          <w:cols w:equalWidth="0" w:num="1">
            <w:col w:w="11420"/>
          </w:cols>
          <w:pgMar w:left="240" w:top="1179" w:right="239" w:bottom="1440" w:gutter="0" w:footer="0" w:header="0"/>
        </w:sectPr>
      </w:pPr>
    </w:p>
    <w:bookmarkStart w:id="81" w:name="page82"/>
    <w:bookmarkEnd w:id="81"/>
    <w:p>
      <w:pPr>
        <w:jc w:val="both"/>
        <w:ind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COMPLIANCE STATEMENT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TO: SILICON VALLEY BANK</w:t>
            </w:r>
          </w:p>
        </w:tc>
        <w:tc>
          <w:tcPr>
            <w:tcW w:w="880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230"/>
        </w:trPr>
        <w:tc>
          <w:tcPr>
            <w:tcW w:w="11400" w:type="dxa"/>
            <w:vAlign w:val="bottom"/>
            <w:gridSpan w:val="2"/>
          </w:tcPr>
          <w:p>
            <w:pPr>
              <w:spacing w:after="0"/>
              <w:rPr>
                <w:sz w:val="20"/>
                <w:szCs w:val="20"/>
                <w:color w:val="auto"/>
              </w:rPr>
            </w:pPr>
            <w:r>
              <w:rPr>
                <w:rFonts w:ascii="Arial" w:cs="Arial" w:eastAsia="Arial" w:hAnsi="Arial"/>
                <w:sz w:val="18"/>
                <w:szCs w:val="18"/>
                <w:color w:val="auto"/>
              </w:rPr>
              <w:t>FROM: THE RUBICON PROJECT, INC. ET AL.</w:t>
            </w:r>
          </w:p>
        </w:tc>
      </w:tr>
      <w:tr>
        <w:trPr>
          <w:trHeight w:val="324"/>
        </w:trPr>
        <w:tc>
          <w:tcPr>
            <w:tcW w:w="2600" w:type="dxa"/>
            <w:vAlign w:val="bottom"/>
          </w:tcPr>
          <w:p>
            <w:pPr>
              <w:ind w:left="1300"/>
              <w:spacing w:after="0"/>
              <w:rPr>
                <w:sz w:val="20"/>
                <w:szCs w:val="20"/>
                <w:color w:val="auto"/>
              </w:rPr>
            </w:pPr>
            <w:r>
              <w:rPr>
                <w:rFonts w:ascii="Arial" w:cs="Arial" w:eastAsia="Arial" w:hAnsi="Arial"/>
                <w:sz w:val="18"/>
                <w:szCs w:val="18"/>
                <w:color w:val="auto"/>
                <w:w w:val="99"/>
              </w:rPr>
              <w:t>Under the terms</w:t>
            </w:r>
          </w:p>
        </w:tc>
        <w:tc>
          <w:tcPr>
            <w:tcW w:w="8800" w:type="dxa"/>
            <w:vAlign w:val="bottom"/>
          </w:tcPr>
          <w:p>
            <w:pPr>
              <w:ind w:left="80"/>
              <w:spacing w:after="0"/>
              <w:rPr>
                <w:sz w:val="20"/>
                <w:szCs w:val="20"/>
                <w:color w:val="auto"/>
              </w:rPr>
            </w:pPr>
            <w:r>
              <w:rPr>
                <w:rFonts w:ascii="Arial" w:cs="Arial" w:eastAsia="Arial" w:hAnsi="Arial"/>
                <w:sz w:val="18"/>
                <w:szCs w:val="18"/>
                <w:color w:val="auto"/>
                <w:w w:val="99"/>
              </w:rPr>
              <w:t>and conditions of the Amended and Restated Loan and Security Agreement between Borrower and Bank (the</w:t>
            </w:r>
          </w:p>
        </w:tc>
      </w:tr>
    </w:tbl>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 with all required covenants except as noted below. Attached are</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Please indicate compliance status by circling Yes/No under “Complies” column.</w:t>
      </w:r>
    </w:p>
    <w:p>
      <w:pPr>
        <w:spacing w:after="0" w:line="197"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900" w:type="dxa"/>
            <w:vAlign w:val="bottom"/>
            <w:tcBorders>
              <w:top w:val="single" w:sz="8" w:color="auto"/>
              <w:left w:val="single" w:sz="8" w:color="auto"/>
            </w:tcBorders>
          </w:tcPr>
          <w:p>
            <w:pPr>
              <w:spacing w:after="0"/>
              <w:rPr>
                <w:sz w:val="18"/>
                <w:szCs w:val="18"/>
                <w:color w:val="auto"/>
              </w:rPr>
            </w:pPr>
          </w:p>
        </w:tc>
        <w:tc>
          <w:tcPr>
            <w:tcW w:w="36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Reporting Covenants</w:t>
            </w:r>
          </w:p>
        </w:tc>
        <w:tc>
          <w:tcPr>
            <w:tcW w:w="1460" w:type="dxa"/>
            <w:vAlign w:val="bottom"/>
            <w:tcBorders>
              <w:top w:val="single" w:sz="8" w:color="auto"/>
            </w:tcBorders>
          </w:tcPr>
          <w:p>
            <w:pPr>
              <w:spacing w:after="0"/>
              <w:rPr>
                <w:sz w:val="18"/>
                <w:szCs w:val="18"/>
                <w:color w:val="auto"/>
              </w:rPr>
            </w:pPr>
          </w:p>
        </w:tc>
        <w:tc>
          <w:tcPr>
            <w:tcW w:w="22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Required</w:t>
            </w:r>
          </w:p>
        </w:tc>
        <w:tc>
          <w:tcPr>
            <w:tcW w:w="1980" w:type="dxa"/>
            <w:vAlign w:val="bottom"/>
            <w:tcBorders>
              <w:top w:val="single" w:sz="8" w:color="auto"/>
              <w:right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8"/>
              </w:rPr>
              <w:t>Complies</w:t>
            </w:r>
          </w:p>
        </w:tc>
      </w:tr>
      <w:tr>
        <w:trPr>
          <w:trHeight w:val="48"/>
        </w:trPr>
        <w:tc>
          <w:tcPr>
            <w:tcW w:w="1900" w:type="dxa"/>
            <w:vAlign w:val="bottom"/>
            <w:tcBorders>
              <w:left w:val="single" w:sz="8" w:color="auto"/>
              <w:bottom w:val="single" w:sz="8" w:color="auto"/>
            </w:tcBorders>
          </w:tcPr>
          <w:p>
            <w:pPr>
              <w:spacing w:after="0"/>
              <w:rPr>
                <w:sz w:val="4"/>
                <w:szCs w:val="4"/>
                <w:color w:val="auto"/>
              </w:rPr>
            </w:pPr>
          </w:p>
        </w:tc>
        <w:tc>
          <w:tcPr>
            <w:tcW w:w="1680" w:type="dxa"/>
            <w:vAlign w:val="bottom"/>
            <w:tcBorders>
              <w:top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682"/>
        </w:trPr>
        <w:tc>
          <w:tcPr>
            <w:tcW w:w="19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r>
      <w:tr>
        <w:trPr>
          <w:trHeight w:val="222"/>
        </w:trPr>
        <w:tc>
          <w:tcPr>
            <w:tcW w:w="1900" w:type="dxa"/>
            <w:vAlign w:val="bottom"/>
            <w:tcBorders>
              <w:left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Monthly within 30 days, if a Streamline Period</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r>
      <w:tr>
        <w:trPr>
          <w:trHeight w:val="216"/>
        </w:trPr>
        <w:tc>
          <w:tcPr>
            <w:tcW w:w="190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does not apply; None, if a Streamline Period</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30"/>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Monthly financial statements</w:t>
            </w: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applies</w:t>
            </w:r>
          </w:p>
        </w:tc>
        <w:tc>
          <w:tcPr>
            <w:tcW w:w="60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Yes No</w:t>
            </w:r>
          </w:p>
        </w:tc>
      </w:tr>
      <w:tr>
        <w:trPr>
          <w:trHeight w:val="27"/>
        </w:trPr>
        <w:tc>
          <w:tcPr>
            <w:tcW w:w="190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22"/>
        </w:trPr>
        <w:tc>
          <w:tcPr>
            <w:tcW w:w="1900" w:type="dxa"/>
            <w:vAlign w:val="bottom"/>
            <w:tcBorders>
              <w:left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Monthly within 30 days, if a Streamline Period</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r>
      <w:tr>
        <w:trPr>
          <w:trHeight w:val="216"/>
        </w:trPr>
        <w:tc>
          <w:tcPr>
            <w:tcW w:w="190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does not apply; Quarterly within</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5 days of filing 10-Q or 10-K, if a Streamline</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30"/>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Compliance Statement</w:t>
            </w: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Period applies</w:t>
            </w:r>
          </w:p>
        </w:tc>
        <w:tc>
          <w:tcPr>
            <w:tcW w:w="60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Yes No</w:t>
            </w:r>
          </w:p>
        </w:tc>
      </w:tr>
      <w:tr>
        <w:trPr>
          <w:trHeight w:val="27"/>
        </w:trPr>
        <w:tc>
          <w:tcPr>
            <w:tcW w:w="190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37"/>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10-Q, 10-K and 8-K</w:t>
            </w: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Within 5 days after filing with SEC</w:t>
            </w:r>
          </w:p>
        </w:tc>
        <w:tc>
          <w:tcPr>
            <w:tcW w:w="60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Yes No</w:t>
            </w:r>
          </w:p>
        </w:tc>
      </w:tr>
      <w:tr>
        <w:trPr>
          <w:trHeight w:val="27"/>
        </w:trPr>
        <w:tc>
          <w:tcPr>
            <w:tcW w:w="190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22"/>
        </w:trPr>
        <w:tc>
          <w:tcPr>
            <w:tcW w:w="1900" w:type="dxa"/>
            <w:vAlign w:val="bottom"/>
            <w:tcBorders>
              <w:left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Monthly within 30 days, if a Streamline Period</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r>
      <w:tr>
        <w:trPr>
          <w:trHeight w:val="216"/>
        </w:trPr>
        <w:tc>
          <w:tcPr>
            <w:tcW w:w="190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does not apply; within</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5 days of filing 10-Q or 10-K, if a Streamline</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30"/>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A/R &amp; A/P Agings</w:t>
            </w: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Period applies</w:t>
            </w:r>
          </w:p>
        </w:tc>
        <w:tc>
          <w:tcPr>
            <w:tcW w:w="60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Yes No</w:t>
            </w:r>
          </w:p>
        </w:tc>
      </w:tr>
      <w:tr>
        <w:trPr>
          <w:trHeight w:val="27"/>
        </w:trPr>
        <w:tc>
          <w:tcPr>
            <w:tcW w:w="190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22"/>
        </w:trPr>
        <w:tc>
          <w:tcPr>
            <w:tcW w:w="1900" w:type="dxa"/>
            <w:vAlign w:val="bottom"/>
            <w:tcBorders>
              <w:left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Monthly within 7 Business Days if a Streamline</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r>
      <w:tr>
        <w:trPr>
          <w:trHeight w:val="216"/>
        </w:trPr>
        <w:tc>
          <w:tcPr>
            <w:tcW w:w="190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Period does not apply and any Advances are</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outstanding; Quarterly within 5 days of filing 10-</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30"/>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Borrowing Base Statement</w:t>
            </w: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Q or 10-K at all other times</w:t>
            </w:r>
          </w:p>
        </w:tc>
        <w:tc>
          <w:tcPr>
            <w:tcW w:w="60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Yes No</w:t>
            </w:r>
          </w:p>
        </w:tc>
      </w:tr>
      <w:tr>
        <w:trPr>
          <w:trHeight w:val="27"/>
        </w:trPr>
        <w:tc>
          <w:tcPr>
            <w:tcW w:w="190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22"/>
        </w:trPr>
        <w:tc>
          <w:tcPr>
            <w:tcW w:w="1900" w:type="dxa"/>
            <w:vAlign w:val="bottom"/>
            <w:tcBorders>
              <w:left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Earlier of 30 days after Board approval or 60 days</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r>
      <w:tr>
        <w:trPr>
          <w:trHeight w:val="230"/>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Board approved projections</w:t>
            </w: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after FYE, and as amended/updated</w:t>
            </w:r>
          </w:p>
        </w:tc>
        <w:tc>
          <w:tcPr>
            <w:tcW w:w="60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Yes No</w:t>
            </w:r>
          </w:p>
        </w:tc>
      </w:tr>
      <w:tr>
        <w:trPr>
          <w:trHeight w:val="27"/>
        </w:trPr>
        <w:tc>
          <w:tcPr>
            <w:tcW w:w="190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935" w:right="239" w:bottom="1440" w:gutter="0" w:footer="0" w:header="0"/>
        </w:sectPr>
      </w:pPr>
    </w:p>
    <w:bookmarkStart w:id="82" w:name="page83"/>
    <w:bookmarkEnd w:id="82"/>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 w:type="dxa"/>
            <w:vAlign w:val="bottom"/>
            <w:tcBorders>
              <w:top w:val="single" w:sz="8" w:color="auto"/>
              <w:left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Financial Covenant</w:t>
            </w:r>
          </w:p>
        </w:tc>
        <w:tc>
          <w:tcPr>
            <w:tcW w:w="44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8"/>
              </w:rPr>
              <w:t>Complies</w:t>
            </w:r>
          </w:p>
        </w:tc>
        <w:tc>
          <w:tcPr>
            <w:tcW w:w="4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40" w:type="dxa"/>
            <w:vAlign w:val="bottom"/>
            <w:tcBorders>
              <w:left w:val="single" w:sz="8" w:color="auto"/>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682"/>
        </w:trPr>
        <w:tc>
          <w:tcPr>
            <w:tcW w:w="20" w:type="dxa"/>
            <w:vAlign w:val="bottom"/>
          </w:tcPr>
          <w:p>
            <w:pPr>
              <w:spacing w:after="0"/>
              <w:rPr>
                <w:sz w:val="24"/>
                <w:szCs w:val="24"/>
                <w:color w:val="auto"/>
              </w:rPr>
            </w:pPr>
          </w:p>
        </w:tc>
        <w:tc>
          <w:tcPr>
            <w:tcW w:w="4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4360" w:type="dxa"/>
            <w:vAlign w:val="bottom"/>
            <w:tcBorders>
              <w:right w:val="single" w:sz="8" w:color="auto"/>
            </w:tcBorders>
            <w:gridSpan w:val="7"/>
          </w:tcPr>
          <w:p>
            <w:pPr>
              <w:spacing w:after="0" w:line="196" w:lineRule="exact"/>
              <w:rPr>
                <w:sz w:val="20"/>
                <w:szCs w:val="20"/>
                <w:color w:val="auto"/>
              </w:rPr>
            </w:pPr>
            <w:r>
              <w:rPr>
                <w:rFonts w:ascii="Arial" w:cs="Arial" w:eastAsia="Arial" w:hAnsi="Arial"/>
                <w:sz w:val="18"/>
                <w:szCs w:val="18"/>
                <w:color w:val="auto"/>
              </w:rPr>
              <w:t>Maintain as indicated:</w:t>
            </w:r>
          </w:p>
        </w:tc>
        <w:tc>
          <w:tcPr>
            <w:tcW w:w="440" w:type="dxa"/>
            <w:vAlign w:val="bottom"/>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 w:type="dxa"/>
            <w:vAlign w:val="bottom"/>
            <w:tcBorders>
              <w:left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22"/>
        </w:trPr>
        <w:tc>
          <w:tcPr>
            <w:tcW w:w="2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4360" w:type="dxa"/>
            <w:vAlign w:val="bottom"/>
            <w:tcBorders>
              <w:right w:val="single" w:sz="8" w:color="auto"/>
            </w:tcBorders>
            <w:gridSpan w:val="7"/>
          </w:tcPr>
          <w:p>
            <w:pPr>
              <w:ind w:left="200"/>
              <w:spacing w:after="0"/>
              <w:rPr>
                <w:sz w:val="20"/>
                <w:szCs w:val="20"/>
                <w:color w:val="auto"/>
              </w:rPr>
            </w:pPr>
            <w:r>
              <w:rPr>
                <w:rFonts w:ascii="Arial" w:cs="Arial" w:eastAsia="Arial" w:hAnsi="Arial"/>
                <w:sz w:val="18"/>
                <w:szCs w:val="18"/>
                <w:color w:val="auto"/>
              </w:rPr>
              <w:t>Minimum Adjusted Quick Ratio:</w:t>
            </w:r>
          </w:p>
        </w:tc>
        <w:tc>
          <w:tcPr>
            <w:tcW w:w="440" w:type="dxa"/>
            <w:vAlign w:val="bottom"/>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4360" w:type="dxa"/>
            <w:vAlign w:val="bottom"/>
            <w:tcBorders>
              <w:right w:val="single" w:sz="8" w:color="auto"/>
            </w:tcBorders>
            <w:gridSpan w:val="7"/>
          </w:tcPr>
          <w:p>
            <w:pPr>
              <w:ind w:left="200"/>
              <w:spacing w:after="0"/>
              <w:rPr>
                <w:sz w:val="20"/>
                <w:szCs w:val="20"/>
                <w:color w:val="auto"/>
              </w:rPr>
            </w:pPr>
            <w:r>
              <w:rPr>
                <w:rFonts w:ascii="Arial" w:cs="Arial" w:eastAsia="Arial" w:hAnsi="Arial"/>
                <w:sz w:val="18"/>
                <w:szCs w:val="18"/>
                <w:color w:val="auto"/>
              </w:rPr>
              <w:t>T6M Adj. EBITDA ≤ $0</w:t>
            </w:r>
          </w:p>
        </w:tc>
        <w:tc>
          <w:tcPr>
            <w:tcW w:w="3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1.00:1.00</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40" w:type="dxa"/>
            <w:vAlign w:val="bottom"/>
            <w:tcBorders>
              <w:left w:val="single" w:sz="8" w:color="auto"/>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gridSpan w:val="7"/>
          </w:tcPr>
          <w:p>
            <w:pPr>
              <w:ind w:left="200"/>
              <w:spacing w:after="0"/>
              <w:rPr>
                <w:sz w:val="20"/>
                <w:szCs w:val="20"/>
                <w:color w:val="auto"/>
              </w:rPr>
            </w:pPr>
            <w:r>
              <w:rPr>
                <w:rFonts w:ascii="Arial" w:cs="Arial" w:eastAsia="Arial" w:hAnsi="Arial"/>
                <w:sz w:val="18"/>
                <w:szCs w:val="18"/>
                <w:color w:val="auto"/>
              </w:rPr>
              <w:t>T6M Adj. EBITDA &gt; $0</w:t>
            </w:r>
          </w:p>
        </w:tc>
        <w:tc>
          <w:tcPr>
            <w:tcW w:w="32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0.90:1.00</w:t>
            </w: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_____:1.00</w:t>
            </w:r>
          </w:p>
        </w:tc>
        <w:tc>
          <w:tcPr>
            <w:tcW w:w="5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Yes No</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 w:type="dxa"/>
            <w:vAlign w:val="bottom"/>
            <w:tcBorders>
              <w:left w:val="single" w:sz="8" w:color="auto"/>
            </w:tcBorders>
          </w:tcPr>
          <w:p>
            <w:pPr>
              <w:spacing w:after="0"/>
              <w:rPr>
                <w:sz w:val="21"/>
                <w:szCs w:val="21"/>
                <w:color w:val="auto"/>
              </w:rPr>
            </w:pPr>
          </w:p>
        </w:tc>
        <w:tc>
          <w:tcPr>
            <w:tcW w:w="43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Minimum TTM Adjusted EBITDA</w:t>
            </w:r>
          </w:p>
        </w:tc>
        <w:tc>
          <w:tcPr>
            <w:tcW w:w="440" w:type="dxa"/>
            <w:vAlign w:val="bottom"/>
          </w:tcPr>
          <w:p>
            <w:pPr>
              <w:spacing w:after="0"/>
              <w:rPr>
                <w:sz w:val="21"/>
                <w:szCs w:val="21"/>
                <w:color w:val="auto"/>
              </w:rPr>
            </w:pPr>
          </w:p>
        </w:tc>
        <w:tc>
          <w:tcPr>
            <w:tcW w:w="2780" w:type="dxa"/>
            <w:vAlign w:val="bottom"/>
            <w:tcBorders>
              <w:right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Variation from Adjusted</w:t>
            </w:r>
          </w:p>
        </w:tc>
        <w:tc>
          <w:tcPr>
            <w:tcW w:w="3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Shall not vary (negatively) from the TTM</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EBITDA Projections:</w:t>
            </w:r>
          </w:p>
        </w:tc>
        <w:tc>
          <w:tcPr>
            <w:tcW w:w="3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Adjusted EBITDA Projections by more</w:t>
            </w:r>
          </w:p>
        </w:tc>
        <w:tc>
          <w:tcPr>
            <w:tcW w:w="23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2"/>
              </w:rPr>
              <w:t>_______% (indicate positive or</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w w:val="91"/>
              </w:rPr>
              <w:t>9/30/18 - 6/30/19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than 20%</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negative variation)</w:t>
            </w:r>
          </w:p>
        </w:tc>
        <w:tc>
          <w:tcPr>
            <w:tcW w:w="3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Yes No</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9/30/19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An amount equal to not less than $1.00</w:t>
            </w:r>
          </w:p>
        </w:tc>
        <w:tc>
          <w:tcPr>
            <w:tcW w:w="1400" w:type="dxa"/>
            <w:vAlign w:val="bottom"/>
          </w:tcPr>
          <w:p>
            <w:pPr>
              <w:ind w:left="20"/>
              <w:spacing w:after="0"/>
              <w:rPr>
                <w:sz w:val="20"/>
                <w:szCs w:val="20"/>
                <w:color w:val="auto"/>
              </w:rPr>
            </w:pPr>
            <w:r>
              <w:rPr>
                <w:rFonts w:ascii="Arial" w:cs="Arial" w:eastAsia="Arial" w:hAnsi="Arial"/>
                <w:sz w:val="18"/>
                <w:szCs w:val="18"/>
                <w:color w:val="auto"/>
              </w:rPr>
              <w:t>$_______</w:t>
            </w:r>
          </w:p>
        </w:tc>
        <w:tc>
          <w:tcPr>
            <w:tcW w:w="5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Yes No</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An amount equal to not less than</w:t>
            </w: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0" w:type="dxa"/>
            <w:vAlign w:val="bottom"/>
            <w:tcBorders>
              <w:left w:val="single" w:sz="8" w:color="auto"/>
            </w:tcBorders>
          </w:tcPr>
          <w:p>
            <w:pPr>
              <w:spacing w:after="0"/>
              <w:rPr>
                <w:sz w:val="20"/>
                <w:szCs w:val="20"/>
                <w:color w:val="auto"/>
              </w:rPr>
            </w:pPr>
          </w:p>
        </w:tc>
        <w:tc>
          <w:tcPr>
            <w:tcW w:w="43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12/31/19 and each quarter thereafter</w:t>
            </w:r>
          </w:p>
        </w:tc>
        <w:tc>
          <w:tcPr>
            <w:tcW w:w="3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$5,000,000</w:t>
            </w:r>
          </w:p>
        </w:tc>
        <w:tc>
          <w:tcPr>
            <w:tcW w:w="1400" w:type="dxa"/>
            <w:vAlign w:val="bottom"/>
          </w:tcPr>
          <w:p>
            <w:pPr>
              <w:ind w:left="20"/>
              <w:spacing w:after="0"/>
              <w:rPr>
                <w:sz w:val="20"/>
                <w:szCs w:val="20"/>
                <w:color w:val="auto"/>
              </w:rPr>
            </w:pPr>
            <w:r>
              <w:rPr>
                <w:rFonts w:ascii="Arial" w:cs="Arial" w:eastAsia="Arial" w:hAnsi="Arial"/>
                <w:sz w:val="18"/>
                <w:szCs w:val="18"/>
                <w:color w:val="auto"/>
              </w:rPr>
              <w:t>$_______</w:t>
            </w:r>
          </w:p>
        </w:tc>
        <w:tc>
          <w:tcPr>
            <w:tcW w:w="5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Yes No</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615"/>
        </w:trPr>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96"/>
        </w:trPr>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7"/>
          </w:tcPr>
          <w:p>
            <w:pPr>
              <w:ind w:left="740"/>
              <w:spacing w:after="0" w:line="196" w:lineRule="exact"/>
              <w:rPr>
                <w:sz w:val="20"/>
                <w:szCs w:val="20"/>
                <w:color w:val="auto"/>
              </w:rPr>
            </w:pPr>
            <w:r>
              <w:rPr>
                <w:rFonts w:ascii="Arial" w:cs="Arial" w:eastAsia="Arial" w:hAnsi="Arial"/>
                <w:sz w:val="18"/>
                <w:szCs w:val="18"/>
                <w:b w:val="1"/>
                <w:bCs w:val="1"/>
                <w:color w:val="auto"/>
              </w:rPr>
              <w:t>Streamline Period; Performance Pricing*</w:t>
            </w: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48"/>
        </w:trPr>
        <w:tc>
          <w:tcPr>
            <w:tcW w:w="20" w:type="dxa"/>
            <w:vAlign w:val="bottom"/>
            <w:tcBorders>
              <w:top w:val="single" w:sz="8" w:color="auto"/>
              <w:bottom w:val="single" w:sz="8" w:color="auto"/>
            </w:tcBorders>
            <w:shd w:val="clear" w:color="auto" w:fill="000000"/>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96"/>
        </w:trPr>
        <w:tc>
          <w:tcPr>
            <w:tcW w:w="20" w:type="dxa"/>
            <w:vAlign w:val="bottom"/>
            <w:shd w:val="clear" w:color="auto" w:fill="000000"/>
          </w:tcPr>
          <w:p>
            <w:pPr>
              <w:spacing w:after="0"/>
              <w:rPr>
                <w:sz w:val="17"/>
                <w:szCs w:val="17"/>
                <w:color w:val="auto"/>
              </w:rPr>
            </w:pPr>
          </w:p>
        </w:tc>
        <w:tc>
          <w:tcPr>
            <w:tcW w:w="4400" w:type="dxa"/>
            <w:vAlign w:val="bottom"/>
            <w:gridSpan w:val="8"/>
          </w:tcPr>
          <w:p>
            <w:pPr>
              <w:spacing w:after="0" w:line="196" w:lineRule="exact"/>
              <w:rPr>
                <w:sz w:val="20"/>
                <w:szCs w:val="20"/>
                <w:color w:val="auto"/>
              </w:rPr>
            </w:pPr>
            <w:r>
              <w:rPr>
                <w:rFonts w:ascii="Arial" w:cs="Arial" w:eastAsia="Arial" w:hAnsi="Arial"/>
                <w:sz w:val="18"/>
                <w:szCs w:val="18"/>
                <w:color w:val="auto"/>
              </w:rPr>
              <w:t>AQR ≥ 1.05:1.00</w:t>
            </w: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48"/>
        </w:trPr>
        <w:tc>
          <w:tcPr>
            <w:tcW w:w="20" w:type="dxa"/>
            <w:vAlign w:val="bottom"/>
            <w:tcBorders>
              <w:top w:val="single" w:sz="8" w:color="auto"/>
              <w:bottom w:val="single" w:sz="8" w:color="auto"/>
            </w:tcBorders>
            <w:shd w:val="clear" w:color="auto" w:fill="000000"/>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222"/>
        </w:trPr>
        <w:tc>
          <w:tcPr>
            <w:tcW w:w="20" w:type="dxa"/>
            <w:vAlign w:val="bottom"/>
            <w:shd w:val="clear" w:color="auto" w:fill="000000"/>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Streamline Period does not apply;</w:t>
            </w:r>
          </w:p>
        </w:tc>
        <w:tc>
          <w:tcPr>
            <w:tcW w:w="14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30"/>
        </w:trPr>
        <w:tc>
          <w:tcPr>
            <w:tcW w:w="20" w:type="dxa"/>
            <w:vAlign w:val="bottom"/>
            <w:shd w:val="clear" w:color="auto" w:fill="000000"/>
          </w:tcPr>
          <w:p>
            <w:pPr>
              <w:spacing w:after="0"/>
              <w:rPr>
                <w:sz w:val="20"/>
                <w:szCs w:val="20"/>
                <w:color w:val="auto"/>
              </w:rPr>
            </w:pPr>
          </w:p>
        </w:tc>
        <w:tc>
          <w:tcPr>
            <w:tcW w:w="4400" w:type="dxa"/>
            <w:vAlign w:val="bottom"/>
            <w:gridSpan w:val="8"/>
          </w:tcPr>
          <w:p>
            <w:pPr>
              <w:spacing w:after="0"/>
              <w:rPr>
                <w:sz w:val="20"/>
                <w:szCs w:val="20"/>
                <w:color w:val="auto"/>
              </w:rPr>
            </w:pPr>
            <w:r>
              <w:rPr>
                <w:rFonts w:ascii="Arial" w:cs="Arial" w:eastAsia="Arial" w:hAnsi="Arial"/>
                <w:sz w:val="18"/>
                <w:szCs w:val="18"/>
                <w:color w:val="auto"/>
              </w:rPr>
              <w:t>AQR &lt; 1.05:1.00</w:t>
            </w:r>
          </w:p>
        </w:tc>
        <w:tc>
          <w:tcPr>
            <w:tcW w:w="44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Prime + 2.00%; LIBOR + 4.00%</w:t>
            </w:r>
          </w:p>
        </w:tc>
        <w:tc>
          <w:tcPr>
            <w:tcW w:w="140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gridSpan w:val="4"/>
          </w:tcPr>
          <w:p>
            <w:pPr>
              <w:ind w:left="200"/>
              <w:spacing w:after="0"/>
              <w:rPr>
                <w:sz w:val="20"/>
                <w:szCs w:val="20"/>
                <w:color w:val="auto"/>
              </w:rPr>
            </w:pPr>
            <w:r>
              <w:rPr>
                <w:rFonts w:ascii="Arial" w:cs="Arial" w:eastAsia="Arial" w:hAnsi="Arial"/>
                <w:sz w:val="18"/>
                <w:szCs w:val="18"/>
                <w:color w:val="auto"/>
              </w:rPr>
              <w:t>Yes No</w:t>
            </w:r>
          </w:p>
        </w:tc>
        <w:tc>
          <w:tcPr>
            <w:tcW w:w="40" w:type="dxa"/>
            <w:vAlign w:val="bottom"/>
            <w:tcBorders>
              <w:right w:val="single" w:sz="8" w:color="auto"/>
            </w:tcBorders>
          </w:tcPr>
          <w:p>
            <w:pPr>
              <w:spacing w:after="0"/>
              <w:rPr>
                <w:sz w:val="20"/>
                <w:szCs w:val="20"/>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ind w:firstLine="8"/>
        <w:spacing w:after="0" w:line="277" w:lineRule="auto"/>
        <w:tabs>
          <w:tab w:leader="none" w:pos="1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termination of a Streamline Period, Borrower must maintain the Streamline Ratio each consecutive day for one (1) fiscal quarter as determined by Bank in its discretion, prior to entering into a subsequent Streamline Period.</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financial covenant analyses and information set forth in Schedule 1 attached hereto are true and accurate as of the date of this Compliance Statement.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1 to Compliance Statement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Financial Covenants of Borrower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 conflict between this Schedule and the Loan Agreement, the terms of the Loan Agreement shall govern.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Adjusted Quick Ratio</w:t>
      </w:r>
      <w:r>
        <w:rPr>
          <w:rFonts w:ascii="Arial" w:cs="Arial" w:eastAsia="Arial" w:hAnsi="Arial"/>
          <w:sz w:val="18"/>
          <w:szCs w:val="18"/>
          <w:color w:val="auto"/>
        </w:rPr>
        <w:t xml:space="preserve"> (Section 6.9(a); Streamline Period; Performance Pricing)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Required: 1.00:1.00 (if trailing six (6) month Adjusted EBITDA is $0 or less)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0.90:1.00 (if trailing six (6) month Adjusted EBITDA is greater than $0)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1.05:1.00 (Streamline Period; Performance Pricing)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ectPr>
          <w:pgSz w:w="11900" w:h="16838" w:orient="portrait"/>
          <w:cols w:equalWidth="0" w:num="1">
            <w:col w:w="11400"/>
          </w:cols>
          <w:pgMar w:left="240" w:top="957" w:right="259" w:bottom="1440" w:gutter="0" w:footer="0" w:header="0"/>
        </w:sectPr>
      </w:pPr>
    </w:p>
    <w:bookmarkStart w:id="83" w:name="page84"/>
    <w:bookmarkEnd w:id="83"/>
    <w:tbl>
      <w:tblPr>
        <w:tblLayout w:type="fixed"/>
        <w:tblInd w:w="4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A.</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C.</w:t>
            </w:r>
          </w:p>
        </w:tc>
        <w:tc>
          <w:tcPr>
            <w:tcW w:w="8740" w:type="dxa"/>
            <w:vAlign w:val="bottom"/>
            <w:gridSpan w:val="4"/>
          </w:tcPr>
          <w:p>
            <w:pPr>
              <w:spacing w:after="0"/>
              <w:rPr>
                <w:sz w:val="20"/>
                <w:szCs w:val="20"/>
                <w:color w:val="auto"/>
              </w:rPr>
            </w:pPr>
            <w:r>
              <w:rPr>
                <w:rFonts w:ascii="Arial" w:cs="Arial" w:eastAsia="Arial" w:hAnsi="Arial"/>
                <w:sz w:val="18"/>
                <w:szCs w:val="18"/>
                <w:color w:val="auto"/>
              </w:rPr>
              <w:t>Quick Assets (the sum of lines A and B)</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D.</w:t>
            </w:r>
          </w:p>
        </w:tc>
        <w:tc>
          <w:tcPr>
            <w:tcW w:w="8740" w:type="dxa"/>
            <w:vAlign w:val="bottom"/>
            <w:gridSpan w:val="4"/>
          </w:tcPr>
          <w:p>
            <w:pPr>
              <w:spacing w:after="0"/>
              <w:rPr>
                <w:sz w:val="20"/>
                <w:szCs w:val="20"/>
                <w:color w:val="auto"/>
              </w:rPr>
            </w:pPr>
            <w:r>
              <w:rPr>
                <w:rFonts w:ascii="Arial" w:cs="Arial" w:eastAsia="Arial" w:hAnsi="Arial"/>
                <w:sz w:val="18"/>
                <w:szCs w:val="18"/>
                <w:color w:val="auto"/>
              </w:rPr>
              <w:t>Aggregate value of Obligations to Bank</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r>
      <w:tr>
        <w:trPr>
          <w:trHeight w:val="230"/>
        </w:trPr>
        <w:tc>
          <w:tcPr>
            <w:tcW w:w="64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w w:val="94"/>
              </w:rPr>
              <w:t>Aggregate value of liabilities of Borrower and its Subsidiaries (including all Indebtedness) that matures within one (1)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E.</w:t>
            </w:r>
          </w:p>
        </w:tc>
        <w:tc>
          <w:tcPr>
            <w:tcW w:w="3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year and not otherwise reflected on line D above</w:t>
            </w:r>
          </w:p>
        </w:tc>
        <w:tc>
          <w:tcPr>
            <w:tcW w:w="4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8"/>
                <w:szCs w:val="18"/>
                <w:color w:val="auto"/>
              </w:rPr>
              <w:t>F.</w:t>
            </w:r>
          </w:p>
        </w:tc>
        <w:tc>
          <w:tcPr>
            <w:tcW w:w="8740" w:type="dxa"/>
            <w:vAlign w:val="bottom"/>
            <w:gridSpan w:val="4"/>
          </w:tcPr>
          <w:p>
            <w:pPr>
              <w:spacing w:after="0"/>
              <w:rPr>
                <w:sz w:val="20"/>
                <w:szCs w:val="20"/>
                <w:color w:val="auto"/>
              </w:rPr>
            </w:pPr>
            <w:r>
              <w:rPr>
                <w:rFonts w:ascii="Arial" w:cs="Arial" w:eastAsia="Arial" w:hAnsi="Arial"/>
                <w:sz w:val="18"/>
                <w:szCs w:val="18"/>
                <w:color w:val="auto"/>
              </w:rPr>
              <w:t>Current Liabilities (the sum of lines D and E)</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r>
      <w:tr>
        <w:trPr>
          <w:trHeight w:val="230"/>
        </w:trPr>
        <w:tc>
          <w:tcPr>
            <w:tcW w:w="640" w:type="dxa"/>
            <w:vAlign w:val="bottom"/>
          </w:tcPr>
          <w:p>
            <w:pPr>
              <w:spacing w:after="0"/>
              <w:rPr>
                <w:sz w:val="19"/>
                <w:szCs w:val="19"/>
                <w:color w:val="auto"/>
              </w:rPr>
            </w:pPr>
          </w:p>
        </w:tc>
        <w:tc>
          <w:tcPr>
            <w:tcW w:w="87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Current portion of the aggregate value of all amounts received or invoiced by Borrower in advance of performance under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G.</w:t>
            </w:r>
          </w:p>
        </w:tc>
        <w:tc>
          <w:tcPr>
            <w:tcW w:w="3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contracts and not yet recognized as revenue</w:t>
            </w:r>
          </w:p>
        </w:tc>
        <w:tc>
          <w:tcPr>
            <w:tcW w:w="55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r>
      <w:tr>
        <w:trPr>
          <w:trHeight w:val="250"/>
        </w:trPr>
        <w:tc>
          <w:tcPr>
            <w:tcW w:w="640" w:type="dxa"/>
            <w:vAlign w:val="bottom"/>
          </w:tcPr>
          <w:p>
            <w:pPr>
              <w:spacing w:after="0"/>
              <w:rPr>
                <w:sz w:val="20"/>
                <w:szCs w:val="20"/>
                <w:color w:val="auto"/>
              </w:rPr>
            </w:pPr>
            <w:r>
              <w:rPr>
                <w:rFonts w:ascii="Arial" w:cs="Arial" w:eastAsia="Arial" w:hAnsi="Arial"/>
                <w:sz w:val="18"/>
                <w:szCs w:val="18"/>
                <w:color w:val="auto"/>
              </w:rPr>
              <w:t>H.</w:t>
            </w:r>
          </w:p>
        </w:tc>
        <w:tc>
          <w:tcPr>
            <w:tcW w:w="8740" w:type="dxa"/>
            <w:vAlign w:val="bottom"/>
            <w:gridSpan w:val="4"/>
          </w:tcPr>
          <w:p>
            <w:pPr>
              <w:spacing w:after="0"/>
              <w:rPr>
                <w:sz w:val="20"/>
                <w:szCs w:val="20"/>
                <w:color w:val="auto"/>
              </w:rPr>
            </w:pPr>
            <w:r>
              <w:rPr>
                <w:rFonts w:ascii="Arial" w:cs="Arial" w:eastAsia="Arial" w:hAnsi="Arial"/>
                <w:sz w:val="18"/>
                <w:szCs w:val="18"/>
                <w:color w:val="auto"/>
              </w:rPr>
              <w:t>Line F minus line G</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r>
      <w:tr>
        <w:trPr>
          <w:trHeight w:val="250"/>
        </w:trPr>
        <w:tc>
          <w:tcPr>
            <w:tcW w:w="640" w:type="dxa"/>
            <w:vAlign w:val="bottom"/>
          </w:tcPr>
          <w:p>
            <w:pPr>
              <w:spacing w:after="0"/>
              <w:rPr>
                <w:sz w:val="20"/>
                <w:szCs w:val="20"/>
                <w:color w:val="auto"/>
              </w:rPr>
            </w:pPr>
            <w:r>
              <w:rPr>
                <w:rFonts w:ascii="Arial" w:cs="Arial" w:eastAsia="Arial" w:hAnsi="Arial"/>
                <w:sz w:val="18"/>
                <w:szCs w:val="18"/>
                <w:color w:val="auto"/>
              </w:rPr>
              <w:t>I.</w:t>
            </w:r>
          </w:p>
        </w:tc>
        <w:tc>
          <w:tcPr>
            <w:tcW w:w="8740" w:type="dxa"/>
            <w:vAlign w:val="bottom"/>
            <w:gridSpan w:val="4"/>
          </w:tcPr>
          <w:p>
            <w:pPr>
              <w:spacing w:after="0"/>
              <w:rPr>
                <w:sz w:val="20"/>
                <w:szCs w:val="20"/>
                <w:color w:val="auto"/>
              </w:rPr>
            </w:pPr>
            <w:r>
              <w:rPr>
                <w:rFonts w:ascii="Arial" w:cs="Arial" w:eastAsia="Arial" w:hAnsi="Arial"/>
                <w:sz w:val="18"/>
                <w:szCs w:val="18"/>
                <w:color w:val="auto"/>
              </w:rPr>
              <w:t>Quick Ratio (line C divided by line H)</w:t>
            </w:r>
          </w:p>
        </w:tc>
        <w:tc>
          <w:tcPr>
            <w:tcW w:w="80" w:type="dxa"/>
            <w:vAlign w:val="bottom"/>
          </w:tcPr>
          <w:p>
            <w:pPr>
              <w:spacing w:after="0"/>
              <w:rPr>
                <w:sz w:val="21"/>
                <w:szCs w:val="21"/>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____:1.00</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Is line I equal to or greater than the required amount?</w:t>
      </w:r>
    </w:p>
    <w:p>
      <w:pPr>
        <w:spacing w:after="0" w:line="252" w:lineRule="exact"/>
        <w:rPr>
          <w:sz w:val="20"/>
          <w:szCs w:val="20"/>
          <w:color w:val="auto"/>
        </w:rPr>
      </w:pPr>
    </w:p>
    <w:p>
      <w:pPr>
        <w:ind w:left="1400"/>
        <w:spacing w:after="0"/>
        <w:tabs>
          <w:tab w:leader="none" w:pos="3320" w:val="left"/>
        </w:tabs>
        <w:rPr>
          <w:sz w:val="20"/>
          <w:szCs w:val="20"/>
          <w:color w:val="auto"/>
        </w:rPr>
      </w:pPr>
      <w:r>
        <w:rPr>
          <w:rFonts w:ascii="Arial" w:cs="Arial" w:eastAsia="Arial" w:hAnsi="Arial"/>
          <w:sz w:val="18"/>
          <w:szCs w:val="18"/>
          <w:color w:val="auto"/>
        </w:rPr>
        <w:t>No, not in compliance</w:t>
      </w:r>
      <w:r>
        <w:rPr>
          <w:sz w:val="20"/>
          <w:szCs w:val="20"/>
          <w:color w:val="auto"/>
        </w:rPr>
        <w:tab/>
      </w:r>
      <w:r>
        <w:rPr>
          <w:rFonts w:ascii="Arial" w:cs="Arial" w:eastAsia="Arial" w:hAnsi="Arial"/>
          <w:sz w:val="16"/>
          <w:szCs w:val="16"/>
          <w:color w:val="auto"/>
        </w:rPr>
        <w:t>Yes, in compliance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 line I equal to or greater than 1.05 to 1.00?</w:t>
      </w:r>
    </w:p>
    <w:p>
      <w:pPr>
        <w:spacing w:after="0" w:line="25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No, Streamline Period does not apply; Prime + 2.00%; LIBOR + 4.00%</w:t>
      </w:r>
    </w:p>
    <w:p>
      <w:pPr>
        <w:spacing w:after="0" w:line="25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Yes, Streamline Period applies; Prime + 0.50%; LIBOR + 2.50%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7840" w:firstLine="8"/>
        <w:spacing w:after="0" w:line="555" w:lineRule="auto"/>
        <w:tabs>
          <w:tab w:leader="none" w:pos="21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(Section 6.9(b))</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See chart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Minimum Adjusted EBITDA</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472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w w:val="94"/>
              </w:rPr>
              <w:t>Quarter Ending</w:t>
            </w:r>
          </w:p>
        </w:tc>
        <w:tc>
          <w:tcPr>
            <w:tcW w:w="4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(trailing 12 months)</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4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Shall not vary (negatively) from the TTM Adjusted EBITDA</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20" w:type="dxa"/>
            <w:vAlign w:val="bottom"/>
          </w:tcPr>
          <w:p>
            <w:pPr>
              <w:jc w:val="center"/>
              <w:ind w:right="390"/>
              <w:spacing w:after="0"/>
              <w:rPr>
                <w:sz w:val="20"/>
                <w:szCs w:val="20"/>
                <w:color w:val="auto"/>
              </w:rPr>
            </w:pPr>
            <w:r>
              <w:rPr>
                <w:rFonts w:ascii="Arial" w:cs="Arial" w:eastAsia="Arial" w:hAnsi="Arial"/>
                <w:sz w:val="18"/>
                <w:szCs w:val="18"/>
                <w:color w:val="auto"/>
                <w:w w:val="91"/>
              </w:rPr>
              <w:t>9/30/18 - 6/30/19</w:t>
            </w:r>
          </w:p>
        </w:tc>
        <w:tc>
          <w:tcPr>
            <w:tcW w:w="4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Projections by more than 20%</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4720" w:type="dxa"/>
            <w:vAlign w:val="bottom"/>
          </w:tcPr>
          <w:p>
            <w:pPr>
              <w:jc w:val="center"/>
              <w:ind w:right="390"/>
              <w:spacing w:after="0"/>
              <w:rPr>
                <w:sz w:val="20"/>
                <w:szCs w:val="20"/>
                <w:color w:val="auto"/>
              </w:rPr>
            </w:pPr>
            <w:r>
              <w:rPr>
                <w:rFonts w:ascii="Arial" w:cs="Arial" w:eastAsia="Arial" w:hAnsi="Arial"/>
                <w:sz w:val="18"/>
                <w:szCs w:val="18"/>
                <w:color w:val="auto"/>
                <w:w w:val="88"/>
              </w:rPr>
              <w:t>September 30, 2019</w:t>
            </w:r>
          </w:p>
        </w:tc>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9"/>
              </w:rPr>
              <w:t>An amount equal to not less than $1.00</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4720" w:type="dxa"/>
            <w:vAlign w:val="bottom"/>
          </w:tcPr>
          <w:p>
            <w:pPr>
              <w:jc w:val="center"/>
              <w:ind w:right="390"/>
              <w:spacing w:after="0"/>
              <w:rPr>
                <w:sz w:val="20"/>
                <w:szCs w:val="20"/>
                <w:color w:val="auto"/>
              </w:rPr>
            </w:pPr>
            <w:r>
              <w:rPr>
                <w:rFonts w:ascii="Arial" w:cs="Arial" w:eastAsia="Arial" w:hAnsi="Arial"/>
                <w:sz w:val="18"/>
                <w:szCs w:val="18"/>
                <w:color w:val="auto"/>
                <w:w w:val="89"/>
              </w:rPr>
              <w:t>December 31, 2019, and each quarter thereafter</w:t>
            </w:r>
          </w:p>
        </w:tc>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0"/>
              </w:rPr>
              <w:t>An amount equal to not less than $5,000,000</w:t>
            </w:r>
          </w:p>
        </w:tc>
        <w:tc>
          <w:tcPr>
            <w:tcW w:w="0" w:type="dxa"/>
            <w:vAlign w:val="bottom"/>
          </w:tcPr>
          <w:p>
            <w:pPr>
              <w:spacing w:after="0"/>
              <w:rPr>
                <w:sz w:val="1"/>
                <w:szCs w:val="1"/>
                <w:color w:val="auto"/>
              </w:rPr>
            </w:pPr>
          </w:p>
        </w:tc>
      </w:tr>
      <w:tr>
        <w:trPr>
          <w:trHeight w:val="351"/>
        </w:trPr>
        <w:tc>
          <w:tcPr>
            <w:tcW w:w="840" w:type="dxa"/>
            <w:vAlign w:val="bottom"/>
          </w:tcPr>
          <w:p>
            <w:pPr>
              <w:spacing w:after="0"/>
              <w:rPr>
                <w:sz w:val="20"/>
                <w:szCs w:val="20"/>
                <w:color w:val="auto"/>
              </w:rPr>
            </w:pPr>
            <w:r>
              <w:rPr>
                <w:rFonts w:ascii="Arial" w:cs="Arial" w:eastAsia="Arial" w:hAnsi="Arial"/>
                <w:sz w:val="18"/>
                <w:szCs w:val="18"/>
                <w:color w:val="auto"/>
              </w:rPr>
              <w:t>Actual:</w:t>
            </w:r>
          </w:p>
        </w:tc>
        <w:tc>
          <w:tcPr>
            <w:tcW w:w="4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40" w:type="dxa"/>
            <w:vAlign w:val="bottom"/>
          </w:tcPr>
          <w:p>
            <w:pPr>
              <w:ind w:left="440"/>
              <w:spacing w:after="0"/>
              <w:rPr>
                <w:sz w:val="20"/>
                <w:szCs w:val="20"/>
                <w:color w:val="auto"/>
              </w:rPr>
            </w:pPr>
            <w:r>
              <w:rPr>
                <w:rFonts w:ascii="Arial" w:cs="Arial" w:eastAsia="Arial" w:hAnsi="Arial"/>
                <w:sz w:val="18"/>
                <w:szCs w:val="18"/>
                <w:color w:val="auto"/>
              </w:rPr>
              <w:t>A.</w:t>
            </w:r>
          </w:p>
        </w:tc>
        <w:tc>
          <w:tcPr>
            <w:tcW w:w="4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440"/>
              <w:spacing w:after="0"/>
              <w:rPr>
                <w:sz w:val="20"/>
                <w:szCs w:val="20"/>
                <w:color w:val="auto"/>
              </w:rPr>
            </w:pPr>
            <w:r>
              <w:rPr>
                <w:rFonts w:ascii="Arial" w:cs="Arial" w:eastAsia="Arial" w:hAnsi="Arial"/>
                <w:sz w:val="18"/>
                <w:szCs w:val="18"/>
                <w:color w:val="auto"/>
              </w:rPr>
              <w:t>B.</w:t>
            </w:r>
          </w:p>
        </w:tc>
        <w:tc>
          <w:tcPr>
            <w:tcW w:w="47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1.The provision for income taxes</w:t>
            </w:r>
          </w:p>
        </w:tc>
        <w:tc>
          <w:tcPr>
            <w:tcW w:w="4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2.Depreciation expense</w:t>
            </w:r>
          </w:p>
        </w:tc>
        <w:tc>
          <w:tcPr>
            <w:tcW w:w="43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3.Amortization expense</w:t>
            </w:r>
          </w:p>
        </w:tc>
        <w:tc>
          <w:tcPr>
            <w:tcW w:w="43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4.Net Interest Expense</w:t>
            </w:r>
          </w:p>
        </w:tc>
        <w:tc>
          <w:tcPr>
            <w:tcW w:w="43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84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5.Impairment Charges</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6.Non-cash stock compensation</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7.Other non-cash expenses (less any non-cash gains)</w:t>
            </w:r>
          </w:p>
        </w:tc>
        <w:tc>
          <w:tcPr>
            <w:tcW w:w="4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4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w w:val="92"/>
              </w:rPr>
              <w:t>8.Other non-recurring expenses approved in writing by Bank</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9.Interest income</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10.The sum of lines 1 through 8, minus line 9</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440"/>
              <w:spacing w:after="0"/>
              <w:rPr>
                <w:sz w:val="20"/>
                <w:szCs w:val="20"/>
                <w:color w:val="auto"/>
              </w:rPr>
            </w:pPr>
            <w:r>
              <w:rPr>
                <w:rFonts w:ascii="Arial" w:cs="Arial" w:eastAsia="Arial" w:hAnsi="Arial"/>
                <w:sz w:val="18"/>
                <w:szCs w:val="18"/>
                <w:color w:val="auto"/>
              </w:rPr>
              <w:t>C.</w:t>
            </w:r>
          </w:p>
        </w:tc>
        <w:tc>
          <w:tcPr>
            <w:tcW w:w="4720" w:type="dxa"/>
            <w:vAlign w:val="bottom"/>
          </w:tcPr>
          <w:p>
            <w:pPr>
              <w:ind w:left="240"/>
              <w:spacing w:after="0"/>
              <w:rPr>
                <w:sz w:val="20"/>
                <w:szCs w:val="20"/>
                <w:color w:val="auto"/>
              </w:rPr>
            </w:pPr>
            <w:r>
              <w:rPr>
                <w:rFonts w:ascii="Arial" w:cs="Arial" w:eastAsia="Arial" w:hAnsi="Arial"/>
                <w:sz w:val="18"/>
                <w:szCs w:val="18"/>
                <w:color w:val="auto"/>
              </w:rPr>
              <w:t>Adjusted EBITDA (line A plus line B.10)</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Is line C equal to or greater than the required amount set forth above?</w:t>
      </w:r>
    </w:p>
    <w:p>
      <w:pPr>
        <w:sectPr>
          <w:pgSz w:w="11900" w:h="16838" w:orient="portrait"/>
          <w:cols w:equalWidth="0" w:num="1">
            <w:col w:w="10680"/>
          </w:cols>
          <w:pgMar w:left="240" w:top="989" w:right="979" w:bottom="1440" w:gutter="0" w:footer="0" w:header="0"/>
        </w:sectPr>
      </w:pPr>
    </w:p>
    <w:bookmarkStart w:id="84" w:name="page85"/>
    <w:bookmarkEnd w:id="84"/>
    <w:p>
      <w:pPr>
        <w:ind w:left="1400"/>
        <w:spacing w:after="0"/>
        <w:tabs>
          <w:tab w:leader="none" w:pos="3320" w:val="left"/>
        </w:tabs>
        <w:rPr>
          <w:sz w:val="20"/>
          <w:szCs w:val="20"/>
          <w:color w:val="auto"/>
        </w:rPr>
      </w:pPr>
      <w:r>
        <w:rPr>
          <w:rFonts w:ascii="Arial" w:cs="Arial" w:eastAsia="Arial" w:hAnsi="Arial"/>
          <w:sz w:val="18"/>
          <w:szCs w:val="18"/>
          <w:color w:val="auto"/>
        </w:rPr>
        <w:t>No, not in compliance</w:t>
      </w:r>
      <w:r>
        <w:rPr>
          <w:sz w:val="20"/>
          <w:szCs w:val="20"/>
          <w:color w:val="auto"/>
        </w:rPr>
        <w:tab/>
      </w:r>
      <w:r>
        <w:rPr>
          <w:rFonts w:ascii="Arial" w:cs="Arial" w:eastAsia="Arial" w:hAnsi="Arial"/>
          <w:sz w:val="16"/>
          <w:szCs w:val="16"/>
          <w:color w:val="auto"/>
        </w:rPr>
        <w:t>Yes, in compliance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NOTICE OF BORROWING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RUBICON PROJECT, INC. ET AL.</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IMX Production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imxproduction@svb.com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vregan@svb.com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 Amended and Restated Loan and Security Agreement dated as of ________ ___, 2018 (as amended, modified, supplemented or restated from time to</w:t>
      </w:r>
    </w:p>
    <w:p>
      <w:pPr>
        <w:spacing w:after="0" w:line="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time, the “</w:t>
      </w:r>
      <w:r>
        <w:rPr>
          <w:rFonts w:ascii="Arial" w:cs="Arial" w:eastAsia="Arial" w:hAnsi="Arial"/>
          <w:sz w:val="18"/>
          <w:szCs w:val="18"/>
          <w:i w:val="1"/>
          <w:iCs w:val="1"/>
          <w:color w:val="auto"/>
        </w:rPr>
        <w:t>Loan Agreement</w:t>
      </w:r>
      <w:r>
        <w:rPr>
          <w:rFonts w:ascii="Arial" w:cs="Arial" w:eastAsia="Arial" w:hAnsi="Arial"/>
          <w:sz w:val="18"/>
          <w:szCs w:val="18"/>
          <w:color w:val="auto"/>
        </w:rPr>
        <w:t>”), by and among The Rubicon Project, Inc. and certain of its subsidiaries (individually and collectively, jointly and severally, “</w:t>
      </w:r>
      <w:r>
        <w:rPr>
          <w:rFonts w:ascii="Arial" w:cs="Arial" w:eastAsia="Arial" w:hAnsi="Arial"/>
          <w:sz w:val="18"/>
          <w:szCs w:val="18"/>
          <w:i w:val="1"/>
          <w:iCs w:val="1"/>
          <w:color w:val="auto"/>
        </w:rPr>
        <w:t>Borrower</w:t>
      </w:r>
      <w:r>
        <w:rPr>
          <w:rFonts w:ascii="Arial" w:cs="Arial" w:eastAsia="Arial" w:hAnsi="Arial"/>
          <w:sz w:val="18"/>
          <w:szCs w:val="18"/>
          <w:color w:val="auto"/>
        </w:rPr>
        <w:t>”), and Silicon Valley Bank (the “</w:t>
      </w:r>
      <w:r>
        <w:rPr>
          <w:rFonts w:ascii="Arial" w:cs="Arial" w:eastAsia="Arial" w:hAnsi="Arial"/>
          <w:sz w:val="18"/>
          <w:szCs w:val="18"/>
          <w:i w:val="1"/>
          <w:iCs w:val="1"/>
          <w:color w:val="auto"/>
        </w:rPr>
        <w:t>Bank</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refers to the Loan Agreement, the terms defined therein and used herein as so defined, and hereby gives you notice irrevocably, pursuant to Section 3.4(a) of the Loan Agreement, of the borrowing of an Advance.</w:t>
      </w:r>
    </w:p>
    <w:p>
      <w:pPr>
        <w:spacing w:after="0" w:line="62" w:lineRule="exact"/>
        <w:rPr>
          <w:sz w:val="20"/>
          <w:szCs w:val="20"/>
          <w:color w:val="auto"/>
        </w:rPr>
      </w:pPr>
    </w:p>
    <w:p>
      <w:pPr>
        <w:ind w:left="1580" w:hanging="275"/>
        <w:spacing w:after="0"/>
        <w:tabs>
          <w:tab w:leader="none" w:pos="15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Funding Date, which shall be a Business Day, of the requested borrowing is _______________.</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Currency of the requested borrowing is U.S. Dollars.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aggregate amount of the requested Advance is $_____________.</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requested Advance shall consist of $___________ of Prime Rate Advances and $______ of LIBOR Advances.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duration of the Interest Period for the LIBOR Advances included in the requested Advance shall be __________ months.</w:t>
      </w:r>
    </w:p>
    <w:p>
      <w:pPr>
        <w:spacing w:after="0" w:line="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Advance before and after giving effect thereto, and to the application of the proceeds therefrom, as applicable:</w:t>
      </w:r>
    </w:p>
    <w:p>
      <w:pPr>
        <w:spacing w:after="0" w:line="184" w:lineRule="exact"/>
        <w:rPr>
          <w:sz w:val="20"/>
          <w:szCs w:val="20"/>
          <w:color w:val="auto"/>
        </w:rPr>
      </w:pPr>
    </w:p>
    <w:p>
      <w:pPr>
        <w:jc w:val="both"/>
        <w:ind w:left="660" w:firstLine="645"/>
        <w:spacing w:after="0" w:line="259" w:lineRule="auto"/>
        <w:tabs>
          <w:tab w:leader="none" w:pos="15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representations and warranties of Borrower contained in the Loan Agreement are true, accurate and complete in all material respects as of the date hereof;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from such proposed Advance;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requested Advance will not cause the aggregate principal amount of the outstanding Advances to exceed, as of the designated Funding Date, the Availability Amount.</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Borrower The Rubicon Project, Inc.</w:t>
      </w:r>
      <w:r>
        <w:rPr>
          <w:rFonts w:ascii="Arial" w:cs="Arial" w:eastAsia="Arial" w:hAnsi="Arial"/>
          <w:sz w:val="18"/>
          <w:szCs w:val="18"/>
          <w:color w:val="auto"/>
        </w:rPr>
        <w:t>, on behalf of itself and all Borrowers</w:t>
      </w:r>
    </w:p>
    <w:p>
      <w:pPr>
        <w:spacing w:after="0" w:line="1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93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For internal Bank use only</w:t>
      </w:r>
    </w:p>
    <w:p>
      <w:pPr>
        <w:spacing w:after="0" w:line="247" w:lineRule="exact"/>
        <w:rPr>
          <w:sz w:val="20"/>
          <w:szCs w:val="20"/>
          <w:color w:val="auto"/>
        </w:rPr>
      </w:pPr>
    </w:p>
    <w:tbl>
      <w:tblPr>
        <w:tblLayout w:type="fixed"/>
        <w:tblInd w:w="830" w:type="dxa"/>
        <w:tblCellMar>
          <w:top w:w="0" w:type="dxa"/>
          <w:left w:w="0" w:type="dxa"/>
          <w:bottom w:w="0" w:type="dxa"/>
          <w:right w:w="0" w:type="dxa"/>
        </w:tblCellMar>
      </w:tblPr>
      <w:tr>
        <w:trPr>
          <w:trHeight w:val="257"/>
        </w:trPr>
        <w:tc>
          <w:tcPr>
            <w:tcW w:w="24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LIBOR Pricing Date</w:t>
            </w:r>
          </w:p>
        </w:tc>
        <w:tc>
          <w:tcPr>
            <w:tcW w:w="2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LIBOR</w:t>
            </w:r>
          </w:p>
        </w:tc>
        <w:tc>
          <w:tcPr>
            <w:tcW w:w="2460" w:type="dxa"/>
            <w:vAlign w:val="bottom"/>
            <w:tcBorders>
              <w:top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w w:val="92"/>
              </w:rPr>
              <w:t>LIBOR Variance</w:t>
            </w:r>
          </w:p>
        </w:tc>
        <w:tc>
          <w:tcPr>
            <w:tcW w:w="2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Maturity Date</w:t>
            </w: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2480" w:type="dxa"/>
            <w:vAlign w:val="bottom"/>
            <w:tcBorders>
              <w:left w:val="single" w:sz="8" w:color="auto"/>
              <w:right w:val="single" w:sz="8" w:color="auto"/>
            </w:tcBorders>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color w:val="auto"/>
              </w:rPr>
              <w:t>____%</w:t>
            </w:r>
          </w:p>
        </w:tc>
        <w:tc>
          <w:tcPr>
            <w:tcW w:w="2460" w:type="dxa"/>
            <w:vAlign w:val="bottom"/>
            <w:tcBorders>
              <w:right w:val="single" w:sz="8" w:color="auto"/>
            </w:tcBorders>
          </w:tcPr>
          <w:p>
            <w:pPr>
              <w:spacing w:after="0"/>
              <w:rPr>
                <w:sz w:val="20"/>
                <w:szCs w:val="20"/>
                <w:color w:val="auto"/>
              </w:rPr>
            </w:pP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NOTICE OF CONVERSION/CONTINUATION</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THE RUBICON PROJECT, INC. ET AL.</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IMX Production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imxproduction@svb.com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vregan@svb.com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 Amended and Restated Loan and Security Agreement dated as of ________ ___, 2018 (as amended, modified, supplemented or restated from time to</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time, the “</w:t>
      </w:r>
      <w:r>
        <w:rPr>
          <w:rFonts w:ascii="Arial" w:cs="Arial" w:eastAsia="Arial" w:hAnsi="Arial"/>
          <w:sz w:val="18"/>
          <w:szCs w:val="18"/>
          <w:i w:val="1"/>
          <w:iCs w:val="1"/>
          <w:color w:val="auto"/>
        </w:rPr>
        <w:t>Loan Agreement</w:t>
      </w:r>
      <w:r>
        <w:rPr>
          <w:rFonts w:ascii="Arial" w:cs="Arial" w:eastAsia="Arial" w:hAnsi="Arial"/>
          <w:sz w:val="18"/>
          <w:szCs w:val="18"/>
          <w:color w:val="auto"/>
        </w:rPr>
        <w:t>”), by and among The Rubicon Project, Inc. and certain of its subsidiaries (individually and collectively, jointly and severally, “</w:t>
      </w:r>
      <w:r>
        <w:rPr>
          <w:rFonts w:ascii="Arial" w:cs="Arial" w:eastAsia="Arial" w:hAnsi="Arial"/>
          <w:sz w:val="18"/>
          <w:szCs w:val="18"/>
          <w:i w:val="1"/>
          <w:iCs w:val="1"/>
          <w:color w:val="auto"/>
        </w:rPr>
        <w:t>Borrower</w:t>
      </w:r>
      <w:r>
        <w:rPr>
          <w:rFonts w:ascii="Arial" w:cs="Arial" w:eastAsia="Arial" w:hAnsi="Arial"/>
          <w:sz w:val="18"/>
          <w:szCs w:val="18"/>
          <w:color w:val="auto"/>
        </w:rPr>
        <w:t>”), and Silicon Valley Bank (the “</w:t>
      </w:r>
      <w:r>
        <w:rPr>
          <w:rFonts w:ascii="Arial" w:cs="Arial" w:eastAsia="Arial" w:hAnsi="Arial"/>
          <w:sz w:val="18"/>
          <w:szCs w:val="18"/>
          <w:i w:val="1"/>
          <w:iCs w:val="1"/>
          <w:color w:val="auto"/>
        </w:rPr>
        <w:t>Bank</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refers to the Loan Agreement, the terms defined therein being used herein as therein defined, and hereby gives you notice irrevocably, pursuant to Section 3.5 of the Loan Agreement, of the [conversion] [continuation] of the Advances specified herein, that:</w:t>
      </w:r>
    </w:p>
    <w:p>
      <w:pPr>
        <w:spacing w:after="0" w:line="4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0" w:type="dxa"/>
            <w:vAlign w:val="bottom"/>
            <w:gridSpan w:val="2"/>
          </w:tcPr>
          <w:p>
            <w:pPr>
              <w:spacing w:after="0"/>
              <w:rPr>
                <w:sz w:val="20"/>
                <w:szCs w:val="20"/>
                <w:color w:val="auto"/>
              </w:rPr>
            </w:pPr>
            <w:r>
              <w:rPr>
                <w:rFonts w:ascii="Arial" w:cs="Arial" w:eastAsia="Arial" w:hAnsi="Arial"/>
                <w:sz w:val="18"/>
                <w:szCs w:val="18"/>
                <w:color w:val="auto"/>
                <w:w w:val="92"/>
              </w:rPr>
              <w:t>1.</w:t>
            </w:r>
          </w:p>
        </w:tc>
        <w:tc>
          <w:tcPr>
            <w:tcW w:w="3320" w:type="dxa"/>
            <w:vAlign w:val="bottom"/>
            <w:gridSpan w:val="3"/>
          </w:tcPr>
          <w:p>
            <w:pPr>
              <w:ind w:left="20"/>
              <w:spacing w:after="0"/>
              <w:rPr>
                <w:sz w:val="20"/>
                <w:szCs w:val="20"/>
                <w:color w:val="auto"/>
              </w:rPr>
            </w:pPr>
            <w:r>
              <w:rPr>
                <w:rFonts w:ascii="Arial" w:cs="Arial" w:eastAsia="Arial" w:hAnsi="Arial"/>
                <w:sz w:val="18"/>
                <w:szCs w:val="18"/>
                <w:color w:val="auto"/>
                <w:w w:val="92"/>
              </w:rPr>
              <w:t>The date of the [conversion] [continuation] is</w:t>
            </w:r>
          </w:p>
        </w:tc>
        <w:tc>
          <w:tcPr>
            <w:tcW w:w="1940" w:type="dxa"/>
            <w:vAlign w:val="bottom"/>
            <w:tcBorders>
              <w:bottom w:val="single" w:sz="8" w:color="auto"/>
            </w:tcBorders>
            <w:gridSpan w:val="2"/>
          </w:tcPr>
          <w:p>
            <w:pPr>
              <w:spacing w:after="0"/>
              <w:rPr>
                <w:sz w:val="18"/>
                <w:szCs w:val="18"/>
                <w:color w:val="auto"/>
              </w:rPr>
            </w:pPr>
          </w:p>
        </w:tc>
        <w:tc>
          <w:tcPr>
            <w:tcW w:w="2880" w:type="dxa"/>
            <w:vAlign w:val="bottom"/>
          </w:tcPr>
          <w:p>
            <w:pPr>
              <w:jc w:val="right"/>
              <w:ind w:right="2210"/>
              <w:spacing w:after="0"/>
              <w:rPr>
                <w:sz w:val="20"/>
                <w:szCs w:val="20"/>
                <w:color w:val="auto"/>
              </w:rPr>
            </w:pPr>
            <w:r>
              <w:rPr>
                <w:rFonts w:ascii="Arial" w:cs="Arial" w:eastAsia="Arial" w:hAnsi="Arial"/>
                <w:sz w:val="18"/>
                <w:szCs w:val="18"/>
                <w:color w:val="auto"/>
                <w:w w:val="86"/>
              </w:rPr>
              <w:t>, 20___.</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53"/>
        </w:trPr>
        <w:tc>
          <w:tcPr>
            <w:tcW w:w="160" w:type="dxa"/>
            <w:vAlign w:val="bottom"/>
            <w:gridSpan w:val="2"/>
          </w:tcPr>
          <w:p>
            <w:pPr>
              <w:spacing w:after="0"/>
              <w:rPr>
                <w:sz w:val="20"/>
                <w:szCs w:val="20"/>
                <w:color w:val="auto"/>
              </w:rPr>
            </w:pPr>
            <w:r>
              <w:rPr>
                <w:rFonts w:ascii="Arial" w:cs="Arial" w:eastAsia="Arial" w:hAnsi="Arial"/>
                <w:sz w:val="18"/>
                <w:szCs w:val="18"/>
                <w:color w:val="auto"/>
                <w:w w:val="92"/>
              </w:rPr>
              <w:t>2.</w:t>
            </w:r>
          </w:p>
        </w:tc>
        <w:tc>
          <w:tcPr>
            <w:tcW w:w="8140" w:type="dxa"/>
            <w:vAlign w:val="bottom"/>
            <w:gridSpan w:val="6"/>
          </w:tcPr>
          <w:p>
            <w:pPr>
              <w:ind w:left="20"/>
              <w:spacing w:after="0"/>
              <w:rPr>
                <w:sz w:val="20"/>
                <w:szCs w:val="20"/>
                <w:color w:val="auto"/>
              </w:rPr>
            </w:pPr>
            <w:r>
              <w:rPr>
                <w:rFonts w:ascii="Arial" w:cs="Arial" w:eastAsia="Arial" w:hAnsi="Arial"/>
                <w:sz w:val="18"/>
                <w:szCs w:val="18"/>
                <w:color w:val="auto"/>
              </w:rPr>
              <w:t>The aggregate amount of the proposed Advances to be [converted] is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2"/>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or [continued] is $</w:t>
            </w:r>
          </w:p>
        </w:tc>
        <w:tc>
          <w:tcPr>
            <w:tcW w:w="194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60" w:type="dxa"/>
            <w:vAlign w:val="bottom"/>
            <w:gridSpan w:val="2"/>
          </w:tcPr>
          <w:p>
            <w:pPr>
              <w:spacing w:after="0"/>
              <w:rPr>
                <w:sz w:val="20"/>
                <w:szCs w:val="20"/>
                <w:color w:val="auto"/>
              </w:rPr>
            </w:pPr>
            <w:r>
              <w:rPr>
                <w:rFonts w:ascii="Arial" w:cs="Arial" w:eastAsia="Arial" w:hAnsi="Arial"/>
                <w:sz w:val="18"/>
                <w:szCs w:val="18"/>
                <w:color w:val="auto"/>
                <w:w w:val="92"/>
              </w:rPr>
              <w:t>3.</w:t>
            </w:r>
          </w:p>
        </w:tc>
        <w:tc>
          <w:tcPr>
            <w:tcW w:w="8140" w:type="dxa"/>
            <w:vAlign w:val="bottom"/>
            <w:gridSpan w:val="6"/>
          </w:tcPr>
          <w:p>
            <w:pPr>
              <w:ind w:left="20"/>
              <w:spacing w:after="0"/>
              <w:rPr>
                <w:sz w:val="20"/>
                <w:szCs w:val="20"/>
                <w:color w:val="auto"/>
              </w:rPr>
            </w:pPr>
            <w:r>
              <w:rPr>
                <w:rFonts w:ascii="Arial" w:cs="Arial" w:eastAsia="Arial" w:hAnsi="Arial"/>
                <w:sz w:val="18"/>
                <w:szCs w:val="18"/>
                <w:color w:val="auto"/>
              </w:rPr>
              <w:t>The Advances are to be [converted into] [continued as] [LIBOR] [Prime Rate] Advances.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2"/>
        </w:trPr>
        <w:tc>
          <w:tcPr>
            <w:tcW w:w="160" w:type="dxa"/>
            <w:vAlign w:val="bottom"/>
            <w:gridSpan w:val="2"/>
          </w:tcPr>
          <w:p>
            <w:pPr>
              <w:spacing w:after="0"/>
              <w:rPr>
                <w:sz w:val="20"/>
                <w:szCs w:val="20"/>
                <w:color w:val="auto"/>
              </w:rPr>
            </w:pPr>
            <w:r>
              <w:rPr>
                <w:rFonts w:ascii="Arial" w:cs="Arial" w:eastAsia="Arial" w:hAnsi="Arial"/>
                <w:sz w:val="18"/>
                <w:szCs w:val="18"/>
                <w:color w:val="auto"/>
                <w:w w:val="92"/>
              </w:rPr>
              <w:t>4.</w:t>
            </w:r>
          </w:p>
        </w:tc>
        <w:tc>
          <w:tcPr>
            <w:tcW w:w="8140" w:type="dxa"/>
            <w:vAlign w:val="bottom"/>
            <w:gridSpan w:val="6"/>
          </w:tcPr>
          <w:p>
            <w:pPr>
              <w:ind w:left="20"/>
              <w:spacing w:after="0"/>
              <w:rPr>
                <w:sz w:val="20"/>
                <w:szCs w:val="20"/>
                <w:color w:val="auto"/>
              </w:rPr>
            </w:pPr>
            <w:r>
              <w:rPr>
                <w:rFonts w:ascii="Arial" w:cs="Arial" w:eastAsia="Arial" w:hAnsi="Arial"/>
                <w:sz w:val="18"/>
                <w:szCs w:val="18"/>
                <w:color w:val="auto"/>
                <w:w w:val="92"/>
              </w:rPr>
              <w:t>The duration of the Interest Period for the LIBOR Advances included in the [conversion] [continuation] shall be</w:t>
            </w:r>
          </w:p>
        </w:tc>
        <w:tc>
          <w:tcPr>
            <w:tcW w:w="440" w:type="dxa"/>
            <w:vAlign w:val="bottom"/>
            <w:tcBorders>
              <w:bottom w:val="single" w:sz="8" w:color="auto"/>
            </w:tcBorders>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4"/>
              </w:rPr>
              <w:t>months.</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on behalf of Borrower, hereby certifies that the following statements are true on the date hereof, and will be true on the date of the proposed [conversion] [continuation], before and after giving effect thereto and to the application of the proceeds therefrom:</w:t>
      </w:r>
    </w:p>
    <w:p>
      <w:pPr>
        <w:spacing w:after="0" w:line="170" w:lineRule="exact"/>
        <w:rPr>
          <w:sz w:val="20"/>
          <w:szCs w:val="20"/>
          <w:color w:val="auto"/>
        </w:rPr>
      </w:pPr>
    </w:p>
    <w:p>
      <w:pPr>
        <w:jc w:val="both"/>
        <w:ind w:left="660" w:firstLine="645"/>
        <w:spacing w:after="0" w:line="259" w:lineRule="auto"/>
        <w:tabs>
          <w:tab w:leader="none" w:pos="15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representations and warranties of Borrower stated in the Loan Agreement are true, accurate and complete in all material respects as of the date hereof;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from such proposed [conversion] [continuation]; and</w:t>
      </w:r>
    </w:p>
    <w:p>
      <w:pPr>
        <w:sectPr>
          <w:pgSz w:w="11900" w:h="16838" w:orient="portrait"/>
          <w:cols w:equalWidth="0" w:num="1">
            <w:col w:w="11420"/>
          </w:cols>
          <w:pgMar w:left="240" w:top="935" w:right="239" w:bottom="1440" w:gutter="0" w:footer="0" w:header="0"/>
        </w:sectPr>
      </w:pPr>
    </w:p>
    <w:bookmarkStart w:id="86" w:name="page87"/>
    <w:bookmarkEnd w:id="86"/>
    <w:p>
      <w:pPr>
        <w:ind w:firstLine="645"/>
        <w:spacing w:after="0" w:line="308" w:lineRule="auto"/>
        <w:tabs>
          <w:tab w:leader="none" w:pos="893"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requested [conversion] [continuation] will not cause the aggregate principal amount of the outstanding Advances to exceed, as of the designated Funding Date, (i) the lesser of (A) the Revolving Line or (B) the Borrowing Base minus (ii) any applicable Reserve.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 The Rubicon Project, Inc.</w:t>
      </w:r>
      <w:r>
        <w:rPr>
          <w:rFonts w:ascii="Arial" w:cs="Arial" w:eastAsia="Arial" w:hAnsi="Arial"/>
          <w:sz w:val="18"/>
          <w:szCs w:val="18"/>
          <w:color w:val="auto"/>
        </w:rPr>
        <w:t>, on behalf of itself and all Borrowers</w:t>
      </w:r>
    </w:p>
    <w:p>
      <w:pPr>
        <w:spacing w:after="0" w:line="1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internal Bank use only</w:t>
      </w:r>
    </w:p>
    <w:p>
      <w:pPr>
        <w:spacing w:after="0" w:line="30" w:lineRule="exact"/>
        <w:rPr>
          <w:sz w:val="20"/>
          <w:szCs w:val="20"/>
          <w:color w:val="auto"/>
        </w:rPr>
      </w:pPr>
    </w:p>
    <w:tbl>
      <w:tblPr>
        <w:tblLayout w:type="fixed"/>
        <w:tblInd w:w="170" w:type="dxa"/>
        <w:tblCellMar>
          <w:top w:w="0" w:type="dxa"/>
          <w:left w:w="0" w:type="dxa"/>
          <w:bottom w:w="0" w:type="dxa"/>
          <w:right w:w="0" w:type="dxa"/>
        </w:tblCellMar>
      </w:tblPr>
      <w:tr>
        <w:trPr>
          <w:trHeight w:val="257"/>
        </w:trPr>
        <w:tc>
          <w:tcPr>
            <w:tcW w:w="24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LIBOR Pricing Date</w:t>
            </w:r>
          </w:p>
        </w:tc>
        <w:tc>
          <w:tcPr>
            <w:tcW w:w="2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LIBOR</w:t>
            </w:r>
          </w:p>
        </w:tc>
        <w:tc>
          <w:tcPr>
            <w:tcW w:w="2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LIBOR Variance</w:t>
            </w:r>
          </w:p>
        </w:tc>
        <w:tc>
          <w:tcPr>
            <w:tcW w:w="2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Maturity Date</w:t>
            </w: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2480" w:type="dxa"/>
            <w:vAlign w:val="bottom"/>
            <w:tcBorders>
              <w:left w:val="single" w:sz="8" w:color="auto"/>
              <w:right w:val="single" w:sz="8" w:color="auto"/>
            </w:tcBorders>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____%</w:t>
            </w:r>
          </w:p>
        </w:tc>
        <w:tc>
          <w:tcPr>
            <w:tcW w:w="2460" w:type="dxa"/>
            <w:vAlign w:val="bottom"/>
            <w:tcBorders>
              <w:right w:val="single" w:sz="8" w:color="auto"/>
            </w:tcBorders>
          </w:tcPr>
          <w:p>
            <w:pPr>
              <w:spacing w:after="0"/>
              <w:rPr>
                <w:sz w:val="20"/>
                <w:szCs w:val="20"/>
                <w:color w:val="auto"/>
              </w:rPr>
            </w:pP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760"/>
          </w:cols>
          <w:pgMar w:left="900" w:top="936"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 10.2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PLEDGE agreement</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Second Amendment to Stock Pledge Agreement (this “Amendment”) is entered into as of September 26, 2018, by and between Silicon Valley Bank (“Bank”) and The Rubicon Project, Inc. (“Pledgor”).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Bank and Pledgor have entered into that certain Pledge Agreement dated as of October 3, 2013 (as the same has been and</w:t>
      </w:r>
      <w:r>
        <w:rPr>
          <w:rFonts w:ascii="Arial" w:cs="Arial" w:eastAsia="Arial" w:hAnsi="Arial"/>
          <w:sz w:val="22"/>
          <w:szCs w:val="22"/>
          <w:b w:val="1"/>
          <w:bCs w:val="1"/>
          <w:color w:val="auto"/>
        </w:rPr>
        <w:t xml:space="preserve"> </w:t>
      </w:r>
      <w:r>
        <w:rPr>
          <w:rFonts w:ascii="Arial" w:cs="Arial" w:eastAsia="Arial" w:hAnsi="Arial"/>
          <w:sz w:val="22"/>
          <w:szCs w:val="22"/>
          <w:color w:val="auto"/>
        </w:rPr>
        <w:t>may from time to time further be amended, modified, supplemented or restated, the “Pledge Agreement”), whereby Pledgor pledged to Bank the shares of its Subsidiaries.</w:t>
      </w:r>
    </w:p>
    <w:p>
      <w:pPr>
        <w:spacing w:after="0" w:line="176"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Pursuant to an acquisition and a corporate restructuring, certain Subsidiaries have been acquired by Pledgor or have</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become wholly-owned direct Subsidiaries of Pledgor, and certain Subsidiaries have merged with and into Pledgor.</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Bank and Pledgor have agreed to so amend certain provisions of the Pledge Agreement to reflect the new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structure of Pledgor, but only to the extent, in accordance with the terms, subject to the conditions and in reliance upon the representations and warranties set forth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foregoing recitals and other good and valuable consideration, the receipt and</w:t>
      </w:r>
      <w:r>
        <w:rPr>
          <w:rFonts w:ascii="Arial" w:cs="Arial" w:eastAsia="Arial" w:hAnsi="Arial"/>
          <w:sz w:val="21"/>
          <w:szCs w:val="21"/>
          <w:b w:val="1"/>
          <w:bCs w:val="1"/>
          <w:color w:val="auto"/>
        </w:rPr>
        <w:t xml:space="preserve"> </w:t>
      </w:r>
      <w:r>
        <w:rPr>
          <w:rFonts w:ascii="Arial" w:cs="Arial" w:eastAsia="Arial" w:hAnsi="Arial"/>
          <w:sz w:val="21"/>
          <w:szCs w:val="21"/>
          <w:color w:val="auto"/>
        </w:rPr>
        <w:t>adequacy of which is hereby acknowledged, and intending to be legally bound, the parties hereto agree as follows:</w:t>
      </w:r>
    </w:p>
    <w:p>
      <w:pPr>
        <w:spacing w:after="0" w:line="140" w:lineRule="exact"/>
        <w:rPr>
          <w:sz w:val="20"/>
          <w:szCs w:val="20"/>
          <w:color w:val="auto"/>
        </w:rPr>
      </w:pPr>
    </w:p>
    <w:p>
      <w:pPr>
        <w:ind w:left="660" w:firstLine="645"/>
        <w:spacing w:after="0" w:line="254" w:lineRule="auto"/>
        <w:tabs>
          <w:tab w:leader="none" w:pos="1488" w:val="left"/>
        </w:tabs>
        <w:numPr>
          <w:ilvl w:val="1"/>
          <w:numId w:val="90"/>
        </w:numPr>
        <w:rPr>
          <w:rFonts w:ascii="Arial" w:cs="Arial" w:eastAsia="Arial" w:hAnsi="Arial"/>
          <w:sz w:val="18"/>
          <w:szCs w:val="18"/>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 them in</w:t>
      </w:r>
      <w:r>
        <w:rPr>
          <w:rFonts w:ascii="Arial" w:cs="Arial" w:eastAsia="Arial" w:hAnsi="Arial"/>
          <w:sz w:val="22"/>
          <w:szCs w:val="22"/>
          <w:b w:val="1"/>
          <w:bCs w:val="1"/>
          <w:color w:val="auto"/>
        </w:rPr>
        <w:t xml:space="preserve"> </w:t>
      </w:r>
      <w:r>
        <w:rPr>
          <w:rFonts w:ascii="Arial" w:cs="Arial" w:eastAsia="Arial" w:hAnsi="Arial"/>
          <w:sz w:val="22"/>
          <w:szCs w:val="22"/>
          <w:color w:val="auto"/>
        </w:rPr>
        <w:t>the Pledge Agreement.</w:t>
      </w:r>
    </w:p>
    <w:p>
      <w:pPr>
        <w:spacing w:after="0" w:line="1" w:lineRule="exact"/>
        <w:rPr>
          <w:rFonts w:ascii="Arial" w:cs="Arial" w:eastAsia="Arial" w:hAnsi="Arial"/>
          <w:sz w:val="18"/>
          <w:szCs w:val="18"/>
          <w:color w:val="auto"/>
        </w:rPr>
      </w:pPr>
    </w:p>
    <w:p>
      <w:pPr>
        <w:ind w:left="840" w:hanging="184"/>
        <w:spacing w:after="0"/>
        <w:tabs>
          <w:tab w:leader="none" w:pos="840" w:val="left"/>
        </w:tabs>
        <w:numPr>
          <w:ilvl w:val="0"/>
          <w:numId w:val="91"/>
        </w:numPr>
        <w:rPr>
          <w:rFonts w:ascii="Arial" w:cs="Arial" w:eastAsia="Arial" w:hAnsi="Arial"/>
          <w:sz w:val="18"/>
          <w:szCs w:val="18"/>
          <w:color w:val="auto"/>
        </w:rPr>
      </w:pPr>
      <w:r>
        <w:rPr>
          <w:rFonts w:ascii="Arial" w:cs="Arial" w:eastAsia="Arial" w:hAnsi="Arial"/>
          <w:sz w:val="22"/>
          <w:szCs w:val="22"/>
          <w:b w:val="1"/>
          <w:bCs w:val="1"/>
          <w:color w:val="auto"/>
        </w:rPr>
        <w:t>Amendment to Pledge Agreement.</w:t>
      </w:r>
    </w:p>
    <w:p>
      <w:pPr>
        <w:spacing w:after="0" w:line="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b w:val="1"/>
          <w:bCs w:val="1"/>
          <w:color w:val="auto"/>
        </w:rPr>
        <w:t>Exhibit A</w:t>
      </w:r>
      <w:r>
        <w:rPr>
          <w:rFonts w:ascii="Arial" w:cs="Arial" w:eastAsia="Arial" w:hAnsi="Arial"/>
          <w:sz w:val="21"/>
          <w:szCs w:val="21"/>
          <w:color w:val="auto"/>
        </w:rPr>
        <w:t>. The definition of “</w:t>
      </w:r>
      <w:r>
        <w:rPr>
          <w:rFonts w:ascii="Arial" w:cs="Arial" w:eastAsia="Arial" w:hAnsi="Arial"/>
          <w:sz w:val="21"/>
          <w:szCs w:val="21"/>
          <w:u w:val="single" w:color="auto"/>
          <w:color w:val="auto"/>
        </w:rPr>
        <w:t>Issuer</w:t>
      </w:r>
      <w:r>
        <w:rPr>
          <w:rFonts w:ascii="Arial" w:cs="Arial" w:eastAsia="Arial" w:hAnsi="Arial"/>
          <w:sz w:val="21"/>
          <w:szCs w:val="21"/>
          <w:color w:val="auto"/>
        </w:rPr>
        <w:t>” in Exhibit A to the Pledge Agreement is amended in its entirety and replaced</w:t>
      </w:r>
      <w:r>
        <w:rPr>
          <w:rFonts w:ascii="Arial" w:cs="Arial" w:eastAsia="Arial" w:hAnsi="Arial"/>
          <w:sz w:val="18"/>
          <w:szCs w:val="18"/>
          <w:color w:val="auto"/>
        </w:rPr>
        <w:t xml:space="preserve"> </w:t>
      </w:r>
      <w:r>
        <w:rPr>
          <w:rFonts w:ascii="Arial" w:cs="Arial" w:eastAsia="Arial" w:hAnsi="Arial"/>
          <w:sz w:val="21"/>
          <w:szCs w:val="21"/>
          <w:color w:val="auto"/>
        </w:rPr>
        <w:t>with the following:</w:t>
      </w:r>
    </w:p>
    <w:p>
      <w:pPr>
        <w:jc w:val="both"/>
        <w:ind w:left="660" w:firstLine="648"/>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w:t>
      </w:r>
      <w:r>
        <w:rPr>
          <w:rFonts w:ascii="Arial" w:cs="Arial" w:eastAsia="Arial" w:hAnsi="Arial"/>
          <w:sz w:val="22"/>
          <w:szCs w:val="22"/>
          <w:color w:val="auto"/>
        </w:rPr>
        <w:t>” means Rubicon Project Hopper, Inc., Rubicon Project Unlatch, Inc., Rubicon Project Bell, Inc., 5 Moon Media LLC, The Rubicon Project Ltd., The Rubicon Project GmbH, The Rubicon Project Australia Pty. Ltd., Rubicon Project K.K., The Rubicon Project Singapore Pte. Ltd., The Rubicon Project SARL, Rubicon Project Serviços de Internet Ltda., The Rubicon Project SRL, The Rubicon Project Netherlands B.V., The Rubicon Project Canco, Inc., and any other issuer of any of the Pledged Equity.</w:t>
      </w:r>
    </w:p>
    <w:p>
      <w:pPr>
        <w:spacing w:after="0" w:line="189" w:lineRule="exact"/>
        <w:rPr>
          <w:sz w:val="20"/>
          <w:szCs w:val="20"/>
          <w:color w:val="auto"/>
        </w:rPr>
      </w:pPr>
    </w:p>
    <w:p>
      <w:pPr>
        <w:jc w:val="both"/>
        <w:ind w:left="660" w:right="20" w:firstLine="1297"/>
        <w:spacing w:after="0" w:line="266" w:lineRule="auto"/>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b w:val="1"/>
          <w:bCs w:val="1"/>
          <w:color w:val="auto"/>
        </w:rPr>
        <w:t>Schedule 1</w:t>
      </w:r>
      <w:r>
        <w:rPr>
          <w:rFonts w:ascii="Arial" w:cs="Arial" w:eastAsia="Arial" w:hAnsi="Arial"/>
          <w:sz w:val="21"/>
          <w:szCs w:val="21"/>
          <w:color w:val="auto"/>
        </w:rPr>
        <w:t>. Schedule 1 to the Pledge Agreement is amended in its entirety and replaced with Schedule 1</w:t>
      </w:r>
      <w:r>
        <w:rPr>
          <w:rFonts w:ascii="Arial" w:cs="Arial" w:eastAsia="Arial" w:hAnsi="Arial"/>
          <w:sz w:val="18"/>
          <w:szCs w:val="18"/>
          <w:color w:val="auto"/>
        </w:rPr>
        <w:t xml:space="preserve"> </w:t>
      </w:r>
      <w:r>
        <w:rPr>
          <w:rFonts w:ascii="Arial" w:cs="Arial" w:eastAsia="Arial" w:hAnsi="Arial"/>
          <w:sz w:val="21"/>
          <w:szCs w:val="21"/>
          <w:color w:val="auto"/>
        </w:rPr>
        <w:t>attached hereto.</w:t>
      </w:r>
    </w:p>
    <w:p>
      <w:pPr>
        <w:spacing w:after="0" w:line="2" w:lineRule="exact"/>
        <w:rPr>
          <w:sz w:val="20"/>
          <w:szCs w:val="20"/>
          <w:color w:val="auto"/>
        </w:rPr>
      </w:pPr>
    </w:p>
    <w:p>
      <w:pPr>
        <w:ind w:left="840" w:hanging="184"/>
        <w:spacing w:after="0"/>
        <w:tabs>
          <w:tab w:leader="none" w:pos="840" w:val="left"/>
        </w:tabs>
        <w:numPr>
          <w:ilvl w:val="0"/>
          <w:numId w:val="92"/>
        </w:numPr>
        <w:rPr>
          <w:rFonts w:ascii="Arial" w:cs="Arial" w:eastAsia="Arial" w:hAnsi="Arial"/>
          <w:sz w:val="18"/>
          <w:szCs w:val="18"/>
          <w:color w:val="auto"/>
        </w:rPr>
      </w:pPr>
      <w:r>
        <w:rPr>
          <w:rFonts w:ascii="Arial" w:cs="Arial" w:eastAsia="Arial" w:hAnsi="Arial"/>
          <w:sz w:val="22"/>
          <w:szCs w:val="22"/>
          <w:b w:val="1"/>
          <w:bCs w:val="1"/>
          <w:color w:val="auto"/>
        </w:rPr>
        <w:t>Limitation of Amendments.</w:t>
      </w:r>
    </w:p>
    <w:p>
      <w:pPr>
        <w:spacing w:after="0" w:line="3" w:lineRule="exact"/>
        <w:rPr>
          <w:rFonts w:ascii="Arial" w:cs="Arial" w:eastAsia="Arial" w:hAnsi="Arial"/>
          <w:sz w:val="18"/>
          <w:szCs w:val="18"/>
          <w:color w:val="auto"/>
        </w:rPr>
      </w:pPr>
    </w:p>
    <w:p>
      <w:pPr>
        <w:jc w:val="both"/>
        <w:ind w:firstLine="1297"/>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21"/>
          <w:szCs w:val="21"/>
          <w:color w:val="auto"/>
        </w:rPr>
        <w:t>The amendments set forth in Section 2, above, are effective for the purposes set forth herein and shall be limited</w:t>
      </w:r>
      <w:r>
        <w:rPr>
          <w:rFonts w:ascii="Arial" w:cs="Arial" w:eastAsia="Arial" w:hAnsi="Arial"/>
          <w:sz w:val="18"/>
          <w:szCs w:val="18"/>
          <w:color w:val="auto"/>
        </w:rPr>
        <w:t xml:space="preserve"> </w:t>
      </w:r>
      <w:r>
        <w:rPr>
          <w:rFonts w:ascii="Arial" w:cs="Arial" w:eastAsia="Arial" w:hAnsi="Arial"/>
          <w:sz w:val="21"/>
          <w:szCs w:val="21"/>
          <w:color w:val="auto"/>
        </w:rPr>
        <w:t>precisely as written and shall not be deemed to (a) be a consent to any amendment, waiver or modification of any other term or condition of any Pledge Document, or (b) otherwise prejudice any right or remedy which Bank may now have or may have in the future under or in connection with any Loan Document.</w:t>
      </w:r>
    </w:p>
    <w:p>
      <w:pPr>
        <w:sectPr>
          <w:pgSz w:w="11900" w:h="16838" w:orient="portrait"/>
          <w:cols w:equalWidth="0" w:num="1">
            <w:col w:w="11420"/>
          </w:cols>
          <w:pgMar w:left="240" w:top="936" w:right="239" w:bottom="1440" w:gutter="0" w:footer="0" w:header="0"/>
        </w:sectPr>
      </w:pPr>
    </w:p>
    <w:bookmarkStart w:id="88" w:name="page89"/>
    <w:bookmarkEnd w:id="88"/>
    <w:p>
      <w:pPr>
        <w:jc w:val="both"/>
        <w:ind w:right="20" w:firstLine="1297"/>
        <w:spacing w:after="0" w:line="260" w:lineRule="auto"/>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This Amendment shall be construed in connection with and as part of the Loan Documents and all terms,</w:t>
      </w:r>
      <w:r>
        <w:rPr>
          <w:rFonts w:ascii="Arial" w:cs="Arial" w:eastAsia="Arial" w:hAnsi="Arial"/>
          <w:sz w:val="18"/>
          <w:szCs w:val="18"/>
          <w:color w:val="auto"/>
        </w:rPr>
        <w:t xml:space="preserve"> </w:t>
      </w:r>
      <w:r>
        <w:rPr>
          <w:rFonts w:ascii="Arial" w:cs="Arial" w:eastAsia="Arial" w:hAnsi="Arial"/>
          <w:sz w:val="21"/>
          <w:szCs w:val="21"/>
          <w:color w:val="auto"/>
        </w:rPr>
        <w:t>conditions, representations, warranties, covenants and agreements set forth in the Loan Documents, except as herein amended, are hereby ratified and confirmed and shall remain in full force and effect.</w:t>
      </w:r>
    </w:p>
    <w:p>
      <w:pPr>
        <w:spacing w:after="0" w:line="3" w:lineRule="exact"/>
        <w:rPr>
          <w:sz w:val="20"/>
          <w:szCs w:val="20"/>
          <w:color w:val="auto"/>
        </w:rPr>
      </w:pPr>
    </w:p>
    <w:p>
      <w:pPr>
        <w:ind w:left="840" w:hanging="184"/>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22"/>
          <w:szCs w:val="22"/>
          <w:b w:val="1"/>
          <w:bCs w:val="1"/>
          <w:color w:val="auto"/>
        </w:rPr>
        <w:t>Reaffirmation.</w:t>
      </w:r>
    </w:p>
    <w:p>
      <w:pPr>
        <w:spacing w:after="0" w:line="3" w:lineRule="exact"/>
        <w:rPr>
          <w:rFonts w:ascii="Arial" w:cs="Arial" w:eastAsia="Arial" w:hAnsi="Arial"/>
          <w:sz w:val="18"/>
          <w:szCs w:val="18"/>
          <w:color w:val="auto"/>
        </w:rPr>
      </w:pPr>
    </w:p>
    <w:p>
      <w:pPr>
        <w:jc w:val="both"/>
        <w:ind w:firstLine="1305"/>
        <w:spacing w:after="0" w:line="243" w:lineRule="auto"/>
        <w:tabs>
          <w:tab w:leader="none" w:pos="1466" w:val="left"/>
        </w:tabs>
        <w:numPr>
          <w:ilvl w:val="1"/>
          <w:numId w:val="93"/>
        </w:numPr>
        <w:rPr>
          <w:rFonts w:ascii="Arial" w:cs="Arial" w:eastAsia="Arial" w:hAnsi="Arial"/>
          <w:sz w:val="18"/>
          <w:szCs w:val="18"/>
          <w:color w:val="auto"/>
        </w:rPr>
      </w:pPr>
      <w:r>
        <w:rPr>
          <w:rFonts w:ascii="Arial" w:cs="Arial" w:eastAsia="Arial" w:hAnsi="Arial"/>
          <w:sz w:val="22"/>
          <w:szCs w:val="22"/>
          <w:color w:val="auto"/>
        </w:rPr>
        <w:t>Pledgor hereby agrees that the Pledge Agreement, as amended by this Amendment, shall continue in full force and effect, shall be valid and enforceable and shall not be impaired or otherwise affected by the execution of this Amendment or any other document or instrument delivered in connection herewith.</w:t>
      </w:r>
    </w:p>
    <w:p>
      <w:pPr>
        <w:spacing w:after="0" w:line="1" w:lineRule="exact"/>
        <w:rPr>
          <w:rFonts w:ascii="Arial" w:cs="Arial" w:eastAsia="Arial" w:hAnsi="Arial"/>
          <w:sz w:val="18"/>
          <w:szCs w:val="18"/>
          <w:color w:val="auto"/>
        </w:rPr>
      </w:pPr>
    </w:p>
    <w:p>
      <w:pPr>
        <w:ind w:firstLine="1305"/>
        <w:spacing w:after="0" w:line="243" w:lineRule="auto"/>
        <w:tabs>
          <w:tab w:leader="none" w:pos="1504" w:val="left"/>
        </w:tabs>
        <w:numPr>
          <w:ilvl w:val="1"/>
          <w:numId w:val="93"/>
        </w:numPr>
        <w:rPr>
          <w:rFonts w:ascii="Arial" w:cs="Arial" w:eastAsia="Arial" w:hAnsi="Arial"/>
          <w:sz w:val="18"/>
          <w:szCs w:val="18"/>
          <w:color w:val="auto"/>
        </w:rPr>
      </w:pPr>
      <w:r>
        <w:rPr>
          <w:rFonts w:ascii="Arial" w:cs="Arial" w:eastAsia="Arial" w:hAnsi="Arial"/>
          <w:sz w:val="22"/>
          <w:szCs w:val="22"/>
          <w:color w:val="auto"/>
        </w:rPr>
        <w:t>Pledgor represents and warrants that, after giving effect to this Amendment, all representations and warranties contained in the Pledge Agreement are true, accurate and complete as if made the date hereof.</w:t>
      </w:r>
    </w:p>
    <w:p>
      <w:pPr>
        <w:jc w:val="both"/>
        <w:ind w:firstLine="656"/>
        <w:spacing w:after="0" w:line="243" w:lineRule="auto"/>
        <w:tabs>
          <w:tab w:leader="none" w:pos="855" w:val="left"/>
        </w:tabs>
        <w:numPr>
          <w:ilvl w:val="0"/>
          <w:numId w:val="93"/>
        </w:numPr>
        <w:rPr>
          <w:rFonts w:ascii="Arial" w:cs="Arial" w:eastAsia="Arial" w:hAnsi="Arial"/>
          <w:sz w:val="18"/>
          <w:szCs w:val="18"/>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 matter and</w:t>
      </w:r>
      <w:r>
        <w:rPr>
          <w:rFonts w:ascii="Arial" w:cs="Arial" w:eastAsia="Arial" w:hAnsi="Arial"/>
          <w:sz w:val="22"/>
          <w:szCs w:val="22"/>
          <w:b w:val="1"/>
          <w:bCs w:val="1"/>
          <w:color w:val="auto"/>
        </w:rPr>
        <w:t xml:space="preserve"> </w:t>
      </w:r>
      <w:r>
        <w:rPr>
          <w:rFonts w:ascii="Arial" w:cs="Arial" w:eastAsia="Arial" w:hAnsi="Arial"/>
          <w:sz w:val="22"/>
          <w:szCs w:val="22"/>
          <w:color w:val="auto"/>
        </w:rPr>
        <w:t>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 w:lineRule="exact"/>
        <w:rPr>
          <w:rFonts w:ascii="Arial" w:cs="Arial" w:eastAsia="Arial" w:hAnsi="Arial"/>
          <w:sz w:val="18"/>
          <w:szCs w:val="18"/>
          <w:color w:val="auto"/>
        </w:rPr>
      </w:pPr>
    </w:p>
    <w:p>
      <w:pPr>
        <w:ind w:right="20" w:firstLine="656"/>
        <w:spacing w:after="0" w:line="243" w:lineRule="auto"/>
        <w:tabs>
          <w:tab w:leader="none" w:pos="855" w:val="left"/>
        </w:tabs>
        <w:numPr>
          <w:ilvl w:val="0"/>
          <w:numId w:val="93"/>
        </w:numPr>
        <w:rPr>
          <w:rFonts w:ascii="Arial" w:cs="Arial" w:eastAsia="Arial" w:hAnsi="Arial"/>
          <w:sz w:val="18"/>
          <w:szCs w:val="18"/>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 taken</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shall be deemed to constitute one and the same instrument.</w:t>
      </w:r>
    </w:p>
    <w:p>
      <w:pPr>
        <w:ind w:firstLine="656"/>
        <w:spacing w:after="0" w:line="243" w:lineRule="auto"/>
        <w:tabs>
          <w:tab w:leader="none" w:pos="882" w:val="left"/>
        </w:tabs>
        <w:numPr>
          <w:ilvl w:val="0"/>
          <w:numId w:val="93"/>
        </w:numPr>
        <w:rPr>
          <w:rFonts w:ascii="Arial" w:cs="Arial" w:eastAsia="Arial" w:hAnsi="Arial"/>
          <w:sz w:val="18"/>
          <w:szCs w:val="18"/>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the due execution and delivery to Bank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by each party hereto.</w:t>
      </w:r>
    </w:p>
    <w:p>
      <w:pPr>
        <w:jc w:val="center"/>
        <w:ind w:right="-19"/>
        <w:spacing w:after="0" w:line="236" w:lineRule="auto"/>
        <w:rPr>
          <w:sz w:val="20"/>
          <w:szCs w:val="20"/>
          <w:color w:val="auto"/>
        </w:rPr>
      </w:pPr>
      <w:r>
        <w:rPr>
          <w:rFonts w:ascii="Arial" w:cs="Arial" w:eastAsia="Arial" w:hAnsi="Arial"/>
          <w:sz w:val="22"/>
          <w:szCs w:val="22"/>
          <w:color w:val="auto"/>
        </w:rPr>
        <w:t>[Signature page follows.]</w:t>
      </w:r>
    </w:p>
    <w:p>
      <w:pPr>
        <w:jc w:val="center"/>
        <w:ind w:right="-19"/>
        <w:spacing w:after="0"/>
        <w:rPr>
          <w:sz w:val="20"/>
          <w:szCs w:val="20"/>
          <w:color w:val="auto"/>
        </w:rPr>
      </w:pPr>
      <w:r>
        <w:rPr>
          <w:rFonts w:ascii="Arial" w:cs="Arial" w:eastAsia="Arial" w:hAnsi="Arial"/>
          <w:sz w:val="18"/>
          <w:szCs w:val="18"/>
          <w:color w:val="auto"/>
        </w:rPr>
        <w:t>[Signature Page to Second Amendment to Stock Pledge Agreement]</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to be duly executed and delivered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above.</w:t>
      </w:r>
    </w:p>
    <w:p>
      <w:pPr>
        <w:spacing w:after="0" w:line="200" w:lineRule="exact"/>
        <w:rPr>
          <w:sz w:val="20"/>
          <w:szCs w:val="20"/>
          <w:color w:val="auto"/>
        </w:rPr>
      </w:pPr>
    </w:p>
    <w:p>
      <w:pPr>
        <w:spacing w:after="0" w:line="228" w:lineRule="exact"/>
        <w:rPr>
          <w:sz w:val="20"/>
          <w:szCs w:val="20"/>
          <w:color w:val="auto"/>
        </w:rPr>
      </w:pPr>
    </w:p>
    <w:p>
      <w:pPr>
        <w:ind w:left="440"/>
        <w:spacing w:after="0"/>
        <w:tabs>
          <w:tab w:leader="none" w:pos="6140" w:val="left"/>
        </w:tabs>
        <w:rPr>
          <w:sz w:val="20"/>
          <w:szCs w:val="20"/>
          <w:color w:val="auto"/>
        </w:rPr>
      </w:pPr>
      <w:r>
        <w:rPr>
          <w:rFonts w:ascii="Arial" w:cs="Arial" w:eastAsia="Arial" w:hAnsi="Arial"/>
          <w:sz w:val="18"/>
          <w:szCs w:val="18"/>
          <w:b w:val="1"/>
          <w:bCs w:val="1"/>
          <w:color w:val="auto"/>
        </w:rPr>
        <w:t>BANK</w:t>
      </w:r>
      <w:r>
        <w:rPr>
          <w:sz w:val="20"/>
          <w:szCs w:val="20"/>
          <w:color w:val="auto"/>
        </w:rPr>
        <w:tab/>
      </w:r>
      <w:r>
        <w:rPr>
          <w:rFonts w:ascii="Arial" w:cs="Arial" w:eastAsia="Arial" w:hAnsi="Arial"/>
          <w:sz w:val="18"/>
          <w:szCs w:val="18"/>
          <w:b w:val="1"/>
          <w:bCs w:val="1"/>
          <w:color w:val="auto"/>
        </w:rPr>
        <w:t>PLEDGOR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80" w:type="dxa"/>
            <w:vAlign w:val="bottom"/>
            <w:gridSpan w:val="3"/>
          </w:tcPr>
          <w:p>
            <w:pPr>
              <w:spacing w:after="0"/>
              <w:rPr>
                <w:sz w:val="20"/>
                <w:szCs w:val="20"/>
                <w:color w:val="auto"/>
              </w:rPr>
            </w:pPr>
            <w:r>
              <w:rPr>
                <w:rFonts w:ascii="Arial" w:cs="Arial" w:eastAsia="Arial" w:hAnsi="Arial"/>
                <w:sz w:val="22"/>
                <w:szCs w:val="22"/>
                <w:color w:val="auto"/>
                <w:w w:val="99"/>
              </w:rPr>
              <w:t>Silicon Valley Bank</w:t>
            </w:r>
          </w:p>
        </w:tc>
        <w:tc>
          <w:tcPr>
            <w:tcW w:w="2740" w:type="dxa"/>
            <w:vAlign w:val="bottom"/>
            <w:gridSpan w:val="9"/>
          </w:tcPr>
          <w:p>
            <w:pPr>
              <w:jc w:val="center"/>
              <w:ind w:right="360"/>
              <w:spacing w:after="0"/>
              <w:rPr>
                <w:sz w:val="20"/>
                <w:szCs w:val="20"/>
                <w:color w:val="auto"/>
              </w:rPr>
            </w:pPr>
            <w:r>
              <w:rPr>
                <w:rFonts w:ascii="Arial" w:cs="Arial" w:eastAsia="Arial" w:hAnsi="Arial"/>
                <w:sz w:val="22"/>
                <w:szCs w:val="22"/>
                <w:color w:val="auto"/>
                <w:w w:val="89"/>
              </w:rPr>
              <w:t>The Rubicon Project, Inc.</w:t>
            </w:r>
          </w:p>
        </w:tc>
      </w:tr>
      <w:tr>
        <w:trPr>
          <w:trHeight w:val="692"/>
        </w:trPr>
        <w:tc>
          <w:tcPr>
            <w:tcW w:w="2160" w:type="dxa"/>
            <w:vAlign w:val="bottom"/>
            <w:gridSpan w:val="6"/>
          </w:tcPr>
          <w:p>
            <w:pPr>
              <w:spacing w:after="0"/>
              <w:rPr>
                <w:sz w:val="20"/>
                <w:szCs w:val="20"/>
                <w:color w:val="auto"/>
              </w:rPr>
            </w:pPr>
            <w:r>
              <w:rPr>
                <w:rFonts w:ascii="Arial" w:cs="Arial" w:eastAsia="Arial" w:hAnsi="Arial"/>
                <w:sz w:val="22"/>
                <w:szCs w:val="22"/>
                <w:color w:val="auto"/>
                <w:w w:val="95"/>
              </w:rPr>
              <w:t>By:  /s/ Michaela Brady</w:t>
            </w:r>
          </w:p>
        </w:tc>
        <w:tc>
          <w:tcPr>
            <w:tcW w:w="2460" w:type="dxa"/>
            <w:vAlign w:val="bottom"/>
            <w:gridSpan w:val="6"/>
          </w:tcPr>
          <w:p>
            <w:pPr>
              <w:jc w:val="center"/>
              <w:ind w:right="580"/>
              <w:spacing w:after="0"/>
              <w:rPr>
                <w:sz w:val="20"/>
                <w:szCs w:val="20"/>
                <w:color w:val="auto"/>
              </w:rPr>
            </w:pPr>
            <w:r>
              <w:rPr>
                <w:rFonts w:ascii="Arial" w:cs="Arial" w:eastAsia="Arial" w:hAnsi="Arial"/>
                <w:sz w:val="22"/>
                <w:szCs w:val="22"/>
                <w:color w:val="auto"/>
                <w:w w:val="94"/>
              </w:rPr>
              <w:t>By: /s/ David Day</w:t>
            </w:r>
          </w:p>
        </w:tc>
      </w:tr>
      <w:tr>
        <w:trPr>
          <w:trHeight w:val="20"/>
        </w:trPr>
        <w:tc>
          <w:tcPr>
            <w:tcW w:w="4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2160" w:type="dxa"/>
            <w:vAlign w:val="bottom"/>
            <w:gridSpan w:val="6"/>
          </w:tcPr>
          <w:p>
            <w:pPr>
              <w:spacing w:after="0" w:line="237" w:lineRule="exact"/>
              <w:rPr>
                <w:sz w:val="20"/>
                <w:szCs w:val="20"/>
                <w:color w:val="auto"/>
              </w:rPr>
            </w:pPr>
            <w:r>
              <w:rPr>
                <w:rFonts w:ascii="Arial" w:cs="Arial" w:eastAsia="Arial" w:hAnsi="Arial"/>
                <w:sz w:val="22"/>
                <w:szCs w:val="22"/>
                <w:color w:val="auto"/>
                <w:w w:val="96"/>
              </w:rPr>
              <w:t>Name: Michaela Brady</w:t>
            </w:r>
          </w:p>
        </w:tc>
        <w:tc>
          <w:tcPr>
            <w:tcW w:w="2460" w:type="dxa"/>
            <w:vAlign w:val="bottom"/>
            <w:gridSpan w:val="6"/>
          </w:tcPr>
          <w:p>
            <w:pPr>
              <w:ind w:left="40"/>
              <w:spacing w:after="0" w:line="237" w:lineRule="exact"/>
              <w:rPr>
                <w:sz w:val="20"/>
                <w:szCs w:val="20"/>
                <w:color w:val="auto"/>
              </w:rPr>
            </w:pPr>
            <w:r>
              <w:rPr>
                <w:rFonts w:ascii="Arial" w:cs="Arial" w:eastAsia="Arial" w:hAnsi="Arial"/>
                <w:sz w:val="22"/>
                <w:szCs w:val="22"/>
                <w:color w:val="auto"/>
              </w:rPr>
              <w:t>Name: David Day</w:t>
            </w:r>
          </w:p>
        </w:tc>
      </w:tr>
      <w:tr>
        <w:trPr>
          <w:trHeight w:val="20"/>
        </w:trPr>
        <w:tc>
          <w:tcPr>
            <w:tcW w:w="6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37"/>
        </w:trPr>
        <w:tc>
          <w:tcPr>
            <w:tcW w:w="1880" w:type="dxa"/>
            <w:vAlign w:val="bottom"/>
            <w:gridSpan w:val="3"/>
          </w:tcPr>
          <w:p>
            <w:pPr>
              <w:spacing w:after="0" w:line="237" w:lineRule="exact"/>
              <w:rPr>
                <w:sz w:val="20"/>
                <w:szCs w:val="20"/>
                <w:color w:val="auto"/>
              </w:rPr>
            </w:pPr>
            <w:r>
              <w:rPr>
                <w:rFonts w:ascii="Arial" w:cs="Arial" w:eastAsia="Arial" w:hAnsi="Arial"/>
                <w:sz w:val="22"/>
                <w:szCs w:val="22"/>
                <w:color w:val="auto"/>
                <w:w w:val="92"/>
              </w:rPr>
              <w:t>Title:  Vice President</w:t>
            </w:r>
          </w:p>
        </w:tc>
        <w:tc>
          <w:tcPr>
            <w:tcW w:w="140" w:type="dxa"/>
            <w:vAlign w:val="bottom"/>
          </w:tcPr>
          <w:p>
            <w:pPr>
              <w:spacing w:after="0"/>
              <w:rPr>
                <w:sz w:val="20"/>
                <w:szCs w:val="20"/>
                <w:color w:val="auto"/>
              </w:rPr>
            </w:pPr>
          </w:p>
        </w:tc>
        <w:tc>
          <w:tcPr>
            <w:tcW w:w="2600" w:type="dxa"/>
            <w:vAlign w:val="bottom"/>
            <w:gridSpan w:val="8"/>
          </w:tcPr>
          <w:p>
            <w:pPr>
              <w:ind w:left="80"/>
              <w:spacing w:after="0" w:line="237" w:lineRule="exact"/>
              <w:rPr>
                <w:sz w:val="20"/>
                <w:szCs w:val="20"/>
                <w:color w:val="auto"/>
              </w:rPr>
            </w:pPr>
            <w:r>
              <w:rPr>
                <w:rFonts w:ascii="Arial" w:cs="Arial" w:eastAsia="Arial" w:hAnsi="Arial"/>
                <w:sz w:val="22"/>
                <w:szCs w:val="22"/>
                <w:color w:val="auto"/>
                <w:w w:val="92"/>
              </w:rPr>
              <w:t>Title: Chief Financial Officer</w:t>
            </w:r>
          </w:p>
        </w:tc>
      </w:tr>
      <w:tr>
        <w:trPr>
          <w:trHeight w:val="20"/>
        </w:trPr>
        <w:tc>
          <w:tcPr>
            <w:tcW w:w="4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942" w:right="239" w:bottom="1440" w:gutter="0" w:footer="0" w:header="0"/>
        </w:sectPr>
      </w:pPr>
    </w:p>
    <w:bookmarkStart w:id="89" w:name="page90"/>
    <w:bookmarkEnd w:id="89"/>
    <w:p>
      <w:pPr>
        <w:ind w:left="10060"/>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RUBICON PROJECT,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EMPLOYEE STOCK PURCHASE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ON JULY 26, 2018</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Section 1. PURPOSE</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purpose of the Plan is to provide an opportunity for Employees of The Rubicon Project, Inc., a Delaware corporation (“</w:t>
      </w:r>
      <w:r>
        <w:rPr>
          <w:rFonts w:ascii="Arial" w:cs="Arial" w:eastAsia="Arial" w:hAnsi="Arial"/>
          <w:sz w:val="19"/>
          <w:szCs w:val="19"/>
          <w:u w:val="single" w:color="auto"/>
          <w:color w:val="auto"/>
        </w:rPr>
        <w:t>Sponsor</w:t>
      </w:r>
      <w:r>
        <w:rPr>
          <w:rFonts w:ascii="Arial" w:cs="Arial" w:eastAsia="Arial" w:hAnsi="Arial"/>
          <w:sz w:val="19"/>
          <w:szCs w:val="19"/>
          <w:color w:val="auto"/>
        </w:rPr>
        <w:t>") and its Participating Subsidiaries (collectively Sponsor and its Participating Subsidiaries shall be referred to as the “</w:t>
      </w:r>
      <w:r>
        <w:rPr>
          <w:rFonts w:ascii="Arial" w:cs="Arial" w:eastAsia="Arial" w:hAnsi="Arial"/>
          <w:sz w:val="19"/>
          <w:szCs w:val="19"/>
          <w:u w:val="single" w:color="auto"/>
          <w:color w:val="auto"/>
        </w:rPr>
        <w:t>Company</w:t>
      </w:r>
      <w:r>
        <w:rPr>
          <w:rFonts w:ascii="Arial" w:cs="Arial" w:eastAsia="Arial" w:hAnsi="Arial"/>
          <w:sz w:val="19"/>
          <w:szCs w:val="19"/>
          <w:color w:val="auto"/>
        </w:rPr>
        <w:t>”), to purchase Common Stock of Sponsor and thereby to have an additional incentive to contribute to the prosperity of the Company. It is the intention of the Company that the Plan (excluding any sub-plans thereof except as expressly provided in the terms of such sub-plan) qualify as an “</w:t>
      </w:r>
      <w:r>
        <w:rPr>
          <w:rFonts w:ascii="Arial" w:cs="Arial" w:eastAsia="Arial" w:hAnsi="Arial"/>
          <w:sz w:val="19"/>
          <w:szCs w:val="19"/>
          <w:u w:val="single" w:color="auto"/>
          <w:color w:val="auto"/>
        </w:rPr>
        <w:t>Employee Stock Purchase Plan</w:t>
      </w:r>
      <w:r>
        <w:rPr>
          <w:rFonts w:ascii="Arial" w:cs="Arial" w:eastAsia="Arial" w:hAnsi="Arial"/>
          <w:sz w:val="19"/>
          <w:szCs w:val="19"/>
          <w:color w:val="auto"/>
        </w:rPr>
        <w:t>” under Section 423 of the U.S.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Plan shall be administered in accordance with this intent. In addition, the Plan authorizes the grant of options pursuant to sub-plans or special rules adopted by the Committee designed to achieve desired tax or other objectives in particular locations outside of the United States or to achieve other business objectives in the determination of the Committee, which sub-plans shall not be required to comply with the requirements of Section 423 of the Code or all of the specific provisions of the Plan, including but not limited to terms relating to eligibility, Offering Periods or Purchase Price.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Section 2. DEFINITIONS</w:t>
      </w:r>
    </w:p>
    <w:p>
      <w:pPr>
        <w:spacing w:after="0" w:line="22"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w:t>
      </w:r>
      <w:r>
        <w:rPr>
          <w:rFonts w:ascii="Arial" w:cs="Arial" w:eastAsia="Arial" w:hAnsi="Arial"/>
          <w:sz w:val="21"/>
          <w:szCs w:val="21"/>
          <w:u w:val="single" w:color="auto"/>
          <w:color w:val="auto"/>
        </w:rPr>
        <w:t>Applicable Law</w:t>
      </w:r>
      <w:r>
        <w:rPr>
          <w:rFonts w:ascii="Arial" w:cs="Arial" w:eastAsia="Arial" w:hAnsi="Arial"/>
          <w:sz w:val="21"/>
          <w:szCs w:val="21"/>
          <w:color w:val="auto"/>
        </w:rPr>
        <w:t>” shall mean the legal requirements relating to the administration of an employee stock purchase plan under</w:t>
      </w:r>
      <w:r>
        <w:rPr>
          <w:rFonts w:ascii="Arial" w:cs="Arial" w:eastAsia="Arial" w:hAnsi="Arial"/>
          <w:sz w:val="18"/>
          <w:szCs w:val="18"/>
          <w:color w:val="auto"/>
        </w:rPr>
        <w:t xml:space="preserve"> </w:t>
      </w:r>
      <w:r>
        <w:rPr>
          <w:rFonts w:ascii="Arial" w:cs="Arial" w:eastAsia="Arial" w:hAnsi="Arial"/>
          <w:sz w:val="21"/>
          <w:szCs w:val="21"/>
          <w:color w:val="auto"/>
        </w:rPr>
        <w:t>applicable U.S. state corporate laws, U.S. federal and applicable state securities laws, the Code, any stock exchange rules or regulations and the applicable laws of any other country or jurisdiction, as such laws, rules, regulations and requirements shall be in place from time to time.</w:t>
      </w: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shall mean the Board of Directors of Sponsor.</w:t>
      </w:r>
    </w:p>
    <w:p>
      <w:pPr>
        <w:spacing w:after="0" w:line="15" w:lineRule="exact"/>
        <w:rPr>
          <w:sz w:val="20"/>
          <w:szCs w:val="20"/>
          <w:color w:val="auto"/>
        </w:rPr>
      </w:pPr>
    </w:p>
    <w:p>
      <w:pPr>
        <w:jc w:val="both"/>
        <w:ind w:left="660" w:right="20" w:hanging="647"/>
        <w:spacing w:after="0" w:line="255" w:lineRule="auto"/>
        <w:rPr>
          <w:sz w:val="20"/>
          <w:szCs w:val="20"/>
          <w:color w:val="auto"/>
        </w:rPr>
      </w:pPr>
      <w:r>
        <w:rPr>
          <w:rFonts w:ascii="Arial" w:cs="Arial" w:eastAsia="Arial" w:hAnsi="Arial"/>
          <w:sz w:val="18"/>
          <w:szCs w:val="18"/>
          <w:color w:val="auto"/>
        </w:rPr>
        <w:t xml:space="preserve">c. </w:t>
      </w: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shall mean the Internal Revenue Code of 1986, as such is amended from time to time, and any reference to a section of</w:t>
      </w:r>
      <w:r>
        <w:rPr>
          <w:rFonts w:ascii="Arial" w:cs="Arial" w:eastAsia="Arial" w:hAnsi="Arial"/>
          <w:sz w:val="18"/>
          <w:szCs w:val="18"/>
          <w:color w:val="auto"/>
        </w:rPr>
        <w:t xml:space="preserve"> </w:t>
      </w:r>
      <w:r>
        <w:rPr>
          <w:rFonts w:ascii="Arial" w:cs="Arial" w:eastAsia="Arial" w:hAnsi="Arial"/>
          <w:sz w:val="21"/>
          <w:szCs w:val="21"/>
          <w:color w:val="auto"/>
        </w:rPr>
        <w:t>the Code shall include any successor provision of the Code.</w:t>
      </w:r>
    </w:p>
    <w:p>
      <w:pPr>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20"/>
          <w:szCs w:val="20"/>
          <w:color w:val="auto"/>
        </w:rPr>
        <w:t>“</w:t>
      </w:r>
      <w:r>
        <w:rPr>
          <w:rFonts w:ascii="Arial" w:cs="Arial" w:eastAsia="Arial" w:hAnsi="Arial"/>
          <w:sz w:val="20"/>
          <w:szCs w:val="20"/>
          <w:u w:val="single" w:color="auto"/>
          <w:color w:val="auto"/>
        </w:rPr>
        <w:t>Commencement Date</w:t>
      </w:r>
      <w:r>
        <w:rPr>
          <w:rFonts w:ascii="Arial" w:cs="Arial" w:eastAsia="Arial" w:hAnsi="Arial"/>
          <w:sz w:val="20"/>
          <w:szCs w:val="20"/>
          <w:color w:val="auto"/>
        </w:rPr>
        <w:t>” shall mean, with respect to a given Offering Period, the first Trading Day during such Offering Period.</w:t>
      </w:r>
    </w:p>
    <w:p>
      <w:pPr>
        <w:spacing w:after="0" w:line="27"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shall mean the Compensation Committee of the Board or the officer, officers or committee appointed by the</w:t>
      </w:r>
      <w:r>
        <w:rPr>
          <w:rFonts w:ascii="Arial" w:cs="Arial" w:eastAsia="Arial" w:hAnsi="Arial"/>
          <w:sz w:val="18"/>
          <w:szCs w:val="18"/>
          <w:color w:val="auto"/>
        </w:rPr>
        <w:t xml:space="preserve"> </w:t>
      </w:r>
      <w:r>
        <w:rPr>
          <w:rFonts w:ascii="Arial" w:cs="Arial" w:eastAsia="Arial" w:hAnsi="Arial"/>
          <w:sz w:val="21"/>
          <w:szCs w:val="21"/>
          <w:color w:val="auto"/>
        </w:rPr>
        <w:t>Compensation Committee in accordance with Section 15 of the Plan (to the extent of the duties and responsibilities delegated by the Compensation Committee of the Board).</w:t>
      </w:r>
    </w:p>
    <w:p>
      <w:pPr>
        <w:jc w:val="both"/>
        <w:ind w:left="660" w:right="20" w:hanging="647"/>
        <w:spacing w:after="0" w:line="270" w:lineRule="auto"/>
        <w:rPr>
          <w:sz w:val="20"/>
          <w:szCs w:val="20"/>
          <w:color w:val="auto"/>
        </w:rPr>
      </w:pPr>
      <w:r>
        <w:rPr>
          <w:rFonts w:ascii="Arial" w:cs="Arial" w:eastAsia="Arial" w:hAnsi="Arial"/>
          <w:sz w:val="18"/>
          <w:szCs w:val="18"/>
          <w:color w:val="auto"/>
        </w:rPr>
        <w:t xml:space="preserve">f. </w:t>
      </w: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shall mean the common stock of Sponsor, par value $.00001 per share, or any securities into which such</w:t>
      </w:r>
      <w:r>
        <w:rPr>
          <w:rFonts w:ascii="Arial" w:cs="Arial" w:eastAsia="Arial" w:hAnsi="Arial"/>
          <w:sz w:val="18"/>
          <w:szCs w:val="18"/>
          <w:color w:val="auto"/>
        </w:rPr>
        <w:t xml:space="preserve"> </w:t>
      </w:r>
      <w:r>
        <w:rPr>
          <w:rFonts w:ascii="Arial" w:cs="Arial" w:eastAsia="Arial" w:hAnsi="Arial"/>
          <w:sz w:val="21"/>
          <w:szCs w:val="21"/>
          <w:color w:val="auto"/>
        </w:rPr>
        <w:t>Common Stock may be converted.</w:t>
      </w:r>
    </w:p>
    <w:p>
      <w:pPr>
        <w:sectPr>
          <w:pgSz w:w="11900" w:h="16838" w:orient="portrait"/>
          <w:cols w:equalWidth="0" w:num="1">
            <w:col w:w="11420"/>
          </w:cols>
          <w:pgMar w:left="240" w:top="612" w:right="239" w:bottom="1440" w:gutter="0" w:footer="0" w:header="0"/>
        </w:sectPr>
      </w:pPr>
    </w:p>
    <w:bookmarkStart w:id="90" w:name="page91"/>
    <w:bookmarkEnd w:id="90"/>
    <w:p>
      <w:pPr>
        <w:jc w:val="both"/>
        <w:ind w:left="652" w:hanging="647"/>
        <w:spacing w:after="0" w:line="256" w:lineRule="auto"/>
        <w:rPr>
          <w:sz w:val="20"/>
          <w:szCs w:val="20"/>
          <w:color w:val="auto"/>
        </w:rPr>
      </w:pPr>
      <w:r>
        <w:rPr>
          <w:rFonts w:ascii="Arial" w:cs="Arial" w:eastAsia="Arial" w:hAnsi="Arial"/>
          <w:sz w:val="18"/>
          <w:szCs w:val="18"/>
          <w:color w:val="auto"/>
        </w:rPr>
        <w:t xml:space="preserve">g. </w:t>
      </w:r>
      <w:r>
        <w:rPr>
          <w:rFonts w:ascii="Arial" w:cs="Arial" w:eastAsia="Arial" w:hAnsi="Arial"/>
          <w:sz w:val="21"/>
          <w:szCs w:val="21"/>
          <w:color w:val="auto"/>
        </w:rPr>
        <w:t>“</w:t>
      </w:r>
      <w:r>
        <w:rPr>
          <w:rFonts w:ascii="Arial" w:cs="Arial" w:eastAsia="Arial" w:hAnsi="Arial"/>
          <w:sz w:val="21"/>
          <w:szCs w:val="21"/>
          <w:u w:val="single" w:color="auto"/>
          <w:color w:val="auto"/>
        </w:rPr>
        <w:t>Compensation</w:t>
      </w:r>
      <w:r>
        <w:rPr>
          <w:rFonts w:ascii="Arial" w:cs="Arial" w:eastAsia="Arial" w:hAnsi="Arial"/>
          <w:sz w:val="21"/>
          <w:szCs w:val="21"/>
          <w:color w:val="auto"/>
        </w:rPr>
        <w:t>” shall mean the total compensation paid by the Company to an Employee with respect to an Offering Period,</w:t>
      </w:r>
      <w:r>
        <w:rPr>
          <w:rFonts w:ascii="Arial" w:cs="Arial" w:eastAsia="Arial" w:hAnsi="Arial"/>
          <w:sz w:val="18"/>
          <w:szCs w:val="18"/>
          <w:color w:val="auto"/>
        </w:rPr>
        <w:t xml:space="preserve"> </w:t>
      </w:r>
      <w:r>
        <w:rPr>
          <w:rFonts w:ascii="Arial" w:cs="Arial" w:eastAsia="Arial" w:hAnsi="Arial"/>
          <w:sz w:val="21"/>
          <w:szCs w:val="21"/>
          <w:color w:val="auto"/>
        </w:rPr>
        <w:t>including salary, commissions, overtime, shift differentials, performance-based cash bonuses, and all or any portion of any item of compensation considered by the Company to be part of the Employee's regular earnings, but excluding items not considered by the Company to be part of the Employee's regular earnings. Items excluded from the definition of “Compensation” include but are not limited to such items as relocation bonuses, expense reimbursements, certain bonuses paid in connection with mergers and acquisitions, author incentives, recruitment and referral bonuses, foreign service premiums, differentials and allowances, imputed income pursuant to Section 79 of the Code, income realized as a result of participation in any stock option, restricted stock, restricted stock unit, stock purchase or similar equity plan maintained by Sponsor or a Participating Subsidiary, and tuition and other reimbursements. The Committee shall have the authority to determine and approve all forms of pay to be included in the definition of Compensation and may change the definition on a prospective basis.</w:t>
      </w:r>
    </w:p>
    <w:p>
      <w:pPr>
        <w:spacing w:after="0" w:line="7" w:lineRule="exact"/>
        <w:rPr>
          <w:sz w:val="20"/>
          <w:szCs w:val="20"/>
          <w:color w:val="auto"/>
        </w:rPr>
      </w:pPr>
    </w:p>
    <w:p>
      <w:pPr>
        <w:jc w:val="both"/>
        <w:ind w:left="652" w:hanging="647"/>
        <w:spacing w:after="0" w:line="255" w:lineRule="auto"/>
        <w:rPr>
          <w:sz w:val="20"/>
          <w:szCs w:val="20"/>
          <w:color w:val="auto"/>
        </w:rPr>
      </w:pPr>
      <w:r>
        <w:rPr>
          <w:rFonts w:ascii="Arial" w:cs="Arial" w:eastAsia="Arial" w:hAnsi="Arial"/>
          <w:sz w:val="18"/>
          <w:szCs w:val="18"/>
          <w:color w:val="auto"/>
        </w:rPr>
        <w:t xml:space="preserve">h. </w:t>
      </w: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shall mean April 1, 2014, the date of the underwriting agreement between the Company and the underwriters(s)</w:t>
      </w:r>
      <w:r>
        <w:rPr>
          <w:rFonts w:ascii="Arial" w:cs="Arial" w:eastAsia="Arial" w:hAnsi="Arial"/>
          <w:sz w:val="18"/>
          <w:szCs w:val="18"/>
          <w:color w:val="auto"/>
        </w:rPr>
        <w:t xml:space="preserve"> </w:t>
      </w:r>
      <w:r>
        <w:rPr>
          <w:rFonts w:ascii="Arial" w:cs="Arial" w:eastAsia="Arial" w:hAnsi="Arial"/>
          <w:sz w:val="21"/>
          <w:szCs w:val="21"/>
          <w:color w:val="auto"/>
        </w:rPr>
        <w:t>managing the initial public offering of the Common Stock, pursuant to which the Common Stock was priced for the initial public offering of the Company’s securities pursuant to a registration statement filed and declared effective pursuant to the Securities Act.</w:t>
      </w:r>
    </w:p>
    <w:p>
      <w:pPr>
        <w:jc w:val="both"/>
        <w:ind w:left="652" w:hanging="647"/>
        <w:spacing w:after="0" w:line="267" w:lineRule="auto"/>
        <w:rPr>
          <w:sz w:val="20"/>
          <w:szCs w:val="20"/>
          <w:color w:val="auto"/>
        </w:rPr>
      </w:pPr>
      <w:r>
        <w:rPr>
          <w:rFonts w:ascii="Arial" w:cs="Arial" w:eastAsia="Arial" w:hAnsi="Arial"/>
          <w:sz w:val="17"/>
          <w:szCs w:val="17"/>
          <w:color w:val="auto"/>
        </w:rPr>
        <w:t xml:space="preserve">i. </w:t>
      </w: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shall mean an individual classified as an employee (within the meaning of Code Section 3401(c) and the regulations</w:t>
      </w:r>
      <w:r>
        <w:rPr>
          <w:rFonts w:ascii="Arial" w:cs="Arial" w:eastAsia="Arial" w:hAnsi="Arial"/>
          <w:sz w:val="17"/>
          <w:szCs w:val="17"/>
          <w:color w:val="auto"/>
        </w:rPr>
        <w:t xml:space="preserve"> </w:t>
      </w:r>
      <w:r>
        <w:rPr>
          <w:rFonts w:ascii="Arial" w:cs="Arial" w:eastAsia="Arial" w:hAnsi="Arial"/>
          <w:sz w:val="20"/>
          <w:szCs w:val="20"/>
          <w:color w:val="auto"/>
        </w:rPr>
        <w:t>thereunder) by Sponsor or a Participating Subsidiary on Sponsor’s or such Participating Subsidiary’s payroll records during the relevant participation period. Notwithstanding the foregoing, no employee of Sponsor or a Participating Subsidiary shall be included within the definition of “Employee” if such person's customary employment is for less than twenty (20) hours per week or for less than five (5) months per year. Individuals classified as independent contractors, consultants, advisers, or members of the Board are not considered “Employees.”</w:t>
      </w:r>
    </w:p>
    <w:p>
      <w:pPr>
        <w:spacing w:after="0" w:line="4" w:lineRule="exact"/>
        <w:rPr>
          <w:sz w:val="20"/>
          <w:szCs w:val="20"/>
          <w:color w:val="auto"/>
        </w:rPr>
      </w:pPr>
    </w:p>
    <w:p>
      <w:pPr>
        <w:jc w:val="both"/>
        <w:ind w:left="652" w:hanging="647"/>
        <w:spacing w:after="0" w:line="255" w:lineRule="auto"/>
        <w:rPr>
          <w:sz w:val="20"/>
          <w:szCs w:val="20"/>
          <w:color w:val="auto"/>
        </w:rPr>
      </w:pPr>
      <w:r>
        <w:rPr>
          <w:rFonts w:ascii="Arial" w:cs="Arial" w:eastAsia="Arial" w:hAnsi="Arial"/>
          <w:sz w:val="18"/>
          <w:szCs w:val="18"/>
          <w:color w:val="auto"/>
        </w:rPr>
        <w:t xml:space="preserve">j. </w:t>
      </w:r>
      <w:r>
        <w:rPr>
          <w:rFonts w:ascii="Arial" w:cs="Arial" w:eastAsia="Arial" w:hAnsi="Arial"/>
          <w:sz w:val="21"/>
          <w:szCs w:val="21"/>
          <w:color w:val="auto"/>
        </w:rPr>
        <w:t>“</w:t>
      </w:r>
      <w:r>
        <w:rPr>
          <w:rFonts w:ascii="Arial" w:cs="Arial" w:eastAsia="Arial" w:hAnsi="Arial"/>
          <w:sz w:val="21"/>
          <w:szCs w:val="21"/>
          <w:u w:val="single" w:color="auto"/>
          <w:color w:val="auto"/>
        </w:rPr>
        <w:t>Enrollment Period</w:t>
      </w:r>
      <w:r>
        <w:rPr>
          <w:rFonts w:ascii="Arial" w:cs="Arial" w:eastAsia="Arial" w:hAnsi="Arial"/>
          <w:sz w:val="21"/>
          <w:szCs w:val="21"/>
          <w:color w:val="auto"/>
        </w:rPr>
        <w:t>” shall mean, with respect to a given Offering Period, that period established by the Committee prior to the</w:t>
      </w:r>
      <w:r>
        <w:rPr>
          <w:rFonts w:ascii="Arial" w:cs="Arial" w:eastAsia="Arial" w:hAnsi="Arial"/>
          <w:sz w:val="18"/>
          <w:szCs w:val="18"/>
          <w:color w:val="auto"/>
        </w:rPr>
        <w:t xml:space="preserve"> </w:t>
      </w:r>
      <w:r>
        <w:rPr>
          <w:rFonts w:ascii="Arial" w:cs="Arial" w:eastAsia="Arial" w:hAnsi="Arial"/>
          <w:sz w:val="21"/>
          <w:szCs w:val="21"/>
          <w:color w:val="auto"/>
        </w:rPr>
        <w:t>commencement of such Offering Period during which Employees may elect to participate in order to purchase Common Stock at the end of that Offering Period in accordance with the terms of this Plan.</w:t>
      </w:r>
    </w:p>
    <w:p>
      <w:pPr>
        <w:jc w:val="both"/>
        <w:ind w:left="652" w:right="20" w:hanging="647"/>
        <w:spacing w:after="0" w:line="255" w:lineRule="auto"/>
        <w:rPr>
          <w:sz w:val="20"/>
          <w:szCs w:val="20"/>
          <w:color w:val="auto"/>
        </w:rPr>
      </w:pPr>
      <w:r>
        <w:rPr>
          <w:rFonts w:ascii="Arial" w:cs="Arial" w:eastAsia="Arial" w:hAnsi="Arial"/>
          <w:sz w:val="18"/>
          <w:szCs w:val="18"/>
          <w:color w:val="auto"/>
        </w:rPr>
        <w:t xml:space="preserve">k. </w:t>
      </w: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shall mean the Securities Exchange Act of 1934, as amended from time to time, and any reference to a section of</w:t>
      </w:r>
      <w:r>
        <w:rPr>
          <w:rFonts w:ascii="Arial" w:cs="Arial" w:eastAsia="Arial" w:hAnsi="Arial"/>
          <w:sz w:val="18"/>
          <w:szCs w:val="18"/>
          <w:color w:val="auto"/>
        </w:rPr>
        <w:t xml:space="preserve"> </w:t>
      </w:r>
      <w:r>
        <w:rPr>
          <w:rFonts w:ascii="Arial" w:cs="Arial" w:eastAsia="Arial" w:hAnsi="Arial"/>
          <w:sz w:val="21"/>
          <w:szCs w:val="21"/>
          <w:color w:val="auto"/>
        </w:rPr>
        <w:t>the Exchange Act shall include any successor provision of the Exchange Act.</w:t>
      </w:r>
    </w:p>
    <w:p>
      <w:pPr>
        <w:jc w:val="both"/>
        <w:ind w:left="652" w:hanging="647"/>
        <w:spacing w:after="0" w:line="270" w:lineRule="auto"/>
        <w:rPr>
          <w:sz w:val="20"/>
          <w:szCs w:val="20"/>
          <w:color w:val="auto"/>
        </w:rPr>
      </w:pPr>
      <w:r>
        <w:rPr>
          <w:rFonts w:ascii="Arial" w:cs="Arial" w:eastAsia="Arial" w:hAnsi="Arial"/>
          <w:sz w:val="18"/>
          <w:szCs w:val="18"/>
          <w:color w:val="auto"/>
        </w:rPr>
        <w:t xml:space="preserve">l. </w:t>
      </w:r>
      <w:r>
        <w:rPr>
          <w:rFonts w:ascii="Arial" w:cs="Arial" w:eastAsia="Arial" w:hAnsi="Arial"/>
          <w:sz w:val="21"/>
          <w:szCs w:val="21"/>
          <w:color w:val="auto"/>
        </w:rPr>
        <w:t>“</w:t>
      </w:r>
      <w:r>
        <w:rPr>
          <w:rFonts w:ascii="Arial" w:cs="Arial" w:eastAsia="Arial" w:hAnsi="Arial"/>
          <w:sz w:val="21"/>
          <w:szCs w:val="21"/>
          <w:u w:val="single" w:color="auto"/>
          <w:color w:val="auto"/>
        </w:rPr>
        <w:t>Market Value</w:t>
      </w:r>
      <w:r>
        <w:rPr>
          <w:rFonts w:ascii="Arial" w:cs="Arial" w:eastAsia="Arial" w:hAnsi="Arial"/>
          <w:sz w:val="21"/>
          <w:szCs w:val="21"/>
          <w:color w:val="auto"/>
        </w:rPr>
        <w:t>” on a given date of determination (e.g., a Commencement Date or Purchase Date, as appropriate) means, as of any</w:t>
      </w:r>
      <w:r>
        <w:rPr>
          <w:rFonts w:ascii="Arial" w:cs="Arial" w:eastAsia="Arial" w:hAnsi="Arial"/>
          <w:sz w:val="18"/>
          <w:szCs w:val="18"/>
          <w:color w:val="auto"/>
        </w:rPr>
        <w:t xml:space="preserve"> </w:t>
      </w:r>
      <w:r>
        <w:rPr>
          <w:rFonts w:ascii="Arial" w:cs="Arial" w:eastAsia="Arial" w:hAnsi="Arial"/>
          <w:sz w:val="21"/>
          <w:szCs w:val="21"/>
          <w:color w:val="auto"/>
        </w:rPr>
        <w:t>date, the value of the Common Stock determined as follows:</w:t>
      </w:r>
    </w:p>
    <w:p>
      <w:pPr>
        <w:spacing w:after="0" w:line="168" w:lineRule="exact"/>
        <w:rPr>
          <w:sz w:val="20"/>
          <w:szCs w:val="20"/>
          <w:color w:val="auto"/>
        </w:rPr>
      </w:pPr>
    </w:p>
    <w:p>
      <w:pPr>
        <w:jc w:val="both"/>
        <w:ind w:left="652" w:firstLine="645"/>
        <w:spacing w:after="0" w:line="248" w:lineRule="auto"/>
        <w:tabs>
          <w:tab w:leader="none" w:pos="1558" w:val="left"/>
        </w:tabs>
        <w:numPr>
          <w:ilvl w:val="1"/>
          <w:numId w:val="94"/>
        </w:numPr>
        <w:rPr>
          <w:rFonts w:ascii="Arial" w:cs="Arial" w:eastAsia="Arial" w:hAnsi="Arial"/>
          <w:sz w:val="22"/>
          <w:szCs w:val="22"/>
          <w:color w:val="auto"/>
        </w:rPr>
      </w:pPr>
      <w:r>
        <w:rPr>
          <w:rFonts w:ascii="Arial" w:cs="Arial" w:eastAsia="Arial" w:hAnsi="Arial"/>
          <w:sz w:val="22"/>
          <w:szCs w:val="22"/>
          <w:color w:val="auto"/>
        </w:rPr>
        <w:t>If the Common Stock is listed on any established stock exchange or traded on any established market, the Market Value of a share of Common Stock as of any date of determination will be, unless otherwise determined by the Board or Committee, the closing sales price for such stock as quoted on such exchange or market (or the exchange or market with the greatest volume of trading in the Common Stock) on the date of determination, as reported in a source the Board or Committee deems reliable.</w:t>
      </w:r>
    </w:p>
    <w:p>
      <w:pPr>
        <w:spacing w:after="0" w:line="192" w:lineRule="exact"/>
        <w:rPr>
          <w:rFonts w:ascii="Arial" w:cs="Arial" w:eastAsia="Arial" w:hAnsi="Arial"/>
          <w:sz w:val="22"/>
          <w:szCs w:val="22"/>
          <w:color w:val="auto"/>
        </w:rPr>
      </w:pPr>
    </w:p>
    <w:p>
      <w:pPr>
        <w:jc w:val="both"/>
        <w:ind w:left="652" w:firstLine="645"/>
        <w:spacing w:after="0" w:line="253" w:lineRule="auto"/>
        <w:tabs>
          <w:tab w:leader="none" w:pos="1618" w:val="left"/>
        </w:tabs>
        <w:numPr>
          <w:ilvl w:val="1"/>
          <w:numId w:val="94"/>
        </w:numPr>
        <w:rPr>
          <w:rFonts w:ascii="Arial" w:cs="Arial" w:eastAsia="Arial" w:hAnsi="Arial"/>
          <w:sz w:val="22"/>
          <w:szCs w:val="22"/>
          <w:color w:val="auto"/>
        </w:rPr>
      </w:pPr>
      <w:r>
        <w:rPr>
          <w:rFonts w:ascii="Arial" w:cs="Arial" w:eastAsia="Arial" w:hAnsi="Arial"/>
          <w:sz w:val="22"/>
          <w:szCs w:val="22"/>
          <w:color w:val="auto"/>
        </w:rPr>
        <w:t>Unless otherwise provided by the Board or Committee, if there is no closing sales price for the Common Stock on the date of determination, then the Market Value will be the closing selling price on the last preceding date for which such quotation exists.</w:t>
      </w:r>
    </w:p>
    <w:p>
      <w:pPr>
        <w:spacing w:after="0" w:line="185" w:lineRule="exact"/>
        <w:rPr>
          <w:rFonts w:ascii="Arial" w:cs="Arial" w:eastAsia="Arial" w:hAnsi="Arial"/>
          <w:sz w:val="22"/>
          <w:szCs w:val="22"/>
          <w:color w:val="auto"/>
        </w:rPr>
      </w:pPr>
    </w:p>
    <w:p>
      <w:pPr>
        <w:ind w:left="652" w:right="20" w:firstLine="645"/>
        <w:spacing w:after="0" w:line="263" w:lineRule="auto"/>
        <w:tabs>
          <w:tab w:leader="none" w:pos="1692" w:val="left"/>
        </w:tabs>
        <w:numPr>
          <w:ilvl w:val="1"/>
          <w:numId w:val="94"/>
        </w:numPr>
        <w:rPr>
          <w:rFonts w:ascii="Arial" w:cs="Arial" w:eastAsia="Arial" w:hAnsi="Arial"/>
          <w:sz w:val="22"/>
          <w:szCs w:val="22"/>
          <w:color w:val="auto"/>
        </w:rPr>
      </w:pPr>
      <w:r>
        <w:rPr>
          <w:rFonts w:ascii="Arial" w:cs="Arial" w:eastAsia="Arial" w:hAnsi="Arial"/>
          <w:sz w:val="22"/>
          <w:szCs w:val="22"/>
          <w:color w:val="auto"/>
        </w:rPr>
        <w:t>In the absence of such markets for the Common Stock, the Market Value will be determined by the Board or Committee in good faith.</w:t>
      </w:r>
    </w:p>
    <w:p>
      <w:pPr>
        <w:spacing w:after="0" w:line="201" w:lineRule="exact"/>
        <w:rPr>
          <w:rFonts w:ascii="Arial" w:cs="Arial" w:eastAsia="Arial" w:hAnsi="Arial"/>
          <w:sz w:val="22"/>
          <w:szCs w:val="22"/>
          <w:color w:val="auto"/>
        </w:rPr>
      </w:pPr>
    </w:p>
    <w:p>
      <w:pPr>
        <w:ind w:left="652" w:right="80" w:hanging="652"/>
        <w:spacing w:after="0" w:line="247" w:lineRule="auto"/>
        <w:tabs>
          <w:tab w:leader="none" w:pos="234" w:val="left"/>
        </w:tabs>
        <w:numPr>
          <w:ilvl w:val="0"/>
          <w:numId w:val="9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Period</w:t>
      </w:r>
      <w:r>
        <w:rPr>
          <w:rFonts w:ascii="Arial" w:cs="Arial" w:eastAsia="Arial" w:hAnsi="Arial"/>
          <w:sz w:val="22"/>
          <w:szCs w:val="22"/>
          <w:color w:val="auto"/>
        </w:rPr>
        <w:t>” shall mean a period of no more than twenty-seven (27) months at the end of which an option granted pursuant to the Plan shall be exercised. The Plan shall be implemented by a series of Offering Periods with terms established by the Committee in accordance with the Plan. Once established, the duration and timing of Offering Periods may be changed or modified by the Committee.</w:t>
      </w:r>
    </w:p>
    <w:p>
      <w:pPr>
        <w:spacing w:after="0" w:line="2" w:lineRule="exact"/>
        <w:rPr>
          <w:rFonts w:ascii="Arial" w:cs="Arial" w:eastAsia="Arial" w:hAnsi="Arial"/>
          <w:sz w:val="18"/>
          <w:szCs w:val="18"/>
          <w:color w:val="auto"/>
        </w:rPr>
      </w:pPr>
    </w:p>
    <w:p>
      <w:pPr>
        <w:ind w:left="652" w:hanging="652"/>
        <w:spacing w:after="0" w:line="246" w:lineRule="auto"/>
        <w:tabs>
          <w:tab w:leader="none" w:pos="197" w:val="left"/>
        </w:tabs>
        <w:numPr>
          <w:ilvl w:val="0"/>
          <w:numId w:val="9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Price</w:t>
      </w:r>
      <w:r>
        <w:rPr>
          <w:rFonts w:ascii="Arial" w:cs="Arial" w:eastAsia="Arial" w:hAnsi="Arial"/>
          <w:sz w:val="22"/>
          <w:szCs w:val="22"/>
          <w:color w:val="auto"/>
        </w:rPr>
        <w:t>” shall mean the Market Value of a share of Common Stock on the Commencement Date for a given Offering Period.</w:t>
      </w:r>
    </w:p>
    <w:p>
      <w:pPr>
        <w:sectPr>
          <w:pgSz w:w="11900" w:h="16838" w:orient="portrait"/>
          <w:cols w:equalWidth="0" w:num="1">
            <w:col w:w="11412"/>
          </w:cols>
          <w:pgMar w:left="248" w:top="61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shall mean a participant in the Plan as described in Section 5 of the Plan.</w:t>
      </w:r>
    </w:p>
    <w:p>
      <w:pPr>
        <w:spacing w:after="0" w:line="33"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18"/>
          <w:szCs w:val="18"/>
          <w:color w:val="auto"/>
        </w:rPr>
        <w:t xml:space="preserve">p. </w:t>
      </w:r>
      <w:r>
        <w:rPr>
          <w:rFonts w:ascii="Arial" w:cs="Arial" w:eastAsia="Arial" w:hAnsi="Arial"/>
          <w:sz w:val="21"/>
          <w:szCs w:val="21"/>
          <w:color w:val="auto"/>
        </w:rPr>
        <w:t>“</w:t>
      </w:r>
      <w:r>
        <w:rPr>
          <w:rFonts w:ascii="Arial" w:cs="Arial" w:eastAsia="Arial" w:hAnsi="Arial"/>
          <w:sz w:val="21"/>
          <w:szCs w:val="21"/>
          <w:u w:val="single" w:color="auto"/>
          <w:color w:val="auto"/>
        </w:rPr>
        <w:t>Participating Subsidiary</w:t>
      </w:r>
      <w:r>
        <w:rPr>
          <w:rFonts w:ascii="Arial" w:cs="Arial" w:eastAsia="Arial" w:hAnsi="Arial"/>
          <w:sz w:val="21"/>
          <w:szCs w:val="21"/>
          <w:color w:val="auto"/>
        </w:rPr>
        <w:t>” shall mean a Subsidiary that has been designated by the Committee in its sole discretion as eligible to</w:t>
      </w:r>
      <w:r>
        <w:rPr>
          <w:rFonts w:ascii="Arial" w:cs="Arial" w:eastAsia="Arial" w:hAnsi="Arial"/>
          <w:sz w:val="18"/>
          <w:szCs w:val="18"/>
          <w:color w:val="auto"/>
        </w:rPr>
        <w:t xml:space="preserve"> </w:t>
      </w:r>
      <w:r>
        <w:rPr>
          <w:rFonts w:ascii="Arial" w:cs="Arial" w:eastAsia="Arial" w:hAnsi="Arial"/>
          <w:sz w:val="21"/>
          <w:szCs w:val="21"/>
          <w:color w:val="auto"/>
        </w:rPr>
        <w:t>participate in the Plan with respect to its Employees.</w:t>
      </w:r>
    </w:p>
    <w:p>
      <w:pPr>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shall mean this 2014 Employee Stock Purchase Plan, including any sub-plans or appendices hereto.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 </w:t>
      </w:r>
      <w:r>
        <w:rPr>
          <w:rFonts w:ascii="Arial" w:cs="Arial" w:eastAsia="Arial" w:hAnsi="Arial"/>
          <w:sz w:val="21"/>
          <w:szCs w:val="21"/>
          <w:color w:val="auto"/>
        </w:rPr>
        <w:t>“</w:t>
      </w:r>
      <w:r>
        <w:rPr>
          <w:rFonts w:ascii="Arial" w:cs="Arial" w:eastAsia="Arial" w:hAnsi="Arial"/>
          <w:sz w:val="21"/>
          <w:szCs w:val="21"/>
          <w:u w:val="single" w:color="auto"/>
          <w:color w:val="auto"/>
        </w:rPr>
        <w:t>Purchase Date</w:t>
      </w:r>
      <w:r>
        <w:rPr>
          <w:rFonts w:ascii="Arial" w:cs="Arial" w:eastAsia="Arial" w:hAnsi="Arial"/>
          <w:sz w:val="21"/>
          <w:szCs w:val="21"/>
          <w:color w:val="auto"/>
        </w:rPr>
        <w:t>” shall mean the last Trading Day of each Offering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21"/>
          <w:szCs w:val="21"/>
          <w:color w:val="auto"/>
        </w:rPr>
        <w:t>“</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have the meaning set out in Section 8(b).</w:t>
      </w:r>
    </w:p>
    <w:p>
      <w:pPr>
        <w:spacing w:after="0" w:line="15"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18"/>
          <w:szCs w:val="18"/>
          <w:color w:val="auto"/>
        </w:rPr>
        <w:t xml:space="preserve">t. </w:t>
      </w: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shall mean the U.S. Securities Act of 1933, as amended, as amended from time to time, and any reference to a</w:t>
      </w:r>
      <w:r>
        <w:rPr>
          <w:rFonts w:ascii="Arial" w:cs="Arial" w:eastAsia="Arial" w:hAnsi="Arial"/>
          <w:sz w:val="18"/>
          <w:szCs w:val="18"/>
          <w:color w:val="auto"/>
        </w:rPr>
        <w:t xml:space="preserve"> </w:t>
      </w:r>
      <w:r>
        <w:rPr>
          <w:rFonts w:ascii="Arial" w:cs="Arial" w:eastAsia="Arial" w:hAnsi="Arial"/>
          <w:sz w:val="21"/>
          <w:szCs w:val="21"/>
          <w:color w:val="auto"/>
        </w:rPr>
        <w:t>section of the Securities Act shall include any successor provision of the Securities Act.</w:t>
      </w:r>
    </w:p>
    <w:p>
      <w:pPr>
        <w:spacing w:after="0"/>
        <w:rPr>
          <w:sz w:val="20"/>
          <w:szCs w:val="20"/>
          <w:color w:val="auto"/>
        </w:rPr>
      </w:pPr>
      <w:r>
        <w:rPr>
          <w:rFonts w:ascii="Arial" w:cs="Arial" w:eastAsia="Arial" w:hAnsi="Arial"/>
          <w:sz w:val="17"/>
          <w:szCs w:val="17"/>
          <w:color w:val="auto"/>
        </w:rPr>
        <w:t xml:space="preserve">u. </w:t>
      </w:r>
      <w:r>
        <w:rPr>
          <w:rFonts w:ascii="Arial" w:cs="Arial" w:eastAsia="Arial" w:hAnsi="Arial"/>
          <w:sz w:val="20"/>
          <w:szCs w:val="20"/>
          <w:color w:val="auto"/>
        </w:rPr>
        <w:t>“</w:t>
      </w:r>
      <w:r>
        <w:rPr>
          <w:rFonts w:ascii="Arial" w:cs="Arial" w:eastAsia="Arial" w:hAnsi="Arial"/>
          <w:sz w:val="20"/>
          <w:szCs w:val="20"/>
          <w:u w:val="single" w:color="auto"/>
          <w:color w:val="auto"/>
        </w:rPr>
        <w:t>Stockholder</w:t>
      </w:r>
      <w:r>
        <w:rPr>
          <w:rFonts w:ascii="Arial" w:cs="Arial" w:eastAsia="Arial" w:hAnsi="Arial"/>
          <w:sz w:val="20"/>
          <w:szCs w:val="20"/>
          <w:color w:val="auto"/>
        </w:rPr>
        <w:t>” shall mean a record holder of shares entitled to vote such shares of Common Stock under Sponsor's by-laws.</w:t>
      </w:r>
    </w:p>
    <w:p>
      <w:pPr>
        <w:spacing w:after="0" w:line="27"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18"/>
          <w:szCs w:val="18"/>
          <w:color w:val="auto"/>
        </w:rPr>
        <w:t xml:space="preserve">v. </w:t>
      </w: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shall mean any entity treated as a corporation (other than Sponsor) in an unbroken chain of corporations beginning</w:t>
      </w:r>
      <w:r>
        <w:rPr>
          <w:rFonts w:ascii="Arial" w:cs="Arial" w:eastAsia="Arial" w:hAnsi="Arial"/>
          <w:sz w:val="18"/>
          <w:szCs w:val="18"/>
          <w:color w:val="auto"/>
        </w:rPr>
        <w:t xml:space="preserve"> </w:t>
      </w:r>
      <w:r>
        <w:rPr>
          <w:rFonts w:ascii="Arial" w:cs="Arial" w:eastAsia="Arial" w:hAnsi="Arial"/>
          <w:sz w:val="21"/>
          <w:szCs w:val="21"/>
          <w:color w:val="auto"/>
        </w:rPr>
        <w:t>with Sponsor, within the meaning of Code Section 424(f), whether or not such corporation now exists or is hereafter organized or acquired by Sponsor or a Subsidiary.</w:t>
      </w:r>
    </w:p>
    <w:p>
      <w:pPr>
        <w:jc w:val="both"/>
        <w:ind w:left="660" w:hanging="647"/>
        <w:spacing w:after="0" w:line="270" w:lineRule="auto"/>
        <w:rPr>
          <w:sz w:val="20"/>
          <w:szCs w:val="20"/>
          <w:color w:val="auto"/>
        </w:rPr>
      </w:pPr>
      <w:r>
        <w:rPr>
          <w:rFonts w:ascii="Arial" w:cs="Arial" w:eastAsia="Arial" w:hAnsi="Arial"/>
          <w:sz w:val="18"/>
          <w:szCs w:val="18"/>
          <w:color w:val="auto"/>
        </w:rPr>
        <w:t xml:space="preserve">w. </w:t>
      </w:r>
      <w:r>
        <w:rPr>
          <w:rFonts w:ascii="Arial" w:cs="Arial" w:eastAsia="Arial" w:hAnsi="Arial"/>
          <w:sz w:val="21"/>
          <w:szCs w:val="21"/>
          <w:color w:val="auto"/>
        </w:rPr>
        <w:t>“</w:t>
      </w:r>
      <w:r>
        <w:rPr>
          <w:rFonts w:ascii="Arial" w:cs="Arial" w:eastAsia="Arial" w:hAnsi="Arial"/>
          <w:sz w:val="21"/>
          <w:szCs w:val="21"/>
          <w:u w:val="single" w:color="auto"/>
          <w:color w:val="auto"/>
        </w:rPr>
        <w:t>Trading Day</w:t>
      </w:r>
      <w:r>
        <w:rPr>
          <w:rFonts w:ascii="Arial" w:cs="Arial" w:eastAsia="Arial" w:hAnsi="Arial"/>
          <w:sz w:val="21"/>
          <w:szCs w:val="21"/>
          <w:color w:val="auto"/>
        </w:rPr>
        <w:t>” shall mean a day on which U.S. national stock exchanges are open for trading and the Common Stock is being</w:t>
      </w:r>
      <w:r>
        <w:rPr>
          <w:rFonts w:ascii="Arial" w:cs="Arial" w:eastAsia="Arial" w:hAnsi="Arial"/>
          <w:sz w:val="18"/>
          <w:szCs w:val="18"/>
          <w:color w:val="auto"/>
        </w:rPr>
        <w:t xml:space="preserve"> </w:t>
      </w:r>
      <w:r>
        <w:rPr>
          <w:rFonts w:ascii="Arial" w:cs="Arial" w:eastAsia="Arial" w:hAnsi="Arial"/>
          <w:sz w:val="21"/>
          <w:szCs w:val="21"/>
          <w:color w:val="auto"/>
        </w:rPr>
        <w:t>publicly traded on one or more of such markets.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Section 3. ELIGIBILITY</w:t>
      </w:r>
    </w:p>
    <w:p>
      <w:pPr>
        <w:spacing w:after="0" w:line="22"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18"/>
          <w:szCs w:val="18"/>
          <w:color w:val="auto"/>
        </w:rPr>
        <w:t xml:space="preserve">i. </w:t>
      </w:r>
      <w:r>
        <w:rPr>
          <w:rFonts w:ascii="Arial" w:cs="Arial" w:eastAsia="Arial" w:hAnsi="Arial"/>
          <w:sz w:val="21"/>
          <w:szCs w:val="21"/>
          <w:color w:val="auto"/>
        </w:rPr>
        <w:t>Any Employee employed by Sponsor or by any Participating Subsidiary at the beginning of an Enrollment Period for a given</w:t>
      </w:r>
      <w:r>
        <w:rPr>
          <w:rFonts w:ascii="Arial" w:cs="Arial" w:eastAsia="Arial" w:hAnsi="Arial"/>
          <w:sz w:val="18"/>
          <w:szCs w:val="18"/>
          <w:color w:val="auto"/>
        </w:rPr>
        <w:t xml:space="preserve"> </w:t>
      </w:r>
      <w:r>
        <w:rPr>
          <w:rFonts w:ascii="Arial" w:cs="Arial" w:eastAsia="Arial" w:hAnsi="Arial"/>
          <w:sz w:val="21"/>
          <w:szCs w:val="21"/>
          <w:color w:val="auto"/>
        </w:rPr>
        <w:t>Offering Period shall be eligible to participate in the Plan with respect to such Offering Period and future Offering Periods, provided that the Committee may establish administrative rules requiring that employment commence some minimum period (not to exceed 30 days) prior to an Enrollment Period to be eligible to participate with respect to the associated Offering Period. The Committee may also determine that a designated group of highly compensated Employees is ineligible to participate in the Plan so long as the excluded category fits within the definition of “highly compensated employee” in Code Section 414(q).</w:t>
      </w:r>
    </w:p>
    <w:p>
      <w:pPr>
        <w:ind w:left="660" w:hanging="652"/>
        <w:spacing w:after="0" w:line="287" w:lineRule="auto"/>
        <w:tabs>
          <w:tab w:leader="none" w:pos="202" w:val="left"/>
        </w:tabs>
        <w:numPr>
          <w:ilvl w:val="0"/>
          <w:numId w:val="96"/>
        </w:numPr>
        <w:rPr>
          <w:rFonts w:ascii="Arial" w:cs="Arial" w:eastAsia="Arial" w:hAnsi="Arial"/>
          <w:sz w:val="16"/>
          <w:szCs w:val="16"/>
          <w:color w:val="auto"/>
        </w:rPr>
      </w:pPr>
      <w:r>
        <w:rPr>
          <w:rFonts w:ascii="Arial" w:cs="Arial" w:eastAsia="Arial" w:hAnsi="Arial"/>
          <w:sz w:val="19"/>
          <w:szCs w:val="19"/>
          <w:color w:val="auto"/>
        </w:rPr>
        <w:t>No Employee may participate in the Plan if immediately after an option is granted the Employee owns or is considered to own (within the meaning of Code Section 424(d)) shares of Common Stock, including Common Stock which the Employee may purchase by conversion of convertible securities or under outstanding options granted by Sponsor or its Subsidiaries, possessing five percent (5%) or more of the total combined voting power or value of all classes of stock of Sponsor or of any of its Subsidiaries. All Employees who participate in the Plan shall have the same rights and privileges under the Plan, except for differences that may be mandated by local law and that are consistent with Code Section 423(b)(5); provided that individuals participating in a sub-plan adopted pursuant to Section 16 which is not designed to qualify under Code section 423 need not have the same rights and privileges as Employees participating in the Code section 423 Plan. No Employee may participate in more than one Offering Period at a time.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Section 4. OFFERING PERIODS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Plan shall be implemented by a series of Offering Periods, which shall possess terms specified by the Committee in accordance with the terms of the Plan. Offering Periods shall continue until the Plan is terminated pursuant to Section 14 hereof. Once established, the Committee shall have the authority to change the frequency and/or duration of Offering Periods (including the Commencement Dates thereof) with respect to future Offering Periods if such change is announced prior to the scheduled occurrence of the Enrollment Period for the first Offering Period to be affected thereafter.</w:t>
      </w:r>
    </w:p>
    <w:p>
      <w:pPr>
        <w:sectPr>
          <w:pgSz w:w="11900" w:h="16838" w:orient="portrait"/>
          <w:cols w:equalWidth="0" w:num="1">
            <w:col w:w="11420"/>
          </w:cols>
          <w:pgMar w:left="240" w:top="618" w:right="2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Section 5. PARTICIPATION</w:t>
      </w:r>
    </w:p>
    <w:p>
      <w:pPr>
        <w:spacing w:after="0" w:line="22" w:lineRule="exact"/>
        <w:rPr>
          <w:sz w:val="20"/>
          <w:szCs w:val="20"/>
          <w:color w:val="auto"/>
        </w:rPr>
      </w:pPr>
    </w:p>
    <w:p>
      <w:pPr>
        <w:jc w:val="both"/>
        <w:ind w:left="660" w:hanging="647"/>
        <w:spacing w:after="0" w:line="28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9"/>
          <w:szCs w:val="19"/>
          <w:color w:val="auto"/>
        </w:rPr>
        <w:t>An Employee who is eligible to participate in the Plan in accordance with its terms at the beginning of an Enrollment Period for</w:t>
      </w:r>
      <w:r>
        <w:rPr>
          <w:rFonts w:ascii="Arial" w:cs="Arial" w:eastAsia="Arial" w:hAnsi="Arial"/>
          <w:sz w:val="16"/>
          <w:szCs w:val="16"/>
          <w:color w:val="auto"/>
        </w:rPr>
        <w:t xml:space="preserve"> </w:t>
      </w:r>
      <w:r>
        <w:rPr>
          <w:rFonts w:ascii="Arial" w:cs="Arial" w:eastAsia="Arial" w:hAnsi="Arial"/>
          <w:sz w:val="19"/>
          <w:szCs w:val="19"/>
          <w:color w:val="auto"/>
        </w:rPr>
        <w:t>an Offering Period and elects to participate in such Offering Period shall automatically receive an option in accordance with Section 8(a). Such an Employee shall become a Participant by completing and submitting, on or before the date prescribed by the Committee with respect to a given Offering Period, a completed payroll deduction authorization and Plan enrollment form provided by Sponsor or its Participating Subsidiaries or by following an electronic or other enrollment process as prescribed by the Committee. An eligible Employee may authorize payroll deductions at the rate of any whole percentage of the Employee’s Compensation, not to be less than one percent (1.0%) and not to exceed ten percent (10.0 %) of the Employee’s Compensation (or such other percentages as the Committee may establish from time to time before an Enrollment Period for a future Offering Period) of such Employee’s Compensation on each payday during the Offering Period. All payroll deductions will be held in a general corporate account or a trust account. No interest shall be paid or credited to the Participant with respect to such payroll deductions. Sponsor shall maintain or cause to be maintained a separate bookkeeping account for each Participant under the Plan and the amount of each Participant’s payroll deductions shall be credited to such account. A Participant may not make any additional payments into such account, unless payroll deductions are prohibited under Applicable Law, in which case the provisions of Section 5(b) of the Plan shall apply.</w:t>
      </w:r>
    </w:p>
    <w:p>
      <w:pPr>
        <w:spacing w:after="0" w:line="11" w:lineRule="exact"/>
        <w:rPr>
          <w:sz w:val="20"/>
          <w:szCs w:val="20"/>
          <w:color w:val="auto"/>
        </w:rPr>
      </w:pPr>
    </w:p>
    <w:p>
      <w:pPr>
        <w:jc w:val="both"/>
        <w:ind w:left="660" w:hanging="647"/>
        <w:spacing w:after="0" w:line="267" w:lineRule="auto"/>
        <w:rPr>
          <w:sz w:val="20"/>
          <w:szCs w:val="20"/>
          <w:color w:val="auto"/>
        </w:rPr>
      </w:pPr>
      <w:r>
        <w:rPr>
          <w:rFonts w:ascii="Arial" w:cs="Arial" w:eastAsia="Arial" w:hAnsi="Arial"/>
          <w:sz w:val="17"/>
          <w:szCs w:val="17"/>
          <w:color w:val="auto"/>
        </w:rPr>
        <w:t xml:space="preserve">b. </w:t>
      </w:r>
      <w:r>
        <w:rPr>
          <w:rFonts w:ascii="Arial" w:cs="Arial" w:eastAsia="Arial" w:hAnsi="Arial"/>
          <w:sz w:val="20"/>
          <w:szCs w:val="20"/>
          <w:color w:val="auto"/>
        </w:rPr>
        <w:t>Notwithstanding any other provisions of the Plan to the contrary, in locations where local law prohibits payroll deductions, an</w:t>
      </w:r>
      <w:r>
        <w:rPr>
          <w:rFonts w:ascii="Arial" w:cs="Arial" w:eastAsia="Arial" w:hAnsi="Arial"/>
          <w:sz w:val="17"/>
          <w:szCs w:val="17"/>
          <w:color w:val="auto"/>
        </w:rPr>
        <w:t xml:space="preserve"> </w:t>
      </w:r>
      <w:r>
        <w:rPr>
          <w:rFonts w:ascii="Arial" w:cs="Arial" w:eastAsia="Arial" w:hAnsi="Arial"/>
          <w:sz w:val="20"/>
          <w:szCs w:val="20"/>
          <w:color w:val="auto"/>
        </w:rPr>
        <w:t>eligible Employee may elect to participate through contributions to his or her account under the Plan in a form acceptable to the Committee. In such event, any such Employees shall be deemed to be participating in a sub-plan, unless the Committee otherwise expressly provides that such Employees shall be treated as participating in the Plan.</w:t>
      </w:r>
    </w:p>
    <w:p>
      <w:pPr>
        <w:spacing w:after="0" w:line="3" w:lineRule="exact"/>
        <w:rPr>
          <w:sz w:val="20"/>
          <w:szCs w:val="20"/>
          <w:color w:val="auto"/>
        </w:rPr>
      </w:pPr>
    </w:p>
    <w:p>
      <w:pPr>
        <w:jc w:val="both"/>
        <w:ind w:left="660" w:hanging="647"/>
        <w:spacing w:after="0" w:line="267" w:lineRule="auto"/>
        <w:rPr>
          <w:sz w:val="20"/>
          <w:szCs w:val="20"/>
          <w:color w:val="auto"/>
        </w:rPr>
      </w:pPr>
      <w:r>
        <w:rPr>
          <w:rFonts w:ascii="Arial" w:cs="Arial" w:eastAsia="Arial" w:hAnsi="Arial"/>
          <w:sz w:val="17"/>
          <w:szCs w:val="17"/>
          <w:color w:val="auto"/>
        </w:rPr>
        <w:t xml:space="preserve">c. </w:t>
      </w:r>
      <w:r>
        <w:rPr>
          <w:rFonts w:ascii="Arial" w:cs="Arial" w:eastAsia="Arial" w:hAnsi="Arial"/>
          <w:sz w:val="20"/>
          <w:szCs w:val="20"/>
          <w:color w:val="auto"/>
        </w:rPr>
        <w:t>Under procedures and at times established by the Committee, a Participant may withdraw from the Plan during an Offering</w:t>
      </w:r>
      <w:r>
        <w:rPr>
          <w:rFonts w:ascii="Arial" w:cs="Arial" w:eastAsia="Arial" w:hAnsi="Arial"/>
          <w:sz w:val="17"/>
          <w:szCs w:val="17"/>
          <w:color w:val="auto"/>
        </w:rPr>
        <w:t xml:space="preserve"> </w:t>
      </w:r>
      <w:r>
        <w:rPr>
          <w:rFonts w:ascii="Arial" w:cs="Arial" w:eastAsia="Arial" w:hAnsi="Arial"/>
          <w:sz w:val="20"/>
          <w:szCs w:val="20"/>
          <w:color w:val="auto"/>
        </w:rPr>
        <w:t>Period, by completing and filing a new payroll deduction authorization and Plan enrollment form with the Company or by following electronic or other procedures prescribed by the Committee. If a Participant withdraws from the Plan during an Offering Period, his or her accumulated payroll deductions will be refunded to the Participant without interest, his or her right to participate in the current Offering Period will be automatically terminated and no further payroll deductions for the purchase of Common Stock will be made during the Offering Period. Any Participant who wishes to withdraw from the Plan during an Offering Period, must complete the withdrawal procedures prescribed by the Committee before the last forty-eight (48) hours of such Offering Period, subject to any rules established by the Committee, or changes to such rules, pertaining to the timing of withdrawals, limiting the frequency with which Participants may withdraw and re-enroll in the Plan, or imposing a waiting period on Participants wishing to re-enroll following withdrawal.</w:t>
      </w:r>
    </w:p>
    <w:p>
      <w:pPr>
        <w:spacing w:after="0" w:line="7" w:lineRule="exact"/>
        <w:rPr>
          <w:sz w:val="20"/>
          <w:szCs w:val="20"/>
          <w:color w:val="auto"/>
        </w:rPr>
      </w:pPr>
    </w:p>
    <w:p>
      <w:pPr>
        <w:jc w:val="both"/>
        <w:ind w:left="660" w:hanging="647"/>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21"/>
          <w:szCs w:val="21"/>
          <w:color w:val="auto"/>
        </w:rPr>
        <w:t>A Participant may not increase his or her rate of contribution through payroll deductions or otherwise during a given Offering</w:t>
      </w:r>
      <w:r>
        <w:rPr>
          <w:rFonts w:ascii="Arial" w:cs="Arial" w:eastAsia="Arial" w:hAnsi="Arial"/>
          <w:sz w:val="18"/>
          <w:szCs w:val="18"/>
          <w:color w:val="auto"/>
        </w:rPr>
        <w:t xml:space="preserve"> </w:t>
      </w:r>
      <w:r>
        <w:rPr>
          <w:rFonts w:ascii="Arial" w:cs="Arial" w:eastAsia="Arial" w:hAnsi="Arial"/>
          <w:sz w:val="21"/>
          <w:szCs w:val="21"/>
          <w:color w:val="auto"/>
        </w:rPr>
        <w:t>Period. A Participant may decrease his or her rate of contribution through payroll deductions one time only during a given Offering Period and only during such times specified by the Committee by filing a new payroll deduction authorization and Plan enrollment form or by following electronic or other procedures prescribed by the Committee. If a Participant has not followed such procedures to change the rate of contribution, the rate of contribution shall continue at the originally elected rate throughout the Offering Period and future Offering Periods. Notwithstanding the foregoing, to the extent necessary to comply with Section 423(b)(8) of the Code for a given calendar year, the Committee may reduce a Participant’s payroll deductions to zero percent (0%) at any time during an Offering Period scheduled to end during such calendar year. Payroll deductions shall re-commence at the rate provided in such Participant’s enrollment form at the beginning of the first Offering Period which is scheduled to end in the following calendar year, unless terminated by the Participant as provided in Section 5(c).</w:t>
      </w:r>
    </w:p>
    <w:p>
      <w:pPr>
        <w:sectPr>
          <w:pgSz w:w="11900" w:h="16838" w:orient="portrait"/>
          <w:cols w:equalWidth="0" w:num="1">
            <w:col w:w="11420"/>
          </w:cols>
          <w:pgMar w:left="240" w:top="834"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Section 6. TERMINATION OF EMPLOYMENT</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the event any Participant terminates employment with Sponsor and its Participating Subsidiaries for any reason (including death) prior to the expiration of an Offering Period, the Participant’s participation in the Plan shall terminate and all amounts credited to the Participant’s account shall be paid to the Participant or, in the case of death, to the Participant’s heirs or estate, without interest. Whether a termination of employment has occurred shall be determined by the Committee. If a Participant’s termination of employment occurs within a certain period of time as specified by the Committee (not to exceed 30 days) prior to the Purchase Date of the Offering Period then in progress, his or her option for the purchase of shares of Common Stock will be exercised on such Purchase Date in accordance with Section 9 as if such Participant were still employed by the Company. Following the purchase of shares on such Purchase Date, the Participant’s participation in the Plan shall terminate and all amounts credited to the Participant’s account shall be paid to the Participant or, in the case of death, to the Participant’s heirs or estate, without interest. The Committee may also establish rules regarding when leaves of absence or changes of employment status will be considered to be a termination of employment, including rules regarding transfer of employment among Participating Subsidiaries, Subsidiaries and Sponsor, and the Committee may establish termination-of-employment procedures for this Plan that are independent of similar rules established under other benefit plans of Sponsor and its Subsidiaries; provided that such procedures are not in conflict with the requirements of Section 423 of the Code.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Section 7. STOCK</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Subject to adjustment as set forth in Section 11, the maximum number of shares of Common Stock which may be issued pursuant to the Plan shall initially be five hundred and twenty five thousand (525,000) shares (the “</w:t>
      </w:r>
      <w:r>
        <w:rPr>
          <w:rFonts w:ascii="Arial" w:cs="Arial" w:eastAsia="Arial" w:hAnsi="Arial"/>
          <w:sz w:val="20"/>
          <w:szCs w:val="20"/>
          <w:u w:val="single" w:color="auto"/>
          <w:color w:val="auto"/>
        </w:rPr>
        <w:t>Share Reserve</w:t>
      </w:r>
      <w:r>
        <w:rPr>
          <w:rFonts w:ascii="Arial" w:cs="Arial" w:eastAsia="Arial" w:hAnsi="Arial"/>
          <w:sz w:val="20"/>
          <w:szCs w:val="20"/>
          <w:color w:val="auto"/>
        </w:rPr>
        <w:t>”). The Share Reserve will automatically increase on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each year, during the term of the Plan as set forth in Section 14, commencing on January 1 of the year following the year in which the Effective Date occurs, in an amount equal to one percent (1%) of the total number of shares of Common Stock outstanding on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preceding calendar year. The Board may provide that there will be no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increase in the Share Reserve for such year or that the increase in the Share Reserve for such year will be a smaller number of shares of Common Stock than would otherwise occurs pursuant to the preceding sentence. Notwithstanding the above, subject to adjustment as set forth in Section 11, the maximum number of shares of Common Stock that may be issued to any Employee in a given Offering Period shall be [five] thousand ([5,000]) shares of Common Stock. The Committee may change this limitation at any time on a prospective basis to apply to future Offering Periods. If, on a given Purchase Date, the number of shares of Common Stock with respect to which options are to be exercised exceeds either maximum, the Committee shall make, as applicable, such adjustment or pro rata allocation of the shares remaining available for purchase in as uniform a manner as shall be practicable and as it shall determine to be equitable.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Section 8. OFFERING</w:t>
      </w:r>
    </w:p>
    <w:p>
      <w:pPr>
        <w:sectPr>
          <w:pgSz w:w="11900" w:h="16838" w:orient="portrait"/>
          <w:cols w:equalWidth="0" w:num="1">
            <w:col w:w="11420"/>
          </w:cols>
          <w:pgMar w:left="240" w:top="834" w:right="239" w:bottom="1440" w:gutter="0" w:footer="0" w:header="0"/>
        </w:sectPr>
      </w:pPr>
    </w:p>
    <w:bookmarkStart w:id="94" w:name="page95"/>
    <w:bookmarkEnd w:id="94"/>
    <w:p>
      <w:pPr>
        <w:jc w:val="both"/>
        <w:ind w:left="660" w:hanging="647"/>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On the Commencement Date relating to each Offering Period, each eligible Employee, whether or not such Employee has elected</w:t>
      </w:r>
      <w:r>
        <w:rPr>
          <w:rFonts w:ascii="Arial" w:cs="Arial" w:eastAsia="Arial" w:hAnsi="Arial"/>
          <w:sz w:val="18"/>
          <w:szCs w:val="18"/>
          <w:color w:val="auto"/>
        </w:rPr>
        <w:t xml:space="preserve"> </w:t>
      </w:r>
      <w:r>
        <w:rPr>
          <w:rFonts w:ascii="Arial" w:cs="Arial" w:eastAsia="Arial" w:hAnsi="Arial"/>
          <w:sz w:val="21"/>
          <w:szCs w:val="21"/>
          <w:color w:val="auto"/>
        </w:rPr>
        <w:t>to participate as provided in Section 5(a), shall be granted an option to purchase a number of whole shares of Common Stock established by the Committee, which may be purchased with the payroll deductions accumulated on behalf of such Employee during each Offering Period at the purchase price specified in Section 8(b) below, subject to the additional limitation that no Employee participating in the Plan shall be granted an option to purchase Common Stock under the Plan if such option would permit his or her rights to purchase stock under all employee stock purchase plans (described in Section 423 of the Code) of Sponsor and its Subsidiaries to accrue at a rate which exceeds U.S. twenty-five thousand dollars (U.S. $25,000) of the Market Value of such Common Stock (determined at the time such option is granted) for each calendar year in which such option is outstanding at any time. For purposes of the Plan, an option is “</w:t>
      </w:r>
      <w:r>
        <w:rPr>
          <w:rFonts w:ascii="Arial" w:cs="Arial" w:eastAsia="Arial" w:hAnsi="Arial"/>
          <w:sz w:val="21"/>
          <w:szCs w:val="21"/>
          <w:u w:val="single" w:color="auto"/>
          <w:color w:val="auto"/>
        </w:rPr>
        <w:t>granted</w:t>
      </w:r>
      <w:r>
        <w:rPr>
          <w:rFonts w:ascii="Arial" w:cs="Arial" w:eastAsia="Arial" w:hAnsi="Arial"/>
          <w:sz w:val="21"/>
          <w:szCs w:val="21"/>
          <w:color w:val="auto"/>
        </w:rPr>
        <w:t>” on a Participant’s Commencement Date. An option will expire upon the earliest to occur of (i) the termination of a Participant’s participation in the Plan or such Offering Period (ii) the beginning of a subsequent Offering Period in which such Participant is participating; or (iii) the termination of the Offering Period. This Section 8(a) shall be interpreted so as to comply with Code Section 423(b)(8).</w:t>
      </w:r>
    </w:p>
    <w:p>
      <w:pPr>
        <w:spacing w:after="0" w:line="5" w:lineRule="exact"/>
        <w:rPr>
          <w:sz w:val="20"/>
          <w:szCs w:val="20"/>
          <w:color w:val="auto"/>
        </w:rPr>
      </w:pPr>
    </w:p>
    <w:p>
      <w:pPr>
        <w:jc w:val="both"/>
        <w:ind w:left="660" w:hanging="647"/>
        <w:spacing w:after="0" w:line="256" w:lineRule="auto"/>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The Purchase Price under each option shall be with respect to an Offering Period the lower of (i) a percentage (not less than</w:t>
      </w:r>
      <w:r>
        <w:rPr>
          <w:rFonts w:ascii="Arial" w:cs="Arial" w:eastAsia="Arial" w:hAnsi="Arial"/>
          <w:sz w:val="18"/>
          <w:szCs w:val="18"/>
          <w:color w:val="auto"/>
        </w:rPr>
        <w:t xml:space="preserve"> </w:t>
      </w:r>
      <w:r>
        <w:rPr>
          <w:rFonts w:ascii="Arial" w:cs="Arial" w:eastAsia="Arial" w:hAnsi="Arial"/>
          <w:sz w:val="21"/>
          <w:szCs w:val="21"/>
          <w:color w:val="auto"/>
        </w:rPr>
        <w:t>eighty-five percent (85%)) (“</w:t>
      </w:r>
      <w:r>
        <w:rPr>
          <w:rFonts w:ascii="Arial" w:cs="Arial" w:eastAsia="Arial" w:hAnsi="Arial"/>
          <w:sz w:val="21"/>
          <w:szCs w:val="21"/>
          <w:u w:val="single" w:color="auto"/>
          <w:color w:val="auto"/>
        </w:rPr>
        <w:t>Designated Percentage</w:t>
      </w:r>
      <w:r>
        <w:rPr>
          <w:rFonts w:ascii="Arial" w:cs="Arial" w:eastAsia="Arial" w:hAnsi="Arial"/>
          <w:sz w:val="21"/>
          <w:szCs w:val="21"/>
          <w:color w:val="auto"/>
        </w:rPr>
        <w:t>”) of the Offering Price, or (ii) the Designated Percentage of the Market Value of a share of Common Stock on the Purchase Date on which the Common Stock is purchased; provided that the Purchase Price may be adjusted by the Committee pursuant to Sections 11 or 12 in accordance with Section 424(a) of the Code. For a given Offering Period, the Designated Percentage shall be established no later than the beginning of the Enrollment Period for such Offering Period. The Committee may change the Designated Percentage with respect to any future Offering Period, but not to below eighty-five percent (85%), and the Committee may determine with respect to any prospective Offering Period that the Purchase Price shall be the Designated Percentage of the Market Value of a share of the Common Stock solely on the Purchase Date. If the Committee does not established the Designated Percentage prior to the beginning of the Enrollment Period for a given Offering Period, the Designated Percentage for such Offering Period shall be eighty-five percent (85%).</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Section 9. PURCHASE OF STOCK</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Unless a Participant withdraws from the Plan as provided in Section 5(c), terminates employment prior to the end of an Offering Period as provided in Section 6, or except as provided in Sections 7, 12 or 14(b), upon the expiration of each Offering Period, a Participant’s option shall be exercised automatically for the purchase of that number of whole shares of Common Stock which the accumulated payroll deductions credited to the Participant’s account at that time shall purchase at the applicable price specified in Section 8(b) in accordance with the terms of the Plan, including Section 7. Notwithstanding the foregoing, Sponsor or its Participating Subsidiary may make such provisions and take such action as it deems necessary or appropriate for the withholding of taxes and/or social insurance and/or other amounts which Sponsor or its Participating Subsidiary determines is required by Applicable Law. Each Participant, however, shall be responsible for payment of all individual tax liabilities arising under the Plan. The shares of Common Stock purchased upon exercise of an option hereunder shall be considered for tax purposes to be sold to the Participant on the Purchase Date. A Participant’s option to purchase shares of Common Stock hereunder is exercisable only by him or her.</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Section 10. PAYMENT AND DELIVERY</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As soon as practicable after the exercise of an option, Sponsor shall deliver or cause to have delivered to the Participant a record of the Common Stock purchased and the balance of any amount of payroll deductions credited to the Participant’s account not used for the purchase of Common Stock, except as specified below. The Committee may permit or require that shares be deposited directly with a broker designated by the Committee or to a designated agent of the Company, and the Committee may utilize electronic or automated methods of share transfer. The Committee may require that shares be retained with such broker or agent for a designated period of time and/or may establish other procedures to permit tracking of disqualifying dispositions of such shares. Sponsor or its Participating Subsidiary shall retain the amount of payroll deductions used to purchase Common Stock as full payment for the Common Stock and the Common Stock shall then be fully paid and non-assessable. No Participant shall have any voting, dividend, or other Stockholder rights with respect to shares subject to any option granted under the Plan until the shares subject to the option have been purchased and delivered to the Participant as provided in</w:t>
      </w:r>
    </w:p>
    <w:p>
      <w:pPr>
        <w:sectPr>
          <w:pgSz w:w="11900" w:h="16838" w:orient="portrait"/>
          <w:cols w:equalWidth="0" w:num="1">
            <w:col w:w="11420"/>
          </w:cols>
          <w:pgMar w:left="240" w:top="618" w:right="239" w:bottom="1440" w:gutter="0" w:footer="0" w:header="0"/>
        </w:sectPr>
      </w:pPr>
    </w:p>
    <w:bookmarkStart w:id="95" w:name="page96"/>
    <w:bookmarkEnd w:id="95"/>
    <w:p>
      <w:pPr>
        <w:jc w:val="both"/>
        <w:spacing w:after="0" w:line="312" w:lineRule="auto"/>
        <w:rPr>
          <w:sz w:val="20"/>
          <w:szCs w:val="20"/>
          <w:color w:val="auto"/>
        </w:rPr>
      </w:pPr>
      <w:r>
        <w:rPr>
          <w:rFonts w:ascii="Arial" w:cs="Arial" w:eastAsia="Arial" w:hAnsi="Arial"/>
          <w:sz w:val="19"/>
          <w:szCs w:val="19"/>
          <w:color w:val="auto"/>
        </w:rPr>
        <w:t>this Section 10. The Committee may in its discretion direct Sponsor to retain in a Participant’s account for the subsequent Offering Period any payroll deductions which are not sufficient to purchase a whole share of Common Stock or return such amount to the Participant. Any other amounts left over in a Participant’s account after a Purchase Date shall be returned to the Participant.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Section 11. RECAPITALIZATION</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Subject to any required action by the Stockholders of Sponsor, if there is any change in the outstanding shares of Common Stock or other securities of Sponsor because of a merger, consolidation, spin-off, reorganization, recapitalization, dividend in property other than cash, extraordinary dividend whether in cash and/or other property, stock split, reverse stock split, stock dividend, liquidating dividend, combination or reclassification of the Common Stock or other securities (including any such change in the number of shares of Common Stock or other securities effected in connection with a change in domicile of Sponsor), or any other increase or decrease in the number of shares of Common Stock or other securities effected without receipt of consideration by Sponsor, provided that conversion of any convertible securities of Sponsor shall not be deemed to have been “</w:t>
      </w:r>
      <w:r>
        <w:rPr>
          <w:rFonts w:ascii="Arial" w:cs="Arial" w:eastAsia="Arial" w:hAnsi="Arial"/>
          <w:sz w:val="19"/>
          <w:szCs w:val="19"/>
          <w:u w:val="single" w:color="auto"/>
          <w:color w:val="auto"/>
        </w:rPr>
        <w:t>effected without receipt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the type and number of securities covered by each option under the Plan which has not yet been exercised and the type and number of securities which have been authorized and remain available for issuance under the Plan, as well as the maximum number of securities which may be purchased by a Participant in an Offering Period, and the price per share covered by each option under the Plan which has not yet been exercised, shall be appropriately and proportionally adjusted by the Board, and the Board shall take any further actions which, in the exercise of its discretion, may be necessary or appropriate under the circumstances. The Board’s determinations under this Section 11 shall be conclusive and binding on all parties.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12. MERGER, LIQUIDATION, OTHER CORPORATE TRANSACTIONS</w:t>
      </w:r>
    </w:p>
    <w:p>
      <w:pPr>
        <w:spacing w:after="0" w:line="22"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In the event of the proposed liquidation or dissolution of Sponsor, the Offering Period will terminate immediately prior to the</w:t>
      </w:r>
      <w:r>
        <w:rPr>
          <w:rFonts w:ascii="Arial" w:cs="Arial" w:eastAsia="Arial" w:hAnsi="Arial"/>
          <w:sz w:val="18"/>
          <w:szCs w:val="18"/>
          <w:color w:val="auto"/>
        </w:rPr>
        <w:t xml:space="preserve"> </w:t>
      </w:r>
      <w:r>
        <w:rPr>
          <w:rFonts w:ascii="Arial" w:cs="Arial" w:eastAsia="Arial" w:hAnsi="Arial"/>
          <w:sz w:val="21"/>
          <w:szCs w:val="21"/>
          <w:color w:val="auto"/>
        </w:rPr>
        <w:t>consummation of such proposed transaction, unless otherwise provided by the Board in its sole discretion, and all outstanding options shall automatically terminate and the amounts of all payroll deductions will be refunded without interest to the Participants.</w:t>
      </w:r>
    </w:p>
    <w:p>
      <w:pPr>
        <w:jc w:val="both"/>
        <w:ind w:left="660" w:hanging="647"/>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In the event of a proposed sale of all or substantially all of the assets of Sponsor, or the merger or consolidation or similar</w:t>
      </w:r>
      <w:r>
        <w:rPr>
          <w:rFonts w:ascii="Arial" w:cs="Arial" w:eastAsia="Arial" w:hAnsi="Arial"/>
          <w:sz w:val="18"/>
          <w:szCs w:val="18"/>
          <w:color w:val="auto"/>
        </w:rPr>
        <w:t xml:space="preserve"> </w:t>
      </w:r>
      <w:r>
        <w:rPr>
          <w:rFonts w:ascii="Arial" w:cs="Arial" w:eastAsia="Arial" w:hAnsi="Arial"/>
          <w:sz w:val="21"/>
          <w:szCs w:val="21"/>
          <w:color w:val="auto"/>
        </w:rPr>
        <w:t>combination of Sponsor with or into another entity, then in the sole discretion of the Board, (1) each option shall be assumed or an equivalent option shall be substituted by the successor corporation or parent or subsidiary of such successor entity, (2) on a date established by the Board on or before the date of consummation of such merger, consolidation, combination or sale, such date shall be treated as a Purchase Date, and all outstanding options shall be exercised on such date, (3) all outstanding options shall terminate and the accumulated payroll deductions will be refunded without interest to the Participants, or (4) outstanding options shall continue unchanged.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Section 13. TRANSFERABILITY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Neither payroll deductions credited to a Participant’s bookkeeping account nor any rights to exercise an option or to receive shares of Common Stock under the Plan may be voluntarily or involuntarily assigned, transferred, pledged, or otherwise disposed of in any way, and any attempted assignment, transfer, pledge, or other disposition shall be null and void and without effect. If a Participant in any manner attempts to transfer, assign or otherwise encumber his or her rights or interests under the Plan, other than as permitted by the Code, such act shall be treated as an election by the Participant to discontinue participation in the Plan pursuant to Section 5(c).</w:t>
      </w:r>
    </w:p>
    <w:p>
      <w:pPr>
        <w:sectPr>
          <w:pgSz w:w="11900" w:h="16838" w:orient="portrait"/>
          <w:cols w:equalWidth="0" w:num="1">
            <w:col w:w="11420"/>
          </w:cols>
          <w:pgMar w:left="240" w:top="834"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Section 14. AMENDMENT OR TERMINATION OF THE PLAN</w:t>
      </w:r>
    </w:p>
    <w:p>
      <w:pPr>
        <w:spacing w:after="0" w:line="22" w:lineRule="exact"/>
        <w:rPr>
          <w:sz w:val="20"/>
          <w:szCs w:val="20"/>
          <w:color w:val="auto"/>
        </w:rPr>
      </w:pPr>
    </w:p>
    <w:p>
      <w:pPr>
        <w:jc w:val="both"/>
        <w:ind w:left="660" w:right="20" w:hanging="647"/>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The Plan shall continue for a period of ten years from the Effective Date unless it is sooner terminated in accordance with Section</w:t>
      </w:r>
      <w:r>
        <w:rPr>
          <w:rFonts w:ascii="Arial" w:cs="Arial" w:eastAsia="Arial" w:hAnsi="Arial"/>
          <w:sz w:val="18"/>
          <w:szCs w:val="18"/>
          <w:color w:val="auto"/>
        </w:rPr>
        <w:t xml:space="preserve"> </w:t>
      </w:r>
      <w:r>
        <w:rPr>
          <w:rFonts w:ascii="Arial" w:cs="Arial" w:eastAsia="Arial" w:hAnsi="Arial"/>
          <w:sz w:val="21"/>
          <w:szCs w:val="21"/>
          <w:color w:val="auto"/>
        </w:rPr>
        <w:t>14(b).</w:t>
      </w:r>
    </w:p>
    <w:p>
      <w:pPr>
        <w:jc w:val="both"/>
        <w:ind w:left="660" w:hanging="647"/>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The Board may, in its sole discretion, insofar as permitted by law, terminate or suspend the Plan, or revise or amend it in any</w:t>
      </w:r>
      <w:r>
        <w:rPr>
          <w:rFonts w:ascii="Arial" w:cs="Arial" w:eastAsia="Arial" w:hAnsi="Arial"/>
          <w:sz w:val="18"/>
          <w:szCs w:val="18"/>
          <w:color w:val="auto"/>
        </w:rPr>
        <w:t xml:space="preserve"> </w:t>
      </w:r>
      <w:r>
        <w:rPr>
          <w:rFonts w:ascii="Arial" w:cs="Arial" w:eastAsia="Arial" w:hAnsi="Arial"/>
          <w:sz w:val="21"/>
          <w:szCs w:val="21"/>
          <w:color w:val="auto"/>
        </w:rPr>
        <w:t>respect whatsoever, and the Committee may revise or amend the Plan consistent with the exercise of its duties and responsibilities as set forth in the Plan or any delegation under the Plan, except that, without approval of the Stockholders, no such revision or amendment shall increase the number of shares subject to the Plan, other than an adjustment under Section 11 of the Plan, or make other changes for which Stockholder approval is required under Applicable Law. Upon a termination or suspension of the Plan, the Board may in its discretion (i) return without interest, the payroll deductions credited to Participants’ accounts to such Participants or (ii) set an earlier Purchase Date with respect to an Offering Period then in progress.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Section 15. ADMINISTRATION</w:t>
      </w:r>
    </w:p>
    <w:p>
      <w:pPr>
        <w:spacing w:after="0" w:line="22" w:lineRule="exact"/>
        <w:rPr>
          <w:sz w:val="20"/>
          <w:szCs w:val="20"/>
          <w:color w:val="auto"/>
        </w:rPr>
      </w:pPr>
    </w:p>
    <w:p>
      <w:pPr>
        <w:jc w:val="both"/>
        <w:ind w:left="660" w:hanging="647"/>
        <w:spacing w:after="0" w:line="267" w:lineRule="auto"/>
        <w:rPr>
          <w:sz w:val="20"/>
          <w:szCs w:val="20"/>
          <w:color w:val="auto"/>
        </w:rPr>
      </w:pPr>
      <w:r>
        <w:rPr>
          <w:rFonts w:ascii="Arial" w:cs="Arial" w:eastAsia="Arial" w:hAnsi="Arial"/>
          <w:sz w:val="17"/>
          <w:szCs w:val="17"/>
          <w:color w:val="auto"/>
        </w:rPr>
        <w:t xml:space="preserve">a. </w:t>
      </w:r>
      <w:r>
        <w:rPr>
          <w:rFonts w:ascii="Arial" w:cs="Arial" w:eastAsia="Arial" w:hAnsi="Arial"/>
          <w:sz w:val="20"/>
          <w:szCs w:val="20"/>
          <w:color w:val="auto"/>
        </w:rPr>
        <w:t>The Board has appointed the Compensation Committee of the Board to administer the Plan (the “</w:t>
      </w:r>
      <w:r>
        <w:rPr>
          <w:rFonts w:ascii="Arial" w:cs="Arial" w:eastAsia="Arial" w:hAnsi="Arial"/>
          <w:sz w:val="20"/>
          <w:szCs w:val="20"/>
          <w:u w:val="single" w:color="auto"/>
          <w:color w:val="auto"/>
        </w:rPr>
        <w:t>Committee</w:t>
      </w:r>
      <w:r>
        <w:rPr>
          <w:rFonts w:ascii="Arial" w:cs="Arial" w:eastAsia="Arial" w:hAnsi="Arial"/>
          <w:sz w:val="20"/>
          <w:szCs w:val="20"/>
          <w:color w:val="auto"/>
        </w:rPr>
        <w:t>”), who will serve for</w:t>
      </w:r>
      <w:r>
        <w:rPr>
          <w:rFonts w:ascii="Arial" w:cs="Arial" w:eastAsia="Arial" w:hAnsi="Arial"/>
          <w:sz w:val="17"/>
          <w:szCs w:val="17"/>
          <w:color w:val="auto"/>
        </w:rPr>
        <w:t xml:space="preserve"> </w:t>
      </w:r>
      <w:r>
        <w:rPr>
          <w:rFonts w:ascii="Arial" w:cs="Arial" w:eastAsia="Arial" w:hAnsi="Arial"/>
          <w:sz w:val="20"/>
          <w:szCs w:val="20"/>
          <w:color w:val="auto"/>
        </w:rPr>
        <w:t>such period of time as the Board may specify and whom the Board may remove at any time. The Committee will have the authority and responsibility for the day-to-day administration of the Plan, the authority and responsibility specifically provided in this Plan and any additional duty, responsibility and authority delegated to the Committee by the Board, which may include any of the functions assigned to the Board in this Plan. The Committee may delegate to a sub-committee or to an officer or officers of Sponsor the day-to-day administration of the Plan. The Committee shall have full power and authority to adopt, amend and rescind any rules and regulations which it deems desirable and appropriate for the proper administration of the Plan, to construe and interpret the provisions and supervise the administration of the Plan, to make factual determinations relevant to Plan entitlements and to take all action in connection with administration of the Plan as it deems necessary or advisable, consistent with the delegation from the Board. Decisions of the Committee shall be final and binding upon all Participants. Any decision reduced to writing and signed by a majority of the members of the Committee shall be fully effective as if it had been made at a meeting of the Committee duly held. The Company shall pay all expenses incurred in the administration of the Plan.</w:t>
      </w:r>
    </w:p>
    <w:p>
      <w:pPr>
        <w:spacing w:after="0" w:line="10" w:lineRule="exact"/>
        <w:rPr>
          <w:sz w:val="20"/>
          <w:szCs w:val="20"/>
          <w:color w:val="auto"/>
        </w:rPr>
      </w:pPr>
    </w:p>
    <w:p>
      <w:pPr>
        <w:jc w:val="both"/>
        <w:ind w:left="660" w:hanging="647"/>
        <w:spacing w:after="0" w:line="256" w:lineRule="auto"/>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In addition to such other rights of indemnification as they may have as members of the Board or officers or employees of the</w:t>
      </w:r>
      <w:r>
        <w:rPr>
          <w:rFonts w:ascii="Arial" w:cs="Arial" w:eastAsia="Arial" w:hAnsi="Arial"/>
          <w:sz w:val="18"/>
          <w:szCs w:val="18"/>
          <w:color w:val="auto"/>
        </w:rPr>
        <w:t xml:space="preserve"> </w:t>
      </w:r>
      <w:r>
        <w:rPr>
          <w:rFonts w:ascii="Arial" w:cs="Arial" w:eastAsia="Arial" w:hAnsi="Arial"/>
          <w:sz w:val="21"/>
          <w:szCs w:val="21"/>
          <w:color w:val="auto"/>
        </w:rPr>
        <w:t>Company, members of the Board and of the Committee and their delegates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under the Plan, and against all amounts paid by them in settlement thereof (provided such settlement is approved by independent legal counsel selected by the Sponsor)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Section 16. COMMITTEE RULES FOR FOREIGN JURISDICTIONS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Committee may adopt rules or procedures relating to the operation and administration of the Plan to accommodate the specific requirements of local laws and procedures. Without limiting the generality of the foregoing, the Committee is specifically authorized to adopt rules and procedures regarding handling of payroll deductions or other contributions by Participants, payment of interest, conversion of local</w:t>
      </w:r>
    </w:p>
    <w:p>
      <w:pPr>
        <w:sectPr>
          <w:pgSz w:w="11900" w:h="16838" w:orient="portrait"/>
          <w:cols w:equalWidth="0" w:num="1">
            <w:col w:w="11420"/>
          </w:cols>
          <w:pgMar w:left="240" w:top="834" w:right="239" w:bottom="1440" w:gutter="0" w:footer="0" w:header="0"/>
        </w:sectPr>
      </w:pPr>
    </w:p>
    <w:bookmarkStart w:id="97" w:name="page98"/>
    <w:bookmarkEnd w:id="97"/>
    <w:p>
      <w:pPr>
        <w:jc w:val="both"/>
        <w:spacing w:after="0" w:line="258" w:lineRule="auto"/>
        <w:rPr>
          <w:sz w:val="20"/>
          <w:szCs w:val="20"/>
          <w:color w:val="auto"/>
        </w:rPr>
      </w:pPr>
      <w:r>
        <w:rPr>
          <w:rFonts w:ascii="Arial" w:cs="Arial" w:eastAsia="Arial" w:hAnsi="Arial"/>
          <w:sz w:val="21"/>
          <w:szCs w:val="21"/>
          <w:color w:val="auto"/>
        </w:rPr>
        <w:t>currency, data privacy security, payroll tax, withholding procedures and handling of stock certificates which vary with local requirements; however, if such varying provisions are not in accordance with the provisions of Section 423(b) of the Code, including but not limited to the requirement of Section 423(b)(5) of the Code that all options granted under the Plan shall have the same rights and privileges unless otherwise provided under the Code and the regulations promulgated thereunder, then the individuals affected by such varying provisions shall be deemed to be participating under a sub-plan and not in the Plan. The Committee may also adopt sub-plans applicable to particular Subsidiaries or locations, which sub-plans may be designed to be outside the scope of Code section 423 and shall be deemed to be outside the scope of Code section 423 unless the terms of the sub-plan provide to the contrary. The rules of such sub-plans may take precedence over other provisions of this Plan, with the exception of Section 7, but unless otherwise superseded by the terms of such sub-plan, the provisions of this Plan shall govern the operation of such sub-plan. The Committee shall not be required to obtain the approval of the Stockholders prior to the adoption, amendment or termination of any sub-plan unless required by the laws of the foreign jurisdiction in which Employees participating in the sub-plan are located.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Section 17. SECURITIES LAWS REQUIREMENTS</w:t>
      </w:r>
    </w:p>
    <w:p>
      <w:pPr>
        <w:spacing w:after="0" w:line="22" w:lineRule="exact"/>
        <w:rPr>
          <w:sz w:val="20"/>
          <w:szCs w:val="20"/>
          <w:color w:val="auto"/>
        </w:rPr>
      </w:pPr>
    </w:p>
    <w:p>
      <w:pPr>
        <w:jc w:val="both"/>
        <w:ind w:left="660" w:hanging="647"/>
        <w:spacing w:after="0" w:line="28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9"/>
          <w:szCs w:val="19"/>
          <w:color w:val="auto"/>
        </w:rPr>
        <w:t>No option granted under the Plan may be exercised to any extent unless the shares to be issued upon such exercise under the Plan</w:t>
      </w:r>
      <w:r>
        <w:rPr>
          <w:rFonts w:ascii="Arial" w:cs="Arial" w:eastAsia="Arial" w:hAnsi="Arial"/>
          <w:sz w:val="16"/>
          <w:szCs w:val="16"/>
          <w:color w:val="auto"/>
        </w:rPr>
        <w:t xml:space="preserve"> </w:t>
      </w:r>
      <w:r>
        <w:rPr>
          <w:rFonts w:ascii="Arial" w:cs="Arial" w:eastAsia="Arial" w:hAnsi="Arial"/>
          <w:sz w:val="19"/>
          <w:szCs w:val="19"/>
          <w:color w:val="auto"/>
        </w:rPr>
        <w:t>are covered by an effective registration statement pursuant to the Securities Act and the Plan is in material compliance with all applicable provisions of law, domestic or foreign, including, without limitation, the Securities Act, the Exchange Act, the rules and regulations promulgated thereunder, applicable state and foreign securities laws and the requirements of any stock exchange upon which the Shares may then be listed, subject to the approval of counsel for the Company with respect to such compliance. If on a Purchase Date in any Offering Period hereunder, the Plan is not so registered or in such compliance, options granted under the Plan which are not in material compliance shall not be exercised on such Purchase Date, and the Purchase Date shall be delayed until the Plan is subject to such an effective registration statement and such compliance, except that the Purchase Date shall not be delayed more than twelve (12) months and the Purchase Date shall in no event be more than twenty-seven (27) months from the Commencement Date relating to such Offering Period. If, on the Purchase Date of any offering hereunder, as delayed to the maximum extent permissible, the Plan is not registered and in such compliance, options granted under the Plan which are not in material compliance shall not be exercised and all payroll deductions accumulated during the Offering Period (reduced to the extent, if any, that such deductions have been used to acquire shares of Common Stock) shall be returned to the Participants, without interest. The provisions of this Section 17 shall comply with the requirements of Section 423(b)(5) of the Code to the extent applicable.</w:t>
      </w:r>
    </w:p>
    <w:p>
      <w:pPr>
        <w:spacing w:after="0" w:line="12" w:lineRule="exact"/>
        <w:rPr>
          <w:sz w:val="20"/>
          <w:szCs w:val="20"/>
          <w:color w:val="auto"/>
        </w:rPr>
      </w:pPr>
    </w:p>
    <w:p>
      <w:pPr>
        <w:jc w:val="both"/>
        <w:ind w:left="660" w:hanging="647"/>
        <w:spacing w:after="0" w:line="260" w:lineRule="auto"/>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As a condition to the exercise of an option, Sponsor may require the person exercising such option to represent and warrant at the</w:t>
      </w:r>
      <w:r>
        <w:rPr>
          <w:rFonts w:ascii="Arial" w:cs="Arial" w:eastAsia="Arial" w:hAnsi="Arial"/>
          <w:sz w:val="18"/>
          <w:szCs w:val="18"/>
          <w:color w:val="auto"/>
        </w:rPr>
        <w:t xml:space="preserve"> </w:t>
      </w:r>
      <w:r>
        <w:rPr>
          <w:rFonts w:ascii="Arial" w:cs="Arial" w:eastAsia="Arial" w:hAnsi="Arial"/>
          <w:sz w:val="21"/>
          <w:szCs w:val="21"/>
          <w:color w:val="auto"/>
        </w:rPr>
        <w:t>time of any such exercise that the Shares are being purchased only for investment and without any present intention to sell or distribute such Shares if, in the opinion of counsel for Sponsor, such a representation is required by any of the aforementioned applicable provisions of law.</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18. GOVERNMENTAL REGULATIONS</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This Plan and Sponsor's obligation to sell and deliver shares of its stock under the Plan shall be subject to the approval of any governmental authority required in connection with the Plan or the authorization, issuance, sale, or delivery of stock hereunder.</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19. NO ENLARGEMENT OF EMPLOYEE RIGHTS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Nothing contained in this Plan shall be deemed to give any Employee or other individual the right to be retained in the employ or service of Sponsor or any Participating Subsidiary or to interfere with the right</w:t>
      </w:r>
    </w:p>
    <w:p>
      <w:pPr>
        <w:sectPr>
          <w:pgSz w:w="11900" w:h="16838" w:orient="portrait"/>
          <w:cols w:equalWidth="0" w:num="1">
            <w:col w:w="11420"/>
          </w:cols>
          <w:pgMar w:left="240" w:top="834" w:right="2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22"/>
          <w:szCs w:val="22"/>
          <w:color w:val="auto"/>
        </w:rPr>
        <w:t>of Sponsor or Participating Subsidiary to discharge any Employee or other individual at any time, for any reason or no reason, with or without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20. GOVERNING LAW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Plan shall be governed by applicable laws of the State of Delaware and applicable federal law.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21. EFFECTIVE DATE</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Plan shall be effective on the Effective Date, subject to approval of the Stockholders of Sponsor within twelve (12) months before or after its date of adoption by the Board.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22. REPORTS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Individual accounts shall be maintained for each Participant in the Plan. Statements of account shall be made available to Participants at least annually, which statements shall set forth the amounts of payroll deductions, the Purchase Price, the number of shares of Common Stock purchased and the remaining cash balance, if 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23. DESIGNATION OF BENEFICIARY FOR OWNED SHARES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With respect to shares of Common Stock purchased by the Participant pursuant to the Plan and held in an account maintained by Sponsor or its assignee on the Participant’s behalf, the Participant may be permitted to file a written designation of beneficiary, who is to receive any shares and cash, if any, from the Participant’s account under the Plan in the event of such Participant’s death subsequent to the end of an Offering Period but prior to delivery to him or her of such shares and cash. In addition, a Participant may file a written designation of a beneficiary who is to receive any cash from the Participant’s account under the Plan in the event of such Participant’s death prior to the Purchase Date of an Offering Period. If a Participant is married and the designated beneficiary is not the spouse, spousal consent shall be required for such designation to be effective, to the extent required by local law. The Participant (and if required under the preceding sentence, his or her spouse) may change such designation of beneficiary at any time by written notice. Subject to local legal requirements, in the event of a Participant’s death, Sponsor or its assignee shall deliver any shares of Common Stock and/or cash to the designated beneficiary. Subject to local law, in the event of the death of a Participant and in the absence of a beneficiary validly designated who is living at the time of such Participant’s death, Sponsor shall deliver such shares of Common Stock and/or cash to the executor or administrator of the estate of the Participant, or if no such executor or administrator has been appointed (to the knowledge of Sponsor), Sponsor in its sole discretion, may deliver (or cause its assignee to deliver) such shares of Common Stock and/or cash to the spouse, or to any one or more dependents or relatives of the Participant, or if no spouse, dependent or relative is known to Sponsor, then to such other person as Sponsor may determine. The provisions of this Section 23 shall in no event require Sponsor to violate local law, and Sponsor shall be entitled to take whatever action it reasonably concludes is desirable or appropriate in order to transfer the assets allocated to a deceased Participant’s account in compliance with local law.</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24. ADDITIONAL RESTRICTIONS OF RULE 16b-3.</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terms and conditions of options granted hereunder to, and the purchase of shares of Common Stock by, persons subject to Section 16 of the Exchange Act shall comply with the applicable provisions of Rule 16b-3. This Plan shall be deemed to contain, and such options shall contain, and the shares of Common Stock issued upon exercise thereof shall be subject to, such additional conditions and restrictions, if any,</w:t>
      </w:r>
    </w:p>
    <w:p>
      <w:pPr>
        <w:sectPr>
          <w:pgSz w:w="11900" w:h="16838" w:orient="portrait"/>
          <w:cols w:equalWidth="0" w:num="1">
            <w:col w:w="11420"/>
          </w:cols>
          <w:pgMar w:left="240" w:top="834" w:right="239" w:bottom="1440" w:gutter="0" w:footer="0" w:header="0"/>
        </w:sectPr>
      </w:pPr>
    </w:p>
    <w:bookmarkStart w:id="99" w:name="page100"/>
    <w:bookmarkEnd w:id="99"/>
    <w:p>
      <w:pPr>
        <w:jc w:val="both"/>
        <w:spacing w:after="0" w:line="263" w:lineRule="auto"/>
        <w:rPr>
          <w:sz w:val="20"/>
          <w:szCs w:val="20"/>
          <w:color w:val="auto"/>
        </w:rPr>
      </w:pPr>
      <w:r>
        <w:rPr>
          <w:rFonts w:ascii="Arial" w:cs="Arial" w:eastAsia="Arial" w:hAnsi="Arial"/>
          <w:sz w:val="22"/>
          <w:szCs w:val="22"/>
          <w:color w:val="auto"/>
        </w:rPr>
        <w:t>as may be required by Rule 16b-3 to qualify for the maximum exemption from Section 16 of the Exchange Act with respect to Plan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25. NOTICES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notices or other communications by a Participant to Sponsor or the Committee under or in connection with the Plan shall be deemed to have been duly given when received in the form specified by Sponsor or the Committee at the location, or by the person, designated by Sponsor for the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END OF DOCUMENT</w:t>
      </w:r>
    </w:p>
    <w:p>
      <w:pPr>
        <w:sectPr>
          <w:pgSz w:w="11900" w:h="16838" w:orient="portrait"/>
          <w:cols w:equalWidth="0" w:num="1">
            <w:col w:w="11420"/>
          </w:cols>
          <w:pgMar w:left="240" w:top="834" w:right="239" w:bottom="1440" w:gutter="0" w:footer="0" w:header="0"/>
        </w:sectPr>
      </w:pPr>
    </w:p>
    <w:bookmarkStart w:id="100" w:name="page101"/>
    <w:bookmarkEnd w:id="100"/>
    <w:p>
      <w:pPr>
        <w:ind w:left="10100"/>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61" w:lineRule="exact"/>
        <w:rPr>
          <w:sz w:val="20"/>
          <w:szCs w:val="20"/>
          <w:color w:val="auto"/>
        </w:rPr>
      </w:pPr>
    </w:p>
    <w:p>
      <w:pPr>
        <w:ind w:left="840" w:hanging="184"/>
        <w:spacing w:after="0"/>
        <w:tabs>
          <w:tab w:leader="none" w:pos="840" w:val="left"/>
        </w:tabs>
        <w:numPr>
          <w:ilvl w:val="0"/>
          <w:numId w:val="97"/>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3" w:lineRule="exact"/>
        <w:rPr>
          <w:sz w:val="20"/>
          <w:szCs w:val="20"/>
          <w:color w:val="auto"/>
        </w:rPr>
      </w:pPr>
    </w:p>
    <w:p>
      <w:pPr>
        <w:ind w:left="1300" w:right="400" w:hanging="644"/>
        <w:spacing w:after="0" w:line="335" w:lineRule="auto"/>
        <w:tabs>
          <w:tab w:leader="none" w:pos="832" w:val="left"/>
        </w:tabs>
        <w:numPr>
          <w:ilvl w:val="0"/>
          <w:numId w:val="98"/>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sz w:val="20"/>
          <w:szCs w:val="20"/>
          <w:color w:val="auto"/>
        </w:rPr>
      </w:pPr>
    </w:p>
    <w:p>
      <w:pPr>
        <w:ind w:left="1300" w:right="500" w:hanging="644"/>
        <w:spacing w:after="0" w:line="263" w:lineRule="auto"/>
        <w:tabs>
          <w:tab w:leader="none" w:pos="832" w:val="left"/>
        </w:tabs>
        <w:numPr>
          <w:ilvl w:val="0"/>
          <w:numId w:val="9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0" w:lineRule="exact"/>
        <w:rPr>
          <w:sz w:val="20"/>
          <w:szCs w:val="20"/>
          <w:color w:val="auto"/>
        </w:rPr>
      </w:pPr>
    </w:p>
    <w:p>
      <w:pPr>
        <w:ind w:left="1300" w:right="120" w:hanging="644"/>
        <w:spacing w:after="0" w:line="254" w:lineRule="auto"/>
        <w:tabs>
          <w:tab w:leader="none" w:pos="832" w:val="left"/>
        </w:tabs>
        <w:numPr>
          <w:ilvl w:val="0"/>
          <w:numId w:val="100"/>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800" w:hanging="495"/>
        <w:spacing w:after="0" w:line="270" w:lineRule="auto"/>
        <w:tabs>
          <w:tab w:leader="none" w:pos="147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6"/>
          <w:szCs w:val="16"/>
          <w:color w:val="auto"/>
        </w:rPr>
      </w:pPr>
    </w:p>
    <w:p>
      <w:pPr>
        <w:ind w:left="1800" w:right="100" w:hanging="495"/>
        <w:spacing w:after="0" w:line="270" w:lineRule="auto"/>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6"/>
          <w:szCs w:val="16"/>
          <w:color w:val="auto"/>
        </w:rPr>
      </w:pPr>
    </w:p>
    <w:p>
      <w:pPr>
        <w:ind w:left="1800" w:right="140" w:hanging="495"/>
        <w:spacing w:after="0" w:line="329" w:lineRule="auto"/>
        <w:tabs>
          <w:tab w:leader="none" w:pos="1471"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5"/>
          <w:szCs w:val="15"/>
          <w:color w:val="auto"/>
        </w:rPr>
      </w:pPr>
    </w:p>
    <w:p>
      <w:pPr>
        <w:ind w:left="1800" w:right="100" w:hanging="495"/>
        <w:spacing w:after="0" w:line="270" w:lineRule="auto"/>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ind w:left="1300" w:right="100" w:hanging="644"/>
        <w:spacing w:after="0" w:line="263" w:lineRule="auto"/>
        <w:tabs>
          <w:tab w:leader="none" w:pos="832" w:val="left"/>
        </w:tabs>
        <w:numPr>
          <w:ilvl w:val="0"/>
          <w:numId w:val="101"/>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9" w:lineRule="exact"/>
        <w:rPr>
          <w:rFonts w:ascii="Arial" w:cs="Arial" w:eastAsia="Arial" w:hAnsi="Arial"/>
          <w:sz w:val="18"/>
          <w:szCs w:val="18"/>
          <w:color w:val="auto"/>
        </w:rPr>
      </w:pPr>
    </w:p>
    <w:p>
      <w:pPr>
        <w:ind w:left="1800" w:right="40" w:hanging="495"/>
        <w:spacing w:after="0" w:line="293" w:lineRule="auto"/>
        <w:tabs>
          <w:tab w:leader="none" w:pos="151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800" w:right="200" w:hanging="455"/>
        <w:spacing w:after="0" w:line="293" w:lineRule="auto"/>
        <w:tabs>
          <w:tab w:leader="none" w:pos="1561" w:val="left"/>
        </w:tabs>
        <w:numPr>
          <w:ilvl w:val="2"/>
          <w:numId w:val="10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7000" w:type="dxa"/>
            <w:vAlign w:val="bottom"/>
          </w:tcPr>
          <w:p>
            <w:pPr>
              <w:ind w:left="3580"/>
              <w:spacing w:after="0"/>
              <w:rPr>
                <w:sz w:val="20"/>
                <w:szCs w:val="20"/>
                <w:color w:val="auto"/>
              </w:rPr>
            </w:pPr>
            <w:r>
              <w:rPr>
                <w:rFonts w:ascii="Arial" w:cs="Arial" w:eastAsia="Arial" w:hAnsi="Arial"/>
                <w:sz w:val="16"/>
                <w:szCs w:val="16"/>
                <w:color w:val="auto"/>
              </w:rPr>
              <w:t>Signature:</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Barrett</w:t>
            </w:r>
          </w:p>
        </w:tc>
      </w:tr>
      <w:tr>
        <w:trPr>
          <w:trHeight w:val="230"/>
        </w:trPr>
        <w:tc>
          <w:tcPr>
            <w:tcW w:w="7000" w:type="dxa"/>
            <w:vAlign w:val="bottom"/>
          </w:tcPr>
          <w:p>
            <w:pPr>
              <w:spacing w:after="0"/>
              <w:rPr>
                <w:sz w:val="19"/>
                <w:szCs w:val="19"/>
                <w:color w:val="auto"/>
              </w:rPr>
            </w:pPr>
          </w:p>
        </w:tc>
        <w:tc>
          <w:tcPr>
            <w:tcW w:w="4340" w:type="dxa"/>
            <w:vAlign w:val="bottom"/>
          </w:tcPr>
          <w:p>
            <w:pPr>
              <w:ind w:left="560"/>
              <w:spacing w:after="0"/>
              <w:rPr>
                <w:sz w:val="20"/>
                <w:szCs w:val="20"/>
                <w:color w:val="auto"/>
              </w:rPr>
            </w:pPr>
            <w:r>
              <w:rPr>
                <w:rFonts w:ascii="Arial" w:cs="Arial" w:eastAsia="Arial" w:hAnsi="Arial"/>
                <w:sz w:val="16"/>
                <w:szCs w:val="16"/>
                <w:color w:val="auto"/>
              </w:rPr>
              <w:t>Michael Barrett</w:t>
            </w:r>
          </w:p>
        </w:tc>
      </w:tr>
      <w:tr>
        <w:trPr>
          <w:trHeight w:val="189"/>
        </w:trPr>
        <w:tc>
          <w:tcPr>
            <w:tcW w:w="7000" w:type="dxa"/>
            <w:vAlign w:val="bottom"/>
          </w:tcPr>
          <w:p>
            <w:pPr>
              <w:spacing w:after="0"/>
              <w:rPr>
                <w:sz w:val="16"/>
                <w:szCs w:val="16"/>
                <w:color w:val="auto"/>
              </w:rPr>
            </w:pPr>
          </w:p>
        </w:tc>
        <w:tc>
          <w:tcPr>
            <w:tcW w:w="434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233"/>
        </w:trPr>
        <w:tc>
          <w:tcPr>
            <w:tcW w:w="7000" w:type="dxa"/>
            <w:vAlign w:val="bottom"/>
          </w:tcPr>
          <w:p>
            <w:pPr>
              <w:spacing w:after="0"/>
              <w:rPr>
                <w:sz w:val="20"/>
                <w:szCs w:val="20"/>
                <w:color w:val="auto"/>
              </w:rPr>
            </w:pPr>
            <w:r>
              <w:rPr>
                <w:rFonts w:ascii="Arial" w:cs="Arial" w:eastAsia="Arial" w:hAnsi="Arial"/>
                <w:sz w:val="16"/>
                <w:szCs w:val="16"/>
                <w:color w:val="auto"/>
              </w:rPr>
              <w:t>Date November 7, 2018</w:t>
            </w:r>
          </w:p>
        </w:tc>
        <w:tc>
          <w:tcPr>
            <w:tcW w:w="434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400"/>
          </w:cols>
          <w:pgMar w:left="240" w:top="936" w:right="259" w:bottom="1440" w:gutter="0" w:footer="0" w:header="0"/>
        </w:sectPr>
      </w:pPr>
    </w:p>
    <w:bookmarkStart w:id="101" w:name="page102"/>
    <w:bookmarkEnd w:id="101"/>
    <w:p>
      <w:pPr>
        <w:ind w:left="100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980" w:hanging="182"/>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3" w:lineRule="exact"/>
        <w:rPr>
          <w:sz w:val="20"/>
          <w:szCs w:val="20"/>
          <w:color w:val="auto"/>
        </w:rPr>
      </w:pPr>
    </w:p>
    <w:p>
      <w:pPr>
        <w:ind w:left="1280" w:right="220" w:hanging="482"/>
        <w:spacing w:after="0" w:line="335" w:lineRule="auto"/>
        <w:tabs>
          <w:tab w:leader="none" w:pos="974" w:val="left"/>
        </w:tabs>
        <w:numPr>
          <w:ilvl w:val="0"/>
          <w:numId w:val="103"/>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sz w:val="20"/>
          <w:szCs w:val="20"/>
          <w:color w:val="auto"/>
        </w:rPr>
      </w:pPr>
    </w:p>
    <w:p>
      <w:pPr>
        <w:ind w:left="1280" w:right="320" w:hanging="482"/>
        <w:spacing w:after="0" w:line="263" w:lineRule="auto"/>
        <w:tabs>
          <w:tab w:leader="none" w:pos="974" w:val="left"/>
        </w:tabs>
        <w:numPr>
          <w:ilvl w:val="0"/>
          <w:numId w:val="10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0" w:lineRule="exact"/>
        <w:rPr>
          <w:sz w:val="20"/>
          <w:szCs w:val="20"/>
          <w:color w:val="auto"/>
        </w:rPr>
      </w:pPr>
    </w:p>
    <w:p>
      <w:pPr>
        <w:ind w:left="1280" w:hanging="482"/>
        <w:spacing w:after="0" w:line="254" w:lineRule="auto"/>
        <w:tabs>
          <w:tab w:leader="none" w:pos="974" w:val="left"/>
        </w:tabs>
        <w:numPr>
          <w:ilvl w:val="0"/>
          <w:numId w:val="105"/>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940" w:right="80" w:hanging="493"/>
        <w:spacing w:after="0" w:line="254" w:lineRule="auto"/>
        <w:tabs>
          <w:tab w:leader="none" w:pos="1624" w:val="left"/>
        </w:tabs>
        <w:numPr>
          <w:ilvl w:val="1"/>
          <w:numId w:val="105"/>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sz w:val="20"/>
          <w:szCs w:val="20"/>
          <w:color w:val="auto"/>
        </w:rPr>
      </w:pPr>
    </w:p>
    <w:p>
      <w:pPr>
        <w:jc w:val="both"/>
        <w:ind w:left="1940" w:hanging="485"/>
        <w:spacing w:after="0" w:line="25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6"/>
          <w:szCs w:val="16"/>
          <w:color w:val="auto"/>
        </w:rPr>
        <w:t>Designed such internal control over financial reporting, or caused such internal control over financial reporting to be designed under our supervision,</w:t>
      </w:r>
      <w:r>
        <w:rPr>
          <w:rFonts w:ascii="Arial" w:cs="Arial" w:eastAsia="Arial" w:hAnsi="Arial"/>
          <w:sz w:val="18"/>
          <w:szCs w:val="18"/>
          <w:color w:val="auto"/>
        </w:rPr>
        <w:t xml:space="preserve"> </w:t>
      </w:r>
      <w:r>
        <w:rPr>
          <w:rFonts w:ascii="Arial" w:cs="Arial" w:eastAsia="Arial" w:hAnsi="Arial"/>
          <w:sz w:val="16"/>
          <w:szCs w:val="16"/>
          <w:color w:val="auto"/>
        </w:rPr>
        <w:t>to provide reasonable assurance regarding the reliability of financial reporting and the preparation of financial statements for external purposes in accordance with generally accepted accounting principles;</w:t>
      </w:r>
    </w:p>
    <w:p>
      <w:pPr>
        <w:spacing w:after="0" w:line="212" w:lineRule="exact"/>
        <w:rPr>
          <w:sz w:val="20"/>
          <w:szCs w:val="20"/>
          <w:color w:val="auto"/>
        </w:rPr>
      </w:pPr>
    </w:p>
    <w:p>
      <w:pPr>
        <w:ind w:left="1940" w:right="120" w:hanging="485"/>
        <w:spacing w:after="0" w:line="284" w:lineRule="auto"/>
        <w:rPr>
          <w:sz w:val="20"/>
          <w:szCs w:val="20"/>
          <w:color w:val="auto"/>
        </w:rPr>
      </w:pPr>
      <w:r>
        <w:rPr>
          <w:rFonts w:ascii="Arial" w:cs="Arial" w:eastAsia="Arial" w:hAnsi="Arial"/>
          <w:sz w:val="17"/>
          <w:szCs w:val="17"/>
          <w:color w:val="auto"/>
        </w:rPr>
        <w:t xml:space="preserve">a. </w:t>
      </w:r>
      <w:r>
        <w:rPr>
          <w:rFonts w:ascii="Arial" w:cs="Arial" w:eastAsia="Arial" w:hAnsi="Arial"/>
          <w:sz w:val="15"/>
          <w:szCs w:val="15"/>
          <w:color w:val="auto"/>
        </w:rPr>
        <w:t>Evaluated the effectiveness of the registrant’s disclosure controls and procedures and presented in this report our conclusions about the effectiveness</w:t>
      </w:r>
      <w:r>
        <w:rPr>
          <w:rFonts w:ascii="Arial" w:cs="Arial" w:eastAsia="Arial" w:hAnsi="Arial"/>
          <w:sz w:val="17"/>
          <w:szCs w:val="17"/>
          <w:color w:val="auto"/>
        </w:rPr>
        <w:t xml:space="preserve"> </w:t>
      </w:r>
      <w:r>
        <w:rPr>
          <w:rFonts w:ascii="Arial" w:cs="Arial" w:eastAsia="Arial" w:hAnsi="Arial"/>
          <w:sz w:val="15"/>
          <w:szCs w:val="15"/>
          <w:color w:val="auto"/>
        </w:rPr>
        <w:t>of the disclosure controls and procedures as of the end of the period covered by this report based on such evaluation; and</w:t>
      </w:r>
    </w:p>
    <w:p>
      <w:pPr>
        <w:spacing w:after="0" w:line="186" w:lineRule="exact"/>
        <w:rPr>
          <w:sz w:val="20"/>
          <w:szCs w:val="20"/>
          <w:color w:val="auto"/>
        </w:rPr>
      </w:pPr>
    </w:p>
    <w:p>
      <w:pPr>
        <w:ind w:left="1940" w:right="160" w:hanging="485"/>
        <w:spacing w:after="0" w:line="25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6"/>
          <w:szCs w:val="16"/>
          <w:color w:val="auto"/>
        </w:rPr>
        <w:t>Disclosed in this report any change in the registrant’s internal control over financial reporting that occurred during the registrant’s most recent fiscal</w:t>
      </w:r>
      <w:r>
        <w:rPr>
          <w:rFonts w:ascii="Arial" w:cs="Arial" w:eastAsia="Arial" w:hAnsi="Arial"/>
          <w:sz w:val="18"/>
          <w:szCs w:val="18"/>
          <w:color w:val="auto"/>
        </w:rPr>
        <w:t xml:space="preserve"> </w:t>
      </w:r>
      <w:r>
        <w:rPr>
          <w:rFonts w:ascii="Arial" w:cs="Arial" w:eastAsia="Arial" w:hAnsi="Arial"/>
          <w:sz w:val="16"/>
          <w:szCs w:val="16"/>
          <w:color w:val="auto"/>
        </w:rPr>
        <w:t>quarter (the registrant’s fourth fiscal quarter in the case of an annual report) that has materially affected, or is reasonably likely to materially affect, the registrant’s internal control over financial reporting; and</w:t>
      </w:r>
    </w:p>
    <w:p>
      <w:pPr>
        <w:spacing w:after="0" w:line="230" w:lineRule="exact"/>
        <w:rPr>
          <w:sz w:val="20"/>
          <w:szCs w:val="20"/>
          <w:color w:val="auto"/>
        </w:rPr>
      </w:pPr>
    </w:p>
    <w:p>
      <w:pPr>
        <w:ind w:left="1280" w:right="660" w:hanging="482"/>
        <w:spacing w:after="0" w:line="329" w:lineRule="auto"/>
        <w:tabs>
          <w:tab w:leader="none" w:pos="1001"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940" w:right="300" w:hanging="323"/>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6"/>
          <w:szCs w:val="16"/>
          <w:color w:val="auto"/>
        </w:rPr>
        <w:t>All significant deficiencies and material weaknesses in the design or operation of internal control over financial reporting which are reasonably</w:t>
      </w:r>
      <w:r>
        <w:rPr>
          <w:rFonts w:ascii="Arial" w:cs="Arial" w:eastAsia="Arial" w:hAnsi="Arial"/>
          <w:sz w:val="18"/>
          <w:szCs w:val="18"/>
          <w:color w:val="auto"/>
        </w:rPr>
        <w:t xml:space="preserve"> </w:t>
      </w:r>
      <w:r>
        <w:rPr>
          <w:rFonts w:ascii="Arial" w:cs="Arial" w:eastAsia="Arial" w:hAnsi="Arial"/>
          <w:sz w:val="16"/>
          <w:szCs w:val="16"/>
          <w:color w:val="auto"/>
        </w:rPr>
        <w:t>likely to adversely affect the registrant’s ability to record, process, summarize and report financial information; and</w:t>
      </w:r>
    </w:p>
    <w:p>
      <w:pPr>
        <w:spacing w:after="0" w:line="208" w:lineRule="exact"/>
        <w:rPr>
          <w:sz w:val="20"/>
          <w:szCs w:val="20"/>
          <w:color w:val="auto"/>
        </w:rPr>
      </w:pPr>
    </w:p>
    <w:p>
      <w:pPr>
        <w:ind w:left="1940" w:right="260" w:hanging="323"/>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6"/>
          <w:szCs w:val="16"/>
          <w:color w:val="auto"/>
        </w:rPr>
        <w:t>Any fraud, whether or not material, that involves management or other employees who have a significant role in the registrant’s internal control</w:t>
      </w:r>
      <w:r>
        <w:rPr>
          <w:rFonts w:ascii="Arial" w:cs="Arial" w:eastAsia="Arial" w:hAnsi="Arial"/>
          <w:sz w:val="18"/>
          <w:szCs w:val="18"/>
          <w:color w:val="auto"/>
        </w:rPr>
        <w:t xml:space="preserve"> </w:t>
      </w:r>
      <w:r>
        <w:rPr>
          <w:rFonts w:ascii="Arial" w:cs="Arial" w:eastAsia="Arial" w:hAnsi="Arial"/>
          <w:sz w:val="16"/>
          <w:szCs w:val="16"/>
          <w:color w:val="auto"/>
        </w:rPr>
        <w:t>over financial reporting.</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tcPr>
          <w:p>
            <w:pPr>
              <w:ind w:left="3600"/>
              <w:spacing w:after="0"/>
              <w:rPr>
                <w:sz w:val="20"/>
                <w:szCs w:val="20"/>
                <w:color w:val="auto"/>
              </w:rPr>
            </w:pPr>
            <w:r>
              <w:rPr>
                <w:rFonts w:ascii="Arial" w:cs="Arial" w:eastAsia="Arial" w:hAnsi="Arial"/>
                <w:sz w:val="16"/>
                <w:szCs w:val="16"/>
                <w:color w:val="auto"/>
              </w:rPr>
              <w:t>Signature:</w:t>
            </w:r>
          </w:p>
        </w:tc>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Day</w:t>
            </w:r>
          </w:p>
        </w:tc>
      </w:tr>
      <w:tr>
        <w:trPr>
          <w:trHeight w:val="243"/>
        </w:trPr>
        <w:tc>
          <w:tcPr>
            <w:tcW w:w="7020" w:type="dxa"/>
            <w:vAlign w:val="bottom"/>
          </w:tcPr>
          <w:p>
            <w:pPr>
              <w:spacing w:after="0"/>
              <w:rPr>
                <w:sz w:val="21"/>
                <w:szCs w:val="21"/>
                <w:color w:val="auto"/>
              </w:rPr>
            </w:pPr>
          </w:p>
        </w:tc>
        <w:tc>
          <w:tcPr>
            <w:tcW w:w="4320" w:type="dxa"/>
            <w:vAlign w:val="bottom"/>
          </w:tcPr>
          <w:p>
            <w:pPr>
              <w:ind w:left="740"/>
              <w:spacing w:after="0"/>
              <w:rPr>
                <w:sz w:val="20"/>
                <w:szCs w:val="20"/>
                <w:color w:val="auto"/>
              </w:rPr>
            </w:pPr>
            <w:r>
              <w:rPr>
                <w:rFonts w:ascii="Arial" w:cs="Arial" w:eastAsia="Arial" w:hAnsi="Arial"/>
                <w:sz w:val="16"/>
                <w:szCs w:val="16"/>
                <w:color w:val="auto"/>
              </w:rPr>
              <w:t>David Day</w:t>
            </w:r>
          </w:p>
        </w:tc>
      </w:tr>
      <w:tr>
        <w:trPr>
          <w:trHeight w:val="189"/>
        </w:trPr>
        <w:tc>
          <w:tcPr>
            <w:tcW w:w="7020" w:type="dxa"/>
            <w:vAlign w:val="bottom"/>
          </w:tcPr>
          <w:p>
            <w:pPr>
              <w:spacing w:after="0"/>
              <w:rPr>
                <w:sz w:val="16"/>
                <w:szCs w:val="16"/>
                <w:color w:val="auto"/>
              </w:rPr>
            </w:pPr>
          </w:p>
        </w:tc>
        <w:tc>
          <w:tcPr>
            <w:tcW w:w="4320" w:type="dxa"/>
            <w:vAlign w:val="bottom"/>
          </w:tcPr>
          <w:p>
            <w:pPr>
              <w:ind w:left="740"/>
              <w:spacing w:after="0"/>
              <w:rPr>
                <w:sz w:val="20"/>
                <w:szCs w:val="20"/>
                <w:color w:val="auto"/>
              </w:rPr>
            </w:pPr>
            <w:r>
              <w:rPr>
                <w:rFonts w:ascii="Arial" w:cs="Arial" w:eastAsia="Arial" w:hAnsi="Arial"/>
                <w:sz w:val="16"/>
                <w:szCs w:val="16"/>
                <w:color w:val="auto"/>
              </w:rPr>
              <w:t>Chief Financial Officer</w:t>
            </w:r>
          </w:p>
        </w:tc>
      </w:tr>
      <w:tr>
        <w:trPr>
          <w:trHeight w:val="220"/>
        </w:trPr>
        <w:tc>
          <w:tcPr>
            <w:tcW w:w="7020" w:type="dxa"/>
            <w:vAlign w:val="bottom"/>
          </w:tcPr>
          <w:p>
            <w:pPr>
              <w:spacing w:after="0"/>
              <w:rPr>
                <w:sz w:val="20"/>
                <w:szCs w:val="20"/>
                <w:color w:val="auto"/>
              </w:rPr>
            </w:pPr>
            <w:r>
              <w:rPr>
                <w:rFonts w:ascii="Arial" w:cs="Arial" w:eastAsia="Arial" w:hAnsi="Arial"/>
                <w:sz w:val="16"/>
                <w:szCs w:val="16"/>
                <w:color w:val="auto"/>
              </w:rPr>
              <w:t>Date November 7, 2018</w:t>
            </w:r>
          </w:p>
        </w:tc>
        <w:tc>
          <w:tcPr>
            <w:tcW w:w="4320" w:type="dxa"/>
            <w:vAlign w:val="bottom"/>
          </w:tcPr>
          <w:p>
            <w:pPr>
              <w:ind w:left="74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360"/>
          </w:cols>
          <w:pgMar w:left="260" w:top="936" w:right="279" w:bottom="1440" w:gutter="0" w:footer="0" w:header="0"/>
        </w:sectPr>
      </w:pPr>
    </w:p>
    <w:bookmarkStart w:id="102" w:name="page103"/>
    <w:bookmarkEnd w:id="10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32</w:t>
      </w:r>
    </w:p>
    <w:p>
      <w:pPr>
        <w:spacing w:after="0" w:line="329"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w:t>
      </w:r>
    </w:p>
    <w:p>
      <w:pPr>
        <w:spacing w:after="0" w:line="86"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1350,</w:t>
      </w:r>
    </w:p>
    <w:p>
      <w:pPr>
        <w:spacing w:after="0" w:line="86"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76" w:lineRule="exact"/>
        <w:rPr>
          <w:sz w:val="20"/>
          <w:szCs w:val="20"/>
          <w:color w:val="auto"/>
        </w:rPr>
      </w:pPr>
    </w:p>
    <w:p>
      <w:pPr>
        <w:ind w:right="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39" w:lineRule="exact"/>
        <w:rPr>
          <w:sz w:val="20"/>
          <w:szCs w:val="20"/>
          <w:color w:val="auto"/>
        </w:rPr>
      </w:pPr>
    </w:p>
    <w:p>
      <w:pPr>
        <w:ind w:left="660" w:right="620" w:hanging="328"/>
        <w:spacing w:after="0" w:line="369" w:lineRule="auto"/>
        <w:tabs>
          <w:tab w:leader="none" w:pos="516" w:val="left"/>
        </w:tabs>
        <w:numPr>
          <w:ilvl w:val="0"/>
          <w:numId w:val="107"/>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September 30, 2018, to which this certification is attached as Exhibit 32 (the "Report"), fully complies with the requirements of Section 13(a) or 15(d) of the Securities Exchange Act of 1934; and</w:t>
      </w:r>
    </w:p>
    <w:p>
      <w:pPr>
        <w:spacing w:after="0" w:line="223" w:lineRule="exact"/>
        <w:rPr>
          <w:sz w:val="20"/>
          <w:szCs w:val="20"/>
          <w:color w:val="auto"/>
        </w:rPr>
      </w:pPr>
    </w:p>
    <w:p>
      <w:pPr>
        <w:ind w:right="1020" w:firstLine="332"/>
        <w:spacing w:after="0" w:line="686" w:lineRule="auto"/>
        <w:tabs>
          <w:tab w:leader="none" w:pos="504" w:val="left"/>
        </w:tabs>
        <w:numPr>
          <w:ilvl w:val="0"/>
          <w:numId w:val="108"/>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November 7, 2018</w:t>
      </w:r>
    </w:p>
    <w:p>
      <w:pPr>
        <w:spacing w:after="0" w:line="179"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17780</wp:posOffset>
            </wp:positionV>
            <wp:extent cx="26327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6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Michael Barrett</w:t>
      </w:r>
    </w:p>
    <w:p>
      <w:pPr>
        <w:spacing w:after="0" w:line="19"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17780</wp:posOffset>
            </wp:positionV>
            <wp:extent cx="2632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80"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David Day</w:t>
      </w:r>
    </w:p>
    <w:p>
      <w:pPr>
        <w:spacing w:after="0" w:line="19"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51" w:lineRule="exact"/>
        <w:rPr>
          <w:sz w:val="20"/>
          <w:szCs w:val="20"/>
          <w:color w:val="auto"/>
        </w:rPr>
      </w:pPr>
    </w:p>
    <w:p>
      <w:pPr>
        <w:ind w:right="60"/>
        <w:spacing w:after="0" w:line="470"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940"/>
      </w:cols>
      <w:pgMar w:left="240" w:top="97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310"/>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lvl w:ilvl="1">
      <w:lvlJc w:val="left"/>
      <w:lvlText w:val="•"/>
      <w:numFmt w:val="bullet"/>
      <w:start w:val="1"/>
    </w:lvl>
  </w:abstractNum>
  <w:abstractNum w:abstractNumId="9">
    <w:nsid w:val="354FE9F9"/>
    <w:multiLevelType w:val="hybridMultilevel"/>
    <w:lvl w:ilvl="0">
      <w:lvlJc w:val="left"/>
      <w:lvlText w:val="•"/>
      <w:numFmt w:val="bullet"/>
      <w:start w:val="1"/>
    </w:lvl>
    <w:lvl w:ilvl="1">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1)"/>
      <w:numFmt w:val="lowerLetter"/>
      <w:start w:val="1"/>
    </w:lvl>
  </w:abstractNum>
  <w:abstractNum w:abstractNumId="12">
    <w:nsid w:val="D34B6A8"/>
    <w:multiLevelType w:val="hybridMultilevel"/>
    <w:lvl w:ilvl="0">
      <w:lvlJc w:val="left"/>
      <w:lvlText w:val="(%1)"/>
      <w:numFmt w:val="lowerLetter"/>
      <w:start w:val="3"/>
    </w:lvl>
  </w:abstractNum>
  <w:abstractNum w:abstractNumId="13">
    <w:nsid w:val="10233C99"/>
    <w:multiLevelType w:val="hybridMultilevel"/>
    <w:lvl w:ilvl="0">
      <w:lvlJc w:val="left"/>
      <w:lvlText w:val="(%1)"/>
      <w:numFmt w:val="decimal"/>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lowerLetter"/>
      <w:start w:val="1"/>
    </w:lvl>
    <w:lvl w:ilvl="1">
      <w:lvlJc w:val="left"/>
      <w:lvlText w:val="%2."/>
      <w:numFmt w:val="decimal"/>
      <w:start w:val="2"/>
    </w:lvl>
  </w:abstractNum>
  <w:abstractNum w:abstractNumId="16">
    <w:nsid w:val="7E0C57B1"/>
    <w:multiLevelType w:val="hybridMultilevel"/>
    <w:lvl w:ilvl="0">
      <w:lvlJc w:val="left"/>
      <w:lvlText w:val="%1"/>
      <w:numFmt w:val="lowerLetter"/>
      <w:start w:val="1"/>
    </w:lvl>
    <w:lvl w:ilvl="1">
      <w:lvlJc w:val="left"/>
      <w:lvlText w:val="%2."/>
      <w:numFmt w:val="decimal"/>
      <w:start w:val="1"/>
    </w:lvl>
  </w:abstractNum>
  <w:abstractNum w:abstractNumId="17">
    <w:nsid w:val="77AE35EB"/>
    <w:multiLevelType w:val="hybridMultilevel"/>
    <w:lvl w:ilvl="0">
      <w:lvlJc w:val="left"/>
      <w:lvlText w:val="%1"/>
      <w:numFmt w:val="lowerLetter"/>
      <w:start w:val="1"/>
    </w:lvl>
    <w:lvl w:ilvl="1">
      <w:lvlJc w:val="left"/>
      <w:lvlText w:val="%2."/>
      <w:numFmt w:val="decimal"/>
      <w:start w:val="3"/>
    </w:lvl>
  </w:abstractNum>
  <w:abstractNum w:abstractNumId="18">
    <w:nsid w:val="579BE4F1"/>
    <w:multiLevelType w:val="hybridMultilevel"/>
    <w:lvl w:ilvl="0">
      <w:lvlJc w:val="left"/>
      <w:lvlText w:val="%1."/>
      <w:numFmt w:val="lowerLetter"/>
      <w:start w:val="2"/>
    </w:lvl>
    <w:lvl w:ilvl="1">
      <w:lvlJc w:val="left"/>
      <w:lvlText w:val="%2."/>
      <w:numFmt w:val="decimal"/>
      <w:start w:val="4"/>
    </w:lvl>
  </w:abstractNum>
  <w:abstractNum w:abstractNumId="19">
    <w:nsid w:val="310C50B3"/>
    <w:multiLevelType w:val="hybridMultilevel"/>
    <w:lvl w:ilvl="0">
      <w:lvlJc w:val="left"/>
      <w:lvlText w:val="%1"/>
      <w:numFmt w:val="lowerLetter"/>
      <w:start w:val="1"/>
    </w:lvl>
    <w:lvl w:ilvl="1">
      <w:lvlJc w:val="left"/>
      <w:lvlText w:val="%2."/>
      <w:numFmt w:val="decimal"/>
      <w:start w:val="9"/>
    </w:lvl>
  </w:abstractNum>
  <w:abstractNum w:abstractNumId="20">
    <w:nsid w:val="5FF87E05"/>
    <w:multiLevelType w:val="hybridMultilevel"/>
    <w:lvl w:ilvl="0">
      <w:lvlJc w:val="left"/>
      <w:lvlText w:val="%1."/>
      <w:numFmt w:val="lowerLetter"/>
      <w:start w:val="5"/>
    </w:lvl>
    <w:lvl w:ilvl="1">
      <w:lvlJc w:val="left"/>
      <w:lvlText w:val="%2."/>
      <w:numFmt w:val="decimal"/>
      <w:start w:val="13"/>
    </w:lvl>
  </w:abstractNum>
  <w:abstractNum w:abstractNumId="21">
    <w:nsid w:val="2F305DEF"/>
    <w:multiLevelType w:val="hybridMultilevel"/>
    <w:lvl w:ilvl="0">
      <w:lvlJc w:val="left"/>
      <w:lvlText w:val="%1"/>
      <w:numFmt w:val="lowerLetter"/>
      <w:start w:val="1"/>
    </w:lvl>
    <w:lvl w:ilvl="1">
      <w:lvlJc w:val="left"/>
      <w:lvlText w:val="%2."/>
      <w:numFmt w:val="decimal"/>
      <w:start w:val="14"/>
    </w:lvl>
  </w:abstractNum>
  <w:abstractNum w:abstractNumId="22">
    <w:nsid w:val="25A70BF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7"/>
    </w:lvl>
    <w:lvl w:ilvl="3">
      <w:lvlJc w:val="left"/>
      <w:lvlText w:val="%4"/>
      <w:numFmt w:val="decimal"/>
      <w:start w:val="1"/>
    </w:lvl>
  </w:abstractNum>
  <w:abstractNum w:abstractNumId="23">
    <w:nsid w:val="1DBABF00"/>
    <w:multiLevelType w:val="hybridMultilevel"/>
    <w:lvl w:ilvl="0">
      <w:lvlJc w:val="left"/>
      <w:lvlText w:val="%1"/>
      <w:numFmt w:val="decimal"/>
      <w:start w:val="1"/>
    </w:lvl>
    <w:lvl w:ilvl="1">
      <w:lvlJc w:val="left"/>
      <w:lvlText w:val="%2."/>
      <w:numFmt w:val="lowerLetter"/>
      <w:start w:val="3"/>
    </w:lvl>
    <w:lvl w:ilvl="2">
      <w:lvlJc w:val="left"/>
      <w:lvlText w:val="%3."/>
      <w:numFmt w:val="decimal"/>
      <w:start w:val="29"/>
    </w:lvl>
    <w:lvl w:ilvl="3">
      <w:lvlJc w:val="left"/>
      <w:lvlText w:val="%4"/>
      <w:numFmt w:val="decimal"/>
      <w:start w:val="1"/>
    </w:lvl>
  </w:abstractNum>
  <w:abstractNum w:abstractNumId="24">
    <w:nsid w:val="4AD084E9"/>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25">
    <w:nsid w:val="1F48EAA1"/>
    <w:multiLevelType w:val="hybridMultilevel"/>
    <w:lvl w:ilvl="0">
      <w:lvlJc w:val="left"/>
      <w:lvlText w:val="(%1)"/>
      <w:numFmt w:val="decimal"/>
      <w:start w:val="1"/>
    </w:lvl>
    <w:lvl w:ilvl="1">
      <w:lvlJc w:val="left"/>
      <w:lvlText w:val="%2."/>
      <w:numFmt w:val="lowerLetter"/>
      <w:start w:val="4"/>
    </w:lvl>
    <w:lvl w:ilvl="2">
      <w:lvlJc w:val="left"/>
      <w:lvlText w:val="%3."/>
      <w:numFmt w:val="decimal"/>
      <w:start w:val="30"/>
    </w:lvl>
    <w:lvl w:ilvl="3">
      <w:lvlJc w:val="left"/>
      <w:lvlText w:val="%4"/>
      <w:numFmt w:val="decimal"/>
      <w:start w:val="1"/>
    </w:lvl>
  </w:abstractNum>
  <w:abstractNum w:abstractNumId="26">
    <w:nsid w:val="1381823A"/>
    <w:multiLevelType w:val="hybridMultilevel"/>
    <w:lvl w:ilvl="0">
      <w:lvlJc w:val="left"/>
      <w:lvlText w:val="%1"/>
      <w:numFmt w:val="decimal"/>
      <w:start w:val="1"/>
    </w:lvl>
    <w:lvl w:ilvl="1">
      <w:lvlJc w:val="left"/>
      <w:lvlText w:val="%2"/>
      <w:numFmt w:val="lowerLetter"/>
      <w:start w:val="1"/>
    </w:lvl>
    <w:lvl w:ilvl="2">
      <w:lvlJc w:val="left"/>
      <w:lvlText w:val="%3."/>
      <w:numFmt w:val="decimal"/>
      <w:start w:val="31"/>
    </w:lvl>
    <w:lvl w:ilvl="3">
      <w:lvlJc w:val="left"/>
      <w:lvlText w:val="%4."/>
      <w:numFmt w:val="decimal"/>
      <w:start w:val="1"/>
    </w:lvl>
  </w:abstractNum>
  <w:abstractNum w:abstractNumId="27">
    <w:nsid w:val="5DB70AE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4"/>
    </w:lvl>
  </w:abstractNum>
  <w:abstractNum w:abstractNumId="28">
    <w:nsid w:val="100F8FCA"/>
    <w:multiLevelType w:val="hybridMultilevel"/>
    <w:lvl w:ilvl="0">
      <w:lvlJc w:val="left"/>
      <w:lvlText w:val="%1"/>
      <w:numFmt w:val="decimal"/>
      <w:start w:val="1"/>
    </w:lvl>
    <w:lvl w:ilvl="1">
      <w:lvlJc w:val="left"/>
      <w:lvlText w:val="%2"/>
      <w:numFmt w:val="lowerLetter"/>
      <w:start w:val="1"/>
    </w:lvl>
    <w:lvl w:ilvl="2">
      <w:lvlJc w:val="left"/>
      <w:lvlText w:val="%3."/>
      <w:numFmt w:val="decimal"/>
      <w:start w:val="33"/>
    </w:lvl>
    <w:lvl w:ilvl="3">
      <w:lvlJc w:val="left"/>
      <w:lvlText w:val="%4"/>
      <w:numFmt w:val="decimal"/>
      <w:start w:val="1"/>
    </w:lvl>
  </w:abstractNum>
  <w:abstractNum w:abstractNumId="29">
    <w:nsid w:val="6590700B"/>
    <w:multiLevelType w:val="hybridMultilevel"/>
    <w:lvl w:ilvl="0">
      <w:lvlJc w:val="left"/>
      <w:lvlText w:val="%1"/>
      <w:numFmt w:val="lowerLetter"/>
      <w:start w:val="1"/>
    </w:lvl>
    <w:lvl w:ilvl="1">
      <w:lvlJc w:val="left"/>
      <w:lvlText w:val="%2."/>
      <w:numFmt w:val="decimal"/>
      <w:start w:val="34"/>
    </w:lvl>
    <w:lvl w:ilvl="2">
      <w:lvlJc w:val="left"/>
      <w:lvlText w:val="%3."/>
      <w:numFmt w:val="lowerRoman"/>
      <w:start w:val="1"/>
    </w:lvl>
  </w:abstractNum>
  <w:abstractNum w:abstractNumId="30">
    <w:nsid w:val="15014ACB"/>
    <w:multiLevelType w:val="hybridMultilevel"/>
    <w:lvl w:ilvl="0">
      <w:lvlJc w:val="left"/>
      <w:lvlText w:val="%1"/>
      <w:numFmt w:val="lowerLetter"/>
      <w:start w:val="1"/>
    </w:lvl>
    <w:lvl w:ilvl="1">
      <w:lvlJc w:val="left"/>
      <w:lvlText w:val="%2"/>
      <w:numFmt w:val="decimal"/>
      <w:start w:val="1"/>
    </w:lvl>
    <w:lvl w:ilvl="2">
      <w:lvlJc w:val="left"/>
      <w:lvlText w:val="%3."/>
      <w:numFmt w:val="decimal"/>
      <w:start w:val="39"/>
    </w:lvl>
  </w:abstractNum>
  <w:abstractNum w:abstractNumId="31">
    <w:nsid w:val="5F5E7FD0"/>
    <w:multiLevelType w:val="hybridMultilevel"/>
    <w:lvl w:ilvl="0">
      <w:lvlJc w:val="left"/>
      <w:lvlText w:val="%1"/>
      <w:numFmt w:val="lowerLetter"/>
      <w:start w:val="1"/>
    </w:lvl>
    <w:lvl w:ilvl="1">
      <w:lvlJc w:val="left"/>
      <w:lvlText w:val="%2."/>
      <w:numFmt w:val="decimal"/>
      <w:start w:val="40"/>
    </w:lvl>
    <w:lvl w:ilvl="2">
      <w:lvlJc w:val="left"/>
      <w:lvlText w:val="%3"/>
      <w:numFmt w:val="decimal"/>
      <w:start w:val="1"/>
    </w:lvl>
  </w:abstractNum>
  <w:abstractNum w:abstractNumId="32">
    <w:nsid w:val="98A3148"/>
    <w:multiLevelType w:val="hybridMultilevel"/>
    <w:lvl w:ilvl="0">
      <w:lvlJc w:val="left"/>
      <w:lvlText w:val="%1."/>
      <w:numFmt w:val="decimal"/>
      <w:start w:val="42"/>
    </w:lvl>
  </w:abstractNum>
  <w:abstractNum w:abstractNumId="33">
    <w:nsid w:val="799D0247"/>
    <w:multiLevelType w:val="hybridMultilevel"/>
    <w:lvl w:ilvl="0">
      <w:lvlJc w:val="left"/>
      <w:lvlText w:val="%1"/>
      <w:numFmt w:val="decimal"/>
      <w:start w:val="1"/>
    </w:lvl>
    <w:lvl w:ilvl="1">
      <w:lvlJc w:val="left"/>
      <w:lvlText w:val="%2"/>
      <w:numFmt w:val="decimal"/>
      <w:start w:val="1"/>
    </w:lvl>
    <w:lvl w:ilvl="2">
      <w:lvlJc w:val="left"/>
      <w:lvlText w:val="%3."/>
      <w:numFmt w:val="decimal"/>
      <w:start w:val="43"/>
    </w:lvl>
  </w:abstractNum>
  <w:abstractNum w:abstractNumId="34">
    <w:nsid w:val="6B94764"/>
    <w:multiLevelType w:val="hybridMultilevel"/>
    <w:lvl w:ilvl="0">
      <w:lvlJc w:val="left"/>
      <w:lvlText w:val="%1"/>
      <w:numFmt w:val="decimal"/>
      <w:start w:val="1"/>
    </w:lvl>
    <w:lvl w:ilvl="1">
      <w:lvlJc w:val="left"/>
      <w:lvlText w:val="%2."/>
      <w:numFmt w:val="decimal"/>
      <w:start w:val="44"/>
    </w:lvl>
    <w:lvl w:ilvl="2">
      <w:lvlJc w:val="left"/>
      <w:lvlText w:val="%3"/>
      <w:numFmt w:val="decimal"/>
      <w:start w:val="1"/>
    </w:lvl>
  </w:abstractNum>
  <w:abstractNum w:abstractNumId="35">
    <w:nsid w:val="42C296BD"/>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36">
    <w:nsid w:val="168E121F"/>
    <w:multiLevelType w:val="hybridMultilevel"/>
    <w:lvl w:ilvl="0">
      <w:lvlJc w:val="left"/>
      <w:lvlText w:val="%1."/>
      <w:numFmt w:val="decimal"/>
      <w:start w:val="5"/>
    </w:lvl>
  </w:abstractNum>
  <w:abstractNum w:abstractNumId="37">
    <w:nsid w:val="1EBA5D23"/>
    <w:multiLevelType w:val="hybridMultilevel"/>
    <w:lvl w:ilvl="0">
      <w:lvlJc w:val="left"/>
      <w:lvlText w:val="%1."/>
      <w:numFmt w:val="decimal"/>
      <w:start w:val="45"/>
    </w:lvl>
  </w:abstractNum>
  <w:abstractNum w:abstractNumId="38">
    <w:nsid w:val="661E3F1E"/>
    <w:multiLevelType w:val="hybridMultilevel"/>
    <w:lvl w:ilvl="0">
      <w:lvlJc w:val="left"/>
      <w:lvlText w:val="%1"/>
      <w:numFmt w:val="lowerLetter"/>
      <w:start w:val="1"/>
    </w:lvl>
    <w:lvl w:ilvl="1">
      <w:lvlJc w:val="left"/>
      <w:lvlText w:val="%2."/>
      <w:numFmt w:val="decimal"/>
      <w:start w:val="46"/>
    </w:lvl>
  </w:abstractNum>
  <w:abstractNum w:abstractNumId="39">
    <w:nsid w:val="5DC79EA8"/>
    <w:multiLevelType w:val="hybridMultilevel"/>
    <w:lvl w:ilvl="0">
      <w:lvlJc w:val="left"/>
      <w:lvlText w:val="%1."/>
      <w:numFmt w:val="lowerLetter"/>
      <w:start w:val="4"/>
    </w:lvl>
    <w:lvl w:ilvl="1">
      <w:lvlJc w:val="left"/>
      <w:lvlText w:val="%2"/>
      <w:numFmt w:val="decimal"/>
      <w:start w:val="1"/>
    </w:lvl>
  </w:abstractNum>
  <w:abstractNum w:abstractNumId="40">
    <w:nsid w:val="540A471C"/>
    <w:multiLevelType w:val="hybridMultilevel"/>
    <w:lvl w:ilvl="0">
      <w:lvlJc w:val="left"/>
      <w:lvlText w:val="%1."/>
      <w:numFmt w:val="decimal"/>
      <w:start w:val="6"/>
    </w:lvl>
  </w:abstractNum>
  <w:abstractNum w:abstractNumId="41">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47"/>
    </w:lvl>
    <w:lvl w:ilvl="3">
      <w:lvlJc w:val="left"/>
      <w:lvlText w:val="%4."/>
      <w:numFmt w:val="decimal"/>
      <w:start w:val="48"/>
    </w:lvl>
  </w:abstractNum>
  <w:abstractNum w:abstractNumId="42">
    <w:nsid w:val="51D9C56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49"/>
    </w:lvl>
    <w:lvl w:ilvl="3">
      <w:lvlJc w:val="left"/>
      <w:lvlText w:val="%4"/>
      <w:numFmt w:val="decimal"/>
      <w:start w:val="1"/>
    </w:lvl>
  </w:abstractNum>
  <w:abstractNum w:abstractNumId="43">
    <w:nsid w:val="613EFDC5"/>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51"/>
    </w:lvl>
    <w:lvl w:ilvl="3">
      <w:lvlJc w:val="left"/>
      <w:lvlText w:val="%4"/>
      <w:numFmt w:val="decimal"/>
      <w:start w:val="1"/>
    </w:lvl>
  </w:abstractNum>
  <w:abstractNum w:abstractNumId="44">
    <w:nsid w:val="BF72B14"/>
    <w:multiLevelType w:val="hybridMultilevel"/>
    <w:lvl w:ilvl="0">
      <w:lvlJc w:val="left"/>
      <w:lvlText w:val="%1."/>
      <w:numFmt w:val="decimal"/>
      <w:start w:val="57"/>
    </w:lvl>
  </w:abstractNum>
  <w:abstractNum w:abstractNumId="45">
    <w:nsid w:val="11447B73"/>
    <w:multiLevelType w:val="hybridMultilevel"/>
    <w:lvl w:ilvl="0">
      <w:lvlJc w:val="left"/>
      <w:lvlText w:val="%1."/>
      <w:numFmt w:val="decimal"/>
      <w:start w:val="59"/>
    </w:lvl>
  </w:abstractNum>
  <w:abstractNum w:abstractNumId="46">
    <w:nsid w:val="42963E5A"/>
    <w:multiLevelType w:val="hybridMultilevel"/>
    <w:lvl w:ilvl="0">
      <w:lvlJc w:val="left"/>
      <w:lvlText w:val="%1"/>
      <w:numFmt w:val="lowerLetter"/>
      <w:start w:val="1"/>
    </w:lvl>
    <w:lvl w:ilvl="1">
      <w:lvlJc w:val="left"/>
      <w:lvlText w:val="%2."/>
      <w:numFmt w:val="decimal"/>
      <w:start w:val="64"/>
    </w:lvl>
  </w:abstractNum>
  <w:abstractNum w:abstractNumId="47">
    <w:nsid w:val="A0382C5"/>
    <w:multiLevelType w:val="hybridMultilevel"/>
    <w:lvl w:ilvl="0">
      <w:lvlJc w:val="left"/>
      <w:lvlText w:val="%1."/>
      <w:numFmt w:val="lowerLetter"/>
      <w:start w:val="4"/>
    </w:lvl>
    <w:lvl w:ilvl="1">
      <w:lvlJc w:val="left"/>
      <w:lvlText w:val="%2."/>
      <w:numFmt w:val="decimal"/>
      <w:start w:val="65"/>
    </w:lvl>
  </w:abstractNum>
  <w:abstractNum w:abstractNumId="48">
    <w:nsid w:val="8F2B15E"/>
    <w:multiLevelType w:val="hybridMultilevel"/>
    <w:lvl w:ilvl="0">
      <w:lvlJc w:val="left"/>
      <w:lvlText w:val="%1"/>
      <w:numFmt w:val="lowerLetter"/>
      <w:start w:val="1"/>
    </w:lvl>
    <w:lvl w:ilvl="1">
      <w:lvlJc w:val="left"/>
      <w:lvlText w:val="%2."/>
      <w:numFmt w:val="decimal"/>
      <w:start w:val="68"/>
    </w:lvl>
  </w:abstractNum>
  <w:abstractNum w:abstractNumId="49">
    <w:nsid w:val="1A32234B"/>
    <w:multiLevelType w:val="hybridMultilevel"/>
    <w:lvl w:ilvl="0">
      <w:lvlJc w:val="left"/>
      <w:lvlText w:val="%1."/>
      <w:numFmt w:val="lowerLetter"/>
      <w:start w:val="9"/>
    </w:lvl>
    <w:lvl w:ilvl="1">
      <w:lvlJc w:val="left"/>
      <w:lvlText w:val="%2."/>
      <w:numFmt w:val="decimal"/>
      <w:start w:val="70"/>
    </w:lvl>
  </w:abstractNum>
  <w:abstractNum w:abstractNumId="50">
    <w:nsid w:val="3B0FD379"/>
    <w:multiLevelType w:val="hybridMultilevel"/>
    <w:lvl w:ilvl="0">
      <w:lvlJc w:val="left"/>
      <w:lvlText w:val="%1"/>
      <w:numFmt w:val="lowerLetter"/>
      <w:start w:val="1"/>
    </w:lvl>
    <w:lvl w:ilvl="1">
      <w:lvlJc w:val="left"/>
      <w:lvlText w:val="%2."/>
      <w:numFmt w:val="decimal"/>
      <w:start w:val="72"/>
    </w:lvl>
  </w:abstractNum>
  <w:abstractNum w:abstractNumId="51">
    <w:nsid w:val="68EB2F63"/>
    <w:multiLevelType w:val="hybridMultilevel"/>
    <w:lvl w:ilvl="0">
      <w:lvlJc w:val="left"/>
      <w:lvlText w:val="%1."/>
      <w:numFmt w:val="lowerLetter"/>
      <w:start w:val="11"/>
    </w:lvl>
    <w:lvl w:ilvl="1">
      <w:lvlJc w:val="left"/>
      <w:lvlText w:val="%2."/>
      <w:numFmt w:val="decimal"/>
      <w:start w:val="74"/>
    </w:lvl>
  </w:abstractNum>
  <w:abstractNum w:abstractNumId="52">
    <w:nsid w:val="4962813B"/>
    <w:multiLevelType w:val="hybridMultilevel"/>
    <w:lvl w:ilvl="0">
      <w:lvlJc w:val="left"/>
      <w:lvlText w:val="%1"/>
      <w:numFmt w:val="lowerLetter"/>
      <w:start w:val="1"/>
    </w:lvl>
    <w:lvl w:ilvl="1">
      <w:lvlJc w:val="left"/>
      <w:lvlText w:val="%2."/>
      <w:numFmt w:val="decimal"/>
      <w:start w:val="75"/>
    </w:lvl>
  </w:abstractNum>
  <w:abstractNum w:abstractNumId="53">
    <w:nsid w:val="60B6DF70"/>
    <w:multiLevelType w:val="hybridMultilevel"/>
    <w:lvl w:ilvl="0">
      <w:lvlJc w:val="left"/>
      <w:lvlText w:val="%1."/>
      <w:numFmt w:val="lowerLetter"/>
      <w:start w:val="13"/>
    </w:lvl>
    <w:lvl w:ilvl="1">
      <w:lvlJc w:val="left"/>
      <w:lvlText w:val="%2"/>
      <w:numFmt w:val="decimal"/>
      <w:start w:val="1"/>
    </w:lvl>
  </w:abstractNum>
  <w:abstractNum w:abstractNumId="54">
    <w:nsid w:val="6A5EE64"/>
    <w:multiLevelType w:val="hybridMultilevel"/>
    <w:lvl w:ilvl="0">
      <w:lvlJc w:val="left"/>
      <w:lvlText w:val="(%1)"/>
      <w:numFmt w:val="lowerLetter"/>
      <w:start w:val="9"/>
    </w:lvl>
    <w:lvl w:ilvl="1">
      <w:lvlJc w:val="left"/>
      <w:lvlText w:val="%2."/>
      <w:numFmt w:val="lowerLetter"/>
      <w:start w:val="9"/>
    </w:lvl>
    <w:lvl w:ilvl="2">
      <w:lvlJc w:val="left"/>
      <w:lvlText w:val="%3."/>
      <w:numFmt w:val="lowerLetter"/>
      <w:start w:val="1"/>
    </w:lvl>
  </w:abstractNum>
  <w:abstractNum w:abstractNumId="55">
    <w:nsid w:val="14330624"/>
    <w:multiLevelType w:val="hybridMultilevel"/>
    <w:lvl w:ilvl="0">
      <w:lvlJc w:val="left"/>
      <w:lvlText w:val="%1."/>
      <w:numFmt w:val="decimal"/>
      <w:start w:val="76"/>
    </w:lvl>
  </w:abstractNum>
  <w:abstractNum w:abstractNumId="56">
    <w:nsid w:val="7FFFCA11"/>
    <w:multiLevelType w:val="hybridMultilevel"/>
    <w:lvl w:ilvl="0">
      <w:lvlJc w:val="left"/>
      <w:lvlText w:val="%1"/>
      <w:numFmt w:val="lowerLetter"/>
      <w:start w:val="1"/>
    </w:lvl>
    <w:lvl w:ilvl="1">
      <w:lvlJc w:val="left"/>
      <w:lvlText w:val="%2."/>
      <w:numFmt w:val="decimal"/>
      <w:start w:val="78"/>
    </w:lvl>
  </w:abstractNum>
  <w:abstractNum w:abstractNumId="57">
    <w:nsid w:val="1A27709E"/>
    <w:multiLevelType w:val="hybridMultilevel"/>
    <w:lvl w:ilvl="0">
      <w:lvlJc w:val="left"/>
      <w:lvlText w:val="%1."/>
      <w:numFmt w:val="lowerLetter"/>
      <w:start w:val="3"/>
    </w:lvl>
    <w:lvl w:ilvl="1">
      <w:lvlJc w:val="left"/>
      <w:lvlText w:val="%2."/>
      <w:numFmt w:val="decimal"/>
      <w:start w:val="79"/>
    </w:lvl>
  </w:abstractNum>
  <w:abstractNum w:abstractNumId="58">
    <w:nsid w:val="71EA1109"/>
    <w:multiLevelType w:val="hybridMultilevel"/>
    <w:lvl w:ilvl="0">
      <w:lvlJc w:val="left"/>
      <w:lvlText w:val="%1."/>
      <w:numFmt w:val="decimal"/>
      <w:start w:val="9"/>
    </w:lvl>
  </w:abstractNum>
  <w:abstractNum w:abstractNumId="59">
    <w:nsid w:val="100F59DC"/>
    <w:multiLevelType w:val="hybridMultilevel"/>
    <w:lvl w:ilvl="0">
      <w:lvlJc w:val="left"/>
      <w:lvlText w:val="%1."/>
      <w:numFmt w:val="decimal"/>
      <w:start w:val="81"/>
    </w:lvl>
  </w:abstractNum>
  <w:abstractNum w:abstractNumId="60">
    <w:nsid w:val="7FB7E0AA"/>
    <w:multiLevelType w:val="hybridMultilevel"/>
    <w:lvl w:ilvl="0">
      <w:lvlJc w:val="left"/>
      <w:lvlText w:val="%1."/>
      <w:numFmt w:val="decimal"/>
      <w:start w:val="10"/>
    </w:lvl>
  </w:abstractNum>
  <w:abstractNum w:abstractNumId="61">
    <w:nsid w:val="6EB5BD4"/>
    <w:multiLevelType w:val="hybridMultilevel"/>
    <w:lvl w:ilvl="0">
      <w:lvlJc w:val="left"/>
      <w:lvlText w:val="%1."/>
      <w:numFmt w:val="decimal"/>
      <w:start w:val="11"/>
    </w:lvl>
  </w:abstractNum>
  <w:abstractNum w:abstractNumId="62">
    <w:nsid w:val="6F6DD9AC"/>
    <w:multiLevelType w:val="hybridMultilevel"/>
    <w:lvl w:ilvl="0">
      <w:lvlJc w:val="left"/>
      <w:lvlText w:val="%1"/>
      <w:numFmt w:val="lowerLetter"/>
      <w:start w:val="1"/>
    </w:lvl>
    <w:lvl w:ilvl="1">
      <w:lvlJc w:val="left"/>
      <w:lvlText w:val="%2."/>
      <w:numFmt w:val="decimal"/>
      <w:start w:val="12"/>
    </w:lvl>
  </w:abstractNum>
  <w:abstractNum w:abstractNumId="63">
    <w:nsid w:val="94211F2"/>
    <w:multiLevelType w:val="hybridMultilevel"/>
    <w:lvl w:ilvl="0">
      <w:lvlJc w:val="left"/>
      <w:lvlText w:val="%1."/>
      <w:numFmt w:val="lowerLetter"/>
      <w:start w:val="1"/>
    </w:lvl>
    <w:lvl w:ilvl="1">
      <w:lvlJc w:val="left"/>
      <w:lvlText w:val="%2"/>
      <w:numFmt w:val="decimal"/>
      <w:start w:val="1"/>
    </w:lvl>
  </w:abstractNum>
  <w:abstractNum w:abstractNumId="64">
    <w:nsid w:val="885E1B"/>
    <w:multiLevelType w:val="hybridMultilevel"/>
    <w:lvl w:ilvl="0">
      <w:lvlJc w:val="left"/>
      <w:lvlText w:val="%1."/>
      <w:numFmt w:val="decimal"/>
      <w:start w:val="13"/>
    </w:lvl>
  </w:abstractNum>
  <w:abstractNum w:abstractNumId="65">
    <w:nsid w:val="76272110"/>
    <w:multiLevelType w:val="hybridMultilevel"/>
    <w:lvl w:ilvl="0">
      <w:lvlJc w:val="left"/>
      <w:lvlText w:val="%1"/>
      <w:numFmt w:val="decimal"/>
      <w:start w:val="1"/>
    </w:lvl>
    <w:lvl w:ilvl="1">
      <w:lvlJc w:val="left"/>
      <w:lvlText w:val="%2."/>
      <w:numFmt w:val="decimal"/>
      <w:start w:val="92"/>
    </w:lvl>
  </w:abstractNum>
  <w:abstractNum w:abstractNumId="66">
    <w:nsid w:val="4C04A8AF"/>
    <w:multiLevelType w:val="hybridMultilevel"/>
    <w:lvl w:ilvl="0">
      <w:lvlJc w:val="left"/>
      <w:lvlText w:val="%1."/>
      <w:numFmt w:val="decimal"/>
      <w:start w:val="93"/>
    </w:lvl>
    <w:lvl w:ilvl="1">
      <w:lvlJc w:val="left"/>
      <w:lvlText w:val="%2"/>
      <w:numFmt w:val="decimal"/>
      <w:start w:val="1"/>
    </w:lvl>
  </w:abstractNum>
  <w:abstractNum w:abstractNumId="67">
    <w:nsid w:val="1716703B"/>
    <w:multiLevelType w:val="hybridMultilevel"/>
    <w:lvl w:ilvl="0">
      <w:lvlJc w:val="left"/>
      <w:lvlText w:val="(%1)"/>
      <w:numFmt w:val="lowerRoman"/>
      <w:start w:val="3"/>
    </w:lvl>
  </w:abstractNum>
  <w:abstractNum w:abstractNumId="68">
    <w:nsid w:val="14E17E33"/>
    <w:multiLevelType w:val="hybridMultilevel"/>
    <w:lvl w:ilvl="0">
      <w:lvlJc w:val="left"/>
      <w:lvlText w:val="%1"/>
      <w:numFmt w:val="decimal"/>
      <w:start w:val="1"/>
    </w:lvl>
    <w:lvl w:ilvl="1">
      <w:lvlJc w:val="left"/>
      <w:lvlText w:val="%2."/>
      <w:numFmt w:val="decimal"/>
      <w:start w:val="94"/>
    </w:lvl>
  </w:abstractNum>
  <w:abstractNum w:abstractNumId="69">
    <w:nsid w:val="3222E7CD"/>
    <w:multiLevelType w:val="hybridMultilevel"/>
    <w:lvl w:ilvl="0">
      <w:lvlJc w:val="left"/>
      <w:lvlText w:val="%1."/>
      <w:numFmt w:val="decimal"/>
      <w:start w:val="95"/>
    </w:lvl>
    <w:lvl w:ilvl="1">
      <w:lvlJc w:val="left"/>
      <w:lvlText w:val="%2"/>
      <w:numFmt w:val="decimal"/>
      <w:start w:val="1"/>
    </w:lvl>
  </w:abstractNum>
  <w:abstractNum w:abstractNumId="70">
    <w:nsid w:val="74DE0EE3"/>
    <w:multiLevelType w:val="hybridMultilevel"/>
    <w:lvl w:ilvl="0">
      <w:lvlJc w:val="left"/>
      <w:lvlText w:val="%1"/>
      <w:numFmt w:val="upperLetter"/>
      <w:start w:val="1"/>
    </w:lvl>
    <w:lvl w:ilvl="1">
      <w:lvlJc w:val="left"/>
      <w:lvlText w:val="%2."/>
      <w:numFmt w:val="decimal"/>
      <w:start w:val="98"/>
    </w:lvl>
  </w:abstractNum>
  <w:abstractNum w:abstractNumId="71">
    <w:nsid w:val="68EBC550"/>
    <w:multiLevelType w:val="hybridMultilevel"/>
    <w:lvl w:ilvl="0">
      <w:lvlJc w:val="left"/>
      <w:lvlText w:val="(%1)"/>
      <w:numFmt w:val="upperLetter"/>
      <w:start w:val="3"/>
    </w:lvl>
    <w:lvl w:ilvl="1">
      <w:lvlJc w:val="left"/>
      <w:lvlText w:val="%2."/>
      <w:numFmt w:val="decimal"/>
      <w:start w:val="99"/>
    </w:lvl>
  </w:abstractNum>
  <w:abstractNum w:abstractNumId="72">
    <w:nsid w:val="2DF6D648"/>
    <w:multiLevelType w:val="hybridMultilevel"/>
    <w:lvl w:ilvl="0">
      <w:lvlJc w:val="left"/>
      <w:lvlText w:val="%1."/>
      <w:numFmt w:val="decimal"/>
      <w:start w:val="120"/>
    </w:lvl>
  </w:abstractNum>
  <w:abstractNum w:abstractNumId="73">
    <w:nsid w:val="46B7D447"/>
    <w:multiLevelType w:val="hybridMultilevel"/>
    <w:lvl w:ilvl="0">
      <w:lvlJc w:val="left"/>
      <w:lvlText w:val="%1"/>
      <w:numFmt w:val="decimal"/>
      <w:start w:val="1"/>
    </w:lvl>
    <w:lvl w:ilvl="1">
      <w:lvlJc w:val="left"/>
      <w:lvlText w:val="%2."/>
      <w:numFmt w:val="decimal"/>
      <w:start w:val="121"/>
    </w:lvl>
  </w:abstractNum>
  <w:abstractNum w:abstractNumId="74">
    <w:nsid w:val="4A2AC315"/>
    <w:multiLevelType w:val="hybridMultilevel"/>
    <w:lvl w:ilvl="0">
      <w:lvlJc w:val="left"/>
      <w:lvlText w:val="%1."/>
      <w:numFmt w:val="decimal"/>
      <w:start w:val="122"/>
    </w:lvl>
    <w:lvl w:ilvl="1">
      <w:lvlJc w:val="left"/>
      <w:lvlText w:val="%2"/>
      <w:numFmt w:val="decimal"/>
      <w:start w:val="1"/>
    </w:lvl>
  </w:abstractNum>
  <w:abstractNum w:abstractNumId="75">
    <w:nsid w:val="39EE015C"/>
    <w:multiLevelType w:val="hybridMultilevel"/>
    <w:lvl w:ilvl="0">
      <w:lvlJc w:val="left"/>
      <w:lvlText w:val="(%1)"/>
      <w:numFmt w:val="lowerLetter"/>
      <w:start w:val="3"/>
    </w:lvl>
  </w:abstractNum>
  <w:abstractNum w:abstractNumId="76">
    <w:nsid w:val="57FC4FBB"/>
    <w:multiLevelType w:val="hybridMultilevel"/>
    <w:lvl w:ilvl="0">
      <w:lvlJc w:val="left"/>
      <w:lvlText w:val="%1"/>
      <w:numFmt w:val="decimal"/>
      <w:start w:val="1"/>
    </w:lvl>
    <w:lvl w:ilvl="1">
      <w:lvlJc w:val="left"/>
      <w:lvlText w:val="%2."/>
      <w:numFmt w:val="decimal"/>
      <w:start w:val="127"/>
    </w:lvl>
  </w:abstractNum>
  <w:abstractNum w:abstractNumId="77">
    <w:nsid w:val="CC1016F"/>
    <w:multiLevelType w:val="hybridMultilevel"/>
    <w:lvl w:ilvl="0">
      <w:lvlJc w:val="left"/>
      <w:lvlText w:val="%1."/>
      <w:numFmt w:val="decimal"/>
      <w:start w:val="128"/>
    </w:lvl>
    <w:lvl w:ilvl="1">
      <w:lvlJc w:val="left"/>
      <w:lvlText w:val="%2"/>
      <w:numFmt w:val="decimal"/>
      <w:start w:val="1"/>
    </w:lvl>
  </w:abstractNum>
  <w:abstractNum w:abstractNumId="78">
    <w:nsid w:val="43F18422"/>
    <w:multiLevelType w:val="hybridMultilevel"/>
    <w:lvl w:ilvl="0">
      <w:lvlJc w:val="left"/>
      <w:lvlText w:val="%1."/>
      <w:numFmt w:val="decimal"/>
      <w:start w:val="137"/>
    </w:lvl>
    <w:lvl w:ilvl="1">
      <w:lvlJc w:val="left"/>
      <w:lvlText w:val="%2."/>
      <w:numFmt w:val="decimal"/>
      <w:start w:val="150"/>
    </w:lvl>
  </w:abstractNum>
  <w:abstractNum w:abstractNumId="79">
    <w:nsid w:val="60EF0119"/>
    <w:multiLevelType w:val="hybridMultilevel"/>
    <w:lvl w:ilvl="0">
      <w:lvlJc w:val="left"/>
      <w:lvlText w:val="%1."/>
      <w:numFmt w:val="decimal"/>
      <w:start w:val="151"/>
    </w:lvl>
    <w:lvl w:ilvl="1">
      <w:lvlJc w:val="left"/>
      <w:lvlText w:val="%2"/>
      <w:numFmt w:val="decimal"/>
      <w:start w:val="1"/>
    </w:lvl>
  </w:abstractNum>
  <w:abstractNum w:abstractNumId="80">
    <w:nsid w:val="26F324BA"/>
    <w:multiLevelType w:val="hybridMultilevel"/>
    <w:lvl w:ilvl="0">
      <w:lvlJc w:val="left"/>
      <w:lvlText w:val="%1."/>
      <w:numFmt w:val="decimal"/>
      <w:start w:val="152"/>
    </w:lvl>
  </w:abstractNum>
  <w:abstractNum w:abstractNumId="81">
    <w:nsid w:val="7F01579B"/>
    <w:multiLevelType w:val="hybridMultilevel"/>
    <w:lvl w:ilvl="0">
      <w:lvlJc w:val="left"/>
      <w:lvlText w:val="%1."/>
      <w:numFmt w:val="decimal"/>
      <w:start w:val="155"/>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1."/>
      <w:numFmt w:val="upperLetter"/>
      <w:start w:val="35"/>
    </w:lvl>
  </w:abstractNum>
  <w:abstractNum w:abstractNumId="84">
    <w:nsid w:val="5FB8370B"/>
    <w:multiLevelType w:val="hybridMultilevel"/>
    <w:lvl w:ilvl="0">
      <w:lvlJc w:val="left"/>
      <w:lvlText w:val="%1"/>
      <w:numFmt w:val="decimal"/>
      <w:start w:val="1"/>
    </w:lvl>
    <w:lvl w:ilvl="1">
      <w:lvlJc w:val="left"/>
      <w:lvlText w:val="%2."/>
      <w:numFmt w:val="decimal"/>
      <w:start w:val="14"/>
    </w:lvl>
  </w:abstractNum>
  <w:abstractNum w:abstractNumId="85">
    <w:nsid w:val="50801EE1"/>
    <w:multiLevelType w:val="hybridMultilevel"/>
    <w:lvl w:ilvl="0">
      <w:lvlJc w:val="left"/>
      <w:lvlText w:val="%1."/>
      <w:numFmt w:val="decimal"/>
      <w:start w:val="15"/>
    </w:lvl>
    <w:lvl w:ilvl="1">
      <w:lvlJc w:val="left"/>
      <w:lvlText w:val="%2"/>
      <w:numFmt w:val="decimal"/>
      <w:start w:val="1"/>
    </w:lvl>
  </w:abstractNum>
  <w:abstractNum w:abstractNumId="86">
    <w:nsid w:val="488AC1A"/>
    <w:multiLevelType w:val="hybridMultilevel"/>
    <w:lvl w:ilvl="0">
      <w:lvlJc w:val="left"/>
      <w:lvlText w:val="(%1)"/>
      <w:numFmt w:val="lowerLetter"/>
      <w:start w:val="1"/>
    </w:lvl>
  </w:abstractNum>
  <w:abstractNum w:abstractNumId="87">
    <w:nsid w:val="5FB8011C"/>
    <w:multiLevelType w:val="hybridMultilevel"/>
    <w:lvl w:ilvl="0">
      <w:lvlJc w:val="left"/>
      <w:lvlText w:val="(%1)"/>
      <w:numFmt w:val="lowerLetter"/>
      <w:start w:val="1"/>
    </w:lvl>
  </w:abstractNum>
  <w:abstractNum w:abstractNumId="88">
    <w:nsid w:val="6AA78F7F"/>
    <w:multiLevelType w:val="hybridMultilevel"/>
    <w:lvl w:ilvl="0">
      <w:lvlJc w:val="left"/>
      <w:lvlText w:val="(%1)"/>
      <w:numFmt w:val="lowerLetter"/>
      <w:start w:val="3"/>
    </w:lvl>
  </w:abstractNum>
  <w:abstractNum w:abstractNumId="89">
    <w:nsid w:val="7672BD23"/>
    <w:multiLevelType w:val="hybridMultilevel"/>
    <w:lvl w:ilvl="0">
      <w:lvlJc w:val="left"/>
      <w:lvlText w:val="%1"/>
      <w:numFmt w:val="decimal"/>
      <w:start w:val="1"/>
    </w:lvl>
    <w:lvl w:ilvl="1">
      <w:lvlJc w:val="left"/>
      <w:lvlText w:val="%2."/>
      <w:numFmt w:val="decimal"/>
      <w:start w:val="1"/>
    </w:lvl>
  </w:abstractNum>
  <w:abstractNum w:abstractNumId="90">
    <w:nsid w:val="6FC75AF8"/>
    <w:multiLevelType w:val="hybridMultilevel"/>
    <w:lvl w:ilvl="0">
      <w:lvlJc w:val="left"/>
      <w:lvlText w:val="%1."/>
      <w:numFmt w:val="decimal"/>
      <w:start w:val="2"/>
    </w:lvl>
    <w:lvl w:ilvl="1">
      <w:lvlJc w:val="left"/>
      <w:lvlText w:val="%2"/>
      <w:numFmt w:val="decimal"/>
      <w:start w:val="1"/>
    </w:lvl>
  </w:abstractNum>
  <w:abstractNum w:abstractNumId="91">
    <w:nsid w:val="6A5F7029"/>
    <w:multiLevelType w:val="hybridMultilevel"/>
    <w:lvl w:ilvl="0">
      <w:lvlJc w:val="left"/>
      <w:lvlText w:val="%1."/>
      <w:numFmt w:val="decimal"/>
      <w:start w:val="3"/>
    </w:lvl>
    <w:lvl w:ilvl="1">
      <w:lvlJc w:val="left"/>
      <w:lvlText w:val="%2"/>
      <w:numFmt w:val="lowerLetter"/>
      <w:start w:val="1"/>
    </w:lvl>
  </w:abstractNum>
  <w:abstractNum w:abstractNumId="92">
    <w:nsid w:val="7D5E18F8"/>
    <w:multiLevelType w:val="hybridMultilevel"/>
    <w:lvl w:ilvl="0">
      <w:lvlJc w:val="left"/>
      <w:lvlText w:val="%1."/>
      <w:numFmt w:val="decimal"/>
      <w:start w:val="4"/>
    </w:lvl>
    <w:lvl w:ilvl="1">
      <w:lvlJc w:val="left"/>
      <w:lvlText w:val="%2."/>
      <w:numFmt w:val="lowerLetter"/>
      <w:start w:val="1"/>
    </w:lvl>
  </w:abstractNum>
  <w:abstractNum w:abstractNumId="93">
    <w:nsid w:val="5F3534A4"/>
    <w:multiLevelType w:val="hybridMultilevel"/>
    <w:lvl w:ilvl="0">
      <w:lvlJc w:val="left"/>
      <w:lvlText w:val="%1"/>
      <w:numFmt w:val="lowerLetter"/>
      <w:start w:val="1"/>
    </w:lvl>
    <w:lvl w:ilvl="1">
      <w:lvlJc w:val="left"/>
      <w:lvlText w:val="(%2)"/>
      <w:numFmt w:val="lowerRoman"/>
      <w:start w:val="1"/>
    </w:lvl>
  </w:abstractNum>
  <w:abstractNum w:abstractNumId="94">
    <w:nsid w:val="73A1821B"/>
    <w:multiLevelType w:val="hybridMultilevel"/>
    <w:lvl w:ilvl="0">
      <w:lvlJc w:val="left"/>
      <w:lvlText w:val="%1."/>
      <w:numFmt w:val="lowerLetter"/>
      <w:start w:val="13"/>
    </w:lvl>
    <w:lvl w:ilvl="1">
      <w:lvlJc w:val="left"/>
      <w:lvlText w:val="%2"/>
      <w:numFmt w:val="lowerRoman"/>
      <w:start w:val="1"/>
    </w:lvl>
  </w:abstractNum>
  <w:abstractNum w:abstractNumId="95">
    <w:nsid w:val="7DE67713"/>
    <w:multiLevelType w:val="hybridMultilevel"/>
    <w:lvl w:ilvl="0">
      <w:lvlJc w:val="left"/>
      <w:lvlText w:val="%1."/>
      <w:numFmt w:val="lowerRoman"/>
      <w:start w:val="2"/>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1."/>
      <w:numFmt w:val="decimal"/>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1"/>
    </w:lvl>
    <w:lvl w:ilvl="1">
      <w:lvlJc w:val="left"/>
      <w:lvlText w:val="%2."/>
      <w:numFmt w:val="lowerLetter"/>
      <w:start w:val="1"/>
    </w:lvl>
  </w:abstractNum>
  <w:abstractNum w:abstractNumId="100">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1">
    <w:nsid w:val="9DAF632"/>
    <w:multiLevelType w:val="hybridMultilevel"/>
    <w:lvl w:ilvl="0">
      <w:lvlJc w:val="left"/>
      <w:lvlText w:val="%1."/>
      <w:numFmt w:val="decimal"/>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decimal"/>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5"/>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29" Type="http://schemas.openxmlformats.org/officeDocument/2006/relationships/hyperlink" Target="http://www.sec.gov/Archives/edgar/data/1595974/000159597414000004/rubi20140331exhibit31.htm" TargetMode="External"/><Relationship Id="rId30" Type="http://schemas.openxmlformats.org/officeDocument/2006/relationships/hyperlink" Target="http://www.sec.gov/Archives/edgar/data/1595974/000162828016014095/ex31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2019-12-28T18:32:56Z</dcterms:created>
  <dcterms:modified xsi:type="dcterms:W3CDTF">2019-12-28T18:32:56Z</dcterms:modified>
</cp:coreProperties>
</file>