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33"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(Mark One)</w:t>
      </w:r>
    </w:p>
    <w:p>
      <w:pPr>
        <w:spacing w:after="0" w:line="226" w:lineRule="exact"/>
        <w:rPr>
          <w:sz w:val="24"/>
          <w:szCs w:val="24"/>
          <w:color w:val="auto"/>
        </w:rPr>
      </w:pPr>
    </w:p>
    <w:p>
      <w:pPr>
        <w:ind w:left="1360" w:hanging="195"/>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6" w:lineRule="exact"/>
        <w:rPr>
          <w:sz w:val="24"/>
          <w:szCs w:val="24"/>
          <w:color w:val="auto"/>
        </w:rPr>
      </w:pPr>
    </w:p>
    <w:p>
      <w:pPr>
        <w:jc w:val="center"/>
        <w:ind w:left="3260" w:right="1120" w:hanging="2123"/>
        <w:spacing w:after="0" w:line="274" w:lineRule="auto"/>
        <w:tabs>
          <w:tab w:leader="none" w:pos="1343"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 to 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001-36384</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MAGNITE,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0"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__________________</w:t>
      </w:r>
    </w:p>
    <w:p>
      <w:pPr>
        <w:sectPr>
          <w:pgSz w:w="11900" w:h="16838" w:orient="portrait"/>
          <w:cols w:equalWidth="0" w:num="1">
            <w:col w:w="11240"/>
          </w:cols>
          <w:pgMar w:left="320" w:top="231" w:right="339" w:bottom="1440" w:gutter="0" w:footer="0" w:header="0"/>
        </w:sectPr>
      </w:pPr>
    </w:p>
    <w:p>
      <w:pPr>
        <w:spacing w:after="0" w:line="122" w:lineRule="exact"/>
        <w:rPr>
          <w:sz w:val="24"/>
          <w:szCs w:val="24"/>
          <w:color w:val="auto"/>
        </w:rPr>
      </w:pPr>
    </w:p>
    <w:p>
      <w:pPr>
        <w:ind w:left="18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20-8881738</w:t>
      </w:r>
    </w:p>
    <w:p>
      <w:pPr>
        <w:spacing w:after="0" w:line="52" w:lineRule="exact"/>
        <w:rPr>
          <w:sz w:val="24"/>
          <w:szCs w:val="24"/>
          <w:color w:val="auto"/>
        </w:rPr>
      </w:pPr>
    </w:p>
    <w:p>
      <w:pPr>
        <w:sectPr>
          <w:pgSz w:w="11900" w:h="16838" w:orient="portrait"/>
          <w:cols w:equalWidth="0" w:num="2">
            <w:col w:w="7880" w:space="720"/>
            <w:col w:w="2640"/>
          </w:cols>
          <w:pgMar w:left="320" w:top="231" w:right="339" w:bottom="1440" w:gutter="0" w:footer="0" w:header="0"/>
          <w:type w:val="continuous"/>
        </w:sectPr>
      </w:pPr>
    </w:p>
    <w:p>
      <w:pPr>
        <w:jc w:val="center"/>
        <w:ind w:right="2600"/>
        <w:spacing w:after="0"/>
        <w:rPr>
          <w:sz w:val="20"/>
          <w:szCs w:val="20"/>
          <w:color w:val="auto"/>
        </w:rPr>
      </w:pPr>
      <w:r>
        <w:rPr>
          <w:rFonts w:ascii="Arial" w:cs="Arial" w:eastAsia="Arial" w:hAnsi="Arial"/>
          <w:sz w:val="16"/>
          <w:szCs w:val="16"/>
          <w:color w:val="auto"/>
        </w:rPr>
        <w:t>(State or other jurisdiction of incorporation or</w:t>
      </w:r>
    </w:p>
    <w:p>
      <w:pPr>
        <w:jc w:val="center"/>
        <w:ind w:right="2600"/>
        <w:spacing w:after="0"/>
        <w:rPr>
          <w:sz w:val="20"/>
          <w:szCs w:val="20"/>
          <w:color w:val="auto"/>
        </w:rPr>
      </w:pPr>
      <w:r>
        <w:rPr>
          <w:rFonts w:ascii="Arial" w:cs="Arial" w:eastAsia="Arial" w:hAnsi="Arial"/>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88" w:lineRule="exact"/>
        <w:rPr>
          <w:sz w:val="24"/>
          <w:szCs w:val="24"/>
          <w:color w:val="auto"/>
        </w:rPr>
      </w:pPr>
    </w:p>
    <w:p>
      <w:pPr>
        <w:sectPr>
          <w:pgSz w:w="11900" w:h="16838" w:orient="portrait"/>
          <w:cols w:equalWidth="0" w:num="2">
            <w:col w:w="7040" w:space="720"/>
            <w:col w:w="3480"/>
          </w:cols>
          <w:pgMar w:left="320" w:top="231" w:right="339" w:bottom="1440" w:gutter="0" w:footer="0" w:header="0"/>
          <w:type w:val="continuous"/>
        </w:sectPr>
      </w:pPr>
    </w:p>
    <w:p>
      <w:pPr>
        <w:jc w:val="center"/>
        <w:ind w:left="620"/>
        <w:spacing w:after="0"/>
        <w:rPr>
          <w:sz w:val="20"/>
          <w:szCs w:val="20"/>
          <w:color w:val="auto"/>
        </w:rPr>
      </w:pPr>
      <w:r>
        <w:rPr>
          <w:rFonts w:ascii="Arial" w:cs="Arial" w:eastAsia="Arial" w:hAnsi="Arial"/>
          <w:sz w:val="16"/>
          <w:szCs w:val="16"/>
          <w:b w:val="1"/>
          <w:bCs w:val="1"/>
          <w:color w:val="auto"/>
        </w:rPr>
        <w:t>6080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Los Angeles,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7"/>
          <w:szCs w:val="17"/>
          <w:b w:val="1"/>
          <w:bCs w:val="1"/>
          <w:color w:val="auto"/>
        </w:rPr>
        <w:t>CA</w:t>
      </w:r>
    </w:p>
    <w:p>
      <w:pPr>
        <w:spacing w:after="0" w:line="30" w:lineRule="exact"/>
        <w:rPr>
          <w:sz w:val="24"/>
          <w:szCs w:val="24"/>
          <w:color w:val="auto"/>
        </w:rPr>
      </w:pPr>
    </w:p>
    <w:p>
      <w:pPr>
        <w:sectPr>
          <w:pgSz w:w="11900" w:h="16838" w:orient="portrait"/>
          <w:cols w:equalWidth="0" w:num="4">
            <w:col w:w="3820" w:space="720"/>
            <w:col w:w="680" w:space="660"/>
            <w:col w:w="2280" w:space="720"/>
            <w:col w:w="2360"/>
          </w:cols>
          <w:pgMar w:left="320" w:top="231" w:right="339" w:bottom="1440" w:gutter="0" w:footer="0" w:header="0"/>
          <w:type w:val="continuous"/>
        </w:sectPr>
      </w:pPr>
    </w:p>
    <w:p>
      <w:pPr>
        <w:jc w:val="center"/>
        <w:ind w:right="40"/>
        <w:spacing w:after="0"/>
        <w:rPr>
          <w:sz w:val="20"/>
          <w:szCs w:val="20"/>
          <w:color w:val="auto"/>
        </w:rPr>
      </w:pPr>
      <w:r>
        <w:rPr>
          <w:rFonts w:ascii="Arial" w:cs="Arial" w:eastAsia="Arial" w:hAnsi="Arial"/>
          <w:sz w:val="15"/>
          <w:szCs w:val="15"/>
          <w:b w:val="1"/>
          <w:bCs w:val="1"/>
          <w:color w:val="auto"/>
        </w:rPr>
        <w:t>90045</w:t>
      </w:r>
    </w:p>
    <w:p>
      <w:pPr>
        <w:sectPr>
          <w:pgSz w:w="11900" w:h="16838" w:orient="portrait"/>
          <w:cols w:equalWidth="0" w:num="1">
            <w:col w:w="11240"/>
          </w:cols>
          <w:pgMar w:left="320" w:top="231" w:right="3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 w:lineRule="exact"/>
        <w:rPr>
          <w:sz w:val="24"/>
          <w:szCs w:val="24"/>
          <w:color w:val="auto"/>
        </w:rPr>
      </w:pPr>
    </w:p>
    <w:p>
      <w:pPr>
        <w:ind w:left="5620" w:hanging="406"/>
        <w:spacing w:after="0"/>
        <w:tabs>
          <w:tab w:leader="none" w:pos="5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207-0272</w:t>
      </w:r>
    </w:p>
    <w:p>
      <w:pPr>
        <w:spacing w:after="0" w:line="96" w:lineRule="exact"/>
        <w:rPr>
          <w:rFonts w:ascii="Arial" w:cs="Arial" w:eastAsia="Arial" w:hAnsi="Arial"/>
          <w:sz w:val="17"/>
          <w:szCs w:val="17"/>
          <w:b w:val="1"/>
          <w:bCs w:val="1"/>
          <w:color w:val="auto"/>
        </w:rPr>
      </w:pPr>
    </w:p>
    <w:p>
      <w:pPr>
        <w:ind w:left="50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______________</w:t>
      </w: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231" w:right="339" w:bottom="1440" w:gutter="0" w:footer="0" w:header="0"/>
          <w:type w:val="continuous"/>
        </w:sectPr>
      </w:pPr>
    </w:p>
    <w:p>
      <w:pPr>
        <w:spacing w:after="0" w:line="128"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Name of each exchange on which registered</w:t>
      </w:r>
    </w:p>
    <w:p>
      <w:pPr>
        <w:spacing w:after="0" w:line="47" w:lineRule="exact"/>
        <w:rPr>
          <w:sz w:val="24"/>
          <w:szCs w:val="24"/>
          <w:color w:val="auto"/>
        </w:rPr>
      </w:pPr>
    </w:p>
    <w:p>
      <w:pPr>
        <w:sectPr>
          <w:pgSz w:w="11900" w:h="16838" w:orient="portrait"/>
          <w:cols w:equalWidth="0" w:num="3">
            <w:col w:w="3760" w:space="720"/>
            <w:col w:w="1980" w:space="720"/>
            <w:col w:w="4060"/>
          </w:cols>
          <w:pgMar w:left="320" w:top="231" w:right="339" w:bottom="1440" w:gutter="0" w:footer="0" w:header="0"/>
          <w:type w:val="continuous"/>
        </w:sectPr>
      </w:pPr>
    </w:p>
    <w:p>
      <w:pPr>
        <w:ind w:left="400"/>
        <w:spacing w:after="0"/>
        <w:rPr>
          <w:sz w:val="20"/>
          <w:szCs w:val="20"/>
          <w:color w:val="auto"/>
        </w:rPr>
      </w:pPr>
      <w:r>
        <w:rPr>
          <w:rFonts w:ascii="Arial" w:cs="Arial" w:eastAsia="Arial" w:hAnsi="Arial"/>
          <w:sz w:val="15"/>
          <w:szCs w:val="15"/>
          <w:b w:val="1"/>
          <w:bCs w:val="1"/>
          <w:color w:val="auto"/>
        </w:rPr>
        <w:t>Common stock, par value $0.00001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MGNI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Nasdaq Global Select Market</w:t>
      </w:r>
    </w:p>
    <w:p>
      <w:pPr>
        <w:spacing w:after="0" w:line="222" w:lineRule="exact"/>
        <w:rPr>
          <w:sz w:val="24"/>
          <w:szCs w:val="24"/>
          <w:color w:val="auto"/>
        </w:rPr>
      </w:pPr>
    </w:p>
    <w:p>
      <w:pPr>
        <w:sectPr>
          <w:pgSz w:w="11900" w:h="16838" w:orient="portrait"/>
          <w:cols w:equalWidth="0" w:num="3">
            <w:col w:w="4180" w:space="720"/>
            <w:col w:w="2000" w:space="720"/>
            <w:col w:w="3620"/>
          </w:cols>
          <w:pgMar w:left="320" w:top="231" w:right="339" w:bottom="1440" w:gutter="0" w:footer="0" w:header="0"/>
          <w:type w:val="continuous"/>
        </w:sectPr>
      </w:pPr>
    </w:p>
    <w:p>
      <w:pPr>
        <w:spacing w:after="0" w:line="19"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2" w:lineRule="exact"/>
        <w:rPr>
          <w:sz w:val="24"/>
          <w:szCs w:val="24"/>
          <w:color w:val="auto"/>
        </w:rPr>
      </w:pPr>
    </w:p>
    <w:p>
      <w:pPr>
        <w:jc w:val="both"/>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0" w:lineRule="exact"/>
        <w:rPr>
          <w:sz w:val="24"/>
          <w:szCs w:val="24"/>
          <w:color w:val="auto"/>
        </w:rPr>
      </w:pPr>
    </w:p>
    <w:p>
      <w:pPr>
        <w:jc w:val="both"/>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18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ind w:left="80"/>
              <w:spacing w:after="0"/>
              <w:rPr>
                <w:sz w:val="20"/>
                <w:szCs w:val="20"/>
                <w:color w:val="auto"/>
              </w:rPr>
            </w:pPr>
            <w:r>
              <w:rPr>
                <w:rFonts w:ascii="Arial" w:cs="Arial" w:eastAsia="Arial" w:hAnsi="Arial"/>
                <w:sz w:val="17"/>
                <w:szCs w:val="17"/>
                <w:color w:val="auto"/>
              </w:rPr>
              <w:t>Accelerated filer</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0"/>
        </w:trPr>
        <w:tc>
          <w:tcPr>
            <w:tcW w:w="342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18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ind w:left="80"/>
              <w:spacing w:after="0"/>
              <w:rPr>
                <w:sz w:val="20"/>
                <w:szCs w:val="20"/>
                <w:color w:val="auto"/>
              </w:rPr>
            </w:pPr>
            <w:r>
              <w:rPr>
                <w:rFonts w:ascii="Arial" w:cs="Arial" w:eastAsia="Arial" w:hAnsi="Arial"/>
                <w:sz w:val="17"/>
                <w:szCs w:val="17"/>
                <w:color w:val="auto"/>
              </w:rPr>
              <w:t>Smaller reporting company</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0"/>
        </w:trPr>
        <w:tc>
          <w:tcPr>
            <w:tcW w:w="3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3" w:lineRule="exact"/>
        <w:rPr>
          <w:sz w:val="24"/>
          <w:szCs w:val="24"/>
          <w:color w:val="auto"/>
        </w:rPr>
      </w:pPr>
    </w:p>
    <w:p>
      <w:pPr>
        <w:ind w:right="44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right="2560"/>
        <w:spacing w:after="0" w:line="26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Indicate the number of shares outstanding of each of the registrant's classes of common stock, as of the latest practicable date.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500" w:type="dxa"/>
            <w:vAlign w:val="bottom"/>
          </w:tcPr>
          <w:p>
            <w:pPr>
              <w:spacing w:after="0"/>
              <w:rPr>
                <w:sz w:val="17"/>
                <w:szCs w:val="17"/>
                <w:color w:val="auto"/>
              </w:rPr>
            </w:pPr>
          </w:p>
        </w:tc>
        <w:tc>
          <w:tcPr>
            <w:tcW w:w="4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Class</w:t>
            </w:r>
          </w:p>
        </w:tc>
        <w:tc>
          <w:tcPr>
            <w:tcW w:w="5580" w:type="dxa"/>
            <w:vAlign w:val="bottom"/>
            <w:gridSpan w:val="2"/>
          </w:tcPr>
          <w:p>
            <w:pPr>
              <w:jc w:val="center"/>
              <w:ind w:right="1460"/>
              <w:spacing w:after="0"/>
              <w:rPr>
                <w:sz w:val="20"/>
                <w:szCs w:val="20"/>
                <w:color w:val="auto"/>
              </w:rPr>
            </w:pPr>
            <w:r>
              <w:rPr>
                <w:rFonts w:ascii="Arial" w:cs="Arial" w:eastAsia="Arial" w:hAnsi="Arial"/>
                <w:sz w:val="16"/>
                <w:szCs w:val="16"/>
                <w:b w:val="1"/>
                <w:bCs w:val="1"/>
                <w:color w:val="auto"/>
                <w:w w:val="86"/>
              </w:rPr>
              <w:t>Outstanding as of July 26, 2021</w:t>
            </w:r>
          </w:p>
        </w:tc>
      </w:tr>
      <w:tr>
        <w:trPr>
          <w:trHeight w:val="221"/>
        </w:trPr>
        <w:tc>
          <w:tcPr>
            <w:tcW w:w="1500" w:type="dxa"/>
            <w:vAlign w:val="bottom"/>
          </w:tcPr>
          <w:p>
            <w:pPr>
              <w:spacing w:after="0"/>
              <w:rPr>
                <w:sz w:val="19"/>
                <w:szCs w:val="19"/>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Common Stock, $0.00001 par value</w:t>
            </w:r>
          </w:p>
        </w:tc>
        <w:tc>
          <w:tcPr>
            <w:tcW w:w="100" w:type="dxa"/>
            <w:vAlign w:val="bottom"/>
          </w:tcPr>
          <w:p>
            <w:pPr>
              <w:spacing w:after="0"/>
              <w:rPr>
                <w:sz w:val="19"/>
                <w:szCs w:val="19"/>
                <w:color w:val="auto"/>
              </w:rPr>
            </w:pPr>
          </w:p>
        </w:tc>
        <w:tc>
          <w:tcPr>
            <w:tcW w:w="4100" w:type="dxa"/>
            <w:vAlign w:val="bottom"/>
            <w:tcBorders>
              <w:top w:val="single" w:sz="8" w:color="auto"/>
            </w:tcBorders>
          </w:tcPr>
          <w:p>
            <w:pPr>
              <w:jc w:val="right"/>
              <w:ind w:right="1538"/>
              <w:spacing w:after="0"/>
              <w:rPr>
                <w:sz w:val="20"/>
                <w:szCs w:val="20"/>
                <w:color w:val="auto"/>
              </w:rPr>
            </w:pPr>
            <w:r>
              <w:rPr>
                <w:rFonts w:ascii="Arial" w:cs="Arial" w:eastAsia="Arial" w:hAnsi="Arial"/>
                <w:sz w:val="17"/>
                <w:szCs w:val="17"/>
                <w:b w:val="1"/>
                <w:bCs w:val="1"/>
                <w:color w:val="auto"/>
              </w:rPr>
              <w:t>131,250,746</w:t>
            </w:r>
          </w:p>
        </w:tc>
        <w:tc>
          <w:tcPr>
            <w:tcW w:w="1480" w:type="dxa"/>
            <w:vAlign w:val="bottom"/>
          </w:tcPr>
          <w:p>
            <w:pPr>
              <w:spacing w:after="0"/>
              <w:rPr>
                <w:sz w:val="19"/>
                <w:szCs w:val="19"/>
                <w:color w:val="auto"/>
              </w:rPr>
            </w:pPr>
          </w:p>
        </w:tc>
      </w:tr>
      <w:tr>
        <w:trPr>
          <w:trHeight w:val="815"/>
        </w:trPr>
        <w:tc>
          <w:tcPr>
            <w:tcW w:w="15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21"/>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5"/>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gridSpan w:val="12"/>
          </w:tcPr>
          <w:p>
            <w:pPr>
              <w:jc w:val="center"/>
              <w:ind w:right="3980"/>
              <w:spacing w:after="0"/>
              <w:rPr>
                <w:sz w:val="20"/>
                <w:szCs w:val="20"/>
                <w:color w:val="auto"/>
              </w:rPr>
            </w:pPr>
            <w:r>
              <w:rPr>
                <w:rFonts w:ascii="Arial" w:cs="Arial" w:eastAsia="Arial" w:hAnsi="Arial"/>
                <w:sz w:val="17"/>
                <w:szCs w:val="17"/>
                <w:b w:val="1"/>
                <w:bCs w:val="1"/>
                <w:color w:val="auto"/>
              </w:rPr>
              <w:t>MAGNITE, INC.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13"/>
          </w:tcPr>
          <w:p>
            <w:pPr>
              <w:jc w:val="center"/>
              <w:ind w:right="2320"/>
              <w:spacing w:after="0"/>
              <w:rPr>
                <w:sz w:val="20"/>
                <w:szCs w:val="20"/>
                <w:color w:val="auto"/>
              </w:rPr>
            </w:pPr>
            <w:r>
              <w:rPr>
                <w:rFonts w:ascii="Arial" w:cs="Arial" w:eastAsia="Arial" w:hAnsi="Arial"/>
                <w:sz w:val="17"/>
                <w:szCs w:val="17"/>
                <w:b w:val="1"/>
                <w:bCs w:val="1"/>
                <w:color w:val="auto"/>
              </w:rPr>
              <w:t>QUARTERLY REPORT ON FORM 10-Q</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13"/>
          </w:tcPr>
          <w:p>
            <w:pPr>
              <w:jc w:val="center"/>
              <w:ind w:right="2320"/>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7"/>
          </w:tcPr>
          <w:p>
            <w:pPr>
              <w:ind w:left="100"/>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174"/>
        </w:trPr>
        <w:tc>
          <w:tcPr>
            <w:tcW w:w="1120" w:type="dxa"/>
            <w:vAlign w:val="bottom"/>
          </w:tcPr>
          <w:p>
            <w:pPr>
              <w:ind w:left="120"/>
              <w:spacing w:after="0" w:line="174" w:lineRule="exact"/>
              <w:rPr>
                <w:sz w:val="20"/>
                <w:szCs w:val="20"/>
                <w:color w:val="auto"/>
              </w:rPr>
            </w:pPr>
            <w:r>
              <w:rPr>
                <w:rFonts w:ascii="Arial" w:cs="Arial" w:eastAsia="Arial" w:hAnsi="Arial"/>
                <w:sz w:val="17"/>
                <w:szCs w:val="17"/>
                <w:color w:val="auto"/>
              </w:rPr>
              <w:t>Part I.</w:t>
            </w:r>
          </w:p>
        </w:tc>
        <w:tc>
          <w:tcPr>
            <w:tcW w:w="2160" w:type="dxa"/>
            <w:vAlign w:val="bottom"/>
            <w:gridSpan w:val="7"/>
          </w:tcPr>
          <w:p>
            <w:pPr>
              <w:spacing w:after="0" w:line="174"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7000" w:type="dxa"/>
            <w:vAlign w:val="bottom"/>
            <w:gridSpan w:val="13"/>
          </w:tcPr>
          <w:p>
            <w:pPr>
              <w:spacing w:after="0"/>
              <w:rPr>
                <w:sz w:val="15"/>
                <w:szCs w:val="15"/>
                <w:color w:val="auto"/>
              </w:rPr>
            </w:pPr>
          </w:p>
        </w:tc>
        <w:tc>
          <w:tcPr>
            <w:tcW w:w="520" w:type="dxa"/>
            <w:vAlign w:val="bottom"/>
            <w:tcBorders>
              <w:top w:val="single" w:sz="8" w:color="auto"/>
            </w:tcBorders>
            <w:gridSpan w:val="5"/>
          </w:tcPr>
          <w:p>
            <w:pPr>
              <w:jc w:val="center"/>
              <w:ind w:left="274"/>
              <w:spacing w:after="0" w:line="174" w:lineRule="exact"/>
              <w:rPr>
                <w:rFonts w:ascii="Arial" w:cs="Arial" w:eastAsia="Arial" w:hAnsi="Arial"/>
                <w:sz w:val="17"/>
                <w:szCs w:val="17"/>
                <w:color w:val="0000FF"/>
                <w:w w:val="84"/>
              </w:rPr>
            </w:pPr>
            <w:hyperlink w:anchor="page2">
              <w:r>
                <w:rPr>
                  <w:rFonts w:ascii="Arial" w:cs="Arial" w:eastAsia="Arial" w:hAnsi="Arial"/>
                  <w:sz w:val="17"/>
                  <w:szCs w:val="17"/>
                  <w:color w:val="0000FF"/>
                  <w:w w:val="84"/>
                </w:rPr>
                <w:t>4</w:t>
              </w:r>
            </w:hyperlink>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w:t>
            </w:r>
          </w:p>
        </w:tc>
        <w:tc>
          <w:tcPr>
            <w:tcW w:w="4080" w:type="dxa"/>
            <w:vAlign w:val="bottom"/>
            <w:gridSpan w:val="9"/>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Condensed Consolidated Financial Statements (Unaudited)</w:t>
              </w:r>
            </w:hyperlink>
          </w:p>
        </w:tc>
        <w:tc>
          <w:tcPr>
            <w:tcW w:w="5080" w:type="dxa"/>
            <w:vAlign w:val="bottom"/>
            <w:gridSpan w:val="11"/>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4</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5880" w:type="dxa"/>
            <w:vAlign w:val="bottom"/>
            <w:gridSpan w:val="14"/>
          </w:tcPr>
          <w:p>
            <w:pPr>
              <w:spacing w:after="0"/>
              <w:rPr>
                <w:rFonts w:ascii="Arial" w:cs="Arial" w:eastAsia="Arial" w:hAnsi="Arial"/>
                <w:sz w:val="17"/>
                <w:szCs w:val="17"/>
                <w:color w:val="0000FF"/>
                <w:w w:val="89"/>
              </w:rPr>
            </w:pPr>
            <w:hyperlink w:anchor="page3">
              <w:r>
                <w:rPr>
                  <w:rFonts w:ascii="Arial" w:cs="Arial" w:eastAsia="Arial" w:hAnsi="Arial"/>
                  <w:sz w:val="17"/>
                  <w:szCs w:val="17"/>
                  <w:color w:val="0000FF"/>
                  <w:w w:val="89"/>
                </w:rPr>
                <w:t>Condensed Consolidated Balance Sheets as of June 30, 2021 and December 31, 2020</w:t>
              </w:r>
            </w:hyperlink>
          </w:p>
        </w:tc>
        <w:tc>
          <w:tcPr>
            <w:tcW w:w="3280" w:type="dxa"/>
            <w:vAlign w:val="bottom"/>
            <w:gridSpan w:val="6"/>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4</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8380" w:type="dxa"/>
            <w:vAlign w:val="bottom"/>
            <w:gridSpan w:val="17"/>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Condensed Consolidated Statements of Operations for the Three and Six Months Ended June 30, 2021 and June 30, 2020</w:t>
              </w:r>
            </w:hyperlink>
          </w:p>
        </w:tc>
        <w:tc>
          <w:tcPr>
            <w:tcW w:w="780" w:type="dxa"/>
            <w:vAlign w:val="bottom"/>
            <w:gridSpan w:val="3"/>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5</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tcPr>
          <w:p>
            <w:pPr>
              <w:spacing w:after="0"/>
              <w:rPr>
                <w:sz w:val="19"/>
                <w:szCs w:val="19"/>
                <w:color w:val="auto"/>
              </w:rPr>
            </w:pPr>
          </w:p>
        </w:tc>
        <w:tc>
          <w:tcPr>
            <w:tcW w:w="9160" w:type="dxa"/>
            <w:vAlign w:val="bottom"/>
            <w:gridSpan w:val="20"/>
          </w:tcPr>
          <w:p>
            <w:pPr>
              <w:spacing w:after="0"/>
              <w:rPr>
                <w:rFonts w:ascii="Arial" w:cs="Arial" w:eastAsia="Arial" w:hAnsi="Arial"/>
                <w:sz w:val="17"/>
                <w:szCs w:val="17"/>
                <w:color w:val="0000FF"/>
                <w:w w:val="91"/>
              </w:rPr>
            </w:pPr>
            <w:hyperlink w:anchor="page4">
              <w:r>
                <w:rPr>
                  <w:rFonts w:ascii="Arial" w:cs="Arial" w:eastAsia="Arial" w:hAnsi="Arial"/>
                  <w:sz w:val="17"/>
                  <w:szCs w:val="17"/>
                  <w:color w:val="0000FF"/>
                  <w:w w:val="91"/>
                </w:rPr>
                <w:t>Condensed Consolidated Statements of Comprehensive Income (Loss) for the Three and Six Months Ended June 30, 2021 and June</w:t>
              </w:r>
            </w:hyperlink>
          </w:p>
        </w:tc>
        <w:tc>
          <w:tcPr>
            <w:tcW w:w="520" w:type="dxa"/>
            <w:vAlign w:val="bottom"/>
            <w:gridSpan w:val="5"/>
            <w:vMerge w:val="restart"/>
          </w:tcPr>
          <w:p>
            <w:pPr>
              <w:jc w:val="center"/>
              <w:ind w:left="274"/>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6</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860" w:type="dxa"/>
            <w:vAlign w:val="bottom"/>
            <w:tcBorders>
              <w:top w:val="single" w:sz="8" w:color="0000FF"/>
            </w:tcBorders>
            <w:gridSpan w:val="3"/>
          </w:tcPr>
          <w:p>
            <w:pPr>
              <w:spacing w:after="0" w:line="129" w:lineRule="exact"/>
              <w:rPr>
                <w:rFonts w:ascii="Arial" w:cs="Arial" w:eastAsia="Arial" w:hAnsi="Arial"/>
                <w:sz w:val="14"/>
                <w:szCs w:val="14"/>
                <w:color w:val="0000FF"/>
              </w:rPr>
            </w:pPr>
            <w:hyperlink w:anchor="page4">
              <w:r>
                <w:rPr>
                  <w:rFonts w:ascii="Arial" w:cs="Arial" w:eastAsia="Arial" w:hAnsi="Arial"/>
                  <w:sz w:val="14"/>
                  <w:szCs w:val="14"/>
                  <w:color w:val="0000FF"/>
                </w:rPr>
                <w:t>30, 2020</w:t>
              </w:r>
            </w:hyperlink>
          </w:p>
        </w:tc>
        <w:tc>
          <w:tcPr>
            <w:tcW w:w="4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0"/>
          </w:tcPr>
          <w:p>
            <w:pPr>
              <w:spacing w:after="0"/>
              <w:rPr>
                <w:rFonts w:ascii="Arial" w:cs="Arial" w:eastAsia="Arial" w:hAnsi="Arial"/>
                <w:sz w:val="17"/>
                <w:szCs w:val="17"/>
                <w:color w:val="0000FF"/>
                <w:w w:val="91"/>
              </w:rPr>
            </w:pPr>
            <w:hyperlink w:anchor="page5">
              <w:r>
                <w:rPr>
                  <w:rFonts w:ascii="Arial" w:cs="Arial" w:eastAsia="Arial" w:hAnsi="Arial"/>
                  <w:sz w:val="17"/>
                  <w:szCs w:val="17"/>
                  <w:color w:val="0000FF"/>
                  <w:w w:val="91"/>
                </w:rPr>
                <w:t>Condensed Consolidated Statements of Stockholders' Equity for the Three and Six Months Ended June 30, 2021 and June 30, 2020</w:t>
              </w:r>
            </w:hyperlink>
          </w:p>
        </w:tc>
        <w:tc>
          <w:tcPr>
            <w:tcW w:w="520" w:type="dxa"/>
            <w:vAlign w:val="bottom"/>
            <w:gridSpan w:val="5"/>
          </w:tcPr>
          <w:p>
            <w:pPr>
              <w:jc w:val="center"/>
              <w:ind w:left="274"/>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7</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04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Cash Flows for the Six Months Ended June 30, 2021 and June 30, 2020</w:t>
              </w:r>
            </w:hyperlink>
          </w:p>
        </w:tc>
        <w:tc>
          <w:tcPr>
            <w:tcW w:w="120" w:type="dxa"/>
            <w:vAlign w:val="bottom"/>
            <w:gridSpan w:val="2"/>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9</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7680" w:type="dxa"/>
            <w:vAlign w:val="bottom"/>
            <w:gridSpan w:val="16"/>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1480" w:type="dxa"/>
            <w:vAlign w:val="bottom"/>
            <w:gridSpan w:val="4"/>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11</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28">
              <w:r>
                <w:rPr>
                  <w:rFonts w:ascii="Arial" w:cs="Arial" w:eastAsia="Arial" w:hAnsi="Arial"/>
                  <w:sz w:val="17"/>
                  <w:szCs w:val="17"/>
                  <w:color w:val="0000FF"/>
                  <w:w w:val="92"/>
                </w:rPr>
                <w:t>Management's Discussion and Analysis of Financial Condition and Results of Operations</w:t>
              </w:r>
            </w:hyperlink>
          </w:p>
        </w:tc>
        <w:tc>
          <w:tcPr>
            <w:tcW w:w="29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28">
              <w:r>
                <w:rPr>
                  <w:rFonts w:ascii="Arial" w:cs="Arial" w:eastAsia="Arial" w:hAnsi="Arial"/>
                  <w:sz w:val="17"/>
                  <w:szCs w:val="17"/>
                  <w:color w:val="0000FF"/>
                  <w:w w:val="94"/>
                </w:rPr>
                <w:t>30</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3.</w:t>
            </w:r>
          </w:p>
        </w:tc>
        <w:tc>
          <w:tcPr>
            <w:tcW w:w="9160" w:type="dxa"/>
            <w:vAlign w:val="bottom"/>
            <w:tcBorders>
              <w:bottom w:val="single" w:sz="8" w:color="0000FF"/>
            </w:tcBorders>
            <w:gridSpan w:val="20"/>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Quantitative and Qualitative Disclosures About Market Risk</w:t>
              </w:r>
            </w:hyperlink>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48">
              <w:r>
                <w:rPr>
                  <w:rFonts w:ascii="Arial" w:cs="Arial" w:eastAsia="Arial" w:hAnsi="Arial"/>
                  <w:sz w:val="17"/>
                  <w:szCs w:val="17"/>
                  <w:color w:val="0000FF"/>
                  <w:w w:val="94"/>
                </w:rPr>
                <w:t>49</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5"/>
          </w:tcPr>
          <w:p>
            <w:pPr>
              <w:spacing w:after="0"/>
              <w:rPr>
                <w:rFonts w:ascii="Arial" w:cs="Arial" w:eastAsia="Arial" w:hAnsi="Arial"/>
                <w:sz w:val="17"/>
                <w:szCs w:val="17"/>
                <w:color w:val="0000FF"/>
                <w:w w:val="89"/>
              </w:rPr>
            </w:pPr>
            <w:hyperlink w:anchor="page49">
              <w:r>
                <w:rPr>
                  <w:rFonts w:ascii="Arial" w:cs="Arial" w:eastAsia="Arial" w:hAnsi="Arial"/>
                  <w:sz w:val="17"/>
                  <w:szCs w:val="17"/>
                  <w:color w:val="0000FF"/>
                  <w:w w:val="89"/>
                </w:rPr>
                <w:t>Controls and Procedures</w:t>
              </w:r>
            </w:hyperlink>
          </w:p>
        </w:tc>
        <w:tc>
          <w:tcPr>
            <w:tcW w:w="7460" w:type="dxa"/>
            <w:vAlign w:val="bottom"/>
            <w:gridSpan w:val="15"/>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49">
              <w:r>
                <w:rPr>
                  <w:rFonts w:ascii="Arial" w:cs="Arial" w:eastAsia="Arial" w:hAnsi="Arial"/>
                  <w:sz w:val="17"/>
                  <w:szCs w:val="17"/>
                  <w:color w:val="0000FF"/>
                  <w:w w:val="94"/>
                </w:rPr>
                <w:t>50</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Part II.</w:t>
            </w:r>
          </w:p>
        </w:tc>
        <w:tc>
          <w:tcPr>
            <w:tcW w:w="9160" w:type="dxa"/>
            <w:vAlign w:val="bottom"/>
            <w:gridSpan w:val="2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OTHER INFORMATION</w:t>
              </w:r>
            </w:hyperlink>
          </w:p>
        </w:tc>
        <w:tc>
          <w:tcPr>
            <w:tcW w:w="520" w:type="dxa"/>
            <w:vAlign w:val="bottom"/>
            <w:gridSpan w:val="5"/>
          </w:tcPr>
          <w:p>
            <w:pPr>
              <w:jc w:val="center"/>
              <w:ind w:left="254"/>
              <w:spacing w:after="0"/>
              <w:rPr>
                <w:rFonts w:ascii="Arial" w:cs="Arial" w:eastAsia="Arial" w:hAnsi="Arial"/>
                <w:sz w:val="17"/>
                <w:szCs w:val="17"/>
                <w:color w:val="0000FF"/>
                <w:w w:val="94"/>
              </w:rPr>
            </w:pPr>
            <w:hyperlink w:anchor="page50">
              <w:r>
                <w:rPr>
                  <w:rFonts w:ascii="Arial" w:cs="Arial" w:eastAsia="Arial" w:hAnsi="Arial"/>
                  <w:sz w:val="17"/>
                  <w:szCs w:val="17"/>
                  <w:color w:val="0000FF"/>
                  <w:w w:val="94"/>
                </w:rPr>
                <w:t>51</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w:t>
            </w:r>
          </w:p>
        </w:tc>
        <w:tc>
          <w:tcPr>
            <w:tcW w:w="1280" w:type="dxa"/>
            <w:vAlign w:val="bottom"/>
            <w:tcBorders>
              <w:top w:val="single" w:sz="8" w:color="0000FF"/>
              <w:bottom w:val="single" w:sz="8" w:color="0000FF"/>
            </w:tcBorders>
            <w:gridSpan w:val="4"/>
          </w:tcPr>
          <w:p>
            <w:pPr>
              <w:spacing w:after="0"/>
              <w:rPr>
                <w:rFonts w:ascii="Arial" w:cs="Arial" w:eastAsia="Arial" w:hAnsi="Arial"/>
                <w:sz w:val="17"/>
                <w:szCs w:val="17"/>
                <w:color w:val="0000FF"/>
                <w:w w:val="89"/>
              </w:rPr>
            </w:pPr>
            <w:hyperlink w:anchor="page50">
              <w:r>
                <w:rPr>
                  <w:rFonts w:ascii="Arial" w:cs="Arial" w:eastAsia="Arial" w:hAnsi="Arial"/>
                  <w:sz w:val="17"/>
                  <w:szCs w:val="17"/>
                  <w:color w:val="0000FF"/>
                  <w:w w:val="89"/>
                </w:rPr>
                <w:t>Legal Proceedings</w:t>
              </w:r>
            </w:hyperlink>
          </w:p>
        </w:tc>
        <w:tc>
          <w:tcPr>
            <w:tcW w:w="520" w:type="dxa"/>
            <w:vAlign w:val="bottom"/>
            <w:tcBorders>
              <w:top w:val="single" w:sz="8" w:color="0000FF"/>
            </w:tcBorders>
            <w:gridSpan w:val="2"/>
          </w:tcPr>
          <w:p>
            <w:pPr>
              <w:spacing w:after="0"/>
              <w:rPr>
                <w:sz w:val="17"/>
                <w:szCs w:val="17"/>
                <w:color w:val="auto"/>
              </w:rPr>
            </w:pPr>
          </w:p>
        </w:tc>
        <w:tc>
          <w:tcPr>
            <w:tcW w:w="7360" w:type="dxa"/>
            <w:vAlign w:val="bottom"/>
            <w:gridSpan w:val="1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7"/>
                <w:szCs w:val="17"/>
                <w:color w:val="0000FF"/>
                <w:w w:val="94"/>
              </w:rPr>
            </w:pPr>
            <w:hyperlink w:anchor="page50">
              <w:r>
                <w:rPr>
                  <w:rFonts w:ascii="Arial" w:cs="Arial" w:eastAsia="Arial" w:hAnsi="Arial"/>
                  <w:sz w:val="17"/>
                  <w:szCs w:val="17"/>
                  <w:color w:val="0000FF"/>
                  <w:w w:val="94"/>
                </w:rPr>
                <w:t>51</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1A.</w:t>
            </w:r>
          </w:p>
        </w:tc>
        <w:tc>
          <w:tcPr>
            <w:tcW w:w="9160" w:type="dxa"/>
            <w:vAlign w:val="bottom"/>
            <w:gridSpan w:val="20"/>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Risk Factors</w:t>
              </w:r>
            </w:hyperlink>
          </w:p>
        </w:tc>
        <w:tc>
          <w:tcPr>
            <w:tcW w:w="520" w:type="dxa"/>
            <w:vAlign w:val="bottom"/>
            <w:gridSpan w:val="5"/>
          </w:tcPr>
          <w:p>
            <w:pPr>
              <w:jc w:val="center"/>
              <w:ind w:left="254"/>
              <w:spacing w:after="0"/>
              <w:rPr>
                <w:rFonts w:ascii="Arial" w:cs="Arial" w:eastAsia="Arial" w:hAnsi="Arial"/>
                <w:sz w:val="17"/>
                <w:szCs w:val="17"/>
                <w:color w:val="0000FF"/>
                <w:w w:val="94"/>
              </w:rPr>
            </w:pPr>
            <w:hyperlink w:anchor="page50">
              <w:r>
                <w:rPr>
                  <w:rFonts w:ascii="Arial" w:cs="Arial" w:eastAsia="Arial" w:hAnsi="Arial"/>
                  <w:sz w:val="17"/>
                  <w:szCs w:val="17"/>
                  <w:color w:val="0000FF"/>
                  <w:w w:val="94"/>
                </w:rPr>
                <w:t>51</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2.</w:t>
            </w:r>
          </w:p>
        </w:tc>
        <w:tc>
          <w:tcPr>
            <w:tcW w:w="9160" w:type="dxa"/>
            <w:vAlign w:val="bottom"/>
            <w:gridSpan w:val="20"/>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Unregistered Sales of Equity Securities and Use of Proceeds</w:t>
              </w:r>
            </w:hyperlink>
          </w:p>
        </w:tc>
        <w:tc>
          <w:tcPr>
            <w:tcW w:w="520" w:type="dxa"/>
            <w:vAlign w:val="bottom"/>
            <w:gridSpan w:val="5"/>
          </w:tcPr>
          <w:p>
            <w:pPr>
              <w:jc w:val="center"/>
              <w:ind w:left="254"/>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52</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6.</w:t>
            </w:r>
          </w:p>
        </w:tc>
        <w:tc>
          <w:tcPr>
            <w:tcW w:w="6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Exhibits</w:t>
              </w:r>
            </w:hyperlink>
          </w:p>
        </w:tc>
        <w:tc>
          <w:tcPr>
            <w:tcW w:w="3560" w:type="dxa"/>
            <w:vAlign w:val="bottom"/>
            <w:tcBorders>
              <w:top w:val="single" w:sz="8" w:color="0000FF"/>
            </w:tcBorders>
            <w:gridSpan w:val="8"/>
          </w:tcPr>
          <w:p>
            <w:pPr>
              <w:spacing w:after="0"/>
              <w:rPr>
                <w:sz w:val="17"/>
                <w:szCs w:val="17"/>
                <w:color w:val="auto"/>
              </w:rPr>
            </w:pPr>
          </w:p>
        </w:tc>
        <w:tc>
          <w:tcPr>
            <w:tcW w:w="500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53</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rFonts w:ascii="Arial" w:cs="Arial" w:eastAsia="Arial" w:hAnsi="Arial"/>
                <w:sz w:val="17"/>
                <w:szCs w:val="17"/>
                <w:color w:val="0000FF"/>
              </w:rPr>
            </w:pPr>
            <w:hyperlink w:anchor="page52">
              <w:r>
                <w:rPr>
                  <w:rFonts w:ascii="Arial" w:cs="Arial" w:eastAsia="Arial" w:hAnsi="Arial"/>
                  <w:sz w:val="17"/>
                  <w:szCs w:val="17"/>
                  <w:color w:val="0000FF"/>
                </w:rPr>
                <w:t>Signatures</w:t>
              </w:r>
            </w:hyperlink>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center"/>
              <w:ind w:left="254"/>
              <w:spacing w:after="0"/>
              <w:rPr>
                <w:rFonts w:ascii="Arial" w:cs="Arial" w:eastAsia="Arial" w:hAnsi="Arial"/>
                <w:sz w:val="17"/>
                <w:szCs w:val="17"/>
                <w:color w:val="0000FF"/>
                <w:w w:val="94"/>
              </w:rPr>
            </w:pPr>
            <w:hyperlink w:anchor="page52">
              <w:r>
                <w:rPr>
                  <w:rFonts w:ascii="Arial" w:cs="Arial" w:eastAsia="Arial" w:hAnsi="Arial"/>
                  <w:sz w:val="17"/>
                  <w:szCs w:val="17"/>
                  <w:color w:val="0000FF"/>
                  <w:w w:val="94"/>
                </w:rPr>
                <w:t>54</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4"/>
        </w:trPr>
        <w:tc>
          <w:tcPr>
            <w:tcW w:w="1120" w:type="dxa"/>
            <w:vAlign w:val="bottom"/>
          </w:tcPr>
          <w:p>
            <w:pPr>
              <w:spacing w:after="0"/>
              <w:rPr>
                <w:sz w:val="24"/>
                <w:szCs w:val="24"/>
                <w:color w:val="auto"/>
              </w:rPr>
            </w:pPr>
          </w:p>
        </w:tc>
        <w:tc>
          <w:tcPr>
            <w:tcW w:w="4880" w:type="dxa"/>
            <w:vAlign w:val="bottom"/>
            <w:gridSpan w:val="13"/>
          </w:tcPr>
          <w:p>
            <w:pPr>
              <w:jc w:val="center"/>
              <w:ind w:left="4035"/>
              <w:spacing w:after="0"/>
              <w:rPr>
                <w:sz w:val="20"/>
                <w:szCs w:val="20"/>
                <w:color w:val="auto"/>
              </w:rPr>
            </w:pPr>
            <w:r>
              <w:rPr>
                <w:rFonts w:ascii="Arial" w:cs="Arial" w:eastAsia="Arial" w:hAnsi="Arial"/>
                <w:sz w:val="17"/>
                <w:szCs w:val="17"/>
                <w:color w:val="auto"/>
                <w:w w:val="84"/>
              </w:rPr>
              <w:t>2</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0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192,970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117,676</w:t>
            </w: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780,502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471,666</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30,560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17,729</w:t>
            </w:r>
          </w:p>
        </w:tc>
        <w:tc>
          <w:tcPr>
            <w:tcW w:w="0" w:type="dxa"/>
            <w:vAlign w:val="bottom"/>
          </w:tcPr>
          <w:p>
            <w:pPr>
              <w:spacing w:after="0"/>
              <w:rPr>
                <w:sz w:val="1"/>
                <w:szCs w:val="1"/>
                <w:color w:val="auto"/>
              </w:rPr>
            </w:pPr>
          </w:p>
        </w:tc>
      </w:tr>
      <w:tr>
        <w:trPr>
          <w:trHeight w:val="239"/>
        </w:trPr>
        <w:tc>
          <w:tcPr>
            <w:tcW w:w="7760" w:type="dxa"/>
            <w:vAlign w:val="bottom"/>
          </w:tcPr>
          <w:p>
            <w:pPr>
              <w:ind w:left="44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1,004,032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607,071</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34,427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23,681</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Arial" w:cs="Arial" w:eastAsia="Arial" w:hAnsi="Arial"/>
                <w:sz w:val="17"/>
                <w:szCs w:val="17"/>
                <w:color w:val="auto"/>
              </w:rPr>
              <w:t>Right-of-use lease asset</w:t>
            </w:r>
          </w:p>
        </w:tc>
        <w:tc>
          <w:tcPr>
            <w:tcW w:w="26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48,935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39,599</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Arial" w:cs="Arial" w:eastAsia="Arial" w:hAnsi="Arial"/>
                <w:sz w:val="17"/>
                <w:szCs w:val="17"/>
                <w:color w:val="auto"/>
              </w:rPr>
              <w:t>Internal use software development costs, net</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17,403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16,160</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Arial" w:cs="Arial" w:eastAsia="Arial" w:hAnsi="Arial"/>
                <w:sz w:val="17"/>
                <w:szCs w:val="17"/>
                <w:color w:val="auto"/>
              </w:rPr>
              <w:t>Intangible assets, net</w:t>
            </w:r>
          </w:p>
        </w:tc>
        <w:tc>
          <w:tcPr>
            <w:tcW w:w="26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483,854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89,884</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assets, non-current</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6,893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4,440</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Goodwill</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945,731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158,125</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2,541,275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938,960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844,045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509,315</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Lease liabilities, current</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15,351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9,813</w:t>
            </w: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Arial" w:cs="Arial" w:eastAsia="Arial" w:hAnsi="Arial"/>
                <w:sz w:val="17"/>
                <w:szCs w:val="17"/>
                <w:color w:val="auto"/>
              </w:rPr>
              <w:t>Debt, current</w:t>
            </w:r>
          </w:p>
        </w:tc>
        <w:tc>
          <w:tcPr>
            <w:tcW w:w="26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10,682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3,070</w:t>
            </w:r>
          </w:p>
        </w:tc>
        <w:tc>
          <w:tcPr>
            <w:tcW w:w="0" w:type="dxa"/>
            <w:vAlign w:val="bottom"/>
          </w:tcPr>
          <w:p>
            <w:pPr>
              <w:spacing w:after="0"/>
              <w:rPr>
                <w:sz w:val="1"/>
                <w:szCs w:val="1"/>
                <w:color w:val="auto"/>
              </w:rPr>
            </w:pPr>
          </w:p>
        </w:tc>
      </w:tr>
      <w:tr>
        <w:trPr>
          <w:trHeight w:val="239"/>
        </w:trPr>
        <w:tc>
          <w:tcPr>
            <w:tcW w:w="776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873,678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522,198</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non-current, net of debt issuance costs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7760" w:type="dxa"/>
            <w:vAlign w:val="bottom"/>
          </w:tcPr>
          <w:p>
            <w:pPr>
              <w:ind w:left="20"/>
              <w:spacing w:after="0"/>
              <w:rPr>
                <w:sz w:val="20"/>
                <w:szCs w:val="20"/>
                <w:color w:val="auto"/>
              </w:rPr>
            </w:pPr>
            <w:r>
              <w:rPr>
                <w:rFonts w:ascii="Arial" w:cs="Arial" w:eastAsia="Arial" w:hAnsi="Arial"/>
                <w:sz w:val="17"/>
                <w:szCs w:val="17"/>
                <w:color w:val="auto"/>
              </w:rPr>
              <w:t>Deferred tax liability, net</w:t>
            </w:r>
          </w:p>
        </w:tc>
        <w:tc>
          <w:tcPr>
            <w:tcW w:w="260" w:type="dxa"/>
            <w:vAlign w:val="bottom"/>
          </w:tcPr>
          <w:p>
            <w:pPr>
              <w:spacing w:after="0"/>
              <w:rPr>
                <w:sz w:val="22"/>
                <w:szCs w:val="22"/>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18,743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 non-current</w:t>
            </w: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39,673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32,278</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 non-current</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2,854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2,672</w:t>
            </w:r>
          </w:p>
        </w:tc>
        <w:tc>
          <w:tcPr>
            <w:tcW w:w="0" w:type="dxa"/>
            <w:vAlign w:val="bottom"/>
          </w:tcPr>
          <w:p>
            <w:pPr>
              <w:spacing w:after="0"/>
              <w:rPr>
                <w:sz w:val="1"/>
                <w:szCs w:val="1"/>
                <w:color w:val="auto"/>
              </w:rPr>
            </w:pPr>
          </w:p>
        </w:tc>
      </w:tr>
      <w:tr>
        <w:trPr>
          <w:trHeight w:val="239"/>
        </w:trPr>
        <w:tc>
          <w:tcPr>
            <w:tcW w:w="77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1,653,589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557,347</w:t>
            </w: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Arial" w:cs="Arial" w:eastAsia="Arial" w:hAnsi="Arial"/>
                <w:sz w:val="17"/>
                <w:szCs w:val="17"/>
                <w:color w:val="auto"/>
              </w:rPr>
              <w:t>Commitments and contingencies (Note 12)</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60" w:type="dxa"/>
            <w:vAlign w:val="bottom"/>
          </w:tcPr>
          <w:p>
            <w:pPr>
              <w:ind w:left="60"/>
              <w:spacing w:after="0"/>
              <w:rPr>
                <w:sz w:val="20"/>
                <w:szCs w:val="20"/>
                <w:color w:val="auto"/>
              </w:rPr>
            </w:pPr>
            <w:r>
              <w:rPr>
                <w:rFonts w:ascii="Arial" w:cs="Arial" w:eastAsia="Arial" w:hAnsi="Arial"/>
                <w:sz w:val="17"/>
                <w:szCs w:val="17"/>
                <w:color w:val="auto"/>
                <w:w w:val="94"/>
              </w:rPr>
              <w:t>Preferred stock, $0.00001 par value, 10,000 shares authorized at June 30, 2021 and December 31, 2020; 0</w:t>
            </w: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60" w:type="dxa"/>
            <w:vAlign w:val="bottom"/>
          </w:tcPr>
          <w:p>
            <w:pPr>
              <w:ind w:left="220"/>
              <w:spacing w:after="0"/>
              <w:rPr>
                <w:sz w:val="20"/>
                <w:szCs w:val="20"/>
                <w:color w:val="auto"/>
              </w:rPr>
            </w:pPr>
            <w:r>
              <w:rPr>
                <w:rFonts w:ascii="Arial" w:cs="Arial" w:eastAsia="Arial" w:hAnsi="Arial"/>
                <w:sz w:val="17"/>
                <w:szCs w:val="17"/>
                <w:color w:val="auto"/>
              </w:rPr>
              <w:t>shares issued and outstanding at June 30, 2021 and December 31, 2020</w:t>
            </w:r>
          </w:p>
        </w:tc>
        <w:tc>
          <w:tcPr>
            <w:tcW w:w="2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60"/>
              <w:spacing w:after="0"/>
              <w:rPr>
                <w:sz w:val="20"/>
                <w:szCs w:val="20"/>
                <w:color w:val="auto"/>
              </w:rPr>
            </w:pPr>
            <w:r>
              <w:rPr>
                <w:rFonts w:ascii="Arial" w:cs="Arial" w:eastAsia="Arial" w:hAnsi="Arial"/>
                <w:sz w:val="17"/>
                <w:szCs w:val="17"/>
                <w:color w:val="auto"/>
                <w:w w:val="95"/>
              </w:rPr>
              <w:t>Common stock, $0.00001 par value; 500,000 shares authorized at June 30, 2021 and December 31, 2020;</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7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2"/>
              </w:rPr>
              <w:t>131,200 and 114,029 shares issued and outstanding at June 30, 2021 and December 31, 2020, respectively</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Arial" w:cs="Arial" w:eastAsia="Arial" w:hAnsi="Arial"/>
                <w:sz w:val="17"/>
                <w:szCs w:val="17"/>
                <w:color w:val="auto"/>
              </w:rPr>
              <w:t>Additional paid-in capital</w:t>
            </w:r>
          </w:p>
        </w:tc>
        <w:tc>
          <w:tcPr>
            <w:tcW w:w="2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1,259,170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777,084</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Accumulated deficit</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(370,585)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(394,516)</w:t>
            </w:r>
          </w:p>
        </w:tc>
        <w:tc>
          <w:tcPr>
            <w:tcW w:w="0" w:type="dxa"/>
            <w:vAlign w:val="bottom"/>
          </w:tcPr>
          <w:p>
            <w:pPr>
              <w:spacing w:after="0"/>
              <w:rPr>
                <w:sz w:val="1"/>
                <w:szCs w:val="1"/>
                <w:color w:val="auto"/>
              </w:rPr>
            </w:pPr>
          </w:p>
        </w:tc>
      </w:tr>
      <w:tr>
        <w:trPr>
          <w:trHeight w:val="239"/>
        </w:trPr>
        <w:tc>
          <w:tcPr>
            <w:tcW w:w="77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887,686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381,613</w:t>
            </w:r>
          </w:p>
        </w:tc>
        <w:tc>
          <w:tcPr>
            <w:tcW w:w="0" w:type="dxa"/>
            <w:vAlign w:val="bottom"/>
          </w:tcPr>
          <w:p>
            <w:pPr>
              <w:spacing w:after="0"/>
              <w:rPr>
                <w:sz w:val="1"/>
                <w:szCs w:val="1"/>
                <w:color w:val="auto"/>
              </w:rPr>
            </w:pPr>
          </w:p>
        </w:tc>
      </w:tr>
      <w:tr>
        <w:trPr>
          <w:trHeight w:val="213"/>
        </w:trPr>
        <w:tc>
          <w:tcPr>
            <w:tcW w:w="7760" w:type="dxa"/>
            <w:vAlign w:val="bottom"/>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2,541,275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938,960</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220" w:type="dxa"/>
            <w:vAlign w:val="bottom"/>
            <w:gridSpan w:val="4"/>
          </w:tcPr>
          <w:p>
            <w:pPr>
              <w:jc w:val="right"/>
              <w:ind w:right="11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1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114,541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175,256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78,643</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Expenses:</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35,548</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43,273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20,029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65,862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31,298</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Technology and development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23,756</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16,980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15,780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31,138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24,907</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Merger, acquisition, and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14,423</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expenses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161,522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82,910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236,013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129,932</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(51,289)</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 expense, net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Other income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(1,293)</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exchange gain, net</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(2,573)</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(48,716)</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(87,695)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(87,529)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(48,803)</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Net income (loss) per share:</w:t>
            </w: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94"/>
              <w:spacing w:after="0" w:line="192" w:lineRule="exact"/>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0.26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2" w:lineRule="exact"/>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2" w:lineRule="exact"/>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2"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6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Weighted average shares used to compute net income (loss)</w:t>
            </w:r>
          </w:p>
        </w:tc>
        <w:tc>
          <w:tcPr>
            <w:tcW w:w="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125,981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108,530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120,668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81,698</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81,698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160" w:type="dxa"/>
            <w:vAlign w:val="bottom"/>
            <w:gridSpan w:val="4"/>
          </w:tcPr>
          <w:p>
            <w:pPr>
              <w:jc w:val="right"/>
              <w:ind w:right="1097"/>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4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June 30, 2020</w:t>
            </w:r>
          </w:p>
        </w:tc>
      </w:tr>
      <w:tr>
        <w:trPr>
          <w:trHeight w:val="21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36,808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(39,128)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23,931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(48,803)</w:t>
            </w: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0"/>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(2,558)</w:t>
            </w: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 (loss)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(51,361)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80" w:type="dxa"/>
            <w:vAlign w:val="bottom"/>
            <w:gridSpan w:val="3"/>
            <w:vMerge w:val="restart"/>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8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9"/>
                <w:szCs w:val="9"/>
                <w:color w:val="auto"/>
              </w:rPr>
            </w:pPr>
          </w:p>
        </w:tc>
        <w:tc>
          <w:tcPr>
            <w:tcW w:w="126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9"/>
                <w:szCs w:val="9"/>
                <w:color w:val="auto"/>
              </w:rPr>
            </w:pPr>
          </w:p>
        </w:tc>
        <w:tc>
          <w:tcPr>
            <w:tcW w:w="1220" w:type="dxa"/>
            <w:vAlign w:val="bottom"/>
            <w:gridSpan w:val="2"/>
          </w:tcPr>
          <w:p>
            <w:pPr>
              <w:ind w:left="40"/>
              <w:spacing w:after="0" w:line="11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080" w:type="dxa"/>
            <w:vAlign w:val="bottom"/>
          </w:tcPr>
          <w:p>
            <w:pPr>
              <w:jc w:val="center"/>
              <w:ind w:right="104"/>
              <w:spacing w:after="0" w:line="110"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1"/>
        </w:trPr>
        <w:tc>
          <w:tcPr>
            <w:tcW w:w="3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53,888</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453,064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(341,084)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(716)</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6"/>
                <w:szCs w:val="16"/>
                <w:color w:val="auto"/>
              </w:rPr>
              <w:t>Balance at March 31, 2020</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55,060</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449,820</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(350,759)</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98,228</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Restricted stock awards, net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66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w w:val="93"/>
              </w:rPr>
              <w:t>Issuance of common stock related to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2"/>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980" w:type="dxa"/>
            <w:vAlign w:val="bottom"/>
          </w:tcPr>
          <w:p>
            <w:pPr>
              <w:jc w:val="right"/>
              <w:spacing w:after="0"/>
              <w:rPr>
                <w:sz w:val="20"/>
                <w:szCs w:val="20"/>
                <w:color w:val="auto"/>
              </w:rPr>
            </w:pPr>
            <w:r>
              <w:rPr>
                <w:rFonts w:ascii="Arial" w:cs="Arial" w:eastAsia="Arial" w:hAnsi="Arial"/>
                <w:sz w:val="16"/>
                <w:szCs w:val="16"/>
                <w:color w:val="auto"/>
              </w:rPr>
              <w:t>1,904</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w w:val="90"/>
              </w:rPr>
              <w:t>Issuance of common stock associated with the Merger</w:t>
            </w:r>
          </w:p>
        </w:tc>
        <w:tc>
          <w:tcPr>
            <w:tcW w:w="980" w:type="dxa"/>
            <w:vAlign w:val="bottom"/>
          </w:tcPr>
          <w:p>
            <w:pPr>
              <w:jc w:val="right"/>
              <w:spacing w:after="0"/>
              <w:rPr>
                <w:sz w:val="20"/>
                <w:szCs w:val="20"/>
                <w:color w:val="auto"/>
              </w:rPr>
            </w:pPr>
            <w:r>
              <w:rPr>
                <w:rFonts w:ascii="Arial" w:cs="Arial" w:eastAsia="Arial" w:hAnsi="Arial"/>
                <w:sz w:val="16"/>
                <w:szCs w:val="16"/>
                <w:color w:val="auto"/>
              </w:rPr>
              <w:t>52,099</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275,772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275,773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1"/>
              </w:rPr>
              <w:t>Exchange of stock options and RSU related to Merger</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11,646</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(39,128)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(39,128)</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Balance at June 30, 2020</w:t>
            </w:r>
          </w:p>
        </w:tc>
        <w:tc>
          <w:tcPr>
            <w:tcW w:w="9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109,861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749,959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357,471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60" w:type="dxa"/>
            <w:vAlign w:val="bottom"/>
            <w:gridSpan w:val="3"/>
            <w:vMerge w:val="restart"/>
          </w:tcPr>
          <w:p>
            <w:pPr>
              <w:jc w:val="right"/>
              <w:ind w:right="289"/>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8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4"/>
                <w:szCs w:val="4"/>
                <w:color w:val="auto"/>
              </w:rPr>
            </w:pPr>
          </w:p>
        </w:tc>
        <w:tc>
          <w:tcPr>
            <w:tcW w:w="122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4"/>
                <w:szCs w:val="4"/>
                <w:color w:val="auto"/>
              </w:rPr>
            </w:pPr>
          </w:p>
        </w:tc>
        <w:tc>
          <w:tcPr>
            <w:tcW w:w="1100" w:type="dxa"/>
            <w:vAlign w:val="bottom"/>
            <w:vMerge w:val="restart"/>
          </w:tcPr>
          <w:p>
            <w:pPr>
              <w:jc w:val="center"/>
              <w:ind w:right="104"/>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58"/>
        </w:trPr>
        <w:tc>
          <w:tcPr>
            <w:tcW w:w="3840" w:type="dxa"/>
            <w:vAlign w:val="bottom"/>
          </w:tcPr>
          <w:p>
            <w:pPr>
              <w:spacing w:after="0"/>
              <w:rPr>
                <w:sz w:val="5"/>
                <w:szCs w:val="5"/>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5"/>
                <w:szCs w:val="15"/>
                <w:color w:val="auto"/>
              </w:rPr>
            </w:pPr>
          </w:p>
        </w:tc>
        <w:tc>
          <w:tcPr>
            <w:tcW w:w="110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1"/>
        </w:trPr>
        <w:tc>
          <w:tcPr>
            <w:tcW w:w="3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114,029</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777,084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(394,516)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381,613</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7,108</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Capped call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0" w:type="dxa"/>
            <w:vAlign w:val="bottom"/>
          </w:tcPr>
          <w:p>
            <w:pPr>
              <w:spacing w:after="0"/>
              <w:rPr>
                <w:sz w:val="1"/>
                <w:szCs w:val="1"/>
                <w:color w:val="auto"/>
              </w:rPr>
            </w:pPr>
          </w:p>
        </w:tc>
      </w:tr>
      <w:tr>
        <w:trPr>
          <w:trHeight w:val="197"/>
        </w:trPr>
        <w:tc>
          <w:tcPr>
            <w:tcW w:w="3840" w:type="dxa"/>
            <w:vAlign w:val="bottom"/>
          </w:tcPr>
          <w:p>
            <w:pPr>
              <w:ind w:left="220"/>
              <w:spacing w:after="0"/>
              <w:rPr>
                <w:sz w:val="20"/>
                <w:szCs w:val="20"/>
                <w:color w:val="auto"/>
              </w:rPr>
            </w:pPr>
            <w:r>
              <w:rPr>
                <w:rFonts w:ascii="Arial" w:cs="Arial" w:eastAsia="Arial" w:hAnsi="Arial"/>
                <w:sz w:val="16"/>
                <w:szCs w:val="16"/>
                <w:color w:val="auto"/>
              </w:rPr>
              <w:t>Balance at March 31,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116,113</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751,017</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(407,393)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342,356</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160"/>
        </w:trPr>
        <w:tc>
          <w:tcPr>
            <w:tcW w:w="3840" w:type="dxa"/>
            <w:vAlign w:val="bottom"/>
          </w:tcPr>
          <w:p>
            <w:pPr>
              <w:ind w:left="140"/>
              <w:spacing w:after="0" w:line="160" w:lineRule="exact"/>
              <w:rPr>
                <w:sz w:val="20"/>
                <w:szCs w:val="20"/>
                <w:color w:val="auto"/>
              </w:rPr>
            </w:pPr>
            <w:r>
              <w:rPr>
                <w:rFonts w:ascii="Arial" w:cs="Arial" w:eastAsia="Arial" w:hAnsi="Arial"/>
                <w:sz w:val="16"/>
                <w:szCs w:val="16"/>
                <w:color w:val="auto"/>
                <w:w w:val="97"/>
              </w:rPr>
              <w:t>Issuance of common stock related to employee stock</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199"/>
        </w:trPr>
        <w:tc>
          <w:tcPr>
            <w:tcW w:w="384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3840" w:type="dxa"/>
            <w:vAlign w:val="bottom"/>
          </w:tcPr>
          <w:p>
            <w:pPr>
              <w:ind w:left="140"/>
              <w:spacing w:after="0" w:line="160" w:lineRule="exact"/>
              <w:rPr>
                <w:sz w:val="20"/>
                <w:szCs w:val="20"/>
                <w:color w:val="auto"/>
              </w:rPr>
            </w:pPr>
            <w:r>
              <w:rPr>
                <w:rFonts w:ascii="Arial" w:cs="Arial" w:eastAsia="Arial" w:hAnsi="Arial"/>
                <w:sz w:val="16"/>
                <w:szCs w:val="16"/>
                <w:color w:val="auto"/>
                <w:w w:val="97"/>
              </w:rPr>
              <w:t>Issuance of common stock associated with the SpotX</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12,374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495,591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495,591</w:t>
            </w:r>
          </w:p>
        </w:tc>
        <w:tc>
          <w:tcPr>
            <w:tcW w:w="0" w:type="dxa"/>
            <w:vAlign w:val="bottom"/>
          </w:tcPr>
          <w:p>
            <w:pPr>
              <w:spacing w:after="0"/>
              <w:rPr>
                <w:sz w:val="1"/>
                <w:szCs w:val="1"/>
                <w:color w:val="auto"/>
              </w:rPr>
            </w:pPr>
          </w:p>
        </w:tc>
      </w:tr>
      <w:tr>
        <w:trPr>
          <w:trHeight w:val="199"/>
        </w:trPr>
        <w:tc>
          <w:tcPr>
            <w:tcW w:w="3840" w:type="dxa"/>
            <w:vAlign w:val="bottom"/>
          </w:tcPr>
          <w:p>
            <w:pPr>
              <w:ind w:left="140"/>
              <w:spacing w:after="0"/>
              <w:rPr>
                <w:sz w:val="20"/>
                <w:szCs w:val="20"/>
                <w:color w:val="auto"/>
              </w:rPr>
            </w:pPr>
            <w:r>
              <w:rPr>
                <w:rFonts w:ascii="Arial" w:cs="Arial" w:eastAsia="Arial" w:hAnsi="Arial"/>
                <w:sz w:val="16"/>
                <w:szCs w:val="16"/>
                <w:color w:val="auto"/>
              </w:rPr>
              <w:t>Acquisition</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36,808</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rPr>
                <w:sz w:val="20"/>
                <w:szCs w:val="20"/>
                <w:color w:val="auto"/>
              </w:rPr>
            </w:pPr>
            <w:r>
              <w:rPr>
                <w:rFonts w:ascii="Arial" w:cs="Arial" w:eastAsia="Arial" w:hAnsi="Arial"/>
                <w:sz w:val="16"/>
                <w:szCs w:val="16"/>
                <w:color w:val="auto"/>
              </w:rPr>
              <w:t>Balance at Balance at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131,200</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1,259,170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(370,585)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887,686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83"/>
              <w:spacing w:after="0"/>
              <w:rPr>
                <w:sz w:val="20"/>
                <w:szCs w:val="20"/>
                <w:color w:val="auto"/>
              </w:rPr>
            </w:pPr>
            <w:r>
              <w:rPr>
                <w:rFonts w:ascii="Arial" w:cs="Arial" w:eastAsia="Arial" w:hAnsi="Arial"/>
                <w:sz w:val="14"/>
                <w:szCs w:val="14"/>
                <w:b w:val="1"/>
                <w:bCs w:val="1"/>
                <w:color w:val="auto"/>
              </w:rPr>
              <w:t>Six Months Ended</w:t>
            </w:r>
          </w:p>
        </w:tc>
      </w:tr>
      <w:tr>
        <w:trPr>
          <w:trHeight w:val="178"/>
        </w:trPr>
        <w:tc>
          <w:tcPr>
            <w:tcW w:w="7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June 30, 2020</w:t>
            </w:r>
          </w:p>
        </w:tc>
      </w:tr>
      <w:tr>
        <w:trPr>
          <w:trHeight w:val="186"/>
        </w:trPr>
        <w:tc>
          <w:tcPr>
            <w:tcW w:w="78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(48,803)</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22,081</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16,697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13,948</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disposal of property and equipment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Unrealized foreign currency gain</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(2,296)</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04"/>
        </w:trPr>
        <w:tc>
          <w:tcPr>
            <w:tcW w:w="782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(109,726)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73,728</w:t>
            </w: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8,716</w:t>
            </w:r>
          </w:p>
        </w:tc>
      </w:tr>
      <w:tr>
        <w:trPr>
          <w:trHeight w:val="204"/>
        </w:trPr>
        <w:tc>
          <w:tcPr>
            <w:tcW w:w="7820" w:type="dxa"/>
            <w:vAlign w:val="bottom"/>
          </w:tcPr>
          <w:p>
            <w:pPr>
              <w:ind w:left="44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(83,193)</w:t>
            </w: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(5,838)</w:t>
            </w:r>
          </w:p>
        </w:tc>
      </w:tr>
      <w:tr>
        <w:trPr>
          <w:trHeight w:val="197"/>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(21,496)</w:t>
            </w:r>
          </w:p>
        </w:tc>
      </w:tr>
      <w:tr>
        <w:trPr>
          <w:trHeight w:val="19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(3,420)</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 use software development costs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(4,718)</w:t>
            </w:r>
          </w:p>
        </w:tc>
      </w:tr>
      <w:tr>
        <w:trPr>
          <w:trHeight w:val="204"/>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(used in), net of cash acquired, in merger and acquisition activities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(623,974)</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54,595</w:t>
            </w:r>
          </w:p>
        </w:tc>
      </w:tr>
      <w:tr>
        <w:trPr>
          <w:trHeight w:val="203"/>
        </w:trPr>
        <w:tc>
          <w:tcPr>
            <w:tcW w:w="7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(640,091)</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46,457</w:t>
            </w:r>
          </w:p>
        </w:tc>
      </w:tr>
      <w:tr>
        <w:trPr>
          <w:trHeight w:val="184"/>
        </w:trPr>
        <w:tc>
          <w:tcPr>
            <w:tcW w:w="7820" w:type="dxa"/>
            <w:vAlign w:val="bottom"/>
          </w:tcPr>
          <w:p>
            <w:pPr>
              <w:ind w:left="20"/>
              <w:spacing w:after="0" w:line="181" w:lineRule="exact"/>
              <w:rPr>
                <w:sz w:val="20"/>
                <w:szCs w:val="20"/>
                <w:color w:val="auto"/>
              </w:rPr>
            </w:pPr>
            <w:r>
              <w:rPr>
                <w:rFonts w:ascii="Arial" w:cs="Arial" w:eastAsia="Arial" w:hAnsi="Arial"/>
                <w:sz w:val="16"/>
                <w:szCs w:val="16"/>
                <w:color w:val="auto"/>
              </w:rPr>
              <w:t>FINANCING ACTIVITIES:</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Convertible Notes offering</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issuance of debt, net of debt discount</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349,200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for capped call options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Payment for debt issuance costs</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(30,378)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related to net share settlement</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(7,834)</w:t>
            </w:r>
          </w:p>
        </w:tc>
      </w:tr>
      <w:tr>
        <w:trPr>
          <w:trHeight w:val="197"/>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688,281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(4,842)</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1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75,492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19,854</w:t>
            </w:r>
          </w:p>
        </w:tc>
      </w:tr>
      <w:tr>
        <w:trPr>
          <w:trHeight w:val="20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117,731</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88,888</w:t>
            </w:r>
          </w:p>
        </w:tc>
      </w:tr>
      <w:tr>
        <w:trPr>
          <w:trHeight w:val="203"/>
        </w:trPr>
        <w:tc>
          <w:tcPr>
            <w:tcW w:w="78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193,223</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108,742</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5"/>
        </w:trPr>
        <w:tc>
          <w:tcPr>
            <w:tcW w:w="7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60"/>
        </w:trPr>
        <w:tc>
          <w:tcPr>
            <w:tcW w:w="7820" w:type="dxa"/>
            <w:vAlign w:val="bottom"/>
          </w:tcPr>
          <w:p>
            <w:pPr>
              <w:ind w:left="20"/>
              <w:spacing w:after="0" w:line="160" w:lineRule="exact"/>
              <w:rPr>
                <w:sz w:val="20"/>
                <w:szCs w:val="20"/>
                <w:color w:val="auto"/>
              </w:rPr>
            </w:pPr>
            <w:r>
              <w:rPr>
                <w:rFonts w:ascii="Arial" w:cs="Arial" w:eastAsia="Arial" w:hAnsi="Arial"/>
                <w:sz w:val="16"/>
                <w:szCs w:val="16"/>
                <w:color w:val="auto"/>
                <w:w w:val="95"/>
              </w:rPr>
              <w:t>RECONCILIATION OF CASH, CASH EQUIVALENTS AND RESTRICTED CASH TO CONSOLIDATED BALANCE</w:t>
            </w: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9"/>
        </w:trPr>
        <w:tc>
          <w:tcPr>
            <w:tcW w:w="7820" w:type="dxa"/>
            <w:vAlign w:val="bottom"/>
          </w:tcPr>
          <w:p>
            <w:pPr>
              <w:ind w:left="20"/>
              <w:spacing w:after="0"/>
              <w:rPr>
                <w:sz w:val="20"/>
                <w:szCs w:val="20"/>
                <w:color w:val="auto"/>
              </w:rPr>
            </w:pPr>
            <w:r>
              <w:rPr>
                <w:rFonts w:ascii="Arial" w:cs="Arial" w:eastAsia="Arial" w:hAnsi="Arial"/>
                <w:sz w:val="16"/>
                <w:szCs w:val="16"/>
                <w:color w:val="auto"/>
              </w:rPr>
              <w:t>SHEETS</w:t>
            </w: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107,490</w:t>
            </w:r>
          </w:p>
        </w:tc>
      </w:tr>
      <w:tr>
        <w:trPr>
          <w:trHeight w:val="204"/>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 non-current, and prepaid expenses and other current assets</w:t>
            </w: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r>
      <w:tr>
        <w:trPr>
          <w:trHeight w:val="22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193,223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108,742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6"/>
                <w:szCs w:val="16"/>
                <w:b w:val="1"/>
                <w:bCs w:val="1"/>
                <w:color w:val="auto"/>
              </w:rPr>
              <w:t>Six Months Ended</w:t>
            </w:r>
          </w:p>
        </w:tc>
      </w:tr>
      <w:tr>
        <w:trPr>
          <w:trHeight w:val="19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83"/>
              <w:spacing w:after="0"/>
              <w:rPr>
                <w:sz w:val="20"/>
                <w:szCs w:val="20"/>
                <w:color w:val="auto"/>
              </w:rPr>
            </w:pPr>
            <w:r>
              <w:rPr>
                <w:rFonts w:ascii="Arial" w:cs="Arial" w:eastAsia="Arial" w:hAnsi="Arial"/>
                <w:sz w:val="14"/>
                <w:szCs w:val="14"/>
                <w:b w:val="1"/>
                <w:bCs w:val="1"/>
                <w:color w:val="auto"/>
                <w:w w:val="98"/>
              </w:rPr>
              <w:t>June 30, 2020</w:t>
            </w:r>
          </w:p>
        </w:tc>
      </w:tr>
      <w:tr>
        <w:trPr>
          <w:trHeight w:val="197"/>
        </w:trPr>
        <w:tc>
          <w:tcPr>
            <w:tcW w:w="812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stock-based compensation</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and options issued for Mergers and Acquisitions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287,418</w:t>
            </w:r>
          </w:p>
        </w:tc>
      </w:tr>
      <w:tr>
        <w:trPr>
          <w:trHeight w:val="201"/>
        </w:trPr>
        <w:tc>
          <w:tcPr>
            <w:tcW w:w="8120" w:type="dxa"/>
            <w:vAlign w:val="bottom"/>
          </w:tcPr>
          <w:p>
            <w:pPr>
              <w:ind w:left="20"/>
              <w:spacing w:after="0"/>
              <w:rPr>
                <w:sz w:val="20"/>
                <w:szCs w:val="20"/>
                <w:color w:val="auto"/>
              </w:rPr>
            </w:pPr>
            <w:r>
              <w:rPr>
                <w:rFonts w:ascii="Arial" w:cs="Arial" w:eastAsia="Arial" w:hAnsi="Arial"/>
                <w:sz w:val="16"/>
                <w:szCs w:val="16"/>
                <w:color w:val="auto"/>
              </w:rPr>
              <w:t>Debt discount, non-cash</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 and Summary of Significant Accounting Policies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Company Overview</w:t>
      </w:r>
    </w:p>
    <w:p>
      <w:pPr>
        <w:spacing w:after="0" w:line="89" w:lineRule="exact"/>
        <w:rPr>
          <w:sz w:val="20"/>
          <w:szCs w:val="20"/>
          <w:color w:val="auto"/>
        </w:rPr>
      </w:pPr>
    </w:p>
    <w:p>
      <w:pPr>
        <w:jc w:val="both"/>
        <w:ind w:right="420" w:firstLine="621"/>
        <w:spacing w:after="0" w:line="293" w:lineRule="auto"/>
        <w:rPr>
          <w:sz w:val="20"/>
          <w:szCs w:val="20"/>
          <w:color w:val="auto"/>
        </w:rPr>
      </w:pPr>
      <w:r>
        <w:rPr>
          <w:rFonts w:ascii="Arial" w:cs="Arial" w:eastAsia="Arial" w:hAnsi="Arial"/>
          <w:sz w:val="15"/>
          <w:szCs w:val="15"/>
          <w:color w:val="auto"/>
        </w:rPr>
        <w:t>Magnite, Inc. ("Magnite" or the "Company"), formerly known as The Rubicon Project, Inc., was formed in Delaware and began operations in April 2007. On April 1, 2020, Magnite completed a stock-for-stock merger with Telaria, Inc. ("Telaria" and such merger the "Telaria Merger"), a leading sell side advertising platform and provider of connected television ("CTV") technology. On April 30, 2021, the Company completed its acquisition of SpotX, Inc.</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("SpotX" and such acquisition the "SpotX Acquisition"), a leading CTV and video advertising platform. The Company operates a sell side advertising platform that offers buyers and sellers of digital advertising a single partner for transacting globally across all channels, formats, and auction types. The Company is headquartered in Los Angeles, California and New York, New York.</w:t>
      </w:r>
    </w:p>
    <w:p>
      <w:pPr>
        <w:spacing w:after="0" w:line="61"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The Company provides a technology solution to automate the purchase and sale of digital advertising inventory.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Summary of Significant Accounting Policies</w:t>
      </w:r>
    </w:p>
    <w:p>
      <w:pPr>
        <w:spacing w:after="0" w:line="115" w:lineRule="exact"/>
        <w:rPr>
          <w:sz w:val="20"/>
          <w:szCs w:val="20"/>
          <w:color w:val="auto"/>
        </w:rPr>
      </w:pPr>
    </w:p>
    <w:p>
      <w:pPr>
        <w:ind w:right="100" w:firstLine="621"/>
        <w:spacing w:after="0" w:line="26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six months ended June 30, 2021 are not necessarily indicative of the results that may be expected for any future interim period, the year ending December 31, 2021, or for any future year.</w:t>
      </w:r>
    </w:p>
    <w:p>
      <w:pPr>
        <w:spacing w:after="0" w:line="62" w:lineRule="exact"/>
        <w:rPr>
          <w:sz w:val="20"/>
          <w:szCs w:val="20"/>
          <w:color w:val="auto"/>
        </w:rPr>
      </w:pPr>
    </w:p>
    <w:p>
      <w:pPr>
        <w:ind w:right="120" w:firstLine="621"/>
        <w:spacing w:after="0" w:line="320" w:lineRule="auto"/>
        <w:rPr>
          <w:sz w:val="20"/>
          <w:szCs w:val="20"/>
          <w:color w:val="auto"/>
        </w:rPr>
      </w:pPr>
      <w:r>
        <w:rPr>
          <w:rFonts w:ascii="Arial" w:cs="Arial" w:eastAsia="Arial" w:hAnsi="Arial"/>
          <w:sz w:val="15"/>
          <w:szCs w:val="15"/>
          <w:color w:val="auto"/>
        </w:rPr>
        <w:t>The condensed consolidated balance sheet at December 31, 2020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2020 included in its 2020 Annual Report on Form 10-K.</w:t>
      </w:r>
    </w:p>
    <w:p>
      <w:pPr>
        <w:spacing w:after="0" w:line="9" w:lineRule="exact"/>
        <w:rPr>
          <w:sz w:val="20"/>
          <w:szCs w:val="20"/>
          <w:color w:val="auto"/>
        </w:rPr>
      </w:pPr>
    </w:p>
    <w:p>
      <w:pPr>
        <w:ind w:right="180" w:firstLine="621"/>
        <w:spacing w:after="0" w:line="353" w:lineRule="auto"/>
        <w:rPr>
          <w:sz w:val="20"/>
          <w:szCs w:val="20"/>
          <w:color w:val="auto"/>
        </w:rPr>
      </w:pPr>
      <w:r>
        <w:rPr>
          <w:rFonts w:ascii="Arial" w:cs="Arial" w:eastAsia="Arial" w:hAnsi="Arial"/>
          <w:sz w:val="15"/>
          <w:szCs w:val="15"/>
          <w:color w:val="auto"/>
        </w:rPr>
        <w:t>Aside from the adoption of ASU 2020-06, as described below, there have been no significant changes in the Company's accounting policies from those disclosed in its audited consolidated financial statements and notes thereto for the year ended December 31, 2020 included in its Annual Report on Form 10-K.</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5" w:lineRule="exact"/>
        <w:rPr>
          <w:sz w:val="20"/>
          <w:szCs w:val="20"/>
          <w:color w:val="auto"/>
        </w:rPr>
      </w:pPr>
    </w:p>
    <w:p>
      <w:pPr>
        <w:ind w:right="40" w:firstLine="621"/>
        <w:spacing w:after="0" w:line="277" w:lineRule="auto"/>
        <w:rPr>
          <w:sz w:val="20"/>
          <w:szCs w:val="20"/>
          <w:color w:val="auto"/>
        </w:rPr>
      </w:pPr>
      <w:r>
        <w:rPr>
          <w:rFonts w:ascii="Arial" w:cs="Arial" w:eastAsia="Arial" w:hAnsi="Arial"/>
          <w:sz w:val="15"/>
          <w:szCs w:val="15"/>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it has become more difficult to apply certain assumptions and judgments into these estimates. </w:t>
      </w:r>
      <w:r>
        <w:rPr>
          <w:rFonts w:ascii="Arial" w:cs="Arial" w:eastAsia="Arial" w:hAnsi="Arial"/>
          <w:sz w:val="15"/>
          <w:szCs w:val="15"/>
          <w:color w:val="212529"/>
        </w:rPr>
        <w:t>The extent of the impact of</w:t>
      </w:r>
      <w:r>
        <w:rPr>
          <w:rFonts w:ascii="Arial" w:cs="Arial" w:eastAsia="Arial" w:hAnsi="Arial"/>
          <w:sz w:val="15"/>
          <w:szCs w:val="15"/>
          <w:color w:val="auto"/>
        </w:rPr>
        <w:t xml:space="preserve"> COVID-19 </w:t>
      </w:r>
      <w:r>
        <w:rPr>
          <w:rFonts w:ascii="Arial" w:cs="Arial" w:eastAsia="Arial" w:hAnsi="Arial"/>
          <w:sz w:val="15"/>
          <w:szCs w:val="15"/>
          <w:color w:val="212529"/>
        </w:rPr>
        <w:t>pandemic on the Company's</w:t>
      </w:r>
      <w:r>
        <w:rPr>
          <w:rFonts w:ascii="Arial" w:cs="Arial" w:eastAsia="Arial" w:hAnsi="Arial"/>
          <w:sz w:val="15"/>
          <w:szCs w:val="15"/>
          <w:color w:val="auto"/>
        </w:rPr>
        <w:t xml:space="preserve"> </w:t>
      </w:r>
      <w:r>
        <w:rPr>
          <w:rFonts w:ascii="Arial" w:cs="Arial" w:eastAsia="Arial" w:hAnsi="Arial"/>
          <w:sz w:val="15"/>
          <w:szCs w:val="15"/>
          <w:color w:val="212529"/>
        </w:rPr>
        <w:t>operational and financial performance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During the six months ended June 30, 2021, this uncertainty continued to result in a higher level of judgment related to its estimates and assumptions. As of the date of issuance of the condensed consolidated financial statements for the three and six months ended June 30, 2021,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02" w:lineRule="exact"/>
        <w:rPr>
          <w:sz w:val="20"/>
          <w:szCs w:val="20"/>
          <w:color w:val="auto"/>
        </w:rPr>
      </w:pPr>
    </w:p>
    <w:p>
      <w:pPr>
        <w:ind w:right="260" w:firstLine="621"/>
        <w:spacing w:after="0" w:line="296" w:lineRule="auto"/>
        <w:rPr>
          <w:sz w:val="20"/>
          <w:szCs w:val="20"/>
          <w:color w:val="auto"/>
        </w:rPr>
      </w:pPr>
      <w:r>
        <w:rPr>
          <w:rFonts w:ascii="Arial" w:cs="Arial" w:eastAsia="Arial" w:hAnsi="Arial"/>
          <w:sz w:val="15"/>
          <w:szCs w:val="15"/>
          <w:color w:val="auto"/>
        </w:rPr>
        <w:t xml:space="preserve">On January 1, 2021, the Company adopted ASU 2020-06, </w:t>
      </w:r>
      <w:r>
        <w:rPr>
          <w:rFonts w:ascii="Arial" w:cs="Arial" w:eastAsia="Arial" w:hAnsi="Arial"/>
          <w:sz w:val="15"/>
          <w:szCs w:val="15"/>
          <w:i w:val="1"/>
          <w:iCs w:val="1"/>
          <w:color w:val="auto"/>
        </w:rPr>
        <w:t>Debt—Debt with Conversion and Other Options (Subtopic 470-20) and 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Hedging—Contracts in Entity's Own Equity (Subtopic 815-40): Accounting for Convertible Instruments and Contracts in an Entity’s Own Equity </w:t>
      </w:r>
      <w:r>
        <w:rPr>
          <w:rFonts w:ascii="Arial" w:cs="Arial" w:eastAsia="Arial" w:hAnsi="Arial"/>
          <w:sz w:val="15"/>
          <w:szCs w:val="15"/>
          <w:color w:val="auto"/>
        </w:rPr>
        <w:t>(ASU "2020-</w:t>
      </w:r>
    </w:p>
    <w:p>
      <w:pPr>
        <w:spacing w:after="0" w:line="1"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06") on a prospective basis, which simplifies the accounting for convertible instruments by reducing the number of accounting models available for convertible debt instruments that require separating embedded conversion features from convertible instruments. This guidance also eliminates the treasury stock method to</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both"/>
        <w:ind w:right="260"/>
        <w:spacing w:after="0" w:line="293" w:lineRule="auto"/>
        <w:rPr>
          <w:sz w:val="20"/>
          <w:szCs w:val="20"/>
          <w:color w:val="auto"/>
        </w:rPr>
      </w:pPr>
      <w:r>
        <w:rPr>
          <w:rFonts w:ascii="Arial" w:cs="Arial" w:eastAsia="Arial" w:hAnsi="Arial"/>
          <w:sz w:val="16"/>
          <w:szCs w:val="16"/>
          <w:color w:val="auto"/>
        </w:rPr>
        <w:t>calculate diluted earnings per share for convertible instruments and requires the use of the if-converted method. The adoption of this standard is included in the financial statements as of June 30, 2021 and for the three and six months ended June 30, 2021 and June 30, 2020, respectively. Refer to Note 14—"Convertible Notes" for additional information related to accounting for convertible debt issued during the six months ended June 30, 2021.</w:t>
      </w:r>
    </w:p>
    <w:p>
      <w:pPr>
        <w:spacing w:after="0" w:line="25"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On January 1, 2021, the Company adopted ASU 2019-12—</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ASU 2019-12 simplifies the accounting for income taxes by removing certain exceptions to general principles in Topic 740 and clarifies and amends existing guidance for clarity and consistent application. There was no material impact to the quarterly or year to date income tax provision.</w:t>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5" w:lineRule="exact"/>
        <w:rPr>
          <w:sz w:val="20"/>
          <w:szCs w:val="20"/>
          <w:color w:val="auto"/>
        </w:rPr>
      </w:pPr>
    </w:p>
    <w:p>
      <w:pPr>
        <w:ind w:right="180" w:firstLine="621"/>
        <w:spacing w:after="0" w:line="259" w:lineRule="auto"/>
        <w:rPr>
          <w:sz w:val="20"/>
          <w:szCs w:val="20"/>
          <w:color w:val="auto"/>
        </w:rPr>
      </w:pPr>
      <w:r>
        <w:rPr>
          <w:rFonts w:ascii="Arial" w:cs="Arial" w:eastAsia="Arial" w:hAnsi="Arial"/>
          <w:sz w:val="17"/>
          <w:szCs w:val="17"/>
          <w:color w:val="auto"/>
        </w:rPr>
        <w:t>In March 2020, the FASB issued Update No. 2020-04, Reference Rate Reform (Topic 848), which provides temporary optional guidance to companies impacted by the transition away from the LIBOR. The amendment provides certain expedients and exceptions to applying GAAP in order to lessen the potential accounting burden when contracts, hedging relationships, and other transactions that reference LIBOR as a benchmark rate are modified. Further, in January 2021, the FASB issued Update No. 2021-01, Reference Rate Reform (Topic 848), which clarifies the scope of Topic 848 so that derivatives affected by the discounting transition are explicitly eligible for certain optional expedients and exceptions in Topic 848. These amendments are effective upon issuance and expire on December 31, 2022. The Company is currently assessing the impact of the LIBOR transition on the Company's condensed consolidated financial statements.</w:t>
      </w:r>
    </w:p>
    <w:p>
      <w:pPr>
        <w:spacing w:after="0" w:line="63"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2—Net Income (Loss) Per Share</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basic and diluted net loss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2660" w:type="dxa"/>
            <w:vAlign w:val="bottom"/>
            <w:gridSpan w:val="4"/>
          </w:tcPr>
          <w:p>
            <w:pPr>
              <w:jc w:val="right"/>
              <w:ind w:right="735"/>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June 30, 2020</w:t>
            </w:r>
          </w:p>
        </w:tc>
        <w:tc>
          <w:tcPr>
            <w:tcW w:w="1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Income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(39,128)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23,931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(48,803)</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81,698</w:t>
            </w:r>
          </w:p>
        </w:tc>
        <w:tc>
          <w:tcPr>
            <w:tcW w:w="0" w:type="dxa"/>
            <w:vAlign w:val="bottom"/>
          </w:tcPr>
          <w:p>
            <w:pPr>
              <w:spacing w:after="0"/>
              <w:rPr>
                <w:sz w:val="1"/>
                <w:szCs w:val="1"/>
                <w:color w:val="auto"/>
              </w:rPr>
            </w:pPr>
          </w:p>
        </w:tc>
      </w:tr>
      <w:tr>
        <w:trPr>
          <w:trHeight w:val="149"/>
        </w:trPr>
        <w:tc>
          <w:tcPr>
            <w:tcW w:w="5400" w:type="dxa"/>
            <w:vAlign w:val="bottom"/>
          </w:tcPr>
          <w:p>
            <w:pPr>
              <w:ind w:left="20"/>
              <w:spacing w:after="0" w:line="149" w:lineRule="exact"/>
              <w:rPr>
                <w:sz w:val="20"/>
                <w:szCs w:val="20"/>
                <w:color w:val="auto"/>
              </w:rPr>
            </w:pPr>
            <w:r>
              <w:rPr>
                <w:rFonts w:ascii="Arial" w:cs="Arial" w:eastAsia="Arial" w:hAnsi="Arial"/>
                <w:sz w:val="17"/>
                <w:szCs w:val="17"/>
                <w:color w:val="auto"/>
                <w:w w:val="93"/>
              </w:rPr>
              <w:t>Weighted-average common shares outstanding used to compute net income</w:t>
            </w: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125,981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108,530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120,668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81,698</w:t>
            </w:r>
          </w:p>
        </w:tc>
        <w:tc>
          <w:tcPr>
            <w:tcW w:w="0" w:type="dxa"/>
            <w:vAlign w:val="bottom"/>
          </w:tcPr>
          <w:p>
            <w:pPr>
              <w:spacing w:after="0"/>
              <w:rPr>
                <w:sz w:val="1"/>
                <w:szCs w:val="1"/>
                <w:color w:val="auto"/>
              </w:rPr>
            </w:pPr>
          </w:p>
        </w:tc>
      </w:tr>
      <w:tr>
        <w:trPr>
          <w:trHeight w:val="194"/>
        </w:trPr>
        <w:tc>
          <w:tcPr>
            <w:tcW w:w="5400" w:type="dxa"/>
            <w:vAlign w:val="bottom"/>
          </w:tcPr>
          <w:p>
            <w:pPr>
              <w:ind w:left="20"/>
              <w:spacing w:after="0" w:line="194" w:lineRule="exact"/>
              <w:rPr>
                <w:sz w:val="20"/>
                <w:szCs w:val="20"/>
                <w:color w:val="auto"/>
              </w:rPr>
            </w:pPr>
            <w:r>
              <w:rPr>
                <w:rFonts w:ascii="Arial" w:cs="Arial" w:eastAsia="Arial" w:hAnsi="Arial"/>
                <w:sz w:val="17"/>
                <w:szCs w:val="17"/>
                <w:color w:val="auto"/>
              </w:rPr>
              <w:t>(loss) per share</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Diluted Income (Loss) Per Share: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(39,128)</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23,931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(48,803)</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back:</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20"/>
              <w:spacing w:after="0"/>
              <w:rPr>
                <w:sz w:val="20"/>
                <w:szCs w:val="20"/>
                <w:color w:val="auto"/>
              </w:rPr>
            </w:pPr>
            <w:r>
              <w:rPr>
                <w:rFonts w:ascii="Arial" w:cs="Arial" w:eastAsia="Arial" w:hAnsi="Arial"/>
                <w:sz w:val="17"/>
                <w:szCs w:val="17"/>
                <w:color w:val="auto"/>
              </w:rPr>
              <w:t>Interest expense, Convertible Notes, net of tax</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diluted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(48,803)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used in basic EPS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81,698</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Dilutive effect of weighted-average common stock options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effect of weighted-average performance stock units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Dilutive effect of weighted-average restricted stock units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effect of weighted-average ESPP</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Dilutive effect of weighted-average Convertible Notes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0"/>
              </w:rPr>
              <w:t>Weighted-average shares used to compute diluted net income (loss) per share</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81,698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00" w:type="dxa"/>
            <w:vAlign w:val="bottom"/>
          </w:tcPr>
          <w:p>
            <w:pPr>
              <w:ind w:left="20"/>
              <w:spacing w:after="0" w:line="192" w:lineRule="exact"/>
              <w:rPr>
                <w:sz w:val="20"/>
                <w:szCs w:val="20"/>
                <w:color w:val="auto"/>
              </w:rPr>
            </w:pPr>
            <w:r>
              <w:rPr>
                <w:rFonts w:ascii="Arial" w:cs="Arial" w:eastAsia="Arial" w:hAnsi="Arial"/>
                <w:sz w:val="17"/>
                <w:szCs w:val="17"/>
                <w:color w:val="auto"/>
              </w:rPr>
              <w:t>Diluted net income (loss) per share</w:t>
            </w:r>
          </w:p>
        </w:tc>
        <w:tc>
          <w:tcPr>
            <w:tcW w:w="1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0.26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2"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(0.36)</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2"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4"/>
              <w:spacing w:after="0" w:line="192"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1"/>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95"/>
              <w:spacing w:after="0"/>
              <w:rPr>
                <w:sz w:val="20"/>
                <w:szCs w:val="20"/>
                <w:color w:val="auto"/>
              </w:rPr>
            </w:pPr>
            <w:r>
              <w:rPr>
                <w:rFonts w:ascii="Arial" w:cs="Arial" w:eastAsia="Arial" w:hAnsi="Arial"/>
                <w:sz w:val="17"/>
                <w:szCs w:val="17"/>
                <w:color w:val="auto"/>
                <w:w w:val="84"/>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The following weighted-average shares have been excluded from the calculation of diluted net loss per share attributable to common stockholders for each period presented because they are anti-dilutive: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20" w:type="dxa"/>
            <w:vAlign w:val="bottom"/>
          </w:tcPr>
          <w:p>
            <w:pPr>
              <w:spacing w:after="0"/>
              <w:rPr>
                <w:sz w:val="17"/>
                <w:szCs w:val="17"/>
                <w:color w:val="auto"/>
              </w:rPr>
            </w:pPr>
          </w:p>
        </w:tc>
        <w:tc>
          <w:tcPr>
            <w:tcW w:w="2260" w:type="dxa"/>
            <w:vAlign w:val="bottom"/>
            <w:tcBorders>
              <w:bottom w:val="single" w:sz="8" w:color="auto"/>
            </w:tcBorders>
            <w:gridSpan w:val="4"/>
          </w:tcPr>
          <w:p>
            <w:pPr>
              <w:jc w:val="center"/>
              <w:ind w:left="508"/>
              <w:spacing w:after="0"/>
              <w:rPr>
                <w:sz w:val="20"/>
                <w:szCs w:val="20"/>
                <w:color w:val="auto"/>
              </w:rPr>
            </w:pPr>
            <w:r>
              <w:rPr>
                <w:rFonts w:ascii="Arial" w:cs="Arial" w:eastAsia="Arial" w:hAnsi="Arial"/>
                <w:sz w:val="16"/>
                <w:szCs w:val="16"/>
                <w:b w:val="1"/>
                <w:bCs w:val="1"/>
                <w:color w:val="auto"/>
                <w:w w:val="88"/>
              </w:rPr>
              <w:t>Three Months Ended</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6"/>
                <w:szCs w:val="16"/>
                <w:b w:val="1"/>
                <w:bCs w:val="1"/>
                <w:color w:val="auto"/>
              </w:rPr>
              <w:t>Six Months Ended</w:t>
            </w:r>
          </w:p>
        </w:tc>
      </w:tr>
      <w:tr>
        <w:trPr>
          <w:trHeight w:val="176"/>
        </w:trPr>
        <w:tc>
          <w:tcPr>
            <w:tcW w:w="5420" w:type="dxa"/>
            <w:vAlign w:val="bottom"/>
          </w:tcPr>
          <w:p>
            <w:pPr>
              <w:spacing w:after="0"/>
              <w:rPr>
                <w:sz w:val="15"/>
                <w:szCs w:val="15"/>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7"/>
              </w:rPr>
              <w:t>June 30, 2021</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14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June 30, 2020</w:t>
            </w:r>
          </w:p>
        </w:tc>
      </w:tr>
      <w:tr>
        <w:trPr>
          <w:trHeight w:val="174"/>
        </w:trPr>
        <w:tc>
          <w:tcPr>
            <w:tcW w:w="5420" w:type="dxa"/>
            <w:vAlign w:val="bottom"/>
          </w:tcPr>
          <w:p>
            <w:pPr>
              <w:spacing w:after="0"/>
              <w:rPr>
                <w:sz w:val="15"/>
                <w:szCs w:val="15"/>
                <w:color w:val="auto"/>
              </w:rPr>
            </w:pPr>
          </w:p>
        </w:tc>
        <w:tc>
          <w:tcPr>
            <w:tcW w:w="226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3"/>
          </w:tcPr>
          <w:p>
            <w:pPr>
              <w:jc w:val="right"/>
              <w:ind w:right="936"/>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r>
      <w:tr>
        <w:trPr>
          <w:trHeight w:val="220"/>
        </w:trPr>
        <w:tc>
          <w:tcPr>
            <w:tcW w:w="6520" w:type="dxa"/>
            <w:vAlign w:val="bottom"/>
            <w:gridSpan w:val="2"/>
          </w:tcPr>
          <w:p>
            <w:pPr>
              <w:ind w:left="20"/>
              <w:spacing w:after="0"/>
              <w:rPr>
                <w:sz w:val="20"/>
                <w:szCs w:val="20"/>
                <w:color w:val="auto"/>
              </w:rPr>
            </w:pPr>
            <w:r>
              <w:rPr>
                <w:rFonts w:ascii="Arial" w:cs="Arial" w:eastAsia="Arial" w:hAnsi="Arial"/>
                <w:sz w:val="17"/>
                <w:szCs w:val="17"/>
                <w:color w:val="auto"/>
              </w:rPr>
              <w:t>Unvested restricted stock awards</w:t>
            </w:r>
          </w:p>
        </w:tc>
        <w:tc>
          <w:tcPr>
            <w:tcW w:w="116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restricted stock units</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3,805</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w:t>
            </w:r>
          </w:p>
        </w:tc>
      </w:tr>
      <w:tr>
        <w:trPr>
          <w:trHeight w:val="220"/>
        </w:trPr>
        <w:tc>
          <w:tcPr>
            <w:tcW w:w="6520" w:type="dxa"/>
            <w:vAlign w:val="bottom"/>
            <w:gridSpan w:val="2"/>
          </w:tcPr>
          <w:p>
            <w:pPr>
              <w:ind w:left="20"/>
              <w:spacing w:after="0"/>
              <w:rPr>
                <w:sz w:val="20"/>
                <w:szCs w:val="20"/>
                <w:color w:val="auto"/>
              </w:rPr>
            </w:pPr>
            <w:r>
              <w:rPr>
                <w:rFonts w:ascii="Arial" w:cs="Arial" w:eastAsia="Arial" w:hAnsi="Arial"/>
                <w:sz w:val="17"/>
                <w:szCs w:val="17"/>
                <w:color w:val="auto"/>
              </w:rPr>
              <w:t>Unvested performance stock units</w:t>
            </w:r>
          </w:p>
        </w:tc>
        <w:tc>
          <w:tcPr>
            <w:tcW w:w="116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3"/>
        </w:trPr>
        <w:tc>
          <w:tcPr>
            <w:tcW w:w="6520" w:type="dxa"/>
            <w:vAlign w:val="bottom"/>
            <w:gridSpan w:val="2"/>
          </w:tcPr>
          <w:p>
            <w:pPr>
              <w:ind w:left="20"/>
              <w:spacing w:after="0"/>
              <w:rPr>
                <w:sz w:val="20"/>
                <w:szCs w:val="20"/>
                <w:color w:val="auto"/>
              </w:rPr>
            </w:pPr>
            <w:r>
              <w:rPr>
                <w:rFonts w:ascii="Arial" w:cs="Arial" w:eastAsia="Arial" w:hAnsi="Arial"/>
                <w:sz w:val="17"/>
                <w:szCs w:val="17"/>
                <w:color w:val="auto"/>
              </w:rPr>
              <w:t>Total shares excluded from net loss per share</w:t>
            </w:r>
          </w:p>
        </w:tc>
        <w:tc>
          <w:tcPr>
            <w:tcW w:w="116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5,840</w:t>
            </w:r>
          </w:p>
        </w:tc>
        <w:tc>
          <w:tcPr>
            <w:tcW w:w="120" w:type="dxa"/>
            <w:vAlign w:val="bottom"/>
          </w:tcPr>
          <w:p>
            <w:pPr>
              <w:spacing w:after="0"/>
              <w:rPr>
                <w:sz w:val="18"/>
                <w:szCs w:val="18"/>
                <w:color w:val="auto"/>
              </w:rPr>
            </w:pPr>
          </w:p>
        </w:tc>
        <w:tc>
          <w:tcPr>
            <w:tcW w:w="14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5,560</w:t>
            </w:r>
          </w:p>
        </w:tc>
      </w:tr>
      <w:tr>
        <w:trPr>
          <w:trHeight w:val="20"/>
        </w:trPr>
        <w:tc>
          <w:tcPr>
            <w:tcW w:w="54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For the three and six months ended June 30, 2021, diluted shares used to compute diluted earnings per share included outstanding performance stock units granted during 2020 and 2021 based on expected achievement of 150% and 0%, respectively. Refer to Note 9—"Stock-Based Compensation" for additional information related to performance stock units.</w:t>
      </w:r>
    </w:p>
    <w:p>
      <w:pPr>
        <w:spacing w:after="0" w:line="199" w:lineRule="exact"/>
        <w:rPr>
          <w:sz w:val="20"/>
          <w:szCs w:val="20"/>
          <w:color w:val="auto"/>
        </w:rPr>
      </w:pPr>
    </w:p>
    <w:p>
      <w:pPr>
        <w:ind w:right="200" w:firstLine="621"/>
        <w:spacing w:after="0" w:line="260" w:lineRule="auto"/>
        <w:rPr>
          <w:sz w:val="20"/>
          <w:szCs w:val="20"/>
          <w:color w:val="auto"/>
        </w:rPr>
      </w:pPr>
      <w:r>
        <w:rPr>
          <w:rFonts w:ascii="Arial" w:cs="Arial" w:eastAsia="Arial" w:hAnsi="Arial"/>
          <w:sz w:val="17"/>
          <w:szCs w:val="17"/>
          <w:color w:val="auto"/>
        </w:rPr>
        <w:t xml:space="preserve">For the three and six months ended June 30, 2021, the Company included the shares that would be issuable assuming conversion of all of the Convertible Notes (as defined in Note 14). Diluted earnings per share for the Convertible Notes is calculated under the if-converted method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Convertible Notes have an initial conversion rate of 15.6539 shares of common stock per $1,000 principal amount of the Convertible Notes, which will be subject to anti-dilution adjustments in certain circumstances. As of June 30, 2021, the number of shares that would be issuable assuming conversion of all of the Convertible Notes is approximately 6,261,560. Refer to Note 14—"Convertible Notes" for additional information related to accounting for Convertible Notes issued and associated Capped Call Transactions.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3—Revenues</w:t>
      </w:r>
    </w:p>
    <w:p>
      <w:pPr>
        <w:spacing w:after="0" w:line="199"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4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Prior to the SpotX Acquisition, revenue reported on a gross basis was less than 3% of total revenue. As a result of the SpotX Acquisition, an increased percentage of the Company's revenue is reported on a gross basis. The following table presents our revenue recognized on a net basis and on a gross basis for the three and six months ended June 30, 2021 and June 30, 2020, respectively.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6"/>
                <w:szCs w:val="16"/>
                <w:color w:val="auto"/>
              </w:rPr>
            </w:pPr>
          </w:p>
        </w:tc>
      </w:tr>
      <w:tr>
        <w:trPr>
          <w:trHeight w:val="179"/>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June 30, 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June 30, 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2020</w:t>
            </w:r>
          </w:p>
        </w:tc>
        <w:tc>
          <w:tcPr>
            <w:tcW w:w="500" w:type="dxa"/>
            <w:vAlign w:val="bottom"/>
            <w:tcBorders>
              <w:bottom w:val="single" w:sz="8" w:color="auto"/>
            </w:tcBorders>
          </w:tcPr>
          <w:p>
            <w:pPr>
              <w:spacing w:after="0"/>
              <w:rPr>
                <w:sz w:val="15"/>
                <w:szCs w:val="15"/>
                <w:color w:val="auto"/>
              </w:rPr>
            </w:pPr>
          </w:p>
        </w:tc>
      </w:tr>
      <w:tr>
        <w:trPr>
          <w:trHeight w:val="174"/>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1"/>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3300" w:type="dxa"/>
            <w:vAlign w:val="bottom"/>
          </w:tcPr>
          <w:p>
            <w:pPr>
              <w:ind w:left="340"/>
              <w:spacing w:after="0"/>
              <w:rPr>
                <w:sz w:val="20"/>
                <w:szCs w:val="20"/>
                <w:color w:val="auto"/>
              </w:rPr>
            </w:pPr>
            <w:r>
              <w:rPr>
                <w:rFonts w:ascii="Arial" w:cs="Arial" w:eastAsia="Arial" w:hAnsi="Arial"/>
                <w:sz w:val="17"/>
                <w:szCs w:val="17"/>
                <w:color w:val="auto"/>
              </w:rPr>
              <w:t>Net basis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93,374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82 %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41,856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152,370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78,151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99 %</w:t>
            </w:r>
          </w:p>
        </w:tc>
      </w:tr>
      <w:tr>
        <w:trPr>
          <w:trHeight w:val="220"/>
        </w:trPr>
        <w:tc>
          <w:tcPr>
            <w:tcW w:w="3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basis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22,886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r>
      <w:tr>
        <w:trPr>
          <w:trHeight w:val="213"/>
        </w:trPr>
        <w:tc>
          <w:tcPr>
            <w:tcW w:w="3300" w:type="dxa"/>
            <w:vAlign w:val="bottom"/>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114,541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42,348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175,256</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78,643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100 %</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our revenue by channel for the three and six months ended June 30, 2021 and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Borders>
              <w:bottom w:val="single" w:sz="8" w:color="auto"/>
            </w:tcBorders>
          </w:tcPr>
          <w:p>
            <w:pPr>
              <w:spacing w:after="0"/>
              <w:rPr>
                <w:sz w:val="16"/>
                <w:szCs w:val="16"/>
                <w:color w:val="auto"/>
              </w:rPr>
            </w:pPr>
          </w:p>
        </w:tc>
      </w:tr>
      <w:tr>
        <w:trPr>
          <w:trHeight w:val="179"/>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June 30, 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0"/>
              </w:rPr>
              <w:t>June 30, 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June 30, 2020</w:t>
            </w:r>
          </w:p>
        </w:tc>
        <w:tc>
          <w:tcPr>
            <w:tcW w:w="500" w:type="dxa"/>
            <w:vAlign w:val="bottom"/>
            <w:tcBorders>
              <w:bottom w:val="single" w:sz="8" w:color="auto"/>
            </w:tcBorders>
          </w:tcPr>
          <w:p>
            <w:pPr>
              <w:spacing w:after="0"/>
              <w:rPr>
                <w:sz w:val="15"/>
                <w:szCs w:val="15"/>
                <w:color w:val="auto"/>
              </w:rPr>
            </w:pPr>
          </w:p>
        </w:tc>
      </w:tr>
      <w:tr>
        <w:trPr>
          <w:trHeight w:val="174"/>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7"/>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1"/>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3300" w:type="dxa"/>
            <w:vAlign w:val="bottom"/>
          </w:tcPr>
          <w:p>
            <w:pPr>
              <w:ind w:left="340"/>
              <w:spacing w:after="0"/>
              <w:rPr>
                <w:sz w:val="20"/>
                <w:szCs w:val="20"/>
                <w:color w:val="auto"/>
              </w:rPr>
            </w:pPr>
            <w:r>
              <w:rPr>
                <w:rFonts w:ascii="Arial" w:cs="Arial" w:eastAsia="Arial" w:hAnsi="Arial"/>
                <w:sz w:val="17"/>
                <w:szCs w:val="17"/>
                <w:color w:val="auto"/>
              </w:rPr>
              <w:t>CTV</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40 %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57,155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20"/>
        </w:trPr>
        <w:tc>
          <w:tcPr>
            <w:tcW w:w="3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Desktop</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39</w:t>
            </w:r>
          </w:p>
        </w:tc>
      </w:tr>
      <w:tr>
        <w:trPr>
          <w:trHeight w:val="220"/>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Mobile</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40,620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51</w:t>
            </w:r>
          </w:p>
        </w:tc>
      </w:tr>
      <w:tr>
        <w:trPr>
          <w:trHeight w:val="23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114,541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42,348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175,256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78,643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100 %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60" w:type="dxa"/>
            <w:vAlign w:val="bottom"/>
            <w:gridSpan w:val="4"/>
          </w:tcPr>
          <w:p>
            <w:pPr>
              <w:jc w:val="right"/>
              <w:ind w:right="798"/>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6"/>
              </w:rPr>
              <w:t>June 30, 2020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6"/>
              </w:rPr>
              <w:t>June 30, 2020</w:t>
            </w:r>
          </w:p>
        </w:tc>
      </w:tr>
      <w:tr>
        <w:trPr>
          <w:trHeight w:val="174"/>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1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38"/>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133,211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56,120</w:t>
            </w:r>
          </w:p>
        </w:tc>
      </w:tr>
      <w:tr>
        <w:trPr>
          <w:trHeight w:val="22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42,045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22,523</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175,256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78,643</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5" w:lineRule="exact"/>
        <w:rPr>
          <w:sz w:val="20"/>
          <w:szCs w:val="20"/>
          <w:color w:val="auto"/>
        </w:rPr>
      </w:pPr>
    </w:p>
    <w:p>
      <w:pPr>
        <w:ind w:right="160" w:firstLine="621"/>
        <w:spacing w:after="0" w:line="301" w:lineRule="auto"/>
        <w:rPr>
          <w:sz w:val="20"/>
          <w:szCs w:val="20"/>
          <w:color w:val="auto"/>
        </w:rPr>
      </w:pPr>
      <w:r>
        <w:rPr>
          <w:rFonts w:ascii="Arial" w:cs="Arial" w:eastAsia="Arial" w:hAnsi="Arial"/>
          <w:sz w:val="15"/>
          <w:szCs w:val="15"/>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$3.3 million at June 30, 2021, and $2.4 million at December 31, 2020. Accounts receivable are written off against the allowance for doubtful accounts when the Company determines amounts are no longer collectible.</w:t>
      </w:r>
    </w:p>
    <w:p>
      <w:pPr>
        <w:spacing w:after="0" w:line="47" w:lineRule="exact"/>
        <w:rPr>
          <w:sz w:val="20"/>
          <w:szCs w:val="20"/>
          <w:color w:val="auto"/>
        </w:rPr>
      </w:pPr>
    </w:p>
    <w:p>
      <w:pPr>
        <w:ind w:right="40" w:firstLine="621"/>
        <w:spacing w:after="0" w:line="293"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$2.2 million and $1.5 million as of June 30, 2021 and December 31, 2020, respectively.</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activity in the allowance for doubtful accounts for the three and six months ended June 30, 2021 and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34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6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0"/>
              </w:rPr>
              <w:t>June 30, 2020</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0"/>
              </w:rPr>
              <w:t>June 30, 2020</w:t>
            </w:r>
          </w:p>
        </w:tc>
      </w:tr>
      <w:tr>
        <w:trPr>
          <w:trHeight w:val="179"/>
        </w:trPr>
        <w:tc>
          <w:tcPr>
            <w:tcW w:w="6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34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 Beginning Balance December 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r>
      <w:tr>
        <w:trPr>
          <w:trHeight w:val="220"/>
        </w:trPr>
        <w:tc>
          <w:tcPr>
            <w:tcW w:w="6260" w:type="dxa"/>
            <w:vAlign w:val="bottom"/>
          </w:tcPr>
          <w:p>
            <w:pPr>
              <w:ind w:left="20"/>
              <w:spacing w:after="0"/>
              <w:rPr>
                <w:sz w:val="20"/>
                <w:szCs w:val="20"/>
                <w:color w:val="auto"/>
              </w:rPr>
            </w:pPr>
            <w:r>
              <w:rPr>
                <w:rFonts w:ascii="Arial" w:cs="Arial" w:eastAsia="Arial" w:hAnsi="Arial"/>
                <w:sz w:val="17"/>
                <w:szCs w:val="17"/>
                <w:color w:val="auto"/>
              </w:rPr>
              <w:t>Allowance for doubtful accounts, Merger-assumed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1,033</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w:t>
            </w:r>
          </w:p>
        </w:tc>
      </w:tr>
      <w:tr>
        <w:trPr>
          <w:trHeight w:val="220"/>
        </w:trPr>
        <w:tc>
          <w:tcPr>
            <w:tcW w:w="6260" w:type="dxa"/>
            <w:vAlign w:val="bottom"/>
          </w:tcPr>
          <w:p>
            <w:pPr>
              <w:ind w:left="20"/>
              <w:spacing w:after="0"/>
              <w:rPr>
                <w:sz w:val="20"/>
                <w:szCs w:val="20"/>
                <w:color w:val="auto"/>
              </w:rPr>
            </w:pPr>
            <w:r>
              <w:rPr>
                <w:rFonts w:ascii="Arial" w:cs="Arial" w:eastAsia="Arial" w:hAnsi="Arial"/>
                <w:sz w:val="17"/>
                <w:szCs w:val="17"/>
                <w:color w:val="auto"/>
              </w:rPr>
              <w:t>Increase (decrease) in provision for expected credit losses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1,715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2,128</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 of previous write-offs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6260" w:type="dxa"/>
            <w:vAlign w:val="bottom"/>
          </w:tcPr>
          <w:p>
            <w:pPr>
              <w:ind w:left="20"/>
              <w:spacing w:after="0"/>
              <w:rPr>
                <w:sz w:val="20"/>
                <w:szCs w:val="20"/>
                <w:color w:val="auto"/>
              </w:rPr>
            </w:pPr>
            <w:r>
              <w:rPr>
                <w:rFonts w:ascii="Arial" w:cs="Arial" w:eastAsia="Arial" w:hAnsi="Arial"/>
                <w:sz w:val="17"/>
                <w:szCs w:val="17"/>
                <w:color w:val="auto"/>
              </w:rPr>
              <w:t>Allowance for doubtful accounts, June 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4,672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4,672</w:t>
            </w: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00" w:firstLine="621"/>
        <w:spacing w:after="0" w:line="260" w:lineRule="auto"/>
        <w:rPr>
          <w:sz w:val="20"/>
          <w:szCs w:val="20"/>
          <w:color w:val="auto"/>
        </w:rPr>
      </w:pPr>
      <w:r>
        <w:rPr>
          <w:rFonts w:ascii="Arial" w:cs="Arial" w:eastAsia="Arial" w:hAnsi="Arial"/>
          <w:sz w:val="17"/>
          <w:szCs w:val="17"/>
          <w:color w:val="auto"/>
        </w:rPr>
        <w:t>During the three and six months ended June 30, 2021, the provision for expected credit losses associated with accounts receivable increased by $1.4 million and $0.5 million was offset by decreases of contra seller payables related to recoveries of uncollected buyer receivables of $1.4 million and $0.7 million, which resulted in an immaterial amount and $(0.2) million, respectively, of bad debt recoveries. During the three and six months ended June 30, 2020, the provision for expected credit losses associated with accounts receivable of $1.7 million and $2.1 million was offset by increases of contra seller payables related to recoveries of uncollected buyer receivables of $1.7 million and $2.1 million, respectively, which resulted in an immaterial amount of bad debt expense during the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4—Fair Value Measurements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ind w:right="140" w:firstLine="621"/>
        <w:spacing w:after="0" w:line="261" w:lineRule="auto"/>
        <w:rPr>
          <w:sz w:val="20"/>
          <w:szCs w:val="20"/>
          <w:color w:val="auto"/>
        </w:rPr>
      </w:pPr>
      <w:r>
        <w:rPr>
          <w:rFonts w:ascii="Arial" w:cs="Arial" w:eastAsia="Arial" w:hAnsi="Arial"/>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0" w:lineRule="exact"/>
        <w:rPr>
          <w:sz w:val="20"/>
          <w:szCs w:val="20"/>
          <w:color w:val="auto"/>
        </w:rPr>
      </w:pPr>
    </w:p>
    <w:p>
      <w:pPr>
        <w:ind w:left="1100" w:right="920" w:hanging="476"/>
        <w:spacing w:after="0" w:line="283" w:lineRule="auto"/>
        <w:tabs>
          <w:tab w:leader="none" w:pos="109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Quoted prices (unadjusted) in active markets for identical assets or liabilities that the Company has the ability to access at the measurement date.</w:t>
      </w:r>
    </w:p>
    <w:p>
      <w:pPr>
        <w:spacing w:after="0" w:line="43" w:lineRule="exact"/>
        <w:rPr>
          <w:rFonts w:ascii="Arial" w:cs="Arial" w:eastAsia="Arial" w:hAnsi="Arial"/>
          <w:sz w:val="17"/>
          <w:szCs w:val="17"/>
          <w:color w:val="auto"/>
        </w:rPr>
      </w:pPr>
    </w:p>
    <w:p>
      <w:pPr>
        <w:ind w:left="1080" w:hanging="456"/>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2" w:lineRule="exact"/>
        <w:rPr>
          <w:rFonts w:ascii="Arial" w:cs="Arial" w:eastAsia="Arial" w:hAnsi="Arial"/>
          <w:sz w:val="17"/>
          <w:szCs w:val="17"/>
          <w:color w:val="auto"/>
        </w:rPr>
      </w:pPr>
    </w:p>
    <w:p>
      <w:pPr>
        <w:ind w:left="1080" w:hanging="456"/>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w:t>
      </w:r>
    </w:p>
    <w:p>
      <w:pPr>
        <w:spacing w:after="0" w:line="1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June 30, 2021:</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Quoted Prices in</w:t>
            </w:r>
          </w:p>
        </w:tc>
        <w:tc>
          <w:tcPr>
            <w:tcW w:w="2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Significant Other</w:t>
            </w:r>
          </w:p>
        </w:tc>
        <w:tc>
          <w:tcPr>
            <w:tcW w:w="5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w:t>
            </w: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5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vMerge w:val="restart"/>
          </w:tcPr>
          <w:p>
            <w:pPr>
              <w:jc w:val="right"/>
              <w:ind w:right="662"/>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540" w:type="dxa"/>
            <w:vAlign w:val="bottom"/>
          </w:tcPr>
          <w:p>
            <w:pPr>
              <w:spacing w:after="0"/>
              <w:rPr>
                <w:sz w:val="11"/>
                <w:szCs w:val="11"/>
                <w:color w:val="auto"/>
              </w:rPr>
            </w:pPr>
          </w:p>
        </w:tc>
        <w:tc>
          <w:tcPr>
            <w:tcW w:w="2160" w:type="dxa"/>
            <w:vAlign w:val="bottom"/>
          </w:tcPr>
          <w:p>
            <w:pPr>
              <w:jc w:val="center"/>
              <w:ind w:left="288"/>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540" w:type="dxa"/>
            <w:vAlign w:val="bottom"/>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Unobservable Input</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1"/>
              </w:rPr>
              <w:t>(Level 1)</w:t>
            </w:r>
          </w:p>
        </w:tc>
        <w:tc>
          <w:tcPr>
            <w:tcW w:w="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(Level 2)</w:t>
            </w:r>
          </w:p>
        </w:tc>
        <w:tc>
          <w:tcPr>
            <w:tcW w:w="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jc w:val="right"/>
              <w:ind w:right="1128"/>
              <w:spacing w:after="0"/>
              <w:rPr>
                <w:sz w:val="20"/>
                <w:szCs w:val="20"/>
                <w:color w:val="auto"/>
              </w:rPr>
            </w:pPr>
            <w:r>
              <w:rPr>
                <w:rFonts w:ascii="Arial" w:cs="Arial" w:eastAsia="Arial" w:hAnsi="Arial"/>
                <w:sz w:val="14"/>
                <w:szCs w:val="14"/>
                <w:b w:val="1"/>
                <w:bCs w:val="1"/>
                <w:color w:val="auto"/>
                <w:w w:val="97"/>
              </w:rPr>
              <w:t>(in thousands)</w:t>
            </w:r>
          </w:p>
        </w:tc>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7,869</w:t>
            </w:r>
          </w:p>
        </w:tc>
        <w:tc>
          <w:tcPr>
            <w:tcW w:w="1500" w:type="dxa"/>
            <w:vAlign w:val="bottom"/>
            <w:shd w:val="clear" w:color="auto" w:fill="CCEEFF"/>
          </w:tcPr>
          <w:p>
            <w:pPr>
              <w:jc w:val="right"/>
              <w:ind w:right="86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8"/>
              </w:rPr>
              <w:t>7,869</w:t>
            </w:r>
          </w:p>
        </w:tc>
        <w:tc>
          <w:tcPr>
            <w:tcW w:w="2160" w:type="dxa"/>
            <w:vAlign w:val="bottom"/>
            <w:shd w:val="clear" w:color="auto" w:fill="CCEEFF"/>
          </w:tcPr>
          <w:p>
            <w:pPr>
              <w:jc w:val="right"/>
              <w:ind w:right="130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76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2020:</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Quoted Prices in</w:t>
            </w:r>
          </w:p>
        </w:tc>
        <w:tc>
          <w:tcPr>
            <w:tcW w:w="2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Significant Other</w:t>
            </w:r>
          </w:p>
        </w:tc>
        <w:tc>
          <w:tcPr>
            <w:tcW w:w="5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5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540" w:type="dxa"/>
            <w:vAlign w:val="bottom"/>
          </w:tcPr>
          <w:p>
            <w:pPr>
              <w:spacing w:after="0"/>
              <w:rPr>
                <w:sz w:val="11"/>
                <w:szCs w:val="11"/>
                <w:color w:val="auto"/>
              </w:rPr>
            </w:pPr>
          </w:p>
        </w:tc>
        <w:tc>
          <w:tcPr>
            <w:tcW w:w="2160" w:type="dxa"/>
            <w:vAlign w:val="bottom"/>
          </w:tcPr>
          <w:p>
            <w:pPr>
              <w:jc w:val="center"/>
              <w:ind w:left="268"/>
              <w:spacing w:after="0" w:line="129" w:lineRule="exact"/>
              <w:rPr>
                <w:sz w:val="20"/>
                <w:szCs w:val="20"/>
                <w:color w:val="auto"/>
              </w:rPr>
            </w:pPr>
            <w:r>
              <w:rPr>
                <w:rFonts w:ascii="Arial" w:cs="Arial" w:eastAsia="Arial" w:hAnsi="Arial"/>
                <w:sz w:val="14"/>
                <w:szCs w:val="14"/>
                <w:b w:val="1"/>
                <w:bCs w:val="1"/>
                <w:color w:val="auto"/>
                <w:w w:val="90"/>
              </w:rPr>
              <w:t>Observable Inputs</w:t>
            </w:r>
          </w:p>
        </w:tc>
        <w:tc>
          <w:tcPr>
            <w:tcW w:w="54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Unobservable Input</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7"/>
              </w:rPr>
              <w:t>(Level 1)</w:t>
            </w:r>
          </w:p>
        </w:tc>
        <w:tc>
          <w:tcPr>
            <w:tcW w:w="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jc w:val="right"/>
              <w:ind w:right="1148"/>
              <w:spacing w:after="0"/>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rPr>
              <w:t>7,868</w:t>
            </w:r>
          </w:p>
        </w:tc>
        <w:tc>
          <w:tcPr>
            <w:tcW w:w="1500" w:type="dxa"/>
            <w:vAlign w:val="bottom"/>
            <w:shd w:val="clear" w:color="auto" w:fill="CCEEFF"/>
          </w:tcPr>
          <w:p>
            <w:pPr>
              <w:jc w:val="right"/>
              <w:ind w:right="88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3"/>
              </w:rPr>
              <w:t>7,868</w:t>
            </w:r>
          </w:p>
        </w:tc>
        <w:tc>
          <w:tcPr>
            <w:tcW w:w="2160" w:type="dxa"/>
            <w:vAlign w:val="bottom"/>
            <w:shd w:val="clear" w:color="auto" w:fill="CCEEFF"/>
          </w:tcPr>
          <w:p>
            <w:pPr>
              <w:jc w:val="right"/>
              <w:ind w:right="130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80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right="400" w:firstLine="621"/>
        <w:spacing w:after="0" w:line="293" w:lineRule="auto"/>
        <w:rPr>
          <w:sz w:val="20"/>
          <w:szCs w:val="20"/>
          <w:color w:val="auto"/>
        </w:rPr>
      </w:pPr>
      <w:r>
        <w:rPr>
          <w:rFonts w:ascii="Arial" w:cs="Arial" w:eastAsia="Arial" w:hAnsi="Arial"/>
          <w:sz w:val="16"/>
          <w:szCs w:val="16"/>
          <w:color w:val="auto"/>
        </w:rPr>
        <w:t>At June 30, 2021 and December 31, 2020, cash equivalents of $7.9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38" w:lineRule="exact"/>
        <w:rPr>
          <w:sz w:val="20"/>
          <w:szCs w:val="20"/>
          <w:color w:val="auto"/>
        </w:rPr>
      </w:pPr>
    </w:p>
    <w:p>
      <w:pPr>
        <w:jc w:val="both"/>
        <w:ind w:right="240" w:firstLine="621"/>
        <w:spacing w:after="0" w:line="268" w:lineRule="auto"/>
        <w:rPr>
          <w:sz w:val="20"/>
          <w:szCs w:val="20"/>
          <w:color w:val="auto"/>
        </w:rPr>
      </w:pPr>
      <w:r>
        <w:rPr>
          <w:rFonts w:ascii="Arial" w:cs="Arial" w:eastAsia="Arial" w:hAnsi="Arial"/>
          <w:sz w:val="17"/>
          <w:szCs w:val="17"/>
          <w:color w:val="auto"/>
        </w:rPr>
        <w:t>At June 30, 2021, the Company had Convertible Notes included in its balance sheet. The estimated fair value of the Company's Convertible Notes was $354.4 million as of June 30, 2021. The estimated fair value of Convertible Notes is based on market rates and the closing trading price of the Convertible Notes as of June 30, 2021 and is classified as Level 2 in the fair value hierarchy.</w:t>
      </w:r>
    </w:p>
    <w:p>
      <w:pPr>
        <w:spacing w:after="0" w:line="44"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There were no transfers between Level 1 and Level 2 fair value measurements during the six months ended June 30, 2021 and the year ended December 31, 2020.</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5—Other Balance Sheet Amounts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expenses included the following:</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1"/>
              </w:rPr>
              <w:t>December 31, 2020</w:t>
            </w:r>
          </w:p>
        </w:tc>
      </w:tr>
      <w:tr>
        <w:trPr>
          <w:trHeight w:val="179"/>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4"/>
          </w:tcPr>
          <w:p>
            <w:pPr>
              <w:jc w:val="right"/>
              <w:ind w:right="1137"/>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payable—seller</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492,605</w:t>
            </w:r>
          </w:p>
        </w:tc>
      </w:tr>
      <w:tr>
        <w:trPr>
          <w:trHeight w:val="220"/>
        </w:trPr>
        <w:tc>
          <w:tcPr>
            <w:tcW w:w="7960" w:type="dxa"/>
            <w:vAlign w:val="bottom"/>
          </w:tcPr>
          <w:p>
            <w:pPr>
              <w:ind w:left="20"/>
              <w:spacing w:after="0"/>
              <w:rPr>
                <w:sz w:val="20"/>
                <w:szCs w:val="20"/>
                <w:color w:val="auto"/>
              </w:rPr>
            </w:pPr>
            <w:r>
              <w:rPr>
                <w:rFonts w:ascii="Arial" w:cs="Arial" w:eastAsia="Arial" w:hAnsi="Arial"/>
                <w:sz w:val="17"/>
                <w:szCs w:val="17"/>
                <w:color w:val="auto"/>
              </w:rPr>
              <w:t>Accounts payable—trade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16,788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4,268</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employee-related payables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12,442</w:t>
            </w:r>
          </w:p>
        </w:tc>
      </w:tr>
      <w:tr>
        <w:trPr>
          <w:trHeight w:val="213"/>
        </w:trPr>
        <w:tc>
          <w:tcPr>
            <w:tcW w:w="7960" w:type="dxa"/>
            <w:vAlign w:val="bottom"/>
          </w:tcPr>
          <w:p>
            <w:pPr>
              <w:ind w:left="2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844,045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509,315</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Restricted cash was $0.3 million and $0.1 million at June 30, 2021 and December 31, 2020, respectively, which was included within other assets, non-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current.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6—Goodwill, Intangible Assets, and Capitalized Costs Incurred in Cloud Computing Arrangements</w:t>
      </w:r>
    </w:p>
    <w:p>
      <w:pPr>
        <w:spacing w:after="0" w:line="199" w:lineRule="exact"/>
        <w:rPr>
          <w:sz w:val="20"/>
          <w:szCs w:val="20"/>
          <w:color w:val="auto"/>
        </w:rPr>
      </w:pPr>
    </w:p>
    <w:p>
      <w:pPr>
        <w:ind w:right="160" w:firstLine="621"/>
        <w:spacing w:after="0" w:line="283" w:lineRule="auto"/>
        <w:rPr>
          <w:sz w:val="20"/>
          <w:szCs w:val="20"/>
          <w:color w:val="auto"/>
        </w:rPr>
      </w:pPr>
      <w:r>
        <w:rPr>
          <w:rFonts w:ascii="Arial" w:cs="Arial" w:eastAsia="Arial" w:hAnsi="Arial"/>
          <w:sz w:val="17"/>
          <w:szCs w:val="17"/>
          <w:color w:val="auto"/>
        </w:rPr>
        <w:t>The Company's goodwill balance as of June 30, 2021 and December 31, 2020 was $945.7 million and $158.1 million, respectively. The increase during the six months ended June 30, 2021 was a result of the SpotX Acquisition (see Note 7).</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intangible assets as of June 30, 2021 and December 31, 2020 included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December 31, 2020</w:t>
            </w:r>
          </w:p>
        </w:tc>
      </w:tr>
      <w:tr>
        <w:trPr>
          <w:trHeight w:val="179"/>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20" w:type="dxa"/>
            <w:vAlign w:val="bottom"/>
            <w:gridSpan w:val="4"/>
          </w:tcPr>
          <w:p>
            <w:pPr>
              <w:jc w:val="right"/>
              <w:ind w:right="1235"/>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Amortizable intangible assets: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Developed technology</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359,558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77,658</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relationships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37,950</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In-process research and development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13,830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8,030</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Backlog</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Non-compete agreements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Trademarks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identifiable intangible assets, gross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554,808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123,708</w:t>
            </w:r>
          </w:p>
        </w:tc>
      </w:tr>
      <w:tr>
        <w:trPr>
          <w:trHeight w:val="20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amortization—intangible assets:</w:t>
            </w: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Developed technology</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(38,793)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(21,905)</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relationships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(11,877)</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In-process research and development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Backlog</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Non-compete agreements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Trademarks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amortization—intangible assets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(33,824)</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89,884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right="120" w:firstLine="582"/>
        <w:spacing w:after="0" w:line="283" w:lineRule="auto"/>
        <w:rPr>
          <w:sz w:val="20"/>
          <w:szCs w:val="20"/>
          <w:color w:val="auto"/>
        </w:rPr>
      </w:pPr>
      <w:r>
        <w:rPr>
          <w:rFonts w:ascii="Arial" w:cs="Arial" w:eastAsia="Arial" w:hAnsi="Arial"/>
          <w:sz w:val="17"/>
          <w:szCs w:val="17"/>
          <w:color w:val="auto"/>
        </w:rPr>
        <w:t>Amortization of intangible assets for the three months ended June 30, 2021 and 2020 was $29.5 million and $8.0 million, respectively, and $37.1 million and $9.1 million for the six months ended June 30, 2021 and 2020, respectively.</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June 30,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Amount</w:t>
            </w:r>
          </w:p>
        </w:tc>
      </w:tr>
      <w:tr>
        <w:trPr>
          <w:trHeight w:val="179"/>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8"/>
              <w:spacing w:after="0"/>
              <w:rPr>
                <w:sz w:val="20"/>
                <w:szCs w:val="20"/>
                <w:color w:val="auto"/>
              </w:rPr>
            </w:pPr>
            <w:r>
              <w:rPr>
                <w:rFonts w:ascii="Arial" w:cs="Arial" w:eastAsia="Arial" w:hAnsi="Arial"/>
                <w:sz w:val="14"/>
                <w:szCs w:val="14"/>
                <w:b w:val="1"/>
                <w:bCs w:val="1"/>
                <w:color w:val="auto"/>
                <w:w w:val="97"/>
              </w:rPr>
              <w:t>(in thousands)</w:t>
            </w:r>
          </w:p>
        </w:tc>
      </w:tr>
      <w:tr>
        <w:trPr>
          <w:trHeight w:val="221"/>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81,666</w:t>
            </w:r>
          </w:p>
        </w:tc>
      </w:tr>
      <w:tr>
        <w:trPr>
          <w:trHeight w:val="220"/>
        </w:trPr>
        <w:tc>
          <w:tcPr>
            <w:tcW w:w="966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140,945</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97,079</w:t>
            </w:r>
          </w:p>
        </w:tc>
      </w:tr>
      <w:tr>
        <w:trPr>
          <w:trHeight w:val="220"/>
        </w:trPr>
        <w:tc>
          <w:tcPr>
            <w:tcW w:w="966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80,995</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63,818</w:t>
            </w:r>
          </w:p>
        </w:tc>
      </w:tr>
      <w:tr>
        <w:trPr>
          <w:trHeight w:val="22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19,351</w:t>
            </w:r>
          </w:p>
        </w:tc>
      </w:tr>
      <w:tr>
        <w:trPr>
          <w:trHeight w:val="23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483,854</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firstLine="621"/>
        <w:spacing w:after="0" w:line="281" w:lineRule="auto"/>
        <w:rPr>
          <w:sz w:val="20"/>
          <w:szCs w:val="20"/>
          <w:color w:val="auto"/>
        </w:rPr>
      </w:pPr>
      <w:r>
        <w:rPr>
          <w:rFonts w:ascii="Arial" w:cs="Arial" w:eastAsia="Arial" w:hAnsi="Arial"/>
          <w:sz w:val="16"/>
          <w:szCs w:val="16"/>
          <w:color w:val="auto"/>
        </w:rPr>
        <w:t>During the three and six months ended June 30, 2021, the Company capitalized $0.2 million and $0.6 million, respectively, related to cloud computing arrangements. These costs are related to arrangements for infrastructure as a service, platform as a service, and software as a service. Capitalized costs associated with these arrangements as of June 30, 2021 and December 31, 2020 are included within prepaid expenses and other current assets and other assets, non-current within the condensed consolidated balance sheet in the amounts of $0.3 million and $1.0 million, and $0.2 million and $0.7 million, respectively. The amortization of these agreements was $0.1 million and $0.1 million for the three and six months ended June 30, 2021, respectively.</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7—Business Combinations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2020 Merger—Telaria</w:t>
      </w:r>
    </w:p>
    <w:p>
      <w:pPr>
        <w:spacing w:after="0" w:line="95" w:lineRule="exact"/>
        <w:rPr>
          <w:sz w:val="20"/>
          <w:szCs w:val="20"/>
          <w:color w:val="auto"/>
        </w:rPr>
      </w:pPr>
    </w:p>
    <w:p>
      <w:pPr>
        <w:ind w:right="160" w:firstLine="621"/>
        <w:spacing w:after="0" w:line="283" w:lineRule="auto"/>
        <w:rPr>
          <w:sz w:val="20"/>
          <w:szCs w:val="20"/>
          <w:color w:val="auto"/>
        </w:rPr>
      </w:pPr>
      <w:r>
        <w:rPr>
          <w:rFonts w:ascii="Arial" w:cs="Arial" w:eastAsia="Arial" w:hAnsi="Arial"/>
          <w:sz w:val="17"/>
          <w:szCs w:val="17"/>
          <w:color w:val="auto"/>
        </w:rPr>
        <w:t>On April 1, 2020, the Company completed the Telaria Merger. Management's purchase price allocation was finalized as of March 31, 2021, resulting in no changes from the purchase price allocation as of December 31, 2020.</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102"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The following table provides unaudited pro forma information as if Telaria had been merged with the Company as of January 1, 2019. The unaudited pro forma information reflects adjustments for additional amortization resulting from the fair value adjustments to assets acquired and liabilities assumed, adjustments for alignment of accounting policies, and transaction expenses as if the Telaria Merger occurred on January 1, 2019. The pro forma results do not include any anticipated cost synergies or other effects of the integration for the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88"/>
              </w:rPr>
              <w:t>Six Months Ended</w:t>
            </w:r>
          </w:p>
        </w:tc>
      </w:tr>
      <w:tr>
        <w:trPr>
          <w:trHeight w:val="179"/>
        </w:trPr>
        <w:tc>
          <w:tcPr>
            <w:tcW w:w="92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June 30, 2020</w:t>
            </w:r>
          </w:p>
        </w:tc>
      </w:tr>
      <w:tr>
        <w:trPr>
          <w:trHeight w:val="162"/>
        </w:trPr>
        <w:tc>
          <w:tcPr>
            <w:tcW w:w="9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jc w:val="center"/>
              <w:ind w:right="244"/>
              <w:spacing w:after="0"/>
              <w:rPr>
                <w:sz w:val="20"/>
                <w:szCs w:val="20"/>
                <w:color w:val="auto"/>
              </w:rPr>
            </w:pPr>
            <w:r>
              <w:rPr>
                <w:rFonts w:ascii="Arial" w:cs="Arial" w:eastAsia="Arial" w:hAnsi="Arial"/>
                <w:sz w:val="14"/>
                <w:szCs w:val="14"/>
                <w:b w:val="1"/>
                <w:bCs w:val="1"/>
                <w:color w:val="auto"/>
                <w:w w:val="87"/>
              </w:rPr>
              <w:t>(in thousands)</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Revenue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93,304</w:t>
            </w:r>
          </w:p>
        </w:tc>
      </w:tr>
      <w:tr>
        <w:trPr>
          <w:trHeight w:val="220"/>
        </w:trPr>
        <w:tc>
          <w:tcPr>
            <w:tcW w:w="9280" w:type="dxa"/>
            <w:vAlign w:val="bottom"/>
          </w:tcPr>
          <w:p>
            <w:pPr>
              <w:ind w:left="20"/>
              <w:spacing w:after="0"/>
              <w:rPr>
                <w:sz w:val="20"/>
                <w:szCs w:val="20"/>
                <w:color w:val="auto"/>
              </w:rPr>
            </w:pPr>
            <w:r>
              <w:rPr>
                <w:rFonts w:ascii="Arial" w:cs="Arial" w:eastAsia="Arial" w:hAnsi="Arial"/>
                <w:sz w:val="17"/>
                <w:szCs w:val="17"/>
                <w:color w:val="auto"/>
              </w:rPr>
              <w:t>Pro Forma Net Loss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(67,801)</w:t>
            </w:r>
          </w:p>
        </w:tc>
      </w:tr>
    </w:tbl>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2021 Acquisition—SpotX</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April 30, 2021, the Company completed the SpotX Acquisition, pursuant to a Stock Purchase Agreement, dated as of February 4, 2021 (the "Purchase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Agreement"), by and between the Company and RTL US Holdings, Inc. ("RTL"). The initial purchase price for the SpotX Acquisition was $560 million in cash</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("Cash Consideration") and 14,000,000 shares of the Company's common stock. Per the terms of the Purchase Agreement, at the completion of the Company’s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offering of its Convertible Notes, RTL elected to increase the Cash Consideration by an amount equal to 20% of the gross proceeds of the Convertible Notes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(which amount was equal to $80 million) and to reduce the number of shares of common stock it would otherwise receive by a number of shares of common stock</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equal to 20% of the gross proceeds of the proposed offering of notes ($80 million) divided by the closing price of a share of our common stock on the trading day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date of pricing of the proposed offering of notes ($49.21). As a result of this election, the adjusted purchase price was $1.1 billion, prior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 customary working capital adjustments and other adjustments, consisting of $640 million in cash plus 12,374,315 shares of common stock (based on the fair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value of the Company's common stock on April 30, 2021). The Cash Consideration is subject to customary working capital and other adjustments. The working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 estimate was approximately $65.5 million, including cash balances acquired and other working capital adjustments, resulting in a total purchase price of</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$1.2 billion, subject to final determination in accordance with the Purchase Agreement. The Company financed the Cash Consideration through borrowings under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Term Loan B Facility (Note 15) and the Convertible Senior Notes (Note 14).</w:t>
      </w:r>
    </w:p>
    <w:p>
      <w:pPr>
        <w:spacing w:after="0" w:line="89" w:lineRule="exact"/>
        <w:rPr>
          <w:sz w:val="20"/>
          <w:szCs w:val="20"/>
          <w:color w:val="auto"/>
        </w:rPr>
      </w:pPr>
    </w:p>
    <w:p>
      <w:pPr>
        <w:ind w:right="20" w:firstLine="621"/>
        <w:spacing w:after="0" w:line="277"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0"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45" w:lineRule="exact"/>
        <w:rPr>
          <w:sz w:val="20"/>
          <w:szCs w:val="20"/>
          <w:color w:val="auto"/>
        </w:rPr>
      </w:pPr>
    </w:p>
    <w:p>
      <w:pPr>
        <w:ind w:right="100" w:firstLine="621"/>
        <w:spacing w:after="0" w:line="260" w:lineRule="auto"/>
        <w:rPr>
          <w:sz w:val="20"/>
          <w:szCs w:val="20"/>
          <w:color w:val="auto"/>
        </w:rPr>
      </w:pPr>
      <w:r>
        <w:rPr>
          <w:rFonts w:ascii="Arial" w:cs="Arial" w:eastAsia="Arial" w:hAnsi="Arial"/>
          <w:sz w:val="17"/>
          <w:szCs w:val="17"/>
          <w:color w:val="auto"/>
        </w:rPr>
        <w:t>For purposes of measuring the estimated fair value, where applicable, of the assets acquired and the liabilities assumed as reflected in the unaudited condensed combined financial information,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80" w:type="dxa"/>
            <w:vAlign w:val="bottom"/>
          </w:tcPr>
          <w:p>
            <w:pPr>
              <w:ind w:left="620"/>
              <w:spacing w:after="0"/>
              <w:rPr>
                <w:sz w:val="20"/>
                <w:szCs w:val="20"/>
                <w:color w:val="auto"/>
              </w:rPr>
            </w:pPr>
            <w:r>
              <w:rPr>
                <w:rFonts w:ascii="Arial" w:cs="Arial" w:eastAsia="Arial" w:hAnsi="Arial"/>
                <w:sz w:val="17"/>
                <w:szCs w:val="17"/>
                <w:color w:val="auto"/>
              </w:rPr>
              <w:t>The following table summarizes the total estimated purchase consideration (in thousands):</w:t>
            </w: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36"/>
        </w:trPr>
        <w:tc>
          <w:tcPr>
            <w:tcW w:w="8780" w:type="dxa"/>
            <w:vAlign w:val="bottom"/>
          </w:tcPr>
          <w:p>
            <w:pPr>
              <w:ind w:left="20"/>
              <w:spacing w:after="0"/>
              <w:rPr>
                <w:sz w:val="20"/>
                <w:szCs w:val="20"/>
                <w:color w:val="auto"/>
              </w:rPr>
            </w:pPr>
            <w:r>
              <w:rPr>
                <w:rFonts w:ascii="Arial" w:cs="Arial" w:eastAsia="Arial" w:hAnsi="Arial"/>
                <w:sz w:val="17"/>
                <w:szCs w:val="17"/>
                <w:color w:val="auto"/>
              </w:rPr>
              <w:t>Cash Consideration</w:t>
            </w:r>
          </w:p>
        </w:tc>
        <w:tc>
          <w:tcPr>
            <w:tcW w:w="680" w:type="dxa"/>
            <w:vAlign w:val="bottom"/>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640,000</w:t>
            </w:r>
          </w:p>
        </w:tc>
      </w:t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Consideration (Fair Value of Shares of Magnite common stock)</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495,591</w:t>
            </w:r>
          </w:p>
        </w:tc>
      </w:tr>
      <w:tr>
        <w:trPr>
          <w:trHeight w:val="22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Working capital adjustment, estimated</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65,521</w:t>
            </w:r>
          </w:p>
        </w:tc>
      </w:tr>
      <w:tr>
        <w:trPr>
          <w:trHeight w:val="238"/>
        </w:trPr>
        <w:tc>
          <w:tcPr>
            <w:tcW w:w="8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1,201,112</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right="200" w:firstLine="621"/>
        <w:spacing w:after="0" w:line="264" w:lineRule="auto"/>
        <w:rPr>
          <w:sz w:val="20"/>
          <w:szCs w:val="20"/>
          <w:color w:val="auto"/>
        </w:rPr>
      </w:pPr>
      <w:r>
        <w:rPr>
          <w:rFonts w:ascii="Arial" w:cs="Arial" w:eastAsia="Arial" w:hAnsi="Arial"/>
          <w:sz w:val="17"/>
          <w:szCs w:val="17"/>
          <w:color w:val="auto"/>
        </w:rPr>
        <w:t>The purchase consideration for the SpotX Acquisition included 12,374,315 shares of the Company's common stock with a fair value of approximately $495.6 million, based on the close price of the Company's common stock at closing, as reported on the Nasdaq on April 30, 2021, which was $40.05 per share, and estimated working capital adjustment of $65.5 million, mainly consisting of cash balances acquired on the date of the SpotX Acquisition and other opening balance sheet adjustments.</w:t>
      </w:r>
    </w:p>
    <w:p>
      <w:pPr>
        <w:spacing w:after="0" w:line="136"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fair value of the purchase price was allocated to the identifiable assets acquired and liabilities assumed based upon their estimated fair values as of the date of the SpotX Acquisition as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81,967</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199,649</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Prepaid and other assets, current</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14,236</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5,093</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431,100</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lease asset</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11,775</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787,606</w:t>
            </w:r>
          </w:p>
        </w:tc>
      </w:tr>
      <w:tr>
        <w:trPr>
          <w:trHeight w:val="213"/>
        </w:trPr>
        <w:tc>
          <w:tcPr>
            <w:tcW w:w="8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assets to be acquired</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1,531,625</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205,343</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7,145</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12,394</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 net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105,631</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liabilities to be assumed</w:t>
            </w:r>
          </w:p>
        </w:tc>
        <w:tc>
          <w:tcPr>
            <w:tcW w:w="6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330,513</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preliminary purchase price</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1,201,112</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firstLine="621"/>
        <w:spacing w:after="0" w:line="281" w:lineRule="auto"/>
        <w:rPr>
          <w:sz w:val="20"/>
          <w:szCs w:val="20"/>
          <w:color w:val="auto"/>
        </w:rPr>
      </w:pPr>
      <w:r>
        <w:rPr>
          <w:rFonts w:ascii="Arial" w:cs="Arial" w:eastAsia="Arial" w:hAnsi="Arial"/>
          <w:sz w:val="16"/>
          <w:szCs w:val="16"/>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126"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 following table summarizes the components of the intangible assets and estimated useful lives as of the date of the SpotX Acquisition (dollars in thousands):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281,900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130,300</w:t>
            </w: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 to 4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&lt;1 year</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5,800</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3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 year</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Trademarks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0"/>
              </w:rPr>
              <w:t>&lt;1 year</w:t>
            </w: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acquired</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431,100</w:t>
            </w:r>
          </w:p>
        </w:tc>
        <w:tc>
          <w:tcPr>
            <w:tcW w:w="166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ind w:left="20" w:right="920" w:firstLine="1"/>
        <w:spacing w:after="0" w:line="238" w:lineRule="auto"/>
        <w:tabs>
          <w:tab w:leader="none" w:pos="149" w:val="left"/>
        </w:tabs>
        <w:numPr>
          <w:ilvl w:val="0"/>
          <w:numId w:val="5"/>
        </w:numPr>
        <w:rPr>
          <w:rFonts w:ascii="Arial" w:cs="Arial" w:eastAsia="Arial" w:hAnsi="Arial"/>
          <w:sz w:val="17"/>
          <w:szCs w:val="17"/>
          <w:color w:val="auto"/>
        </w:rPr>
      </w:pPr>
      <w:r>
        <w:rPr>
          <w:rFonts w:ascii="Arial" w:cs="Arial" w:eastAsia="Arial" w:hAnsi="Arial"/>
          <w:sz w:val="17"/>
          <w:szCs w:val="17"/>
          <w:color w:val="auto"/>
        </w:rPr>
        <w:t>In-process research and development consists of six projects with a weighted-average useful life of 3.0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26" w:lineRule="exact"/>
        <w:rPr>
          <w:sz w:val="20"/>
          <w:szCs w:val="20"/>
          <w:color w:val="auto"/>
        </w:rPr>
      </w:pPr>
    </w:p>
    <w:p>
      <w:pPr>
        <w:ind w:right="460" w:firstLine="621"/>
        <w:spacing w:after="0" w:line="320" w:lineRule="auto"/>
        <w:rPr>
          <w:sz w:val="20"/>
          <w:szCs w:val="20"/>
          <w:color w:val="auto"/>
        </w:rPr>
      </w:pPr>
      <w:r>
        <w:rPr>
          <w:rFonts w:ascii="Arial" w:cs="Arial" w:eastAsia="Arial" w:hAnsi="Arial"/>
          <w:sz w:val="15"/>
          <w:szCs w:val="15"/>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99" w:lineRule="exact"/>
        <w:rPr>
          <w:sz w:val="20"/>
          <w:szCs w:val="20"/>
          <w:color w:val="auto"/>
        </w:rPr>
      </w:pPr>
    </w:p>
    <w:p>
      <w:pPr>
        <w:ind w:right="280" w:firstLine="621"/>
        <w:spacing w:after="0" w:line="209" w:lineRule="exact"/>
        <w:rPr>
          <w:sz w:val="20"/>
          <w:szCs w:val="20"/>
          <w:color w:val="auto"/>
        </w:rPr>
      </w:pPr>
      <w:r>
        <w:rPr>
          <w:rFonts w:ascii="Arial" w:cs="Arial" w:eastAsia="Arial" w:hAnsi="Arial"/>
          <w:sz w:val="17"/>
          <w:szCs w:val="17"/>
          <w:color w:val="auto"/>
        </w:rPr>
        <w:t>The Company used the Loss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59" w:lineRule="exact"/>
        <w:rPr>
          <w:sz w:val="20"/>
          <w:szCs w:val="20"/>
          <w:color w:val="auto"/>
        </w:rPr>
      </w:pPr>
    </w:p>
    <w:p>
      <w:pPr>
        <w:jc w:val="both"/>
        <w:ind w:right="280" w:firstLine="621"/>
        <w:spacing w:after="0" w:line="264" w:lineRule="auto"/>
        <w:rPr>
          <w:sz w:val="20"/>
          <w:szCs w:val="20"/>
          <w:color w:val="auto"/>
        </w:rPr>
      </w:pPr>
      <w:r>
        <w:rPr>
          <w:rFonts w:ascii="Arial" w:cs="Arial" w:eastAsia="Arial" w:hAnsi="Arial"/>
          <w:sz w:val="17"/>
          <w:szCs w:val="17"/>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49" w:lineRule="exact"/>
        <w:rPr>
          <w:sz w:val="20"/>
          <w:szCs w:val="20"/>
          <w:color w:val="auto"/>
        </w:rPr>
      </w:pPr>
    </w:p>
    <w:p>
      <w:pPr>
        <w:ind w:right="320" w:firstLine="621"/>
        <w:spacing w:after="0" w:line="211" w:lineRule="exact"/>
        <w:rPr>
          <w:sz w:val="20"/>
          <w:szCs w:val="20"/>
          <w:color w:val="auto"/>
        </w:rPr>
      </w:pPr>
      <w:r>
        <w:rPr>
          <w:rFonts w:ascii="Arial" w:cs="Arial" w:eastAsia="Arial" w:hAnsi="Arial"/>
          <w:sz w:val="16"/>
          <w:szCs w:val="16"/>
          <w:color w:val="auto"/>
        </w:rPr>
        <w:t>The fair value of the trademarks was based on the Income Approach, specifically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57" w:lineRule="exact"/>
        <w:rPr>
          <w:sz w:val="20"/>
          <w:szCs w:val="20"/>
          <w:color w:val="auto"/>
        </w:rPr>
      </w:pPr>
    </w:p>
    <w:p>
      <w:pPr>
        <w:ind w:right="300" w:firstLine="621"/>
        <w:spacing w:after="0" w:line="281" w:lineRule="auto"/>
        <w:rPr>
          <w:sz w:val="20"/>
          <w:szCs w:val="20"/>
          <w:color w:val="auto"/>
        </w:rPr>
      </w:pPr>
      <w:r>
        <w:rPr>
          <w:rFonts w:ascii="Arial" w:cs="Arial" w:eastAsia="Arial" w:hAnsi="Arial"/>
          <w:sz w:val="16"/>
          <w:szCs w:val="16"/>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condensed consolidated statement of operations. Once the projects associated with acquired in-process research and development are completed, amortization will be included in cost of revenues in the condensed consolidated statement of operations. The intangible assets generated in the SpotX Acquisition are not tax deductible.</w:t>
      </w:r>
    </w:p>
    <w:p>
      <w:pPr>
        <w:spacing w:after="0" w:line="126" w:lineRule="exact"/>
        <w:rPr>
          <w:sz w:val="20"/>
          <w:szCs w:val="20"/>
          <w:color w:val="auto"/>
        </w:rPr>
      </w:pPr>
    </w:p>
    <w:p>
      <w:pPr>
        <w:jc w:val="both"/>
        <w:ind w:right="60" w:firstLine="621"/>
        <w:spacing w:after="0" w:line="264" w:lineRule="auto"/>
        <w:rPr>
          <w:sz w:val="20"/>
          <w:szCs w:val="20"/>
          <w:color w:val="auto"/>
        </w:rPr>
      </w:pPr>
      <w:r>
        <w:rPr>
          <w:rFonts w:ascii="Arial" w:cs="Arial" w:eastAsia="Arial" w:hAnsi="Arial"/>
          <w:sz w:val="17"/>
          <w:szCs w:val="17"/>
          <w:color w:val="auto"/>
        </w:rPr>
        <w:t>In connection with the SpotX Acquisition, the Company recorded deferred tax liabilities related to definite-lived intangible assets that were acquired of $113.4 million. As a result of this deferred tax liability balance, the Company reduced its deferred tax asset valuation allowance by $56.2 million. Such reduction was recognized as an income tax benefit in the condensed consolidated statement of operations for the six months ended June 30, 2021. The deferred tax liability was calculated based on an estimated combined tax rate of 26.3%.</w:t>
      </w:r>
    </w:p>
    <w:p>
      <w:pPr>
        <w:spacing w:after="0" w:line="149" w:lineRule="exact"/>
        <w:rPr>
          <w:sz w:val="20"/>
          <w:szCs w:val="20"/>
          <w:color w:val="auto"/>
        </w:rPr>
      </w:pPr>
    </w:p>
    <w:p>
      <w:pPr>
        <w:ind w:right="640" w:firstLine="621"/>
        <w:spacing w:after="0" w:line="268" w:lineRule="auto"/>
        <w:rPr>
          <w:sz w:val="20"/>
          <w:szCs w:val="20"/>
          <w:color w:val="auto"/>
        </w:rPr>
      </w:pPr>
      <w:r>
        <w:rPr>
          <w:rFonts w:ascii="Arial" w:cs="Arial" w:eastAsia="Arial" w:hAnsi="Arial"/>
          <w:sz w:val="17"/>
          <w:szCs w:val="17"/>
          <w:color w:val="auto"/>
        </w:rPr>
        <w:t>The Company recognized approximately $25.0 million and $27.1 million of acquisition related costs included in the "Merger, acquisition, and restructuring costs" in the Company's condensed consolidated statement of operations during the three and six months ended June 30, 2021 related to the SpotX Acquisition.</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102"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The following table provides unaudited pro forma information as if the SpotX Acquisition had been acquired by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Acquisition occurred on January 1, 2020. The pro forma results do not include any anticipated cost synergies or other effects of the combined companies. Accordingly, pro forma amounts are not necessarily indicative of the results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that actually would have occurred had the acquisition been completed on the dates indicated, nor is it indicative of the future operating results of the combined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3480" w:type="dxa"/>
            <w:vAlign w:val="bottom"/>
            <w:gridSpan w:val="3"/>
          </w:tcPr>
          <w:p>
            <w:pPr>
              <w:ind w:left="1060"/>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39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June 30, 2020</w:t>
            </w:r>
          </w:p>
        </w:tc>
      </w:tr>
      <w:tr>
        <w:trPr>
          <w:trHeight w:val="174"/>
        </w:trPr>
        <w:tc>
          <w:tcPr>
            <w:tcW w:w="39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r>
      <w:tr>
        <w:trPr>
          <w:trHeight w:val="221"/>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Revenue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ind w:left="780"/>
              <w:spacing w:after="0"/>
              <w:rPr>
                <w:sz w:val="20"/>
                <w:szCs w:val="20"/>
                <w:color w:val="auto"/>
              </w:rPr>
            </w:pPr>
            <w:r>
              <w:rPr>
                <w:rFonts w:ascii="Arial" w:cs="Arial" w:eastAsia="Arial" w:hAnsi="Arial"/>
                <w:sz w:val="17"/>
                <w:szCs w:val="17"/>
                <w:color w:val="auto"/>
              </w:rPr>
              <w:t>132,455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241,201</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136,361</w:t>
            </w:r>
          </w:p>
        </w:tc>
      </w:tr>
      <w:tr>
        <w:trPr>
          <w:trHeight w:val="220"/>
        </w:trPr>
        <w:tc>
          <w:tcPr>
            <w:tcW w:w="3920" w:type="dxa"/>
            <w:vAlign w:val="bottom"/>
          </w:tcPr>
          <w:p>
            <w:pPr>
              <w:ind w:left="20"/>
              <w:spacing w:after="0"/>
              <w:rPr>
                <w:sz w:val="20"/>
                <w:szCs w:val="20"/>
                <w:color w:val="auto"/>
              </w:rPr>
            </w:pPr>
            <w:r>
              <w:rPr>
                <w:rFonts w:ascii="Arial" w:cs="Arial" w:eastAsia="Arial" w:hAnsi="Arial"/>
                <w:sz w:val="17"/>
                <w:szCs w:val="17"/>
                <w:color w:val="auto"/>
              </w:rPr>
              <w:t>Pro Forma Net Income (Loss)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420" w:type="dxa"/>
            <w:vAlign w:val="bottom"/>
          </w:tcPr>
          <w:p>
            <w:pPr>
              <w:ind w:left="800"/>
              <w:spacing w:after="0"/>
              <w:rPr>
                <w:sz w:val="20"/>
                <w:szCs w:val="20"/>
                <w:color w:val="auto"/>
              </w:rPr>
            </w:pPr>
            <w:r>
              <w:rPr>
                <w:rFonts w:ascii="Arial" w:cs="Arial" w:eastAsia="Arial" w:hAnsi="Arial"/>
                <w:sz w:val="17"/>
                <w:szCs w:val="17"/>
                <w:color w:val="auto"/>
                <w:w w:val="94"/>
              </w:rPr>
              <w:t>(25,896)</w:t>
            </w:r>
          </w:p>
        </w:tc>
        <w:tc>
          <w:tcPr>
            <w:tcW w:w="8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(61,930)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ind w:left="820"/>
              <w:spacing w:after="0"/>
              <w:rPr>
                <w:sz w:val="20"/>
                <w:szCs w:val="20"/>
                <w:color w:val="auto"/>
              </w:rPr>
            </w:pPr>
            <w:r>
              <w:rPr>
                <w:rFonts w:ascii="Arial" w:cs="Arial" w:eastAsia="Arial" w:hAnsi="Arial"/>
                <w:sz w:val="17"/>
                <w:szCs w:val="17"/>
                <w:color w:val="auto"/>
                <w:w w:val="97"/>
              </w:rPr>
              <w:t>(60,963)</w:t>
            </w:r>
          </w:p>
        </w:tc>
        <w:tc>
          <w:tcPr>
            <w:tcW w:w="40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(125,343)</w:t>
            </w:r>
          </w:p>
        </w:tc>
      </w:tr>
    </w:tbl>
    <w:p>
      <w:pPr>
        <w:spacing w:after="0" w:line="143" w:lineRule="exact"/>
        <w:rPr>
          <w:sz w:val="20"/>
          <w:szCs w:val="20"/>
          <w:color w:val="auto"/>
        </w:rPr>
      </w:pPr>
    </w:p>
    <w:p>
      <w:pPr>
        <w:ind w:right="20" w:firstLine="621"/>
        <w:spacing w:after="0" w:line="238" w:lineRule="auto"/>
        <w:rPr>
          <w:sz w:val="20"/>
          <w:szCs w:val="20"/>
          <w:color w:val="auto"/>
        </w:rPr>
      </w:pPr>
      <w:r>
        <w:rPr>
          <w:rFonts w:ascii="Arial" w:cs="Arial" w:eastAsia="Arial" w:hAnsi="Arial"/>
          <w:sz w:val="17"/>
          <w:szCs w:val="17"/>
          <w:color w:val="auto"/>
        </w:rPr>
        <w:t>During the three and six months ended June 30, 2021, post-acquisition revenue on a stand-alone basis for SpotX was $39.3 million (for the period May 1, 2021 to June 30, 2021). During the three and six months ended June 30, 2021, due to the process of integrating the operations of SpotX into the operations of the Company, the determination of SpotX's post-acquisition operating results on a standalone basis was impracticable.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8—Merger, Acquisition, and Restructuring Costs</w:t>
      </w:r>
    </w:p>
    <w:p>
      <w:pPr>
        <w:spacing w:after="0" w:line="108" w:lineRule="exact"/>
        <w:rPr>
          <w:sz w:val="20"/>
          <w:szCs w:val="20"/>
          <w:color w:val="auto"/>
        </w:rPr>
      </w:pPr>
    </w:p>
    <w:p>
      <w:pPr>
        <w:ind w:right="600" w:firstLine="621"/>
        <w:spacing w:after="0" w:line="283" w:lineRule="auto"/>
        <w:rPr>
          <w:sz w:val="20"/>
          <w:szCs w:val="20"/>
          <w:color w:val="auto"/>
        </w:rPr>
      </w:pPr>
      <w:r>
        <w:rPr>
          <w:rFonts w:ascii="Arial" w:cs="Arial" w:eastAsia="Arial" w:hAnsi="Arial"/>
          <w:sz w:val="17"/>
          <w:szCs w:val="17"/>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merger, acquisition, and restructuring cost activity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4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w w:val="92"/>
              </w:rPr>
              <w:t>June 30, 2020</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2"/>
              </w:rPr>
              <w:t>June 30, 2020</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60" w:type="dxa"/>
            <w:vAlign w:val="bottom"/>
          </w:tcPr>
          <w:p>
            <w:pPr>
              <w:ind w:left="20"/>
              <w:spacing w:after="0" w:line="171" w:lineRule="exact"/>
              <w:rPr>
                <w:sz w:val="20"/>
                <w:szCs w:val="20"/>
                <w:color w:val="auto"/>
              </w:rPr>
            </w:pPr>
            <w:r>
              <w:rPr>
                <w:rFonts w:ascii="Arial" w:cs="Arial" w:eastAsia="Arial" w:hAnsi="Arial"/>
                <w:sz w:val="17"/>
                <w:szCs w:val="17"/>
                <w:color w:val="auto"/>
                <w:w w:val="98"/>
              </w:rPr>
              <w:t>Professional Services (investment banking advisory, legal and other</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24,741</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6,754</w:t>
            </w: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26,967</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8,581</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7"/>
                <w:szCs w:val="17"/>
                <w:color w:val="auto"/>
              </w:rPr>
              <w:t>professional services)</w:t>
            </w:r>
          </w:p>
        </w:tc>
        <w:tc>
          <w:tcPr>
            <w:tcW w:w="2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Personnel related (severance and one-time termination benefit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169"/>
        </w:trPr>
        <w:tc>
          <w:tcPr>
            <w:tcW w:w="5060" w:type="dxa"/>
            <w:vAlign w:val="bottom"/>
          </w:tcPr>
          <w:p>
            <w:pPr>
              <w:ind w:left="20"/>
              <w:spacing w:after="0" w:line="169" w:lineRule="exact"/>
              <w:rPr>
                <w:sz w:val="20"/>
                <w:szCs w:val="20"/>
                <w:color w:val="auto"/>
              </w:rPr>
            </w:pPr>
            <w:r>
              <w:rPr>
                <w:rFonts w:ascii="Arial" w:cs="Arial" w:eastAsia="Arial" w:hAnsi="Arial"/>
                <w:sz w:val="17"/>
                <w:szCs w:val="17"/>
                <w:color w:val="auto"/>
                <w:w w:val="95"/>
              </w:rPr>
              <w:t>Non-cash stock-based compensation (double-trigger acceleration and</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1,200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7"/>
                <w:szCs w:val="17"/>
                <w:color w:val="auto"/>
              </w:rPr>
              <w:t>severance)</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contracts (lease related)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7"/>
                <w:szCs w:val="17"/>
                <w:color w:val="auto"/>
              </w:rPr>
              <w:t>Total merger, acquisition, and restructuring costs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32,632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12,493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14,423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Accrued merger, acquisition, and restructuring costs were $10.7 million and $2.9 million at June 30, 2021 and December 31, 2020, respectively, and were primarily related to the SpotX Acquisition and the Telaria Merger. Accrued restructuring costs associated with personnel costs are included within accounts payable and accrued expenses and accruals related to the assumed loss contracts are included within other current liabilities and other liabilities, non-current on the Company's condensed consolidated balance sheet.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36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436"/>
              <w:spacing w:after="0"/>
              <w:rPr>
                <w:sz w:val="20"/>
                <w:szCs w:val="20"/>
                <w:color w:val="auto"/>
              </w:rPr>
            </w:pPr>
            <w:r>
              <w:rPr>
                <w:rFonts w:ascii="Arial" w:cs="Arial" w:eastAsia="Arial" w:hAnsi="Arial"/>
                <w:sz w:val="14"/>
                <w:szCs w:val="14"/>
                <w:b w:val="1"/>
                <w:bCs w:val="1"/>
                <w:color w:val="auto"/>
              </w:rPr>
              <w:t>(in thousands)</w:t>
            </w:r>
          </w:p>
        </w:tc>
      </w:tr>
      <w:tr>
        <w:trPr>
          <w:trHeight w:val="220"/>
        </w:trPr>
        <w:tc>
          <w:tcPr>
            <w:tcW w:w="9360" w:type="dxa"/>
            <w:vAlign w:val="bottom"/>
          </w:tcPr>
          <w:p>
            <w:pPr>
              <w:ind w:left="20"/>
              <w:spacing w:after="0"/>
              <w:rPr>
                <w:sz w:val="20"/>
                <w:szCs w:val="20"/>
                <w:color w:val="auto"/>
              </w:rPr>
            </w:pPr>
            <w:r>
              <w:rPr>
                <w:rFonts w:ascii="Arial" w:cs="Arial" w:eastAsia="Arial" w:hAnsi="Arial"/>
                <w:sz w:val="17"/>
                <w:szCs w:val="17"/>
                <w:color w:val="auto"/>
              </w:rPr>
              <w:t>Accrued merger, acquisition, and restructuring costs at December 31, 2020</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2,935</w:t>
            </w:r>
          </w:p>
        </w:tc>
      </w:tr>
      <w:tr>
        <w:trPr>
          <w:trHeight w:val="220"/>
        </w:trPr>
        <w:tc>
          <w:tcPr>
            <w:tcW w:w="9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Restructuring costs, personnel related and non-cash stock-based compensation</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5,887</w:t>
            </w:r>
          </w:p>
        </w:tc>
      </w:tr>
      <w:tr>
        <w:trPr>
          <w:trHeight w:val="220"/>
        </w:trPr>
        <w:tc>
          <w:tcPr>
            <w:tcW w:w="9360" w:type="dxa"/>
            <w:vAlign w:val="bottom"/>
          </w:tcPr>
          <w:p>
            <w:pPr>
              <w:ind w:left="120"/>
              <w:spacing w:after="0"/>
              <w:rPr>
                <w:sz w:val="20"/>
                <w:szCs w:val="20"/>
                <w:color w:val="auto"/>
              </w:rPr>
            </w:pPr>
            <w:r>
              <w:rPr>
                <w:rFonts w:ascii="Arial" w:cs="Arial" w:eastAsia="Arial" w:hAnsi="Arial"/>
                <w:sz w:val="17"/>
                <w:szCs w:val="17"/>
                <w:color w:val="auto"/>
              </w:rPr>
              <w:t>Restructuring activity, Merger and Acquisition loss contracts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3,651</w:t>
            </w:r>
          </w:p>
        </w:tc>
      </w:tr>
      <w:tr>
        <w:trPr>
          <w:trHeight w:val="220"/>
        </w:trPr>
        <w:tc>
          <w:tcPr>
            <w:tcW w:w="9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paid for restructuring costs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w:t>
            </w:r>
          </w:p>
        </w:tc>
      </w:tr>
      <w:tr>
        <w:trPr>
          <w:trHeight w:val="220"/>
        </w:trPr>
        <w:tc>
          <w:tcPr>
            <w:tcW w:w="93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Non-cash stock-based compensation</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r>
      <w:tr>
        <w:trPr>
          <w:trHeight w:val="238"/>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merger, acquisition, and restructuring costs at June 30, 2021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9—Stock-Based Compensation</w:t>
      </w:r>
    </w:p>
    <w:p>
      <w:pPr>
        <w:spacing w:after="0" w:line="108" w:lineRule="exact"/>
        <w:rPr>
          <w:sz w:val="20"/>
          <w:szCs w:val="20"/>
          <w:color w:val="auto"/>
        </w:rPr>
      </w:pPr>
    </w:p>
    <w:p>
      <w:pPr>
        <w:ind w:right="20" w:firstLine="582"/>
        <w:spacing w:after="0" w:line="268"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Options outstanding vest based upon continued service at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340"/>
        <w:spacing w:after="0" w:line="304" w:lineRule="auto"/>
        <w:rPr>
          <w:sz w:val="20"/>
          <w:szCs w:val="20"/>
          <w:color w:val="auto"/>
        </w:rPr>
      </w:pPr>
      <w:r>
        <w:rPr>
          <w:rFonts w:ascii="Arial" w:cs="Arial" w:eastAsia="Arial" w:hAnsi="Arial"/>
          <w:sz w:val="15"/>
          <w:szCs w:val="15"/>
          <w:color w:val="auto"/>
        </w:rPr>
        <w:t>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2021 included 0.1 million that vest 50% on each of the first and second anniversaries of the grant date. Options, RSAs, and RSUs granted under the plans accelerate under certain circumstances for certain participants upon a change in control, as defined in the governing plan or award agreement. An aggregate of 14,524,698 shares remained available for future grants at June 30, 2021 under the plans.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stock option activity for the six months ended June 30, 2021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8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5"/>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200" w:type="dxa"/>
            <w:vAlign w:val="bottom"/>
          </w:tcPr>
          <w:p>
            <w:pPr>
              <w:spacing w:after="0"/>
              <w:rPr>
                <w:sz w:val="14"/>
                <w:szCs w:val="14"/>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Average 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Contractual Life</w:t>
            </w:r>
          </w:p>
        </w:tc>
        <w:tc>
          <w:tcPr>
            <w:tcW w:w="200" w:type="dxa"/>
            <w:vAlign w:val="bottom"/>
          </w:tcPr>
          <w:p>
            <w:pPr>
              <w:spacing w:after="0"/>
              <w:rPr>
                <w:sz w:val="15"/>
                <w:szCs w:val="15"/>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208"/>
        </w:trPr>
        <w:tc>
          <w:tcPr>
            <w:tcW w:w="4960" w:type="dxa"/>
            <w:vAlign w:val="bottom"/>
          </w:tcPr>
          <w:p>
            <w:pPr>
              <w:spacing w:after="0"/>
              <w:rPr>
                <w:sz w:val="18"/>
                <w:szCs w:val="18"/>
                <w:color w:val="auto"/>
              </w:rPr>
            </w:pPr>
          </w:p>
        </w:tc>
        <w:tc>
          <w:tcPr>
            <w:tcW w:w="1480" w:type="dxa"/>
            <w:vAlign w:val="bottom"/>
            <w:tcBorders>
              <w:top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6,695</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288</w:t>
            </w:r>
          </w:p>
        </w:tc>
        <w:tc>
          <w:tcPr>
            <w:tcW w:w="36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39.19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c>
          <w:tcPr>
            <w:tcW w:w="360" w:type="dxa"/>
            <w:vAlign w:val="bottom"/>
            <w:tcBorders>
              <w:bottom w:val="single" w:sz="8" w:color="CCEEFF"/>
            </w:tcBorders>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June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5,565</w:t>
            </w:r>
          </w:p>
        </w:tc>
        <w:tc>
          <w:tcPr>
            <w:tcW w:w="3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5.86 years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150,958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Exercisable at June 30,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5.55</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7"/>
                <w:szCs w:val="17"/>
                <w:color w:val="auto"/>
                <w:w w:val="88"/>
              </w:rPr>
              <w:t>4.73 years</w:t>
            </w:r>
          </w:p>
        </w:tc>
        <w:tc>
          <w:tcPr>
            <w:tcW w:w="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108,026</w:t>
            </w: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480" w:type="dxa"/>
            <w:vAlign w:val="bottom"/>
          </w:tcPr>
          <w:p>
            <w:pPr>
              <w:jc w:val="right"/>
              <w:spacing w:after="0" w:line="192" w:lineRule="exact"/>
              <w:rPr>
                <w:sz w:val="20"/>
                <w:szCs w:val="20"/>
                <w:color w:val="auto"/>
              </w:rPr>
            </w:pPr>
            <w:r>
              <w:rPr>
                <w:rFonts w:ascii="Arial" w:cs="Arial" w:eastAsia="Arial" w:hAnsi="Arial"/>
                <w:sz w:val="17"/>
                <w:szCs w:val="17"/>
                <w:color w:val="auto"/>
              </w:rPr>
              <w:t>3,818</w:t>
            </w:r>
          </w:p>
        </w:tc>
        <w:tc>
          <w:tcPr>
            <w:tcW w:w="3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780" w:firstLine="621"/>
        <w:spacing w:after="0" w:line="320" w:lineRule="auto"/>
        <w:rPr>
          <w:sz w:val="20"/>
          <w:szCs w:val="20"/>
          <w:color w:val="auto"/>
        </w:rPr>
      </w:pPr>
      <w:r>
        <w:rPr>
          <w:rFonts w:ascii="Arial" w:cs="Arial" w:eastAsia="Arial" w:hAnsi="Arial"/>
          <w:sz w:val="15"/>
          <w:szCs w:val="15"/>
          <w:color w:val="auto"/>
        </w:rPr>
        <w:t>The total intrinsic value of options exercised during the six months ended June 30, 2021 was $36.6 million. At June 30, 2021, the Company had unrecognized employee stock-based compensation expense relating to nonvested stock options of approximately $10.3 million, which is expected to be recognized over a weighted-average period of 2.3 years. Total fair value of options vested during the six months ended June 30, 2021 was $2.7 million.</w:t>
      </w:r>
    </w:p>
    <w:p>
      <w:pPr>
        <w:spacing w:after="0" w:line="22" w:lineRule="exact"/>
        <w:rPr>
          <w:sz w:val="20"/>
          <w:szCs w:val="20"/>
          <w:color w:val="auto"/>
        </w:rPr>
      </w:pPr>
    </w:p>
    <w:p>
      <w:pPr>
        <w:jc w:val="both"/>
        <w:ind w:right="100" w:firstLine="621"/>
        <w:spacing w:after="0" w:line="268" w:lineRule="auto"/>
        <w:rPr>
          <w:sz w:val="20"/>
          <w:szCs w:val="20"/>
          <w:color w:val="auto"/>
        </w:rPr>
      </w:pPr>
      <w:r>
        <w:rPr>
          <w:rFonts w:ascii="Arial" w:cs="Arial" w:eastAsia="Arial" w:hAnsi="Arial"/>
          <w:sz w:val="17"/>
          <w:szCs w:val="17"/>
          <w:color w:val="auto"/>
        </w:rPr>
        <w:t>The Company estimates the fair value of stock options that contain service and/or performance conditions using the Black-Scholes option pricing model. The grant date fair value of options granted during the six months ended June 30, 2021 was $24.69 per share. The weighted-average input assumptions used by the Company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00" w:type="dxa"/>
            <w:vAlign w:val="bottom"/>
            <w:shd w:val="clear" w:color="auto" w:fill="CCEEFF"/>
          </w:tcPr>
          <w:p>
            <w:pPr>
              <w:spacing w:after="0"/>
              <w:rPr>
                <w:sz w:val="15"/>
                <w:szCs w:val="15"/>
                <w:color w:val="auto"/>
              </w:rPr>
            </w:pPr>
          </w:p>
        </w:tc>
        <w:tc>
          <w:tcPr>
            <w:tcW w:w="3260" w:type="dxa"/>
            <w:vAlign w:val="bottom"/>
            <w:gridSpan w:val="4"/>
            <w:shd w:val="clear" w:color="auto" w:fill="CCEEFF"/>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3"/>
            <w:shd w:val="clear" w:color="auto" w:fill="CCEEFF"/>
          </w:tcPr>
          <w:p>
            <w:pPr>
              <w:jc w:val="right"/>
              <w:ind w:right="957"/>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4800" w:type="dxa"/>
            <w:vAlign w:val="bottom"/>
          </w:tcPr>
          <w:p>
            <w:pPr>
              <w:spacing w:after="0"/>
              <w:rPr>
                <w:sz w:val="15"/>
                <w:szCs w:val="15"/>
                <w:color w:val="auto"/>
              </w:rPr>
            </w:pPr>
          </w:p>
        </w:tc>
        <w:tc>
          <w:tcPr>
            <w:tcW w:w="1640" w:type="dxa"/>
            <w:vAlign w:val="bottom"/>
            <w:tcBorders>
              <w:top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June 30, 2021</w:t>
            </w:r>
          </w:p>
        </w:tc>
        <w:tc>
          <w:tcPr>
            <w:tcW w:w="152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5"/>
                <w:szCs w:val="15"/>
                <w:color w:val="auto"/>
              </w:rPr>
            </w:pPr>
          </w:p>
        </w:tc>
        <w:tc>
          <w:tcPr>
            <w:tcW w:w="164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June 30, 2021</w:t>
            </w:r>
          </w:p>
        </w:tc>
        <w:tc>
          <w:tcPr>
            <w:tcW w:w="1540" w:type="dxa"/>
            <w:vAlign w:val="bottom"/>
            <w:tcBorders>
              <w:top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 2020</w:t>
            </w: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480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7"/>
                <w:szCs w:val="17"/>
                <w:color w:val="auto"/>
              </w:rPr>
              <w:t>0.88 %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0.46 %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0.88 %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0.46 %</w:t>
            </w: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r>
      <w:tr>
        <w:trPr>
          <w:trHeight w:val="220"/>
        </w:trPr>
        <w:tc>
          <w:tcPr>
            <w:tcW w:w="48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4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restricted stock unit activity for the six months ended June 30, 2021 is as follows:</w:t>
      </w:r>
    </w:p>
    <w:p>
      <w:pPr>
        <w:spacing w:after="0" w:line="10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8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4"/>
                <w:szCs w:val="14"/>
                <w:color w:val="auto"/>
              </w:rPr>
            </w:pP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15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Restricted stock units outstanding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9,286</w:t>
            </w:r>
          </w:p>
        </w:tc>
        <w:tc>
          <w:tcPr>
            <w:tcW w:w="720" w:type="dxa"/>
            <w:vAlign w:val="bottom"/>
            <w:shd w:val="clear" w:color="auto" w:fill="CCEEFF"/>
          </w:tcPr>
          <w:p>
            <w:pPr>
              <w:spacing w:after="0"/>
              <w:rPr>
                <w:sz w:val="19"/>
                <w:szCs w:val="19"/>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00" w:type="dxa"/>
            <w:vAlign w:val="bottom"/>
          </w:tcPr>
          <w:p>
            <w:pPr>
              <w:ind w:left="64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1,442</w:t>
            </w:r>
          </w:p>
        </w:tc>
        <w:tc>
          <w:tcPr>
            <w:tcW w:w="72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Canceled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720" w:type="dxa"/>
            <w:vAlign w:val="bottom"/>
            <w:shd w:val="clear" w:color="auto" w:fill="CCEEFF"/>
          </w:tcPr>
          <w:p>
            <w:pPr>
              <w:spacing w:after="0"/>
              <w:rPr>
                <w:sz w:val="19"/>
                <w:szCs w:val="19"/>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Vested and released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(3,559)</w:t>
            </w:r>
          </w:p>
        </w:tc>
        <w:tc>
          <w:tcPr>
            <w:tcW w:w="7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Restricted stock units outstanding at June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6,596</w:t>
            </w:r>
          </w:p>
        </w:tc>
        <w:tc>
          <w:tcPr>
            <w:tcW w:w="7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7"/>
                <w:szCs w:val="17"/>
                <w:color w:val="auto"/>
              </w:rPr>
              <w:t>Restricted stock units outstanding and unvested*</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580" w:type="dxa"/>
            <w:vAlign w:val="bottom"/>
          </w:tcPr>
          <w:p>
            <w:pPr>
              <w:jc w:val="right"/>
              <w:spacing w:after="0" w:line="192" w:lineRule="exact"/>
              <w:rPr>
                <w:sz w:val="20"/>
                <w:szCs w:val="20"/>
                <w:color w:val="auto"/>
              </w:rPr>
            </w:pPr>
            <w:r>
              <w:rPr>
                <w:rFonts w:ascii="Arial" w:cs="Arial" w:eastAsia="Arial" w:hAnsi="Arial"/>
                <w:sz w:val="17"/>
                <w:szCs w:val="17"/>
                <w:color w:val="auto"/>
              </w:rPr>
              <w:t>6,578</w:t>
            </w:r>
          </w:p>
        </w:tc>
        <w:tc>
          <w:tcPr>
            <w:tcW w:w="72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0</wp:posOffset>
            </wp:positionV>
            <wp:extent cx="6804660" cy="172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4660" cy="172720"/>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*At June 30, 2021, outstanding restricted stock units included 18,436 units that were vested but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80" w:firstLine="621"/>
        <w:spacing w:after="0" w:line="285" w:lineRule="auto"/>
        <w:rPr>
          <w:sz w:val="20"/>
          <w:szCs w:val="20"/>
          <w:color w:val="auto"/>
        </w:rPr>
      </w:pPr>
      <w:r>
        <w:rPr>
          <w:rFonts w:ascii="Arial" w:cs="Arial" w:eastAsia="Arial" w:hAnsi="Arial"/>
          <w:sz w:val="16"/>
          <w:szCs w:val="16"/>
          <w:color w:val="auto"/>
        </w:rPr>
        <w:t>The weighted-average grant date fair value per share of restricted stock units granted during the six months ended June 30, 2021 was $42.75. The aggregate fair value of restricted stock units that vested during the six months ended June 30, 2021 was $116.9 million. At June 30, 2021, the intrinsic value of nonvested restricted stock units was $223.2 million. At June 30, 2021, the Company had unrecognized stock-based compensation expense relating to unvested restricted stock units of approximately $79.5 million, which is expected to be recognized over a weighted-average period of 2.5 years.</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April 2020 and April 2021, the Company granted the Company's CEO 146,341 and 26,291 restricted stock units that vest based on certain stock price</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performance metrics with a fair value of $0.9 million and $1.4 million, respectively. The grant date fair value per share of restricted stock was $6.15 and $52.49,</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respectively, which was estimated using a Monte-Carlo lattice model. During the three and six months ended June 30, 2021, the Company recognized $0.2 million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and $0.3 million, respectively, of stock-based compensation related to these performance stock units based on a performance measurement of 100%. At June 30,</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2021, the Company had unrecognized employee stock-based compensation expense for the April 2020 and April 2021 grants of approximately $0.5 million and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$1.3 million, which is expected to be recognized over the remaining 1.75 years and 2.75 years, respectively. Between 0% and 150% of the performance stock units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will vest on the third anniversary of its grant date. The compensation expense will not be reversed if the performance metrics are not met.</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89" w:lineRule="exact"/>
        <w:rPr>
          <w:sz w:val="20"/>
          <w:szCs w:val="20"/>
          <w:color w:val="auto"/>
        </w:rPr>
      </w:pPr>
    </w:p>
    <w:p>
      <w:pPr>
        <w:ind w:right="100" w:firstLine="621"/>
        <w:spacing w:after="0" w:line="261"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6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As of June 30, 2021, the Company has reserved 3,068,352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stock-based compensation expense recorded in the condensed consolidated statements of operations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60" w:type="dxa"/>
            <w:vAlign w:val="bottom"/>
            <w:gridSpan w:val="4"/>
          </w:tcPr>
          <w:p>
            <w:pPr>
              <w:jc w:val="right"/>
              <w:ind w:right="796"/>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54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June 30, 2020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June 30, 2020</w:t>
            </w:r>
          </w:p>
        </w:tc>
      </w:tr>
      <w:tr>
        <w:trPr>
          <w:trHeight w:val="174"/>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5,843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3,619</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3,408</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5,431</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acquisition, and restructuring costs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13,948</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10—Income Taxes</w:t>
      </w:r>
    </w:p>
    <w:p>
      <w:pPr>
        <w:spacing w:after="0" w:line="108"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nondeductible stock option expenses, and changes in the Company's valuation allowance.</w:t>
      </w:r>
    </w:p>
    <w:p>
      <w:pPr>
        <w:spacing w:after="0" w:line="57" w:lineRule="exact"/>
        <w:rPr>
          <w:sz w:val="20"/>
          <w:szCs w:val="20"/>
          <w:color w:val="auto"/>
        </w:rPr>
      </w:pPr>
    </w:p>
    <w:p>
      <w:pPr>
        <w:ind w:right="680" w:firstLine="621"/>
        <w:spacing w:after="0" w:line="283" w:lineRule="auto"/>
        <w:rPr>
          <w:sz w:val="20"/>
          <w:szCs w:val="20"/>
          <w:color w:val="auto"/>
        </w:rPr>
      </w:pPr>
      <w:r>
        <w:rPr>
          <w:rFonts w:ascii="Arial" w:cs="Arial" w:eastAsia="Arial" w:hAnsi="Arial"/>
          <w:sz w:val="17"/>
          <w:szCs w:val="17"/>
          <w:color w:val="auto"/>
        </w:rPr>
        <w:t>The Company adopted ASU 2019-12, during the three months ended March 31, 2021. There was no material impact to the quarterly income tax provision.</w:t>
      </w:r>
    </w:p>
    <w:p>
      <w:pPr>
        <w:spacing w:after="0" w:line="31" w:lineRule="exact"/>
        <w:rPr>
          <w:sz w:val="20"/>
          <w:szCs w:val="20"/>
          <w:color w:val="auto"/>
        </w:rPr>
      </w:pPr>
    </w:p>
    <w:p>
      <w:pPr>
        <w:ind w:right="160" w:firstLine="621"/>
        <w:spacing w:after="0" w:line="304" w:lineRule="auto"/>
        <w:rPr>
          <w:sz w:val="20"/>
          <w:szCs w:val="20"/>
          <w:color w:val="auto"/>
        </w:rPr>
      </w:pPr>
      <w:r>
        <w:rPr>
          <w:rFonts w:ascii="Arial" w:cs="Arial" w:eastAsia="Arial" w:hAnsi="Arial"/>
          <w:sz w:val="15"/>
          <w:szCs w:val="15"/>
          <w:color w:val="auto"/>
        </w:rPr>
        <w:t>The Company recorded an income tax benefit of $87.7 million and expense of $0.3 million for the three months ended June 30, 2021 and 2020, respectively and an income tax benefit of $87.5 million and expense of $0.1 million for the six months ended June 30, 2021 and 2020, respectively. The tax benefit for the three and six months ended June 30, 2021 is primarily the result of the partial release of the domestic valuation allowance of $56.2 million related to the SpotX Acquisition, as well as the income tax benefit of a portion of the current year projected loss. The net deferred tax liabilities recorded in connection with the acquisition provided an additional source of taxable income to support the realizability of pre-existing deferred tax assets, and, as a result,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Company released a portion of its domestic valuation allowance and recognized a current benefit for a portion of the Company's projected losses. The Company continues to maintain a partial valuation allowance for the domestic deferred tax assets.</w:t>
      </w:r>
    </w:p>
    <w:p>
      <w:pPr>
        <w:spacing w:after="0" w:line="31" w:lineRule="exact"/>
        <w:rPr>
          <w:sz w:val="20"/>
          <w:szCs w:val="20"/>
          <w:color w:val="auto"/>
        </w:rPr>
      </w:pPr>
    </w:p>
    <w:p>
      <w:pPr>
        <w:ind w:right="100" w:firstLine="621"/>
        <w:spacing w:after="0" w:line="297" w:lineRule="auto"/>
        <w:rPr>
          <w:sz w:val="20"/>
          <w:szCs w:val="20"/>
          <w:color w:val="auto"/>
        </w:rPr>
      </w:pPr>
      <w:r>
        <w:rPr>
          <w:rFonts w:ascii="Arial" w:cs="Arial" w:eastAsia="Arial" w:hAnsi="Arial"/>
          <w:sz w:val="15"/>
          <w:szCs w:val="15"/>
          <w:color w:val="auto"/>
        </w:rPr>
        <w:t>On March 11, 2021, the U.S. President signed into law the American Rescue Plan Act of 2021 ("ARP Act")—a $1.9 trillion coronavirus disease 2019 ("COVID-19") relief package. The ARP Act had limited income tax provisions. The Company has determined that the ARP Act will not have a material impact on the Company for the year ended December 31, 2021. On March 27, 2020, the U.S. President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39"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Due to uncertainty as to the realization of benefits from the Company's domestic and certain international deferred tax assets, including net operating loss carryforwards and research and development tax credits, the Company has a partial valuation allowance reserved against such assets. The Company intends to continue to maintain a partial valuation allowance on the deferred tax assets until there is sufficient evidence to support the reversal of all or some additional portion of these allowances.</w:t>
      </w:r>
    </w:p>
    <w:p>
      <w:pPr>
        <w:spacing w:after="0" w:line="58" w:lineRule="exact"/>
        <w:rPr>
          <w:sz w:val="20"/>
          <w:szCs w:val="20"/>
          <w:color w:val="auto"/>
        </w:rPr>
      </w:pPr>
    </w:p>
    <w:p>
      <w:pPr>
        <w:ind w:right="120" w:firstLine="621"/>
        <w:spacing w:after="0" w:line="260" w:lineRule="auto"/>
        <w:rPr>
          <w:sz w:val="20"/>
          <w:szCs w:val="20"/>
          <w:color w:val="auto"/>
        </w:rPr>
      </w:pPr>
      <w:r>
        <w:rPr>
          <w:rFonts w:ascii="Arial" w:cs="Arial" w:eastAsia="Arial" w:hAnsi="Arial"/>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was under examination by the IRS, which was closed during the period ended June 30, 2021 with no change to tax as reported. For the Netherlands and the United Kingdom, all tax years remain open for examination by the local country tax authorities, for France only 2018 forward are open for examination, for Singapore 2017 and forward are open for examination, for Australia, Brazil, Canada, Germany, Italy, New Zealand, and Malaysia 2016 and forward are open for examination, and for Japan 2014 and forward remain open for examination.</w:t>
      </w:r>
    </w:p>
    <w:p>
      <w:pPr>
        <w:spacing w:after="0" w:line="49"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49"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There was no material change to the Company's unrecognized tax benefits in the six months ended June 30, 2021 and the Company does not expect to have any material changes to unrecognized tax benefits through the end of the fiscal year.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11—Lease Obligations</w:t>
      </w:r>
    </w:p>
    <w:p>
      <w:pPr>
        <w:spacing w:after="0" w:line="199" w:lineRule="exact"/>
        <w:rPr>
          <w:sz w:val="20"/>
          <w:szCs w:val="20"/>
          <w:color w:val="auto"/>
        </w:rPr>
      </w:pPr>
    </w:p>
    <w:p>
      <w:pPr>
        <w:ind w:right="60" w:firstLine="621"/>
        <w:spacing w:after="0" w:line="297" w:lineRule="auto"/>
        <w:rPr>
          <w:sz w:val="20"/>
          <w:szCs w:val="20"/>
          <w:color w:val="auto"/>
        </w:rPr>
      </w:pPr>
      <w:r>
        <w:rPr>
          <w:rFonts w:ascii="Arial" w:cs="Arial" w:eastAsia="Arial" w:hAnsi="Arial"/>
          <w:sz w:val="15"/>
          <w:szCs w:val="15"/>
          <w:color w:val="auto"/>
        </w:rPr>
        <w:t>For the three months ended June 30, 2021 and 2020, the Company recognized $7.0 million and $3.8 million, respectively, and $10.8 million and $5.9 million during the six months ended June 30, 2021 and 2020, respectively, of lease expense under ASC 842, which included operating lease expenses associated with leases included in the lease liability and ROU asset on the condensed consolidated balance sheet. In addition, for the three months ended June 30, 2021 and 2020, the Company recognized $0.3 million and $0.3 million, respectively, and $0.6 million and $0.4 million during the six months ended June 30, 2021 and 2020, respectively, of lease expense related to short-term leases, and $8.2 million and $6.0 million during the three months ended June 30, 2021 and 2020, respectively, and $14.7 million and $8.4 million during the six months ended June 30, 2021 and 2020, respectively, of variable and cloud-based services related to data centers that are not included in the ROU asset or lease liability balances. In addition, as part of restructuring activities associated with the SpotX Acquisition, during the three and six months ended June 30, 2021, the Company recognized $2.5 million of lease related loss contracts.</w:t>
      </w:r>
    </w:p>
    <w:p>
      <w:pPr>
        <w:spacing w:after="0" w:line="78" w:lineRule="exact"/>
        <w:rPr>
          <w:sz w:val="20"/>
          <w:szCs w:val="20"/>
          <w:color w:val="auto"/>
        </w:rPr>
      </w:pPr>
    </w:p>
    <w:p>
      <w:pPr>
        <w:ind w:right="40" w:firstLine="621"/>
        <w:spacing w:after="0" w:line="353" w:lineRule="auto"/>
        <w:rPr>
          <w:sz w:val="20"/>
          <w:szCs w:val="20"/>
          <w:color w:val="auto"/>
        </w:rPr>
      </w:pPr>
      <w:r>
        <w:rPr>
          <w:rFonts w:ascii="Arial" w:cs="Arial" w:eastAsia="Arial" w:hAnsi="Arial"/>
          <w:sz w:val="15"/>
          <w:szCs w:val="15"/>
          <w:color w:val="auto"/>
        </w:rPr>
        <w:t>The Company also received rental income of $1.1 million and $1.3 million for real estate leases for which it subleases the property to third parties during the three months ended June 30, 2021 and 2020, respectively and $2.4 million and $1.3 million for the six months ended June 30, 2021 and 2020, respectively.</w:t>
      </w:r>
    </w:p>
    <w:p>
      <w:pPr>
        <w:spacing w:after="0" w:line="49" w:lineRule="exact"/>
        <w:rPr>
          <w:sz w:val="20"/>
          <w:szCs w:val="20"/>
          <w:color w:val="auto"/>
        </w:rPr>
      </w:pPr>
    </w:p>
    <w:p>
      <w:pPr>
        <w:ind w:right="120" w:firstLine="621"/>
        <w:spacing w:after="0" w:line="268" w:lineRule="auto"/>
        <w:rPr>
          <w:sz w:val="20"/>
          <w:szCs w:val="20"/>
          <w:color w:val="auto"/>
        </w:rPr>
      </w:pPr>
      <w:r>
        <w:rPr>
          <w:rFonts w:ascii="Arial" w:cs="Arial" w:eastAsia="Arial" w:hAnsi="Arial"/>
          <w:sz w:val="17"/>
          <w:szCs w:val="17"/>
          <w:color w:val="auto"/>
        </w:rPr>
        <w:t>As of June 30, 2021, a weighted average discount rate of 4.81%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5.11 years as of June 30, 2021.</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 maturity of the Company's lease liabilities associated with leases included in the lease liability and ROU asset were as follows as of June 30, 2021 (in thousands):</w:t>
      </w:r>
    </w:p>
    <w:p>
      <w:pPr>
        <w:spacing w:after="0" w:line="4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8640" w:type="dxa"/>
            <w:vAlign w:val="bottom"/>
          </w:tcPr>
          <w:p>
            <w:pPr>
              <w:ind w:left="640"/>
              <w:spacing w:after="0"/>
              <w:rPr>
                <w:sz w:val="20"/>
                <w:szCs w:val="20"/>
                <w:color w:val="auto"/>
              </w:rPr>
            </w:pPr>
            <w:r>
              <w:rPr>
                <w:rFonts w:ascii="Arial" w:cs="Arial" w:eastAsia="Arial" w:hAnsi="Arial"/>
                <w:sz w:val="16"/>
                <w:szCs w:val="16"/>
                <w:b w:val="1"/>
                <w:bCs w:val="1"/>
                <w:color w:val="auto"/>
              </w:rPr>
              <w:t>Fiscal Year</w:t>
            </w: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3"/>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Remaining 2021</w:t>
            </w:r>
          </w:p>
        </w:tc>
        <w:tc>
          <w:tcPr>
            <w:tcW w:w="116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9,441</w:t>
            </w:r>
          </w:p>
        </w:tc>
      </w:tr>
      <w:tr>
        <w:trPr>
          <w:trHeight w:val="220"/>
        </w:trPr>
        <w:tc>
          <w:tcPr>
            <w:tcW w:w="8640" w:type="dxa"/>
            <w:vAlign w:val="bottom"/>
          </w:tcPr>
          <w:p>
            <w:pPr>
              <w:ind w:left="640"/>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15,657</w:t>
            </w:r>
          </w:p>
        </w:tc>
      </w:tr>
      <w:tr>
        <w:trPr>
          <w:trHeight w:val="220"/>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2023</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11,997</w:t>
            </w:r>
          </w:p>
        </w:tc>
      </w:tr>
      <w:tr>
        <w:trPr>
          <w:trHeight w:val="220"/>
        </w:trPr>
        <w:tc>
          <w:tcPr>
            <w:tcW w:w="8640" w:type="dxa"/>
            <w:vAlign w:val="bottom"/>
          </w:tcPr>
          <w:p>
            <w:pPr>
              <w:ind w:left="640"/>
              <w:spacing w:after="0"/>
              <w:rPr>
                <w:sz w:val="20"/>
                <w:szCs w:val="20"/>
                <w:color w:val="auto"/>
              </w:rPr>
            </w:pPr>
            <w:r>
              <w:rPr>
                <w:rFonts w:ascii="Arial" w:cs="Arial" w:eastAsia="Arial" w:hAnsi="Arial"/>
                <w:sz w:val="17"/>
                <w:szCs w:val="17"/>
                <w:color w:val="auto"/>
              </w:rPr>
              <w:t>2024</w:t>
            </w:r>
          </w:p>
        </w:tc>
        <w:tc>
          <w:tcPr>
            <w:tcW w:w="1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9,780</w:t>
            </w:r>
          </w:p>
        </w:tc>
      </w:tr>
      <w:tr>
        <w:trPr>
          <w:trHeight w:val="220"/>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2025</w:t>
            </w: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4,042</w:t>
            </w:r>
          </w:p>
        </w:tc>
      </w:tr>
      <w:tr>
        <w:trPr>
          <w:trHeight w:val="220"/>
        </w:trPr>
        <w:tc>
          <w:tcPr>
            <w:tcW w:w="86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Thereafter</w:t>
            </w:r>
          </w:p>
        </w:tc>
        <w:tc>
          <w:tcPr>
            <w:tcW w:w="1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11,403</w:t>
            </w:r>
          </w:p>
        </w:tc>
      </w:tr>
      <w:tr>
        <w:trPr>
          <w:trHeight w:val="213"/>
        </w:trPr>
        <w:tc>
          <w:tcPr>
            <w:tcW w:w="86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lease payments (undiscounted)</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62,320</w:t>
            </w:r>
          </w:p>
        </w:tc>
      </w:tr>
      <w:tr>
        <w:trPr>
          <w:trHeight w:val="220"/>
        </w:trPr>
        <w:tc>
          <w:tcPr>
            <w:tcW w:w="86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Less: imputed interest</w:t>
            </w:r>
          </w:p>
        </w:tc>
        <w:tc>
          <w:tcPr>
            <w:tcW w:w="1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(7,296</w:t>
            </w:r>
          </w:p>
        </w:tc>
      </w:tr>
      <w:tr>
        <w:trPr>
          <w:trHeight w:val="238"/>
        </w:trPr>
        <w:tc>
          <w:tcPr>
            <w:tcW w:w="86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Lease liabilities—total (discounted)</w:t>
            </w:r>
          </w:p>
        </w:tc>
        <w:tc>
          <w:tcPr>
            <w:tcW w:w="11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55,024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160" w:firstLine="621"/>
        <w:spacing w:after="0" w:line="264" w:lineRule="auto"/>
        <w:rPr>
          <w:sz w:val="20"/>
          <w:szCs w:val="20"/>
          <w:color w:val="auto"/>
        </w:rPr>
      </w:pPr>
      <w:r>
        <w:rPr>
          <w:rFonts w:ascii="Arial" w:cs="Arial" w:eastAsia="Arial" w:hAnsi="Arial"/>
          <w:sz w:val="17"/>
          <w:szCs w:val="17"/>
          <w:color w:val="auto"/>
        </w:rPr>
        <w:t>In addition to the lease liabilities included in these condensed consolidated financial statements at June 30, 2021, during the three months ended December 31, 2020, the Company entered into an agreement for an office lease in Los Angeles, which has not commenced as of June 30, 2021; therefore, it is not included in the lease liability on the balance sheet as of June 30, 2021. The Company has future commitments totaling $23.2 million over the course of 10 years for the office lease.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12—Commitments and Contingencies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commitments under non-cancelable operating leases for facilities, certain equipment, and its managed data center facilities (Note 11).</w:t>
      </w:r>
    </w:p>
    <w:p>
      <w:pPr>
        <w:spacing w:after="0" w:line="125" w:lineRule="exact"/>
        <w:rPr>
          <w:sz w:val="20"/>
          <w:szCs w:val="20"/>
          <w:color w:val="auto"/>
        </w:rPr>
      </w:pPr>
    </w:p>
    <w:p>
      <w:pPr>
        <w:ind w:right="500" w:firstLine="621"/>
        <w:spacing w:after="0" w:line="283" w:lineRule="auto"/>
        <w:rPr>
          <w:sz w:val="20"/>
          <w:szCs w:val="20"/>
          <w:color w:val="auto"/>
        </w:rPr>
      </w:pPr>
      <w:r>
        <w:rPr>
          <w:rFonts w:ascii="Arial" w:cs="Arial" w:eastAsia="Arial" w:hAnsi="Arial"/>
          <w:sz w:val="17"/>
          <w:szCs w:val="17"/>
          <w:color w:val="auto"/>
        </w:rPr>
        <w:t>As of June 30, 2021 and December 31, 2020, the Company had $4.9 million and $6.3 million, respectively, of letters of credit associated with office leases available for borrowing, on which there were no outstanding borrowings as of either date.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Guarantees and Indemnification</w:t>
      </w:r>
    </w:p>
    <w:p>
      <w:pPr>
        <w:spacing w:after="0" w:line="102" w:lineRule="exact"/>
        <w:rPr>
          <w:sz w:val="20"/>
          <w:szCs w:val="20"/>
          <w:color w:val="auto"/>
        </w:rPr>
      </w:pPr>
    </w:p>
    <w:p>
      <w:pPr>
        <w:ind w:right="120" w:firstLine="169"/>
        <w:spacing w:after="0" w:line="273" w:lineRule="auto"/>
        <w:rPr>
          <w:sz w:val="20"/>
          <w:szCs w:val="20"/>
          <w:color w:val="auto"/>
        </w:rPr>
      </w:pPr>
      <w:r>
        <w:rPr>
          <w:rFonts w:ascii="Arial" w:cs="Arial" w:eastAsia="Arial" w:hAnsi="Arial"/>
          <w:sz w:val="16"/>
          <w:szCs w:val="16"/>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Litigation</w:t>
      </w:r>
    </w:p>
    <w:p>
      <w:pPr>
        <w:spacing w:after="0" w:line="89" w:lineRule="exact"/>
        <w:rPr>
          <w:sz w:val="20"/>
          <w:szCs w:val="20"/>
          <w:color w:val="auto"/>
        </w:rPr>
      </w:pPr>
    </w:p>
    <w:p>
      <w:pPr>
        <w:ind w:right="120" w:firstLine="621"/>
        <w:spacing w:after="0" w:line="277"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June 30, 2021. However, based on management’s knowledge as of June 30, 2021, management believes that the final resolution of these matters known at such date,</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individually and in the aggregate, will not have a material adverse effect upon the Company’s consolidated financial position, results of operations or cash flows.</w:t>
      </w:r>
    </w:p>
    <w:p>
      <w:pPr>
        <w:spacing w:after="0" w:line="20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Employment Contracts</w:t>
      </w:r>
    </w:p>
    <w:p>
      <w:pPr>
        <w:spacing w:after="0" w:line="102"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13—SVB Loan Agreement</w:t>
      </w:r>
    </w:p>
    <w:p>
      <w:pPr>
        <w:spacing w:after="0" w:line="199"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On September 25, 2020, the Company amended and restated its loan and security agreement with Silicon Valley Bank ("SVB") (the "Loan Agreement"), which was scheduled to expire on September 26, 2020. The Loan Agreement provides a senior secured revolving credit facility of up to the lesser of $60.0 million and 85% of eligible accounts receivable, with a maturity date of September 25, 2022. The Loan Agreement includes a letter of credit, foreign exchange and cash management facility with a sublimit up to $10.0 million. On April 30, 2021, the Company entered into the Credit Agreement, as defined in Note 15. In connection with entering into the Credit Agreement, the Loan Agreement with SVB was terminated on April 30, 2021. As of April 30, 2021, there were no amounts outstanding under the Loan Agreement.</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14—Convertible Senior Notes and Capped Call Transactions</w:t>
      </w:r>
    </w:p>
    <w:p>
      <w:pPr>
        <w:spacing w:after="0" w:line="108"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Notes")). The Convertible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50" w:lineRule="exact"/>
        <w:rPr>
          <w:sz w:val="20"/>
          <w:szCs w:val="20"/>
          <w:color w:val="auto"/>
        </w:rPr>
      </w:pPr>
    </w:p>
    <w:p>
      <w:pPr>
        <w:ind w:right="100" w:firstLine="621"/>
        <w:spacing w:after="0" w:line="260" w:lineRule="auto"/>
        <w:rPr>
          <w:sz w:val="20"/>
          <w:szCs w:val="20"/>
          <w:color w:val="auto"/>
        </w:rPr>
      </w:pPr>
      <w:r>
        <w:rPr>
          <w:rFonts w:ascii="Arial" w:cs="Arial" w:eastAsia="Arial" w:hAnsi="Arial"/>
          <w:sz w:val="17"/>
          <w:szCs w:val="17"/>
          <w:color w:val="auto"/>
        </w:rPr>
        <w:t>The Convertible Notes are senior, unsecured obligations and (i) will be equal in right of payment with the existing and future senior, unsecured indebtedness; (ii) senior in right of payment to any of the Company’s future indebtedness that is expressly subordinated to the Convertible Notes; (iii) effectively subordinated to the Company’s existing and future secured indebtedness, to the extent of the value of the collateral securing that indebtedness, including amounts outstanding under our Existing Loan Agreement or our New Credit Facilities (see Note 15); and (iv) structurally subordinated to all existing and future indebtedness and other liabilities, including trade payables, and (to the extent we are not a holder thereof) preferred equity, if any, of the Company’s subsidiaries that do not guarantee the Convertible Notes.</w:t>
      </w:r>
    </w:p>
    <w:p>
      <w:pPr>
        <w:spacing w:after="0" w:line="62" w:lineRule="exact"/>
        <w:rPr>
          <w:sz w:val="20"/>
          <w:szCs w:val="20"/>
          <w:color w:val="auto"/>
        </w:rPr>
      </w:pPr>
    </w:p>
    <w:p>
      <w:pPr>
        <w:ind w:right="200" w:firstLine="621"/>
        <w:spacing w:after="0" w:line="293" w:lineRule="auto"/>
        <w:rPr>
          <w:sz w:val="20"/>
          <w:szCs w:val="20"/>
          <w:color w:val="auto"/>
        </w:rPr>
      </w:pPr>
      <w:r>
        <w:rPr>
          <w:rFonts w:ascii="Arial" w:cs="Arial" w:eastAsia="Arial" w:hAnsi="Arial"/>
          <w:sz w:val="16"/>
          <w:szCs w:val="16"/>
          <w:color w:val="auto"/>
        </w:rPr>
        <w:t>The Convertible Notes accrue interest at 0.25% per annum payable semi-annually in arrears on March 15 and September 15 of each year, beginning on September 15, 2021. The Convertible Notes will mature on March 15, 2026 unless they are redeemed, repurchased or converted prior to such date. The Convertible Notes are convertible at the option of holders only during certain periods and upon satisfaction of certain conditions.</w:t>
      </w:r>
    </w:p>
    <w:p>
      <w:pPr>
        <w:spacing w:after="0" w:line="38" w:lineRule="exact"/>
        <w:rPr>
          <w:sz w:val="20"/>
          <w:szCs w:val="20"/>
          <w:color w:val="auto"/>
        </w:rPr>
      </w:pPr>
    </w:p>
    <w:p>
      <w:pPr>
        <w:ind w:right="60" w:firstLine="621"/>
        <w:spacing w:after="0" w:line="257" w:lineRule="auto"/>
        <w:rPr>
          <w:sz w:val="20"/>
          <w:szCs w:val="20"/>
          <w:color w:val="auto"/>
        </w:rPr>
      </w:pPr>
      <w:r>
        <w:rPr>
          <w:rFonts w:ascii="Arial" w:cs="Arial" w:eastAsia="Arial" w:hAnsi="Arial"/>
          <w:sz w:val="17"/>
          <w:szCs w:val="17"/>
          <w:color w:val="auto"/>
        </w:rPr>
        <w:t>Holders will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Notes for redemption; and (v) on or after September 15, 2025, until the close of business on the second scheduled trading day immediately before the maturity date, holders of the Convertible Notes may, at their option, convert all or a portion of their Convertible Notes regardless of the foregoing conditions.at any time from, and including, September 15, 2025 until the close of business on the second scheduled trading day immediately before the maturity date.</w:t>
      </w:r>
    </w:p>
    <w:p>
      <w:pPr>
        <w:spacing w:after="0" w:line="52" w:lineRule="exact"/>
        <w:rPr>
          <w:sz w:val="20"/>
          <w:szCs w:val="20"/>
          <w:color w:val="auto"/>
        </w:rPr>
      </w:pPr>
    </w:p>
    <w:p>
      <w:pPr>
        <w:ind w:right="80" w:firstLine="621"/>
        <w:spacing w:after="0" w:line="320" w:lineRule="auto"/>
        <w:rPr>
          <w:sz w:val="20"/>
          <w:szCs w:val="20"/>
          <w:color w:val="auto"/>
        </w:rPr>
      </w:pPr>
      <w:r>
        <w:rPr>
          <w:rFonts w:ascii="Arial" w:cs="Arial" w:eastAsia="Arial" w:hAnsi="Arial"/>
          <w:sz w:val="15"/>
          <w:szCs w:val="15"/>
          <w:color w:val="auto"/>
        </w:rPr>
        <w:t>Upon conversion, the Convertible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22"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The Company may not redeem the Convertible Notes at their option at any time before March 20, 2024. Subject to the terms of the indenture, the Company has the right, at its election, to redeem all, or any portion (subject to the partial redemption limitation) in an authorized denomination, of the Convertible Notes, at any time, and from time to time, on a redemption date on or after March 20, 2024 and on or before the 40th scheduled trading day immediately before the maturity date, for cash, but only if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Notes, which means that the Company is not required to redeem or retire the Convertible Notes periodically.</w:t>
      </w:r>
    </w:p>
    <w:p>
      <w:pPr>
        <w:spacing w:after="0" w:line="56"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Magnite distributes the related fundamental change notice.</w:t>
      </w:r>
    </w:p>
    <w:p>
      <w:pPr>
        <w:spacing w:after="0" w:line="57" w:lineRule="exact"/>
        <w:rPr>
          <w:sz w:val="20"/>
          <w:szCs w:val="20"/>
          <w:color w:val="auto"/>
        </w:rPr>
      </w:pPr>
    </w:p>
    <w:p>
      <w:pPr>
        <w:ind w:right="40" w:firstLine="621"/>
        <w:spacing w:after="0" w:line="259" w:lineRule="auto"/>
        <w:rPr>
          <w:sz w:val="20"/>
          <w:szCs w:val="20"/>
          <w:color w:val="auto"/>
        </w:rPr>
      </w:pPr>
      <w:r>
        <w:rPr>
          <w:rFonts w:ascii="Arial" w:cs="Arial" w:eastAsia="Arial" w:hAnsi="Arial"/>
          <w:sz w:val="17"/>
          <w:szCs w:val="17"/>
          <w:color w:val="auto"/>
        </w:rPr>
        <w:t>If an event of default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an event of default described below with respect to Magnite or any guarantor and not solely with respect to a significant subsidiary of the Company’s or a guarantor, other than the Company or such guarantor) occurs and is continuing, then, except as described below under the caption —Special interest as sole remedy for certain reporting defaults, the trustee, by notice to the Company, or noteholders of at least 25% of the aggregate principal amount of notes then outstanding, by written notice to us and the trustee, may declare the principal amount of, and all accrued and unpaid interest on, all of the notes then outstanding to become due and payable immediately.</w:t>
      </w:r>
    </w:p>
    <w:p>
      <w:pPr>
        <w:spacing w:after="0" w:line="63"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Convertible Notes have an initial conversion rate of 15.6539 shares of common stock per $1,000 principal amount of the Convertible Notes, which will be subject to customary anti-dilution adjustments in certain circumstances.</w:t>
      </w:r>
    </w:p>
    <w:p>
      <w:pPr>
        <w:spacing w:after="0" w:line="31" w:lineRule="exact"/>
        <w:rPr>
          <w:sz w:val="20"/>
          <w:szCs w:val="20"/>
          <w:color w:val="auto"/>
        </w:rPr>
      </w:pPr>
    </w:p>
    <w:p>
      <w:pPr>
        <w:ind w:right="100" w:firstLine="621"/>
        <w:spacing w:after="0" w:line="295" w:lineRule="auto"/>
        <w:rPr>
          <w:sz w:val="20"/>
          <w:szCs w:val="20"/>
          <w:color w:val="auto"/>
        </w:rPr>
      </w:pPr>
      <w:r>
        <w:rPr>
          <w:rFonts w:ascii="Arial" w:cs="Arial" w:eastAsia="Arial" w:hAnsi="Arial"/>
          <w:sz w:val="15"/>
          <w:szCs w:val="15"/>
          <w:color w:val="auto"/>
        </w:rPr>
        <w:t>In connection with the pricing of the Convertible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Notes. The Company paid $39.0 million for the Capped Call Transactions, which was recorded as additional paid-in capital, using a portion of the gross proceeds from the sale of the Convertible Notes. The cost of the Capped Call Transactions is not expected to be tax deductible as the Company did not elect to integrate the capped call into the Convertible Notes for tax purposes. The cost of the Capped Call Transaction was recorded as a reduction of the Company’s additional paid-in capital in the accompanying condensed consolidated financial statements.</w:t>
      </w:r>
    </w:p>
    <w:p>
      <w:pPr>
        <w:spacing w:after="0" w:line="40"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As noted in Note 1, the Company early adopted ASU 2020-06 effective January 1, 2021. The Company has not elected the fair value option, the embedded conversion features are not required to be bifurcated under the accounting guidance, and the convertible debt was not issued with a substantial premium. As such, the Company accounted for the Convertible Notes as a liability in its entirety. Under the guidance, all the embedded features of the Convertible Notes met the definition of a derivative. These features included a contingent call option, contingent put options, and conversion features. The contingent call option and contingent put options are clearly and closely related to the debt host and, therefore, do not require bifurcation. As the conversion features are indexed to the Company’s own equity and would be equity classified if they were freestanding instruments, the scope exception in ASC 815-10-15-74(a) applies and these conversion features will not be bifurcated under ASC 815.</w:t>
      </w:r>
    </w:p>
    <w:p>
      <w:pPr>
        <w:spacing w:after="0" w:line="63"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The new accounting guidance also eliminated the bifurcation models of ASC 470-20 and eliminated the treasury method approach to earnings per share. Accordingly, earnings per share on convertible debt instruments should only be calculated under the If-Converted method. Under the guidance above, the Company will assume settlement in shares.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Convertible Notes at June 30,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Arial" w:cs="Arial" w:eastAsia="Arial" w:hAnsi="Arial"/>
                <w:sz w:val="16"/>
                <w:szCs w:val="16"/>
                <w:b w:val="1"/>
                <w:bCs w:val="1"/>
                <w:color w:val="auto"/>
                <w:w w:val="86"/>
              </w:rPr>
              <w:t>June 30, 2021</w:t>
            </w:r>
          </w:p>
        </w:tc>
        <w:tc>
          <w:tcPr>
            <w:tcW w:w="0" w:type="dxa"/>
            <w:vAlign w:val="bottom"/>
          </w:tcPr>
          <w:p>
            <w:pPr>
              <w:spacing w:after="0"/>
              <w:rPr>
                <w:sz w:val="1"/>
                <w:szCs w:val="1"/>
                <w:color w:val="auto"/>
              </w:rPr>
            </w:pPr>
          </w:p>
        </w:tc>
      </w:tr>
      <w:tr>
        <w:trPr>
          <w:trHeight w:val="185"/>
        </w:trPr>
        <w:tc>
          <w:tcPr>
            <w:tcW w:w="43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139"/>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w:t>
            </w:r>
          </w:p>
        </w:tc>
        <w:tc>
          <w:tcPr>
            <w:tcW w:w="5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400,000</w:t>
            </w:r>
          </w:p>
        </w:tc>
        <w:tc>
          <w:tcPr>
            <w:tcW w:w="0" w:type="dxa"/>
            <w:vAlign w:val="bottom"/>
          </w:tcPr>
          <w:p>
            <w:pPr>
              <w:spacing w:after="0"/>
              <w:rPr>
                <w:sz w:val="1"/>
                <w:szCs w:val="1"/>
                <w:color w:val="auto"/>
              </w:rPr>
            </w:pPr>
          </w:p>
        </w:tc>
      </w:tr>
      <w:tr>
        <w:trPr>
          <w:trHeight w:val="22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costs</w:t>
            </w:r>
          </w:p>
        </w:tc>
        <w:tc>
          <w:tcPr>
            <w:tcW w:w="5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4"/>
              </w:rPr>
              <w:t>(10,787)</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non-current, net of debt issuance costs</w:t>
            </w:r>
          </w:p>
        </w:tc>
        <w:tc>
          <w:tcPr>
            <w:tcW w:w="5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389,213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jc w:val="right"/>
              <w:ind w:right="3774"/>
              <w:spacing w:after="0"/>
              <w:rPr>
                <w:sz w:val="20"/>
                <w:szCs w:val="20"/>
                <w:color w:val="auto"/>
              </w:rPr>
            </w:pPr>
            <w:r>
              <w:rPr>
                <w:rFonts w:ascii="Arial" w:cs="Arial" w:eastAsia="Arial" w:hAnsi="Arial"/>
                <w:sz w:val="17"/>
                <w:szCs w:val="17"/>
                <w:color w:val="auto"/>
              </w:rPr>
              <w:t>25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1"/>
        </w:trPr>
        <w:tc>
          <w:tcPr>
            <w:tcW w:w="432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320" w:type="dxa"/>
            <w:vAlign w:val="bottom"/>
            <w:tcBorders>
              <w:bottom w:val="single" w:sz="8" w:color="9A9A9A"/>
            </w:tcBorders>
          </w:tcPr>
          <w:p>
            <w:pPr>
              <w:spacing w:after="0"/>
              <w:rPr>
                <w:sz w:val="9"/>
                <w:szCs w:val="9"/>
                <w:color w:val="auto"/>
              </w:rPr>
            </w:pPr>
          </w:p>
        </w:tc>
        <w:tc>
          <w:tcPr>
            <w:tcW w:w="5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both"/>
        <w:ind w:right="40" w:firstLine="621"/>
        <w:spacing w:after="0" w:line="264" w:lineRule="auto"/>
        <w:rPr>
          <w:sz w:val="20"/>
          <w:szCs w:val="20"/>
          <w:color w:val="auto"/>
        </w:rPr>
      </w:pPr>
      <w:r>
        <w:rPr>
          <w:rFonts w:ascii="Arial" w:cs="Arial" w:eastAsia="Arial" w:hAnsi="Arial"/>
          <w:sz w:val="17"/>
          <w:szCs w:val="17"/>
          <w:color w:val="auto"/>
        </w:rPr>
        <w:t>The Company incurred debt issuance costs of $11.4 million in March 2021. The Convertible Notes are presented net of issuance costs on the Company's condensed consolidated balance sheet. The debt issuance costs are amortized on an effective interest basis over the term of the Convertible Notes and are included in interest expense and amortization of debt discount in the accompanying condensed consolidated statements of operations. The following table sets forth interest expense related to the Convertible Notes for the three and six months ended June 30, 2021:</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Contractual interest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interest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June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0" w:type="dxa"/>
            <w:vAlign w:val="bottom"/>
          </w:tcPr>
          <w:p>
            <w:pPr>
              <w:spacing w:after="0"/>
              <w:rPr>
                <w:sz w:val="15"/>
                <w:szCs w:val="15"/>
                <w:color w:val="auto"/>
              </w:rPr>
            </w:pPr>
          </w:p>
        </w:tc>
        <w:tc>
          <w:tcPr>
            <w:tcW w:w="1600" w:type="dxa"/>
            <w:vAlign w:val="bottom"/>
          </w:tcPr>
          <w:p>
            <w:pPr>
              <w:jc w:val="right"/>
              <w:ind w:right="181"/>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5"/>
                <w:szCs w:val="15"/>
                <w:color w:val="auto"/>
              </w:rPr>
            </w:pPr>
          </w:p>
        </w:tc>
        <w:tc>
          <w:tcPr>
            <w:tcW w:w="1560" w:type="dxa"/>
            <w:vAlign w:val="bottom"/>
          </w:tcPr>
          <w:p>
            <w:pPr>
              <w:jc w:val="right"/>
              <w:ind w:right="278"/>
              <w:spacing w:after="0"/>
              <w:rPr>
                <w:sz w:val="20"/>
                <w:szCs w:val="20"/>
                <w:color w:val="auto"/>
              </w:rPr>
            </w:pPr>
            <w:r>
              <w:rPr>
                <w:rFonts w:ascii="Arial" w:cs="Arial" w:eastAsia="Arial" w:hAnsi="Arial"/>
                <w:sz w:val="14"/>
                <w:szCs w:val="14"/>
                <w:b w:val="1"/>
                <w:bCs w:val="1"/>
                <w:color w:val="auto"/>
                <w:w w:val="97"/>
              </w:rPr>
              <w:t>Six Months Ended</w:t>
            </w:r>
          </w:p>
        </w:tc>
      </w:tr>
      <w:tr>
        <w:trPr>
          <w:trHeight w:val="179"/>
        </w:trPr>
        <w:tc>
          <w:tcPr>
            <w:tcW w:w="200" w:type="dxa"/>
            <w:vAlign w:val="bottom"/>
          </w:tcPr>
          <w:p>
            <w:pPr>
              <w:spacing w:after="0"/>
              <w:rPr>
                <w:sz w:val="15"/>
                <w:szCs w:val="15"/>
                <w:color w:val="auto"/>
              </w:rPr>
            </w:pPr>
          </w:p>
        </w:tc>
        <w:tc>
          <w:tcPr>
            <w:tcW w:w="3420" w:type="dxa"/>
            <w:vAlign w:val="bottom"/>
            <w:gridSpan w:val="3"/>
          </w:tcPr>
          <w:p>
            <w:pPr>
              <w:jc w:val="right"/>
              <w:ind w:right="1318"/>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250</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8"/>
              <w:spacing w:after="0"/>
              <w:rPr>
                <w:sz w:val="20"/>
                <w:szCs w:val="20"/>
                <w:color w:val="auto"/>
              </w:rPr>
            </w:pPr>
            <w:r>
              <w:rPr>
                <w:rFonts w:ascii="Arial" w:cs="Arial" w:eastAsia="Arial" w:hAnsi="Arial"/>
                <w:sz w:val="17"/>
                <w:szCs w:val="17"/>
                <w:color w:val="auto"/>
              </w:rPr>
              <w:t>286</w:t>
            </w:r>
          </w:p>
        </w:tc>
      </w:tr>
      <w:tr>
        <w:trPr>
          <w:trHeight w:val="220"/>
        </w:trPr>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653</w:t>
            </w:r>
          </w:p>
        </w:tc>
      </w:tr>
      <w:tr>
        <w:trPr>
          <w:trHeight w:val="213"/>
        </w:trPr>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w:t>
            </w:r>
          </w:p>
        </w:tc>
        <w:tc>
          <w:tcPr>
            <w:tcW w:w="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939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-459105</wp:posOffset>
            </wp:positionV>
            <wp:extent cx="6661785" cy="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1785" cy="13970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-180340</wp:posOffset>
            </wp:positionV>
            <wp:extent cx="6661785" cy="164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1785" cy="16446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6"/>
          <w:szCs w:val="16"/>
          <w:color w:val="auto"/>
        </w:rPr>
        <w:t>0.82 %</w:t>
      </w:r>
    </w:p>
    <w:p>
      <w:pPr>
        <w:spacing w:after="0" w:line="114" w:lineRule="exact"/>
        <w:rPr>
          <w:sz w:val="20"/>
          <w:szCs w:val="20"/>
          <w:color w:val="auto"/>
        </w:rPr>
      </w:pPr>
    </w:p>
    <w:p>
      <w:pPr>
        <w:sectPr>
          <w:pgSz w:w="11900" w:h="16838" w:orient="portrait"/>
          <w:cols w:equalWidth="0" w:num="2">
            <w:col w:w="6160" w:space="720"/>
            <w:col w:w="4360"/>
          </w:cols>
          <w:pgMar w:left="320" w:top="127" w:right="33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Amortization expense for the Company's debt issuance costs for the remainder of 2021 and for fiscal years 2022 through 2026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6"/>
                <w:szCs w:val="16"/>
                <w:color w:val="auto"/>
              </w:rPr>
            </w:pPr>
          </w:p>
        </w:tc>
        <w:tc>
          <w:tcPr>
            <w:tcW w:w="140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Debt Issuance Costs</w:t>
            </w:r>
          </w:p>
        </w:tc>
      </w:tr>
      <w:tr>
        <w:trPr>
          <w:trHeight w:val="226"/>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r>
      <w:tr>
        <w:trPr>
          <w:trHeight w:val="238"/>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10,787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15—Credit Facility</w:t>
      </w:r>
    </w:p>
    <w:p>
      <w:pPr>
        <w:spacing w:after="0" w:line="108"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36"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w:t>
      </w:r>
    </w:p>
    <w:p>
      <w:pPr>
        <w:spacing w:after="0" w:line="58" w:lineRule="exact"/>
        <w:rPr>
          <w:sz w:val="20"/>
          <w:szCs w:val="20"/>
          <w:color w:val="auto"/>
        </w:rPr>
      </w:pPr>
    </w:p>
    <w:p>
      <w:pPr>
        <w:ind w:right="60" w:firstLine="621"/>
        <w:spacing w:after="0" w:line="264" w:lineRule="auto"/>
        <w:rPr>
          <w:sz w:val="20"/>
          <w:szCs w:val="20"/>
          <w:color w:val="auto"/>
        </w:rPr>
      </w:pPr>
      <w:r>
        <w:rPr>
          <w:rFonts w:ascii="Arial" w:cs="Arial" w:eastAsia="Arial" w:hAnsi="Arial"/>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w:t>
      </w:r>
    </w:p>
    <w:p>
      <w:pPr>
        <w:spacing w:after="0" w:line="58"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 calculation of cumulative free cash flow generated by the company as defined within the terms of the Agreement.</w:t>
      </w:r>
    </w:p>
    <w:p>
      <w:pPr>
        <w:spacing w:after="0" w:line="50"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June 30, 2021, amounts available under the Revolving Credit Facility were $60.1 million, net of letters of credit outstanding in the amount of $4.9 million.</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Term Loan B Facility at June 30, 2021:</w:t>
      </w:r>
    </w:p>
    <w:p>
      <w:pPr>
        <w:spacing w:after="0" w:line="131"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19685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 Loan B Facility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Unamortized debt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Unamortized debt issuance costs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Debt, net of debt issuance costs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14" w:hanging="1014"/>
        <w:spacing w:after="0"/>
        <w:tabs>
          <w:tab w:leader="none" w:pos="1014" w:val="left"/>
        </w:tabs>
        <w:numPr>
          <w:ilvl w:val="0"/>
          <w:numId w:val="6"/>
        </w:numPr>
        <w:rPr>
          <w:rFonts w:ascii="Arial" w:cs="Arial" w:eastAsia="Arial" w:hAnsi="Arial"/>
          <w:sz w:val="16"/>
          <w:szCs w:val="16"/>
          <w:color w:val="auto"/>
        </w:rPr>
      </w:pPr>
      <w:r>
        <w:rPr>
          <w:rFonts w:ascii="Arial" w:cs="Arial" w:eastAsia="Arial" w:hAnsi="Arial"/>
          <w:sz w:val="16"/>
          <w:szCs w:val="16"/>
          <w:color w:val="auto"/>
        </w:rPr>
        <w:t>360,000</w:t>
      </w:r>
    </w:p>
    <w:p>
      <w:pPr>
        <w:spacing w:after="0" w:line="35"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(10,534)</w:t>
      </w:r>
    </w:p>
    <w:p>
      <w:pPr>
        <w:spacing w:after="0" w:line="35"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(16,438)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0515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9" w:lineRule="exact"/>
        <w:rPr>
          <w:sz w:val="20"/>
          <w:szCs w:val="20"/>
          <w:color w:val="auto"/>
        </w:rPr>
      </w:pPr>
    </w:p>
    <w:p>
      <w:pPr>
        <w:ind w:left="1014" w:hanging="1014"/>
        <w:spacing w:after="0"/>
        <w:tabs>
          <w:tab w:leader="none" w:pos="1014" w:val="left"/>
        </w:tabs>
        <w:numPr>
          <w:ilvl w:val="0"/>
          <w:numId w:val="7"/>
        </w:numPr>
        <w:rPr>
          <w:rFonts w:ascii="Arial" w:cs="Arial" w:eastAsia="Arial" w:hAnsi="Arial"/>
          <w:sz w:val="16"/>
          <w:szCs w:val="16"/>
          <w:color w:val="auto"/>
        </w:rPr>
      </w:pPr>
      <w:r>
        <w:rPr>
          <w:rFonts w:ascii="Arial" w:cs="Arial" w:eastAsia="Arial" w:hAnsi="Arial"/>
          <w:sz w:val="16"/>
          <w:szCs w:val="16"/>
          <w:color w:val="auto"/>
        </w:rPr>
        <w:t>333,028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0515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15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46990</wp:posOffset>
            </wp:positionV>
            <wp:extent cx="10515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86" w:space="720"/>
            <w:col w:w="1634"/>
          </w:cols>
          <w:pgMar w:left="320" w:top="127" w:right="339" w:bottom="1440" w:gutter="0" w:footer="0" w:header="0"/>
          <w:type w:val="continuous"/>
        </w:sectPr>
      </w:pPr>
    </w:p>
    <w:p>
      <w:pPr>
        <w:spacing w:after="0" w:line="276" w:lineRule="exact"/>
        <w:rPr>
          <w:sz w:val="20"/>
          <w:szCs w:val="20"/>
          <w:color w:val="auto"/>
        </w:rPr>
      </w:pPr>
    </w:p>
    <w:p>
      <w:pPr>
        <w:ind w:right="120" w:firstLine="621"/>
        <w:spacing w:after="0" w:line="260" w:lineRule="auto"/>
        <w:rPr>
          <w:sz w:val="20"/>
          <w:szCs w:val="20"/>
          <w:color w:val="auto"/>
        </w:rPr>
      </w:pPr>
      <w:r>
        <w:rPr>
          <w:rFonts w:ascii="Arial" w:cs="Arial" w:eastAsia="Arial" w:hAnsi="Arial"/>
          <w:sz w:val="17"/>
          <w:szCs w:val="17"/>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 The debt issuance costs are amortized on an effective interest basis over the term of the Term Loan B Facility and are included in interest expense and amortization of debt discount in the accompanying condensed consolidated statements of operations. The following table sets forth interest expense related to the Term Loan B Facility for the three and six months ended June 30, 2021:</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Contractual interest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debt discount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interest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June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0" w:type="dxa"/>
            <w:vAlign w:val="bottom"/>
          </w:tcPr>
          <w:p>
            <w:pPr>
              <w:spacing w:after="0"/>
              <w:rPr>
                <w:sz w:val="15"/>
                <w:szCs w:val="15"/>
                <w:color w:val="auto"/>
              </w:rPr>
            </w:pPr>
          </w:p>
        </w:tc>
        <w:tc>
          <w:tcPr>
            <w:tcW w:w="1600" w:type="dxa"/>
            <w:vAlign w:val="bottom"/>
          </w:tcPr>
          <w:p>
            <w:pPr>
              <w:jc w:val="right"/>
              <w:ind w:right="1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5"/>
                <w:szCs w:val="15"/>
                <w:color w:val="auto"/>
              </w:rPr>
            </w:pPr>
          </w:p>
        </w:tc>
        <w:tc>
          <w:tcPr>
            <w:tcW w:w="1560" w:type="dxa"/>
            <w:vAlign w:val="bottom"/>
          </w:tcPr>
          <w:p>
            <w:pPr>
              <w:jc w:val="right"/>
              <w:ind w:right="277"/>
              <w:spacing w:after="0"/>
              <w:rPr>
                <w:sz w:val="20"/>
                <w:szCs w:val="20"/>
                <w:color w:val="auto"/>
              </w:rPr>
            </w:pPr>
            <w:r>
              <w:rPr>
                <w:rFonts w:ascii="Arial" w:cs="Arial" w:eastAsia="Arial" w:hAnsi="Arial"/>
                <w:sz w:val="14"/>
                <w:szCs w:val="14"/>
                <w:b w:val="1"/>
                <w:bCs w:val="1"/>
                <w:color w:val="auto"/>
                <w:w w:val="97"/>
              </w:rPr>
              <w:t>Six Months Ended</w:t>
            </w:r>
          </w:p>
        </w:tc>
      </w:tr>
      <w:tr>
        <w:trPr>
          <w:trHeight w:val="179"/>
        </w:trPr>
        <w:tc>
          <w:tcPr>
            <w:tcW w:w="200" w:type="dxa"/>
            <w:vAlign w:val="bottom"/>
          </w:tcPr>
          <w:p>
            <w:pPr>
              <w:spacing w:after="0"/>
              <w:rPr>
                <w:sz w:val="15"/>
                <w:szCs w:val="15"/>
                <w:color w:val="auto"/>
              </w:rPr>
            </w:pPr>
          </w:p>
        </w:tc>
        <w:tc>
          <w:tcPr>
            <w:tcW w:w="3420" w:type="dxa"/>
            <w:vAlign w:val="bottom"/>
            <w:gridSpan w:val="3"/>
          </w:tcPr>
          <w:p>
            <w:pPr>
              <w:jc w:val="right"/>
              <w:ind w:right="1317"/>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3,508</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37"/>
              <w:spacing w:after="0"/>
              <w:rPr>
                <w:sz w:val="20"/>
                <w:szCs w:val="20"/>
                <w:color w:val="auto"/>
              </w:rPr>
            </w:pPr>
            <w:r>
              <w:rPr>
                <w:rFonts w:ascii="Arial" w:cs="Arial" w:eastAsia="Arial" w:hAnsi="Arial"/>
                <w:sz w:val="17"/>
                <w:szCs w:val="17"/>
                <w:color w:val="auto"/>
              </w:rPr>
              <w:t>3,508</w:t>
            </w:r>
          </w:p>
        </w:tc>
      </w:tr>
      <w:tr>
        <w:trPr>
          <w:trHeight w:val="220"/>
        </w:trPr>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266</w:t>
            </w:r>
          </w:p>
        </w:tc>
        <w:tc>
          <w:tcPr>
            <w:tcW w:w="260" w:type="dxa"/>
            <w:vAlign w:val="bottom"/>
          </w:tcPr>
          <w:p>
            <w:pPr>
              <w:spacing w:after="0"/>
              <w:rPr>
                <w:sz w:val="19"/>
                <w:szCs w:val="19"/>
                <w:color w:val="auto"/>
              </w:rPr>
            </w:pPr>
          </w:p>
        </w:tc>
        <w:tc>
          <w:tcPr>
            <w:tcW w:w="1560" w:type="dxa"/>
            <w:vAlign w:val="bottom"/>
          </w:tcPr>
          <w:p>
            <w:pPr>
              <w:jc w:val="right"/>
              <w:ind w:right="137"/>
              <w:spacing w:after="0"/>
              <w:rPr>
                <w:sz w:val="20"/>
                <w:szCs w:val="20"/>
                <w:color w:val="auto"/>
              </w:rPr>
            </w:pPr>
            <w:r>
              <w:rPr>
                <w:rFonts w:ascii="Arial" w:cs="Arial" w:eastAsia="Arial" w:hAnsi="Arial"/>
                <w:sz w:val="17"/>
                <w:szCs w:val="17"/>
                <w:color w:val="auto"/>
              </w:rPr>
              <w:t>266</w:t>
            </w:r>
          </w:p>
        </w:tc>
      </w:tr>
      <w:tr>
        <w:trPr>
          <w:trHeight w:val="220"/>
        </w:trPr>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415</w:t>
            </w:r>
          </w:p>
        </w:tc>
      </w:tr>
      <w:tr>
        <w:trPr>
          <w:trHeight w:val="213"/>
        </w:trPr>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4,189</w:t>
            </w:r>
          </w:p>
        </w:tc>
        <w:tc>
          <w:tcPr>
            <w:tcW w:w="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4,189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-598805</wp:posOffset>
            </wp:positionV>
            <wp:extent cx="6661785" cy="139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61785" cy="13970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-319405</wp:posOffset>
            </wp:positionV>
            <wp:extent cx="6661785" cy="139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1785" cy="139700"/>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-15875</wp:posOffset>
            </wp:positionV>
            <wp:extent cx="6661785" cy="156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1785" cy="15621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6"/>
          <w:szCs w:val="16"/>
          <w:color w:val="auto"/>
        </w:rPr>
        <w:t>6.98 %</w:t>
      </w:r>
    </w:p>
    <w:p>
      <w:pPr>
        <w:spacing w:after="0" w:line="200" w:lineRule="exact"/>
        <w:rPr>
          <w:sz w:val="20"/>
          <w:szCs w:val="20"/>
          <w:color w:val="auto"/>
        </w:rPr>
      </w:pPr>
    </w:p>
    <w:p>
      <w:pPr>
        <w:sectPr>
          <w:pgSz w:w="11900" w:h="16838" w:orient="portrait"/>
          <w:cols w:equalWidth="0" w:num="2">
            <w:col w:w="6160" w:space="720"/>
            <w:col w:w="4360"/>
          </w:cols>
          <w:pgMar w:left="320" w:top="127" w:right="339" w:bottom="1440" w:gutter="0" w:footer="0" w:header="0"/>
          <w:type w:val="continuous"/>
        </w:sectPr>
      </w:pPr>
    </w:p>
    <w:p>
      <w:pPr>
        <w:spacing w:after="0" w:line="224"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Amortization expense for the Term Loan B Facility debt discount and debt issuance costs for the remainder of 2021 and for fiscal years 2022 through 2028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6"/>
                <w:szCs w:val="16"/>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Debt Discount</w:t>
            </w:r>
          </w:p>
        </w:tc>
        <w:tc>
          <w:tcPr>
            <w:tcW w:w="160" w:type="dxa"/>
            <w:vAlign w:val="bottom"/>
          </w:tcPr>
          <w:p>
            <w:pPr>
              <w:spacing w:after="0"/>
              <w:rPr>
                <w:sz w:val="16"/>
                <w:szCs w:val="16"/>
                <w:color w:val="auto"/>
              </w:rPr>
            </w:pPr>
          </w:p>
        </w:tc>
        <w:tc>
          <w:tcPr>
            <w:tcW w:w="140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Debt Issuance Costs</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w:t>
            </w:r>
          </w:p>
        </w:tc>
      </w:tr>
      <w:tr>
        <w:trPr>
          <w:trHeight w:val="220"/>
        </w:trPr>
        <w:tc>
          <w:tcPr>
            <w:tcW w:w="816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1,580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2,466</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r>
      <w:tr>
        <w:trPr>
          <w:trHeight w:val="220"/>
        </w:trPr>
        <w:tc>
          <w:tcPr>
            <w:tcW w:w="816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1,548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2,416</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w:t>
            </w:r>
          </w:p>
        </w:tc>
      </w:tr>
      <w:tr>
        <w:trPr>
          <w:trHeight w:val="22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3,514</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5,482</w:t>
            </w:r>
          </w:p>
        </w:tc>
      </w:tr>
      <w:tr>
        <w:trPr>
          <w:trHeight w:val="238"/>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16—Subsequent Events</w:t>
      </w:r>
    </w:p>
    <w:p>
      <w:pPr>
        <w:spacing w:after="0" w:line="108" w:lineRule="exact"/>
        <w:rPr>
          <w:sz w:val="20"/>
          <w:szCs w:val="20"/>
          <w:color w:val="auto"/>
        </w:rPr>
      </w:pPr>
    </w:p>
    <w:p>
      <w:pPr>
        <w:ind w:right="40" w:firstLine="621"/>
        <w:spacing w:after="0" w:line="259" w:lineRule="auto"/>
        <w:rPr>
          <w:sz w:val="20"/>
          <w:szCs w:val="20"/>
          <w:color w:val="auto"/>
        </w:rPr>
      </w:pPr>
      <w:r>
        <w:rPr>
          <w:rFonts w:ascii="Arial" w:cs="Arial" w:eastAsia="Arial" w:hAnsi="Arial"/>
          <w:sz w:val="17"/>
          <w:szCs w:val="17"/>
          <w:color w:val="auto"/>
        </w:rPr>
        <w:t>On July 1, 2021, the Company completed the acquisition of ServeMotion, Inc., a Delaware corporation (including its wholly owned subsidiary, SpringServe, LLC, "SpringServe"), through the Company's wholly-owned subsidiary, SpotX, pursuant to a definitive agreement entered into on July 1, 2021. As a result of the acquisition of SpringServe, SpringServe has become a wholly-owned subsidiary of SpotX, and a wholly-owned indirect subsidiary of the Company. The purchase price was approximately $31.0 million in cash (net of a prior $2 million investment and subject to adjustments), pursuant to a previously negotiated option agreement that the Company secured as part of the SpotX Acquisition. In 2020, SpotX made a minority investment in SpringServe in conjunction with a strategic partnership agreement between the two companies. The Company is currently evaluating the allocation of the purchase price to the acquired assets and assumed liabilities. It is not practicable to disclose the preliminary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color w:val="auto"/>
        </w:rPr>
        <w:t>purchase price allocation or the unaudited combined financial information given the short period of time between the acquisition and the issuance of these unaudited interim condensed consolidated financial statements.</w:t>
      </w:r>
    </w:p>
    <w:p>
      <w:pPr>
        <w:spacing w:after="0" w:line="31" w:lineRule="exact"/>
        <w:rPr>
          <w:sz w:val="20"/>
          <w:szCs w:val="20"/>
          <w:color w:val="auto"/>
        </w:rPr>
      </w:pPr>
    </w:p>
    <w:p>
      <w:pPr>
        <w:ind w:firstLine="621"/>
        <w:spacing w:after="0" w:line="320" w:lineRule="auto"/>
        <w:rPr>
          <w:sz w:val="20"/>
          <w:szCs w:val="20"/>
          <w:color w:val="auto"/>
        </w:rPr>
      </w:pPr>
      <w:r>
        <w:rPr>
          <w:rFonts w:ascii="Arial" w:cs="Arial" w:eastAsia="Arial" w:hAnsi="Arial"/>
          <w:sz w:val="15"/>
          <w:szCs w:val="15"/>
          <w:color w:val="auto"/>
        </w:rPr>
        <w:t>On July 1, 2021, the Company granted 1,267,892 restricted stock units and 13,594 stock options to the Company's employees. The options granted will vest over four years from grant date, with 25% vesting after one year and the remainder vesting monthly thereafter. Of the RSUs granted, 1,068,782 will vest over four years from issuance with 25% after one year, and the remainder vesting quarterly thereafter, and 199,110 will vest 50% on July 1, 2022 and 50% July 1,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08" w:lineRule="exact"/>
        <w:rPr>
          <w:sz w:val="20"/>
          <w:szCs w:val="20"/>
          <w:color w:val="auto"/>
        </w:rPr>
      </w:pPr>
    </w:p>
    <w:p>
      <w:pPr>
        <w:ind w:firstLine="621"/>
        <w:spacing w:after="0" w:line="273"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acquisition of SpotX, Inc. ("SpotX," and such acquisition the "SpotX Acquisition") or SpringServe, LLC ("SpringServe," and such acquisition the "SpringServe Acquisition") or the anticipated benefits thereof; statements concerning potential synergies from the SpotX Acquisition or SpringServe Acquisition; statements concerning the potential impacts of the COVID-19 pandemic on our business operations, financial condition, and results of operations and on the world economy; our anticipated financial performance; anticipated benefits or effects related to our completed merger with Telaria, Inc. in April 2020 ("Telaria" and such merger the "Telaria Merger"); key strategic objectives;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sales growth; client utilization of our offerings; our competitive differentiation; our market share and leadership position in the industry; market conditions, trends, and opportunities; certain statements regarding future operational performance measures;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Risks that our business face include, but are not limited to, the following:</w:t>
      </w:r>
    </w:p>
    <w:p>
      <w:pPr>
        <w:spacing w:after="0" w:line="102" w:lineRule="exact"/>
        <w:rPr>
          <w:sz w:val="20"/>
          <w:szCs w:val="20"/>
          <w:color w:val="auto"/>
        </w:rPr>
      </w:pP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realize the anticipated benefits of the Telaria Merger, SpotX Acquisition, and SpringServe Acquisition;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the terms of our financing arrangements;</w:t>
      </w:r>
    </w:p>
    <w:p>
      <w:pPr>
        <w:spacing w:after="0" w:line="102" w:lineRule="exact"/>
        <w:rPr>
          <w:rFonts w:ascii="Arial" w:cs="Arial" w:eastAsia="Arial" w:hAnsi="Arial"/>
          <w:sz w:val="17"/>
          <w:szCs w:val="17"/>
          <w:i w:val="1"/>
          <w:iCs w:val="1"/>
          <w:color w:val="auto"/>
        </w:rPr>
      </w:pPr>
    </w:p>
    <w:p>
      <w:pPr>
        <w:ind w:left="62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in our Credit Agreement may limit our ability to make strategic investments, respond to changing market conditions, or otherwise operate our business, which may place us at a disadvantage compared to competitors;</w:t>
      </w:r>
    </w:p>
    <w:p>
      <w:pPr>
        <w:ind w:left="620" w:right="6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our debt leverage may put us at greater risk of defaulting on our debt obligations, subject us to additional operating restrictions and make it more difficult to obtain future financing on favorable terms;</w:t>
      </w:r>
    </w:p>
    <w:p>
      <w:pPr>
        <w:ind w:left="620" w:right="42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sales of our common stock by the former owner of SpotX, including pursuant to a registered offering, may have an adverse effect on the price of our common stock;</w:t>
      </w:r>
    </w:p>
    <w:p>
      <w:pPr>
        <w:ind w:left="620" w:hanging="306"/>
        <w:spacing w:after="0"/>
        <w:tabs>
          <w:tab w:leader="none" w:pos="62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conversion of our Convertible Notes will dilute the ownership interest of existing stockholders or may otherwise depress the price of our common stock;</w:t>
      </w:r>
    </w:p>
    <w:p>
      <w:pPr>
        <w:spacing w:after="0" w:line="125" w:lineRule="exact"/>
        <w:rPr>
          <w:rFonts w:ascii="Arial" w:cs="Arial" w:eastAsia="Arial" w:hAnsi="Arial"/>
          <w:sz w:val="15"/>
          <w:szCs w:val="15"/>
          <w:i w:val="1"/>
          <w:iCs w:val="1"/>
          <w:color w:val="auto"/>
        </w:rPr>
      </w:pPr>
    </w:p>
    <w:p>
      <w:pPr>
        <w:ind w:left="620" w:right="120" w:hanging="306"/>
        <w:spacing w:after="0" w:line="388" w:lineRule="auto"/>
        <w:tabs>
          <w:tab w:leader="none" w:pos="616"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severity, magnitude, and duration of the COVID-19 pandemic, including impacts of the pandemic and of responses to the pandemic by governments, business and individuals on our operations, personnel, buyers, sellers, and on the global economy and the advertising marketplace;</w:t>
      </w:r>
    </w:p>
    <w:p>
      <w:pPr>
        <w:ind w:left="620" w:right="60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unsuccessful in our supply path optimization efforts;</w:t>
      </w:r>
    </w:p>
    <w:p>
      <w:pPr>
        <w:spacing w:after="0" w:line="102" w:lineRule="exact"/>
        <w:rPr>
          <w:rFonts w:ascii="Arial" w:cs="Arial" w:eastAsia="Arial" w:hAnsi="Arial"/>
          <w:sz w:val="17"/>
          <w:szCs w:val="17"/>
          <w:i w:val="1"/>
          <w:iCs w:val="1"/>
          <w:color w:val="auto"/>
        </w:rPr>
      </w:pPr>
    </w:p>
    <w:p>
      <w:pPr>
        <w:ind w:left="620" w:right="44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introduce new offerings and bring them to market in a timely manner, and otherwise adapt in response to client demands and industry trends;</w:t>
      </w:r>
    </w:p>
    <w:p>
      <w:pPr>
        <w:ind w:left="620" w:right="560" w:hanging="306"/>
        <w:spacing w:after="0" w:line="365" w:lineRule="auto"/>
        <w:tabs>
          <w:tab w:leader="none" w:pos="616"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uncertainty of our estimates and expectations associated with new offerings, including the CTV ad server product that we recently acquired in the SpringServe Acquisition;</w:t>
      </w: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lack of adoption and market acceptance of our Demand Manager solution;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we must increase the scale and efficiency of our technology infrastructure to support our growth;</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the emergence of header bidding has increased competition from other demand sources and may cause infrastructure strain and added costs;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access to mobile inventory may be limited by third-party technology or lack of direct relationships with mobile sellers;</w:t>
      </w:r>
    </w:p>
    <w:p>
      <w:pPr>
        <w:spacing w:after="0" w:line="102" w:lineRule="exact"/>
        <w:rPr>
          <w:rFonts w:ascii="Arial" w:cs="Arial" w:eastAsia="Arial" w:hAnsi="Arial"/>
          <w:sz w:val="17"/>
          <w:szCs w:val="17"/>
          <w:i w:val="1"/>
          <w:iCs w:val="1"/>
          <w:color w:val="auto"/>
        </w:rPr>
      </w:pPr>
    </w:p>
    <w:p>
      <w:pPr>
        <w:ind w:left="620" w:right="12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may experience lower take rates, which may not be offset by increase in the volume of ad requests, improvements in fill-rate, and/or increases in the value of transactions through our platform;</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requests for discounts, fee concessions, rebates, refunds or favorable payment terms;</w:t>
      </w:r>
    </w:p>
    <w:p>
      <w:pPr>
        <w:spacing w:after="0" w:line="102" w:lineRule="exact"/>
        <w:rPr>
          <w:rFonts w:ascii="Arial" w:cs="Arial" w:eastAsia="Arial" w:hAnsi="Arial"/>
          <w:sz w:val="17"/>
          <w:szCs w:val="17"/>
          <w:i w:val="1"/>
          <w:iCs w:val="1"/>
          <w:color w:val="auto"/>
        </w:rPr>
      </w:pPr>
    </w:p>
    <w:p>
      <w:pPr>
        <w:ind w:left="620" w:right="14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history of losses, and the fact that in the past our operating results have and may in the future fluctuate significantly, be difficult to predict, and fall below analysts' and investors' expectations;</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on the advertising market and our business from difficult economic conditions or uncertainty;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seasonal trends on our results of operations;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we operate in an intensely competitive market that includes companies that have greater financial, technical and marketing resources than we do;</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consolidation in the ad tech industry;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digital advertising spend captured by closed “walled gardens” (such as Google, Facebook, Comcast, and Amazon);</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differentiate our offerings and compete effectively to combat commodification and disintermediation;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limitations on our ability to collect or use data as a result of consumer tools, regulatory restrictions and technological limitations;</w:t>
      </w:r>
    </w:p>
    <w:p>
      <w:pPr>
        <w:spacing w:after="0" w:line="102" w:lineRule="exact"/>
        <w:rPr>
          <w:rFonts w:ascii="Arial" w:cs="Arial" w:eastAsia="Arial" w:hAnsi="Arial"/>
          <w:sz w:val="17"/>
          <w:szCs w:val="17"/>
          <w:i w:val="1"/>
          <w:iCs w:val="1"/>
          <w:color w:val="auto"/>
        </w:rPr>
      </w:pPr>
    </w:p>
    <w:p>
      <w:pPr>
        <w:ind w:left="62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development and use of new identity solutions as a replacement for third-party cookies and other identifiers may disrupt the programmatic ecosystem and cause the performance of our platform to decline;</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industry may not adopt or may be slow to adopt the use of first-party publisher segments as an alternative to third-party cookies;</w:t>
      </w:r>
    </w:p>
    <w:p>
      <w:pPr>
        <w:spacing w:after="0" w:line="102" w:lineRule="exact"/>
        <w:rPr>
          <w:rFonts w:ascii="Arial" w:cs="Arial" w:eastAsia="Arial" w:hAnsi="Arial"/>
          <w:sz w:val="17"/>
          <w:szCs w:val="17"/>
          <w:i w:val="1"/>
          <w:iCs w:val="1"/>
          <w:color w:val="auto"/>
        </w:rPr>
      </w:pPr>
    </w:p>
    <w:p>
      <w:pPr>
        <w:ind w:left="620" w:right="44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and the effect on our business of, evolving legal standards and regulations, particularly concerning data protection and privacy;</w:t>
      </w: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failure by us or our clients to meet advertising and inventory content standards could harm our brand and reputation and those of our partners;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freedom of buyers and sellers to direct their spending and inventory to competing sources of inventory and demand;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of buyers and sellers to establish direct relationships and integrations without the use of our platform;</w:t>
      </w:r>
    </w:p>
    <w:p>
      <w:pPr>
        <w:spacing w:after="0" w:line="102" w:lineRule="exact"/>
        <w:rPr>
          <w:rFonts w:ascii="Arial" w:cs="Arial" w:eastAsia="Arial" w:hAnsi="Arial"/>
          <w:sz w:val="17"/>
          <w:szCs w:val="17"/>
          <w:i w:val="1"/>
          <w:iCs w:val="1"/>
          <w:color w:val="auto"/>
        </w:rPr>
      </w:pPr>
    </w:p>
    <w:p>
      <w:pPr>
        <w:ind w:left="620" w:right="20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aggregators of advertising inventory, and the concentration of CTV among a small number of large sellers that enjoy significant negotiating leverage;</w:t>
      </w:r>
    </w:p>
    <w:p>
      <w:pPr>
        <w:ind w:left="620" w:right="52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provide value to both buyers and sellers of advertising without being perceived as favoring one over the other or being perceived as competing with them through our service offerings;</w:t>
      </w:r>
    </w:p>
    <w:p>
      <w:pPr>
        <w:ind w:left="62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sources of advertising demand, including demand side platforms ("DSPs") that may have or develop high-risk credit profiles or fail to pay invoices when due;</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exposed to claims from clients for breach of contracts;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errors or failures in the operation of our solution, interruptions in our access to network infrastructure or data, and breaches of our computer systems;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ensure a high level of brand safety for our clients and to detect "bot" traffic and other fraudulent or malicious activity;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use of our net operating losses and tax credit carryforwards may be subject to certain limitations;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the possibility of adjustments to the purchase price allocation and valuation relating to the SpotX Acquisition;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raise additional capital if needed;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volatility in the price of our common stock;</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negative analyst or investor research reports;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attract and retain qualified employees and key personnel;</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costs associated with enforcing our intellectual property rights or defending intellectual property infringement and other claims;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Capped Call Transactions may affect the value of the Convertible Notes and our common stock;</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we are subject to counterparty risk with respect to the Capped Call Transactions;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conditional conversion feature of the Convertible Notes, if triggered, may adversely affect our financial condition and operating result;</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successfully execute our international growth plans; and</w:t>
      </w:r>
    </w:p>
    <w:p>
      <w:pPr>
        <w:spacing w:after="0" w:line="50" w:lineRule="exact"/>
        <w:rPr>
          <w:rFonts w:ascii="Arial" w:cs="Arial" w:eastAsia="Arial" w:hAnsi="Arial"/>
          <w:sz w:val="17"/>
          <w:szCs w:val="17"/>
          <w:i w:val="1"/>
          <w:iCs w:val="1"/>
          <w:color w:val="auto"/>
        </w:rPr>
      </w:pPr>
    </w:p>
    <w:p>
      <w:pPr>
        <w:ind w:left="620" w:right="140" w:hanging="306"/>
        <w:spacing w:after="0" w:line="283"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identify future acquisitions of or investments in complementary companies or technologies and our ability to consummate the acquisitions and integrate such companies or technologies.</w:t>
      </w:r>
    </w:p>
    <w:p>
      <w:pPr>
        <w:spacing w:after="0" w:line="121"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2020.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34" w:lineRule="exact"/>
        <w:rPr>
          <w:sz w:val="20"/>
          <w:szCs w:val="20"/>
          <w:color w:val="auto"/>
        </w:rPr>
      </w:pPr>
    </w:p>
    <w:p>
      <w:pPr>
        <w:ind w:right="320" w:firstLine="621"/>
        <w:spacing w:after="0" w:line="268" w:lineRule="auto"/>
        <w:rPr>
          <w:sz w:val="20"/>
          <w:szCs w:val="20"/>
          <w:color w:val="auto"/>
        </w:rPr>
      </w:pPr>
      <w:r>
        <w:rPr>
          <w:rFonts w:ascii="Arial" w:cs="Arial" w:eastAsia="Arial" w:hAnsi="Arial"/>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147"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9"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Magnite, Inc., formerly known as The Rubicon Project, Inc. ("we," or "us"), provides technology solutions to automate the purchase and sale of digital advertising inventory.</w:t>
      </w:r>
    </w:p>
    <w:p>
      <w:pPr>
        <w:spacing w:after="0" w:line="31" w:lineRule="exact"/>
        <w:rPr>
          <w:sz w:val="20"/>
          <w:szCs w:val="20"/>
          <w:color w:val="auto"/>
        </w:rPr>
      </w:pPr>
    </w:p>
    <w:p>
      <w:pPr>
        <w:ind w:right="180" w:firstLine="621"/>
        <w:spacing w:after="0" w:line="258" w:lineRule="auto"/>
        <w:rPr>
          <w:sz w:val="20"/>
          <w:szCs w:val="20"/>
          <w:color w:val="auto"/>
        </w:rPr>
      </w:pPr>
      <w:r>
        <w:rPr>
          <w:rFonts w:ascii="Arial" w:cs="Arial" w:eastAsia="Arial" w:hAnsi="Arial"/>
          <w:sz w:val="17"/>
          <w:szCs w:val="17"/>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 for a purchase price of approximately $1.2 billion, consisting of $640.0 million in cash, 12,374,315 shares of Magnite’s common stock with a fair value of $495.6 million (based on the fair value of the Company's common stock on April 30, 2021), and estimated working capital adjustments. Following the Telaria Merger and SpotX Acquisition, we believe that we are the world’s largest independent omni-channel sell-side advertising platform,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65" w:lineRule="exact"/>
        <w:rPr>
          <w:sz w:val="20"/>
          <w:szCs w:val="20"/>
          <w:color w:val="auto"/>
        </w:rPr>
      </w:pPr>
    </w:p>
    <w:p>
      <w:pPr>
        <w:ind w:right="60" w:firstLine="621"/>
        <w:spacing w:after="0" w:line="279" w:lineRule="auto"/>
        <w:rPr>
          <w:sz w:val="20"/>
          <w:szCs w:val="20"/>
          <w:color w:val="auto"/>
        </w:rPr>
      </w:pPr>
      <w:r>
        <w:rPr>
          <w:rFonts w:ascii="Arial" w:cs="Arial" w:eastAsia="Arial" w:hAnsi="Arial"/>
          <w:sz w:val="16"/>
          <w:szCs w:val="16"/>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49" w:lineRule="exact"/>
        <w:rPr>
          <w:sz w:val="20"/>
          <w:szCs w:val="20"/>
          <w:color w:val="auto"/>
        </w:rPr>
      </w:pPr>
    </w:p>
    <w:p>
      <w:pPr>
        <w:ind w:firstLine="621"/>
        <w:spacing w:after="0" w:line="301" w:lineRule="auto"/>
        <w:rPr>
          <w:sz w:val="20"/>
          <w:szCs w:val="20"/>
          <w:color w:val="auto"/>
        </w:rPr>
      </w:pPr>
      <w:r>
        <w:rPr>
          <w:rFonts w:ascii="Arial" w:cs="Arial" w:eastAsia="Arial" w:hAnsi="Arial"/>
          <w:sz w:val="15"/>
          <w:szCs w:val="15"/>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21" w:lineRule="exact"/>
        <w:rPr>
          <w:sz w:val="20"/>
          <w:szCs w:val="20"/>
          <w:color w:val="auto"/>
        </w:rPr>
      </w:pPr>
    </w:p>
    <w:p>
      <w:pPr>
        <w:ind w:right="80" w:firstLine="621"/>
        <w:spacing w:after="0" w:line="309" w:lineRule="auto"/>
        <w:rPr>
          <w:sz w:val="20"/>
          <w:szCs w:val="20"/>
          <w:color w:val="auto"/>
        </w:rPr>
      </w:pPr>
      <w:r>
        <w:rPr>
          <w:rFonts w:ascii="Arial" w:cs="Arial" w:eastAsia="Arial" w:hAnsi="Arial"/>
          <w:sz w:val="15"/>
          <w:szCs w:val="15"/>
          <w:color w:val="auto"/>
        </w:rPr>
        <w:t>On July 1, 2021, we acquired SpringServe, LLC ("SpringServe"), a leading ad serving platform for CTV. SpringServe's ad serving technology manages multiple aspects of video advertising, including for CTV publishers, across both their programmatic and direct-sold inventory, including forecasting, routing, customized ad experiences, and advanced podding logic.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30" w:lineRule="exact"/>
        <w:rPr>
          <w:sz w:val="20"/>
          <w:szCs w:val="20"/>
          <w:color w:val="auto"/>
        </w:rPr>
      </w:pPr>
    </w:p>
    <w:p>
      <w:pPr>
        <w:ind w:right="340" w:firstLine="621"/>
        <w:spacing w:after="0" w:line="293" w:lineRule="auto"/>
        <w:rPr>
          <w:sz w:val="20"/>
          <w:szCs w:val="20"/>
          <w:color w:val="auto"/>
        </w:rPr>
      </w:pPr>
      <w:r>
        <w:rPr>
          <w:rFonts w:ascii="Arial" w:cs="Arial" w:eastAsia="Arial" w:hAnsi="Arial"/>
          <w:sz w:val="16"/>
          <w:szCs w:val="16"/>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38" w:lineRule="exact"/>
        <w:rPr>
          <w:sz w:val="20"/>
          <w:szCs w:val="20"/>
          <w:color w:val="auto"/>
        </w:rPr>
      </w:pPr>
    </w:p>
    <w:p>
      <w:pPr>
        <w:ind w:right="80" w:firstLine="621"/>
        <w:spacing w:after="0" w:line="268" w:lineRule="auto"/>
        <w:rPr>
          <w:sz w:val="20"/>
          <w:szCs w:val="20"/>
          <w:color w:val="auto"/>
        </w:rPr>
      </w:pPr>
      <w:r>
        <w:rPr>
          <w:rFonts w:ascii="Arial" w:cs="Arial" w:eastAsia="Arial" w:hAnsi="Arial"/>
          <w:sz w:val="17"/>
          <w:szCs w:val="17"/>
          <w:color w:val="auto"/>
        </w:rPr>
        <w:t>The Company is headquartered in Los Angeles, California and New York, New York. 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44"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Our global workforce has maintained a work from home policy since March, 2020. We continue to monitor best practices and guidance for a potential return to office. We plan to return to our offices in the latter half of 2021 and will approach our return with caution to prioritize the safety and health of our employees. We believe that our employees have been able to work productively during the time period in which our global offices have been shut down. However, to the extent we have extended work from home requirements, or that work patterns are permanently altered, it is unclear how productivity may be impacted in the long-term.</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Generate Revenue</w:t>
      </w:r>
    </w:p>
    <w:p>
      <w:pPr>
        <w:spacing w:after="0" w:line="108" w:lineRule="exact"/>
        <w:rPr>
          <w:sz w:val="20"/>
          <w:szCs w:val="20"/>
          <w:color w:val="auto"/>
        </w:rPr>
      </w:pPr>
    </w:p>
    <w:p>
      <w:pPr>
        <w:ind w:right="60" w:firstLine="621"/>
        <w:spacing w:after="0" w:line="264" w:lineRule="auto"/>
        <w:rPr>
          <w:sz w:val="20"/>
          <w:szCs w:val="20"/>
          <w:color w:val="auto"/>
        </w:rPr>
      </w:pPr>
      <w:r>
        <w:rPr>
          <w:rFonts w:ascii="Arial" w:cs="Arial" w:eastAsia="Arial" w:hAnsi="Arial"/>
          <w:sz w:val="17"/>
          <w:szCs w:val="17"/>
          <w:color w:val="auto"/>
        </w:rPr>
        <w:t>We generate revenue from the use of our platform for the purchase and sale of digital advertising inventory. We also generate revenue from the fee we charge clients for use of our Demand Manager product and SpringServe ad server product, which we acquired on July 1, 2021. Generally, our revenue is based on a percentage of the ad spend that runs through our platform, although for certain clients or transaction types we may receive a fixed CPM for each impression sold.</w:t>
      </w:r>
    </w:p>
    <w:p>
      <w:pPr>
        <w:spacing w:after="0" w:line="45"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Digital advertising inventory is created when consumers access sellers' content. Sellers provide digital advertising inventory to our SSP platform in the form of advertising requests, or ad requests. When we receive ad requests from sellers, we send bid requests to buyers, which enable buyers to bid on sellers’ digital advertising inventory. Winning bids can create advertising, 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Continued Shift Toward Digital Advertising</w:t>
      </w:r>
    </w:p>
    <w:p>
      <w:pPr>
        <w:spacing w:after="0" w:line="102" w:lineRule="exact"/>
        <w:rPr>
          <w:sz w:val="20"/>
          <w:szCs w:val="20"/>
          <w:color w:val="auto"/>
        </w:rPr>
      </w:pPr>
    </w:p>
    <w:p>
      <w:pPr>
        <w:ind w:right="360" w:firstLine="621"/>
        <w:spacing w:after="0" w:line="268" w:lineRule="auto"/>
        <w:rPr>
          <w:sz w:val="20"/>
          <w:szCs w:val="20"/>
          <w:color w:val="auto"/>
        </w:rPr>
      </w:pPr>
      <w:r>
        <w:rPr>
          <w:rFonts w:ascii="Arial" w:cs="Arial" w:eastAsia="Arial" w:hAnsi="Arial"/>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Automation of Buying and Selling</w:t>
      </w:r>
    </w:p>
    <w:p>
      <w:pPr>
        <w:spacing w:after="0" w:line="102" w:lineRule="exact"/>
        <w:rPr>
          <w:sz w:val="20"/>
          <w:szCs w:val="20"/>
          <w:color w:val="auto"/>
        </w:rPr>
      </w:pPr>
    </w:p>
    <w:p>
      <w:pPr>
        <w:ind w:right="40" w:firstLine="621"/>
        <w:spacing w:after="0" w:line="258" w:lineRule="auto"/>
        <w:rPr>
          <w:sz w:val="20"/>
          <w:szCs w:val="20"/>
          <w:color w:val="auto"/>
        </w:rPr>
      </w:pPr>
      <w:r>
        <w:rPr>
          <w:rFonts w:ascii="Arial" w:cs="Arial" w:eastAsia="Arial" w:hAnsi="Arial"/>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which includes direct sale of premium inventory to a buyer, which we refer to as private marketplace ("PMP"), and open auction bidding, where buyers bid against each other in real-time auction for the right to purchase a publisher's inventory, which we refer to as open marketplace ("OMP"). Programmatic has become the dominant method of transacting for desktop and mobile inventory and we expect it to continue to grow as a percentage of CTV advertising.</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Convergence of TV and Digital</w:t>
      </w:r>
    </w:p>
    <w:p>
      <w:pPr>
        <w:spacing w:after="0" w:line="89" w:lineRule="exact"/>
        <w:rPr>
          <w:sz w:val="20"/>
          <w:szCs w:val="20"/>
          <w:color w:val="auto"/>
        </w:rPr>
      </w:pPr>
    </w:p>
    <w:p>
      <w:pPr>
        <w:ind w:right="280" w:firstLine="621"/>
        <w:spacing w:after="0" w:line="279" w:lineRule="auto"/>
        <w:rPr>
          <w:sz w:val="20"/>
          <w:szCs w:val="20"/>
          <w:color w:val="auto"/>
        </w:rPr>
      </w:pPr>
      <w:r>
        <w:rPr>
          <w:rFonts w:ascii="Arial" w:cs="Arial" w:eastAsia="Arial" w:hAnsi="Arial"/>
          <w:sz w:val="16"/>
          <w:szCs w:val="16"/>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recently completed acquisitions of SpotX and SpringServe to further fuel this growth.</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Identity Solutions</w:t>
      </w:r>
    </w:p>
    <w:p>
      <w:pPr>
        <w:spacing w:after="0" w:line="102"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provide the infrastructure and tools needed for a publisher-centric identity model to succeed, and we are already enabling sellers to create audience segments with their first-party data.</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Supply Path Optimization</w:t>
      </w:r>
    </w:p>
    <w:p>
      <w:pPr>
        <w:spacing w:after="0" w:line="102"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Header Bidding and Data Processing</w:t>
      </w:r>
    </w:p>
    <w:p>
      <w:pPr>
        <w:spacing w:after="0" w:line="89" w:lineRule="exact"/>
        <w:rPr>
          <w:sz w:val="20"/>
          <w:szCs w:val="20"/>
          <w:color w:val="auto"/>
        </w:rPr>
      </w:pPr>
    </w:p>
    <w:p>
      <w:pPr>
        <w:ind w:right="40" w:firstLine="621"/>
        <w:spacing w:after="0" w:line="304" w:lineRule="auto"/>
        <w:rPr>
          <w:sz w:val="20"/>
          <w:szCs w:val="20"/>
          <w:color w:val="auto"/>
        </w:rPr>
      </w:pPr>
      <w:r>
        <w:rPr>
          <w:rFonts w:ascii="Arial" w:cs="Arial" w:eastAsia="Arial" w:hAnsi="Arial"/>
          <w:sz w:val="15"/>
          <w:szCs w:val="15"/>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while the rise and rapid adoption of header bidding increased revenue for sellers, it has also created new challenges and technical complexities. Header bidding has led to a significant increase in the number of ad impressions to be processed and analyzed through our platform as well as by DSPs, which can lead to increased costs if not properly addressed. We have invested in technology solutions to help manage the increased infrastructure costs of header-bidding while increasing our access to valuable seller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Privacy Regulation</w:t>
      </w:r>
    </w:p>
    <w:p>
      <w:pPr>
        <w:spacing w:after="0" w:line="89" w:lineRule="exact"/>
        <w:rPr>
          <w:sz w:val="20"/>
          <w:szCs w:val="20"/>
          <w:color w:val="auto"/>
        </w:rPr>
      </w:pPr>
    </w:p>
    <w:p>
      <w:pPr>
        <w:ind w:firstLine="621"/>
        <w:spacing w:after="0" w:line="309" w:lineRule="auto"/>
        <w:rPr>
          <w:sz w:val="20"/>
          <w:szCs w:val="20"/>
          <w:color w:val="auto"/>
        </w:rPr>
      </w:pPr>
      <w:r>
        <w:rPr>
          <w:rFonts w:ascii="Arial" w:cs="Arial" w:eastAsia="Arial" w:hAnsi="Arial"/>
          <w:sz w:val="15"/>
          <w:szCs w:val="15"/>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30" w:lineRule="exact"/>
        <w:rPr>
          <w:sz w:val="20"/>
          <w:szCs w:val="20"/>
          <w:color w:val="auto"/>
        </w:rPr>
      </w:pPr>
    </w:p>
    <w:p>
      <w:pPr>
        <w:ind w:right="60" w:firstLine="621"/>
        <w:spacing w:after="0" w:line="285" w:lineRule="auto"/>
        <w:rPr>
          <w:sz w:val="20"/>
          <w:szCs w:val="20"/>
          <w:color w:val="auto"/>
        </w:rPr>
      </w:pPr>
      <w:r>
        <w:rPr>
          <w:rFonts w:ascii="Arial" w:cs="Arial" w:eastAsia="Arial" w:hAnsi="Arial"/>
          <w:sz w:val="16"/>
          <w:szCs w:val="16"/>
          <w:color w:val="auto"/>
        </w:rPr>
        <w:t>The use of and transfer of personal data in EEA member states and the UK is currently governed by the General Data Protection Regulation (the "GDPR"). The GDPR sets out higher potential liabilities for certain data protection violations and establishes significant new regulatory requirements resulting in a greater compliance burden for us in the course of delivering our solution in the EEA and UK. While data protection authorities have started to clarify certain requirements under GDPR, significant uncertainty remains as to how the regulation will be applied and enforced.</w:t>
      </w:r>
    </w:p>
    <w:p>
      <w:pPr>
        <w:spacing w:after="0" w:line="44" w:lineRule="exact"/>
        <w:rPr>
          <w:sz w:val="20"/>
          <w:szCs w:val="20"/>
          <w:color w:val="auto"/>
        </w:rPr>
      </w:pPr>
    </w:p>
    <w:p>
      <w:pPr>
        <w:ind w:right="80" w:firstLine="621"/>
        <w:spacing w:after="0" w:line="257" w:lineRule="auto"/>
        <w:rPr>
          <w:sz w:val="20"/>
          <w:szCs w:val="20"/>
          <w:color w:val="auto"/>
        </w:rPr>
      </w:pPr>
      <w:r>
        <w:rPr>
          <w:rFonts w:ascii="Arial" w:cs="Arial" w:eastAsia="Arial" w:hAnsi="Arial"/>
          <w:sz w:val="17"/>
          <w:szCs w:val="17"/>
          <w:color w:val="auto"/>
        </w:rPr>
        <w:t>In addition to the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56" w:lineRule="exact"/>
        <w:rPr>
          <w:sz w:val="20"/>
          <w:szCs w:val="20"/>
          <w:color w:val="auto"/>
        </w:rPr>
      </w:pPr>
    </w:p>
    <w:p>
      <w:pPr>
        <w:ind w:right="180" w:firstLine="621"/>
        <w:spacing w:after="0" w:line="268" w:lineRule="auto"/>
        <w:rPr>
          <w:sz w:val="20"/>
          <w:szCs w:val="20"/>
          <w:color w:val="auto"/>
        </w:rPr>
      </w:pPr>
      <w:r>
        <w:rPr>
          <w:rFonts w:ascii="Arial" w:cs="Arial" w:eastAsia="Arial" w:hAnsi="Arial"/>
          <w:sz w:val="17"/>
          <w:szCs w:val="17"/>
          <w:color w:val="auto"/>
        </w:rPr>
        <w:t>We support privacy initiatives and believe they will be beneficial to consumers' confidence in advertising technology, which will ultimately be positive for the advertising ecosystem in the long term. In the short term, however, until prevailing compliance practices standardize, the impact of worldwide privacy regulations on our business and, consequently, our revenue could be negatively impacted.</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in Our Business</w:t>
      </w:r>
    </w:p>
    <w:p>
      <w:pPr>
        <w:spacing w:after="0" w:line="32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Telaria Merger and SpotX Acquisition</w:t>
      </w:r>
    </w:p>
    <w:p>
      <w:pPr>
        <w:spacing w:after="0" w:line="102" w:lineRule="exact"/>
        <w:rPr>
          <w:sz w:val="20"/>
          <w:szCs w:val="20"/>
          <w:color w:val="auto"/>
        </w:rPr>
      </w:pPr>
    </w:p>
    <w:p>
      <w:pPr>
        <w:ind w:firstLine="621"/>
        <w:spacing w:after="0" w:line="320" w:lineRule="auto"/>
        <w:rPr>
          <w:sz w:val="20"/>
          <w:szCs w:val="20"/>
          <w:color w:val="auto"/>
        </w:rPr>
      </w:pPr>
      <w:r>
        <w:rPr>
          <w:rFonts w:ascii="Arial" w:cs="Arial" w:eastAsia="Arial" w:hAnsi="Arial"/>
          <w:sz w:val="15"/>
          <w:szCs w:val="15"/>
          <w:color w:val="auto"/>
        </w:rPr>
        <w:t>On April 1, 2020, we completed the Telaria Merger, and on April 30, 2021, we completed the SpotX Acquisition. These transactions were transformative and have resulted in what we believe to be the world’s largest independent sell-side advertising platform, with scale, capabilities, and solutions exceeding those offered by competitors. We offer a single partner for transacting CTV, desktop display, video, audio and mobile inventory across all geographies and auction types.</w:t>
      </w:r>
    </w:p>
    <w:p>
      <w:pPr>
        <w:spacing w:after="0" w:line="22" w:lineRule="exact"/>
        <w:rPr>
          <w:sz w:val="20"/>
          <w:szCs w:val="20"/>
          <w:color w:val="auto"/>
        </w:rPr>
      </w:pPr>
    </w:p>
    <w:p>
      <w:pPr>
        <w:ind w:right="200" w:firstLine="621"/>
        <w:spacing w:after="0" w:line="341" w:lineRule="auto"/>
        <w:rPr>
          <w:sz w:val="20"/>
          <w:szCs w:val="20"/>
          <w:color w:val="auto"/>
        </w:rPr>
      </w:pPr>
      <w:r>
        <w:rPr>
          <w:rFonts w:ascii="Arial" w:cs="Arial" w:eastAsia="Arial" w:hAnsi="Arial"/>
          <w:sz w:val="15"/>
          <w:szCs w:val="15"/>
          <w:color w:val="auto"/>
        </w:rPr>
        <w:t>As CTV viewership is growing rapidly and the pace of adoption is accelerating the shift of advertising budgets from linear television to CTV, these transactions have strategically positioned us to take advantage of this growth trend, and we believe that CTV will be our biggest growth driver in future periods.</w:t>
      </w:r>
    </w:p>
    <w:p>
      <w:pPr>
        <w:spacing w:after="0" w:line="1"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color w:val="auto"/>
        </w:rPr>
        <w:t>The SpotX Acquisition resulted in a significant increase in our revenue and Revenue ex-TAC (as defined in section "Key Operating and Financial Performance Metrics") in particular in CTV and online video. As a result of the transaction, we expect CTV to represent a higher percentage of our overall revenue, and because CTV is largely transacted through PMPs, we also expect to see an increase in the percentage of PMP transactions transacted on our platform. The acquisition will result in an increase in related operating expenses, primarily associated with costs for personnel, payments to sellers for revenue reported on a gross basis, and other ancillary costs to support the business. We expect some of those increases to be offset by cost saving activities that began in the second quarter of 2021 and continue to be in process. We are targeting in excess of $35 million in run-rate operating cost synergies, over a two year period. As of June 30, 2021, we have achieved more than half of our cost synergy target on a run-rate basis.</w:t>
      </w:r>
    </w:p>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COVID-19 Pandemic Impact on the Business</w:t>
      </w:r>
    </w:p>
    <w:p>
      <w:pPr>
        <w:spacing w:after="0" w:line="102" w:lineRule="exact"/>
        <w:rPr>
          <w:sz w:val="20"/>
          <w:szCs w:val="20"/>
          <w:color w:val="auto"/>
        </w:rPr>
      </w:pPr>
    </w:p>
    <w:p>
      <w:pPr>
        <w:ind w:right="40" w:firstLine="621"/>
        <w:spacing w:after="0" w:line="259" w:lineRule="auto"/>
        <w:rPr>
          <w:sz w:val="20"/>
          <w:szCs w:val="20"/>
          <w:color w:val="auto"/>
        </w:rPr>
      </w:pPr>
      <w:r>
        <w:rPr>
          <w:rFonts w:ascii="Arial" w:cs="Arial" w:eastAsia="Arial" w:hAnsi="Arial"/>
          <w:sz w:val="17"/>
          <w:szCs w:val="17"/>
          <w:color w:val="auto"/>
        </w:rPr>
        <w:t>The COVID-19 pandemic and resulting global disruptions negatively affected our revenue, results of operations, cash flows, and financial condition. Our business depends on the overall demand for advertising and on the economic health of our current and prospective sellers and buyers. In response to the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This decrease was particularly pronounced through the first half of 2020, where we experienced a significant decline in our revenues compared to our expectations. Our revenue trends improved significantly during the third and fourth quarters of 2020 as our revenue returned to positive growth.</w:t>
      </w:r>
    </w:p>
    <w:p>
      <w:pPr>
        <w:spacing w:after="0" w:line="50"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During the first half of 2021 revenue from a number of advertising categories returned to pre-COVID spending levels, while certain categories including travel, auto, and entertainment remain below pre-COVID spending levels.</w:t>
      </w:r>
    </w:p>
    <w:p>
      <w:pPr>
        <w:spacing w:after="0" w:line="43" w:lineRule="exact"/>
        <w:rPr>
          <w:sz w:val="20"/>
          <w:szCs w:val="20"/>
          <w:color w:val="auto"/>
        </w:rPr>
      </w:pPr>
    </w:p>
    <w:p>
      <w:pPr>
        <w:ind w:right="280" w:firstLine="621"/>
        <w:spacing w:after="0" w:line="268" w:lineRule="auto"/>
        <w:rPr>
          <w:sz w:val="20"/>
          <w:szCs w:val="20"/>
          <w:color w:val="auto"/>
        </w:rPr>
      </w:pPr>
      <w:r>
        <w:rPr>
          <w:rFonts w:ascii="Arial" w:cs="Arial" w:eastAsia="Arial" w:hAnsi="Arial"/>
          <w:sz w:val="17"/>
          <w:szCs w:val="17"/>
          <w:color w:val="auto"/>
        </w:rPr>
        <w:t>Due to the substantial uncertainties associated with the COVID-19 pandemic, the extent to which the pandemic (and actions taken in response to it by governments, businesses, and individuals) will ultimately impact our business and is currently unknown, and depends on various factors, many of which are outside of our control. Refer to Item 1A. "Risk Factors" for additional information related to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08" w:lineRule="exact"/>
        <w:rPr>
          <w:sz w:val="20"/>
          <w:szCs w:val="20"/>
          <w:color w:val="auto"/>
        </w:rPr>
      </w:pPr>
    </w:p>
    <w:p>
      <w:pPr>
        <w:ind w:right="500" w:firstLine="621"/>
        <w:spacing w:after="0" w:line="316" w:lineRule="auto"/>
        <w:rPr>
          <w:sz w:val="20"/>
          <w:szCs w:val="20"/>
          <w:color w:val="auto"/>
        </w:rPr>
      </w:pPr>
      <w:r>
        <w:rPr>
          <w:rFonts w:ascii="Arial" w:cs="Arial" w:eastAsia="Arial" w:hAnsi="Arial"/>
          <w:sz w:val="16"/>
          <w:szCs w:val="16"/>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w:t>
      </w:r>
    </w:p>
    <w:p>
      <w:pPr>
        <w:spacing w:after="0" w:line="102" w:lineRule="exact"/>
        <w:rPr>
          <w:sz w:val="20"/>
          <w:szCs w:val="20"/>
          <w:color w:val="auto"/>
        </w:rPr>
      </w:pPr>
    </w:p>
    <w:p>
      <w:pPr>
        <w:ind w:firstLine="621"/>
        <w:spacing w:after="0" w:line="276" w:lineRule="auto"/>
        <w:rPr>
          <w:sz w:val="20"/>
          <w:szCs w:val="20"/>
          <w:color w:val="auto"/>
        </w:rPr>
      </w:pPr>
      <w:r>
        <w:rPr>
          <w:rFonts w:ascii="Arial" w:cs="Arial" w:eastAsia="Arial" w:hAnsi="Arial"/>
          <w:sz w:val="16"/>
          <w:szCs w:val="16"/>
          <w:color w:val="auto"/>
        </w:rPr>
        <w:t>We generate revenue from the purchase and sale of digital advertising inventory through our platform. We also generate revenue from the fee we charge clients for use of our Demand Manager product and SpringServe ad server product, which we acquired on July 1, 2021. Generally, our revenue is based on a percentage of the ad spend that runs through our platform, although for certain clients or transaction types we may receive a fixed CPM for each impression sold.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54"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Certain revenue streams acquired in the SpotX Acquisition are reported on a gross basis; as a result, following the SpotX Acquisition the percentage of our revenue reported on a gross basis has increased. During the first quarter of 2021 (prior to the SpotX Acquisition), our revenue reported on a gross basis was less than 3% of total revenue. For the three months ended June 30, 2021, which included two months of results from the SpotX Acquisition, our revenue reported on a gross basis increased to 18% of total revenue. As revenue streams acquired in the SpotX Acquisition continue to increase, the percentage of revenue reported on a gross basis may continue to increase in future periods.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our audited consolidated financial statements and notes thereto for the year ended December 31, 2020 included in our Annual Report on Form 10-K and in Note 3 of the accompanying Notes to the Condensed Consolidated Financial Statements.</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Expenses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classify our expenses into the following categories:</w:t>
      </w:r>
    </w:p>
    <w:p>
      <w:pPr>
        <w:spacing w:after="0" w:line="102"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consists primarily of data center costs, bandwidth costs, ad protection costs, depreciation and maintenance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TAC.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0"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consist primarily of personnel costs, including salaries, bonuses, and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33"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69" w:lineRule="exact"/>
        <w:rPr>
          <w:sz w:val="20"/>
          <w:szCs w:val="20"/>
          <w:color w:val="auto"/>
        </w:rPr>
      </w:pPr>
    </w:p>
    <w:p>
      <w:pPr>
        <w:ind w:right="180" w:firstLine="621"/>
        <w:spacing w:after="0" w:line="26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associated with our executive, finance, legal, human resources, compliance, and other administrative personnel, as well as accounting and legal professional services fees, facilities-related costs and depreciation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7" w:lineRule="exact"/>
        <w:rPr>
          <w:sz w:val="20"/>
          <w:szCs w:val="20"/>
          <w:color w:val="auto"/>
        </w:rPr>
      </w:pPr>
    </w:p>
    <w:p>
      <w:pPr>
        <w:ind w:right="40" w:firstLine="621"/>
        <w:spacing w:after="0" w:line="268" w:lineRule="auto"/>
        <w:rPr>
          <w:sz w:val="20"/>
          <w:szCs w:val="20"/>
          <w:color w:val="auto"/>
        </w:rPr>
      </w:pPr>
      <w:r>
        <w:rPr>
          <w:rFonts w:ascii="Arial" w:cs="Arial" w:eastAsia="Arial" w:hAnsi="Arial"/>
          <w:sz w:val="17"/>
          <w:szCs w:val="17"/>
          <w:i w:val="1"/>
          <w:iCs w:val="1"/>
          <w:color w:val="auto"/>
        </w:rPr>
        <w:t xml:space="preserve">Merger, Acquisition, and Restructuring Costs. </w:t>
      </w:r>
      <w:r>
        <w:rPr>
          <w:rFonts w:ascii="Arial" w:cs="Arial" w:eastAsia="Arial" w:hAnsi="Arial"/>
          <w:sz w:val="17"/>
          <w:szCs w:val="17"/>
          <w:color w:val="auto"/>
        </w:rPr>
        <w:t>Our merger, acquisition, and restructuring costs consist primarily of professional service fees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merger and acquisition activities, including cash-based employee termination costs, stock-based compensation charges, and other restructuring activities, including facility closures, relocation costs, and contract termination costs.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02" w:lineRule="exact"/>
        <w:rPr>
          <w:sz w:val="20"/>
          <w:szCs w:val="20"/>
          <w:color w:val="auto"/>
        </w:rPr>
      </w:pPr>
    </w:p>
    <w:p>
      <w:pPr>
        <w:ind w:right="80" w:firstLine="621"/>
        <w:spacing w:after="0" w:line="268" w:lineRule="auto"/>
        <w:rPr>
          <w:sz w:val="20"/>
          <w:szCs w:val="20"/>
          <w:color w:val="auto"/>
        </w:rPr>
      </w:pPr>
      <w:r>
        <w:rPr>
          <w:rFonts w:ascii="Arial" w:cs="Arial" w:eastAsia="Arial" w:hAnsi="Arial"/>
          <w:sz w:val="17"/>
          <w:szCs w:val="17"/>
          <w:i w:val="1"/>
          <w:iCs w:val="1"/>
          <w:color w:val="auto"/>
        </w:rPr>
        <w:t xml:space="preserve">Interest (Income) Expense, Net. </w:t>
      </w:r>
      <w:r>
        <w:rPr>
          <w:rFonts w:ascii="Arial" w:cs="Arial" w:eastAsia="Arial" w:hAnsi="Arial"/>
          <w:sz w:val="17"/>
          <w:szCs w:val="17"/>
          <w:color w:val="auto"/>
        </w:rPr>
        <w:t>Interest income consists of interest earned on our cash equivalents. Interest expense consists of interest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our convertible notes ("Convertible Notes") and credit facility ("Term Loan B Facility"), and their related amortization of debt issuance costs and debt discount.</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4" w:lineRule="exact"/>
        <w:rPr>
          <w:sz w:val="20"/>
          <w:szCs w:val="20"/>
          <w:color w:val="auto"/>
        </w:rPr>
      </w:pPr>
    </w:p>
    <w:p>
      <w:pPr>
        <w:ind w:right="380" w:firstLine="621"/>
        <w:spacing w:after="0" w:line="268" w:lineRule="auto"/>
        <w:rPr>
          <w:sz w:val="20"/>
          <w:szCs w:val="20"/>
          <w:color w:val="auto"/>
        </w:rPr>
      </w:pPr>
      <w:r>
        <w:rPr>
          <w:rFonts w:ascii="Arial" w:cs="Arial" w:eastAsia="Arial" w:hAnsi="Arial"/>
          <w:sz w:val="17"/>
          <w:szCs w:val="17"/>
          <w:i w:val="1"/>
          <w:iCs w:val="1"/>
          <w:color w:val="auto"/>
        </w:rPr>
        <w:t>Foreign Currency Exchange (Gain) Loss, Net</w:t>
      </w:r>
      <w:r>
        <w:rPr>
          <w:rFonts w:ascii="Arial" w:cs="Arial" w:eastAsia="Arial" w:hAnsi="Arial"/>
          <w:sz w:val="17"/>
          <w:szCs w:val="17"/>
          <w:color w:val="auto"/>
        </w:rPr>
        <w:t>. Foreign currency exchange (gain) loss, net consists primarily of gains and losses on foreign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We have foreign currency exposure related to our accounts receivable and accounts payable that are denominated in currencies other than the U.S. Dollar, principally the British Pound, Australian Dollar, Canadian Dollar, and Euro.</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89"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our condensed consolidated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29"/>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24"/>
                <w:szCs w:val="2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13"/>
                <w:szCs w:val="13"/>
                <w:b w:val="1"/>
                <w:bCs w:val="1"/>
                <w:color w:val="auto"/>
              </w:rPr>
              <w:t>Change %</w:t>
            </w: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24"/>
                <w:szCs w:val="24"/>
                <w:color w:val="auto"/>
              </w:rPr>
            </w:pPr>
          </w:p>
        </w:tc>
        <w:tc>
          <w:tcPr>
            <w:tcW w:w="1100" w:type="dxa"/>
            <w:vAlign w:val="bottom"/>
          </w:tcPr>
          <w:p>
            <w:pPr>
              <w:jc w:val="right"/>
              <w:ind w:right="143"/>
              <w:spacing w:after="0"/>
              <w:rPr>
                <w:sz w:val="20"/>
                <w:szCs w:val="20"/>
                <w:color w:val="auto"/>
              </w:rPr>
            </w:pPr>
            <w:r>
              <w:rPr>
                <w:rFonts w:ascii="Arial" w:cs="Arial" w:eastAsia="Arial" w:hAnsi="Arial"/>
                <w:sz w:val="14"/>
                <w:szCs w:val="14"/>
                <w:b w:val="1"/>
                <w:bCs w:val="1"/>
                <w:color w:val="auto"/>
                <w:w w:val="94"/>
              </w:rPr>
              <w:t>June 30, 2020</w:t>
            </w:r>
          </w:p>
        </w:tc>
        <w:tc>
          <w:tcPr>
            <w:tcW w:w="100" w:type="dxa"/>
            <w:vAlign w:val="bottom"/>
          </w:tcPr>
          <w:p>
            <w:pPr>
              <w:spacing w:after="0"/>
              <w:rPr>
                <w:sz w:val="24"/>
                <w:szCs w:val="24"/>
                <w:color w:val="auto"/>
              </w:rPr>
            </w:pPr>
          </w:p>
        </w:tc>
        <w:tc>
          <w:tcPr>
            <w:tcW w:w="1260" w:type="dxa"/>
            <w:vAlign w:val="bottom"/>
          </w:tcPr>
          <w:p>
            <w:pPr>
              <w:jc w:val="right"/>
              <w:ind w:right="275"/>
              <w:spacing w:after="0"/>
              <w:rPr>
                <w:sz w:val="20"/>
                <w:szCs w:val="20"/>
                <w:color w:val="auto"/>
              </w:rPr>
            </w:pPr>
            <w:r>
              <w:rPr>
                <w:rFonts w:ascii="Arial" w:cs="Arial" w:eastAsia="Arial" w:hAnsi="Arial"/>
                <w:sz w:val="13"/>
                <w:szCs w:val="13"/>
                <w:b w:val="1"/>
                <w:bCs w:val="1"/>
                <w:color w:val="auto"/>
              </w:rPr>
              <w:t>Change %</w:t>
            </w:r>
          </w:p>
        </w:tc>
      </w:tr>
      <w:tr>
        <w:trPr>
          <w:trHeight w:val="179"/>
        </w:trPr>
        <w:tc>
          <w:tcPr>
            <w:tcW w:w="28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4"/>
          </w:tcPr>
          <w:p>
            <w:pPr>
              <w:jc w:val="right"/>
              <w:ind w:right="80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8"/>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78,643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07"/>
        </w:trPr>
        <w:tc>
          <w:tcPr>
            <w:tcW w:w="288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0"/>
                <w:szCs w:val="20"/>
                <w:color w:val="auto"/>
                <w:vertAlign w:val="superscript"/>
              </w:rPr>
              <w:t>(1)(2)</w:t>
            </w: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35,548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101 %</w:t>
            </w:r>
          </w:p>
        </w:tc>
      </w:tr>
      <w:tr>
        <w:trPr>
          <w:trHeight w:val="204"/>
        </w:trPr>
        <w:tc>
          <w:tcPr>
            <w:tcW w:w="288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20,029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65,862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31,298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110 %</w:t>
            </w:r>
          </w:p>
        </w:tc>
      </w:tr>
      <w:tr>
        <w:trPr>
          <w:trHeight w:val="210"/>
        </w:trPr>
        <w:tc>
          <w:tcPr>
            <w:tcW w:w="2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and development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23,756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r>
      <w:tr>
        <w:trPr>
          <w:trHeight w:val="204"/>
        </w:trPr>
        <w:tc>
          <w:tcPr>
            <w:tcW w:w="288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15,780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31,138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24,907</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28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Merger, acquisition, and restructuring costs</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14,423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197"/>
        </w:trPr>
        <w:tc>
          <w:tcPr>
            <w:tcW w:w="288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82,910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95 %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236,013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129,932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82 %</w:t>
            </w: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4"/>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(210)%</w:t>
            </w: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4"/>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(30,550)%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(87,529)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(100,708)%</w:t>
            </w:r>
          </w:p>
        </w:tc>
      </w:tr>
      <w:tr>
        <w:trPr>
          <w:trHeight w:val="228"/>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(48,803)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149 %</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840" w:type="dxa"/>
            <w:vAlign w:val="bottom"/>
            <w:gridSpan w:val="4"/>
          </w:tcPr>
          <w:p>
            <w:pPr>
              <w:jc w:val="right"/>
              <w:ind w:right="904"/>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5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8"/>
              </w:rPr>
              <w:t>June 30, 2020</w:t>
            </w:r>
          </w:p>
        </w:tc>
      </w:tr>
      <w:tr>
        <w:trPr>
          <w:trHeight w:val="174"/>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4"/>
          </w:tcPr>
          <w:p>
            <w:pPr>
              <w:jc w:val="right"/>
              <w:ind w:right="102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4"/>
          </w:tcPr>
          <w:p>
            <w:pPr>
              <w:jc w:val="right"/>
              <w:ind w:right="1024"/>
              <w:spacing w:after="0"/>
              <w:rPr>
                <w:sz w:val="20"/>
                <w:szCs w:val="20"/>
                <w:color w:val="auto"/>
              </w:rPr>
            </w:pPr>
            <w:r>
              <w:rPr>
                <w:rFonts w:ascii="Arial" w:cs="Arial" w:eastAsia="Arial" w:hAnsi="Arial"/>
                <w:sz w:val="14"/>
                <w:szCs w:val="14"/>
                <w:b w:val="1"/>
                <w:bCs w:val="1"/>
                <w:color w:val="auto"/>
              </w:rPr>
              <w:t>(in thousands)</w:t>
            </w:r>
          </w:p>
        </w:tc>
      </w:tr>
      <w:tr>
        <w:trPr>
          <w:trHeight w:val="234"/>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04"/>
        </w:trPr>
        <w:tc>
          <w:tcPr>
            <w:tcW w:w="50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3,382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3,619</w:t>
            </w:r>
          </w:p>
        </w:tc>
      </w:tr>
      <w:tr>
        <w:trPr>
          <w:trHeight w:val="236"/>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w:t>
            </w:r>
          </w:p>
        </w:tc>
      </w:tr>
      <w:tr>
        <w:trPr>
          <w:trHeight w:val="230"/>
        </w:trPr>
        <w:tc>
          <w:tcPr>
            <w:tcW w:w="50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9"/>
                <w:szCs w:val="19"/>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5,431</w:t>
            </w:r>
          </w:p>
        </w:tc>
      </w:tr>
      <w:tr>
        <w:trPr>
          <w:trHeight w:val="210"/>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Merger, acquisition, and restructuring costs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r>
      <w:tr>
        <w:trPr>
          <w:trHeight w:val="197"/>
        </w:trPr>
        <w:tc>
          <w:tcPr>
            <w:tcW w:w="5040" w:type="dxa"/>
            <w:vAlign w:val="bottom"/>
          </w:tcPr>
          <w:p>
            <w:pPr>
              <w:ind w:left="480"/>
              <w:spacing w:after="0"/>
              <w:rPr>
                <w:sz w:val="20"/>
                <w:szCs w:val="20"/>
                <w:color w:val="auto"/>
              </w:rPr>
            </w:pPr>
            <w:r>
              <w:rPr>
                <w:rFonts w:ascii="Arial" w:cs="Arial" w:eastAsia="Arial" w:hAnsi="Arial"/>
                <w:sz w:val="16"/>
                <w:szCs w:val="16"/>
                <w:color w:val="auto"/>
              </w:rPr>
              <w:t>Total stock-based compensation expense</w:t>
            </w: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9,704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13,948</w:t>
            </w:r>
          </w:p>
        </w:tc>
      </w:tr>
      <w:tr>
        <w:trPr>
          <w:trHeight w:val="22"/>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(2) Depreciation and amortization expense included in our expenses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840" w:type="dxa"/>
            <w:vAlign w:val="bottom"/>
            <w:gridSpan w:val="4"/>
          </w:tcPr>
          <w:p>
            <w:pPr>
              <w:jc w:val="right"/>
              <w:ind w:right="904"/>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5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8"/>
              </w:rPr>
              <w:t>June 30, 2020</w:t>
            </w:r>
          </w:p>
        </w:tc>
      </w:tr>
      <w:tr>
        <w:trPr>
          <w:trHeight w:val="174"/>
        </w:trPr>
        <w:tc>
          <w:tcPr>
            <w:tcW w:w="5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4"/>
          </w:tcPr>
          <w:p>
            <w:pPr>
              <w:jc w:val="right"/>
              <w:ind w:right="102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4"/>
          </w:tcPr>
          <w:p>
            <w:pPr>
              <w:jc w:val="right"/>
              <w:ind w:right="1024"/>
              <w:spacing w:after="0"/>
              <w:rPr>
                <w:sz w:val="20"/>
                <w:szCs w:val="20"/>
                <w:color w:val="auto"/>
              </w:rPr>
            </w:pPr>
            <w:r>
              <w:rPr>
                <w:rFonts w:ascii="Arial" w:cs="Arial" w:eastAsia="Arial" w:hAnsi="Arial"/>
                <w:sz w:val="14"/>
                <w:szCs w:val="14"/>
                <w:b w:val="1"/>
                <w:bCs w:val="1"/>
                <w:color w:val="auto"/>
              </w:rPr>
              <w:t>(in thousands)</w:t>
            </w:r>
          </w:p>
        </w:tc>
      </w:tr>
      <w:tr>
        <w:trPr>
          <w:trHeight w:val="234"/>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19,104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16,828</w:t>
            </w:r>
          </w:p>
        </w:tc>
      </w:tr>
      <w:tr>
        <w:trPr>
          <w:trHeight w:val="204"/>
        </w:trPr>
        <w:tc>
          <w:tcPr>
            <w:tcW w:w="50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220" w:type="dxa"/>
            <w:vAlign w:val="bottom"/>
          </w:tcPr>
          <w:p>
            <w:pPr>
              <w:spacing w:after="0"/>
              <w:rPr>
                <w:sz w:val="17"/>
                <w:szCs w:val="17"/>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16,484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4,645</w:t>
            </w:r>
          </w:p>
        </w:tc>
      </w:tr>
      <w:tr>
        <w:trPr>
          <w:trHeight w:val="236"/>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30"/>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r>
      <w:tr>
        <w:trPr>
          <w:trHeight w:val="225"/>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 expense</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35,897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48,382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560" w:firstLine="169"/>
        <w:spacing w:after="0" w:line="283" w:lineRule="auto"/>
        <w:rPr>
          <w:sz w:val="20"/>
          <w:szCs w:val="20"/>
          <w:color w:val="auto"/>
        </w:rPr>
      </w:pPr>
      <w:r>
        <w:rPr>
          <w:rFonts w:ascii="Arial" w:cs="Arial" w:eastAsia="Arial" w:hAnsi="Arial"/>
          <w:sz w:val="17"/>
          <w:szCs w:val="17"/>
          <w:color w:val="auto"/>
        </w:rPr>
        <w:t>The following table sets forth our condensed consolidated results of operations for the specified periods as a percentage of our revenue for those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Borders>
              <w:bottom w:val="single" w:sz="8" w:color="auto"/>
            </w:tcBorders>
          </w:tcPr>
          <w:p>
            <w:pPr>
              <w:spacing w:after="0"/>
              <w:rPr>
                <w:sz w:val="16"/>
                <w:szCs w:val="16"/>
                <w:color w:val="auto"/>
              </w:rPr>
            </w:pPr>
          </w:p>
        </w:tc>
      </w:tr>
      <w:tr>
        <w:trPr>
          <w:trHeight w:val="179"/>
        </w:trPr>
        <w:tc>
          <w:tcPr>
            <w:tcW w:w="47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5"/>
                <w:szCs w:val="15"/>
                <w:color w:val="auto"/>
              </w:rPr>
            </w:pPr>
          </w:p>
        </w:tc>
      </w:tr>
      <w:tr>
        <w:trPr>
          <w:trHeight w:val="240"/>
        </w:trPr>
        <w:tc>
          <w:tcPr>
            <w:tcW w:w="47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Revenue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59"/>
        </w:trPr>
        <w:tc>
          <w:tcPr>
            <w:tcW w:w="4720" w:type="dxa"/>
            <w:vAlign w:val="bottom"/>
          </w:tcPr>
          <w:p>
            <w:pPr>
              <w:ind w:left="440"/>
              <w:spacing w:after="0"/>
              <w:rPr>
                <w:sz w:val="20"/>
                <w:szCs w:val="20"/>
                <w:color w:val="auto"/>
              </w:rPr>
            </w:pPr>
            <w:r>
              <w:rPr>
                <w:rFonts w:ascii="Arial" w:cs="Arial" w:eastAsia="Arial" w:hAnsi="Arial"/>
                <w:sz w:val="17"/>
                <w:szCs w:val="17"/>
                <w:color w:val="auto"/>
              </w:rPr>
              <w:t>Cost of revenue</w:t>
            </w:r>
          </w:p>
        </w:tc>
        <w:tc>
          <w:tcPr>
            <w:tcW w:w="1380" w:type="dxa"/>
            <w:vAlign w:val="bottom"/>
          </w:tcPr>
          <w:p>
            <w:pPr>
              <w:jc w:val="right"/>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22"/>
                <w:szCs w:val="22"/>
                <w:color w:val="auto"/>
              </w:rPr>
            </w:pPr>
          </w:p>
        </w:tc>
      </w:tr>
      <w:tr>
        <w:trPr>
          <w:trHeight w:val="259"/>
        </w:trPr>
        <w:tc>
          <w:tcPr>
            <w:tcW w:w="4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Sales and marketing</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CEEFF"/>
          </w:tcPr>
          <w:p>
            <w:pPr>
              <w:spacing w:after="0"/>
              <w:rPr>
                <w:sz w:val="22"/>
                <w:szCs w:val="22"/>
                <w:color w:val="auto"/>
              </w:rPr>
            </w:pPr>
          </w:p>
        </w:tc>
      </w:tr>
      <w:tr>
        <w:trPr>
          <w:trHeight w:val="259"/>
        </w:trPr>
        <w:tc>
          <w:tcPr>
            <w:tcW w:w="4720" w:type="dxa"/>
            <w:vAlign w:val="bottom"/>
          </w:tcPr>
          <w:p>
            <w:pPr>
              <w:ind w:left="440"/>
              <w:spacing w:after="0"/>
              <w:rPr>
                <w:sz w:val="20"/>
                <w:szCs w:val="20"/>
                <w:color w:val="auto"/>
              </w:rPr>
            </w:pPr>
            <w:r>
              <w:rPr>
                <w:rFonts w:ascii="Arial" w:cs="Arial" w:eastAsia="Arial" w:hAnsi="Arial"/>
                <w:sz w:val="17"/>
                <w:szCs w:val="17"/>
                <w:color w:val="auto"/>
              </w:rPr>
              <w:t>Technology and development</w:t>
            </w:r>
          </w:p>
        </w:tc>
        <w:tc>
          <w:tcPr>
            <w:tcW w:w="1380" w:type="dxa"/>
            <w:vAlign w:val="bottom"/>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22"/>
                <w:szCs w:val="22"/>
                <w:color w:val="auto"/>
              </w:rPr>
            </w:pPr>
          </w:p>
        </w:tc>
      </w:tr>
      <w:tr>
        <w:trPr>
          <w:trHeight w:val="220"/>
        </w:trPr>
        <w:tc>
          <w:tcPr>
            <w:tcW w:w="4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General and administrative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80" w:type="dxa"/>
            <w:vAlign w:val="bottom"/>
            <w:shd w:val="clear" w:color="auto" w:fill="CCEEFF"/>
          </w:tcPr>
          <w:p>
            <w:pPr>
              <w:spacing w:after="0"/>
              <w:rPr>
                <w:sz w:val="19"/>
                <w:szCs w:val="19"/>
                <w:color w:val="auto"/>
              </w:rPr>
            </w:pPr>
          </w:p>
        </w:tc>
      </w:tr>
      <w:tr>
        <w:trPr>
          <w:trHeight w:val="220"/>
        </w:trPr>
        <w:tc>
          <w:tcPr>
            <w:tcW w:w="47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Merger, acquisition, and restructuring costs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80" w:type="dxa"/>
            <w:vAlign w:val="bottom"/>
            <w:tcBorders>
              <w:bottom w:val="single" w:sz="8" w:color="auto"/>
            </w:tcBorders>
          </w:tcPr>
          <w:p>
            <w:pPr>
              <w:spacing w:after="0"/>
              <w:rPr>
                <w:sz w:val="19"/>
                <w:szCs w:val="19"/>
                <w:color w:val="auto"/>
              </w:rPr>
            </w:pPr>
          </w:p>
        </w:tc>
      </w:tr>
      <w:tr>
        <w:trPr>
          <w:trHeight w:val="239"/>
        </w:trPr>
        <w:tc>
          <w:tcPr>
            <w:tcW w:w="47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expenses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80" w:type="dxa"/>
            <w:vAlign w:val="bottom"/>
            <w:tcBorders>
              <w:bottom w:val="single" w:sz="8" w:color="auto"/>
            </w:tcBorders>
            <w:shd w:val="clear" w:color="auto" w:fill="CCEEFF"/>
          </w:tcPr>
          <w:p>
            <w:pPr>
              <w:spacing w:after="0"/>
              <w:rPr>
                <w:sz w:val="20"/>
                <w:szCs w:val="20"/>
                <w:color w:val="auto"/>
              </w:rPr>
            </w:pPr>
          </w:p>
        </w:tc>
      </w:tr>
      <w:tr>
        <w:trPr>
          <w:trHeight w:val="213"/>
        </w:trPr>
        <w:tc>
          <w:tcPr>
            <w:tcW w:w="4720" w:type="dxa"/>
            <w:vAlign w:val="bottom"/>
          </w:tcPr>
          <w:p>
            <w:pPr>
              <w:ind w:left="260"/>
              <w:spacing w:after="0"/>
              <w:rPr>
                <w:sz w:val="20"/>
                <w:szCs w:val="20"/>
                <w:color w:val="auto"/>
              </w:rPr>
            </w:pPr>
            <w:r>
              <w:rPr>
                <w:rFonts w:ascii="Arial" w:cs="Arial" w:eastAsia="Arial" w:hAnsi="Arial"/>
                <w:sz w:val="17"/>
                <w:szCs w:val="17"/>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060"/>
              <w:spacing w:after="0"/>
              <w:rPr>
                <w:sz w:val="20"/>
                <w:szCs w:val="20"/>
                <w:color w:val="auto"/>
              </w:rPr>
            </w:pPr>
            <w:r>
              <w:rPr>
                <w:rFonts w:ascii="Arial" w:cs="Arial" w:eastAsia="Arial" w:hAnsi="Arial"/>
                <w:sz w:val="17"/>
                <w:szCs w:val="17"/>
                <w:color w:val="auto"/>
                <w:w w:val="92"/>
              </w:rPr>
              <w:t>(34)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(65)</w:t>
            </w:r>
          </w:p>
        </w:tc>
        <w:tc>
          <w:tcPr>
            <w:tcW w:w="180" w:type="dxa"/>
            <w:vAlign w:val="bottom"/>
          </w:tcPr>
          <w:p>
            <w:pPr>
              <w:spacing w:after="0"/>
              <w:rPr>
                <w:sz w:val="18"/>
                <w:szCs w:val="18"/>
                <w:color w:val="auto"/>
              </w:rPr>
            </w:pPr>
          </w:p>
        </w:tc>
      </w:tr>
      <w:tr>
        <w:trPr>
          <w:trHeight w:val="220"/>
        </w:trPr>
        <w:tc>
          <w:tcPr>
            <w:tcW w:w="4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(income) expense, net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720" w:type="dxa"/>
            <w:vAlign w:val="bottom"/>
          </w:tcPr>
          <w:p>
            <w:pPr>
              <w:ind w:left="260"/>
              <w:spacing w:after="0"/>
              <w:rPr>
                <w:sz w:val="20"/>
                <w:szCs w:val="20"/>
                <w:color w:val="auto"/>
              </w:rPr>
            </w:pPr>
            <w:r>
              <w:rPr>
                <w:rFonts w:ascii="Arial" w:cs="Arial" w:eastAsia="Arial" w:hAnsi="Arial"/>
                <w:sz w:val="17"/>
                <w:szCs w:val="17"/>
                <w:color w:val="auto"/>
              </w:rPr>
              <w:t>Loss before income taxes</w:t>
            </w:r>
          </w:p>
        </w:tc>
        <w:tc>
          <w:tcPr>
            <w:tcW w:w="1380" w:type="dxa"/>
            <w:vAlign w:val="bottom"/>
          </w:tcPr>
          <w:p>
            <w:pPr>
              <w:jc w:val="right"/>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060"/>
              <w:spacing w:after="0"/>
              <w:rPr>
                <w:sz w:val="20"/>
                <w:szCs w:val="20"/>
                <w:color w:val="auto"/>
              </w:rPr>
            </w:pPr>
            <w:r>
              <w:rPr>
                <w:rFonts w:ascii="Arial" w:cs="Arial" w:eastAsia="Arial" w:hAnsi="Arial"/>
                <w:sz w:val="17"/>
                <w:szCs w:val="17"/>
                <w:color w:val="auto"/>
                <w:w w:val="92"/>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8"/>
                <w:szCs w:val="18"/>
                <w:color w:val="auto"/>
              </w:rPr>
            </w:pPr>
          </w:p>
        </w:tc>
      </w:tr>
      <w:tr>
        <w:trPr>
          <w:trHeight w:val="220"/>
        </w:trPr>
        <w:tc>
          <w:tcPr>
            <w:tcW w:w="47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Provision (benefit) for income taxes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w w:val="92"/>
              </w:rPr>
              <w:t>(50)</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(92) %</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(62) %</w:t>
            </w:r>
          </w:p>
        </w:tc>
      </w:tr>
      <w:tr>
        <w:trPr>
          <w:trHeight w:val="20"/>
        </w:trPr>
        <w:tc>
          <w:tcPr>
            <w:tcW w:w="4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and Six Months Ended June 30, 2021 and 2020</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jc w:val="both"/>
        <w:ind w:right="100" w:firstLine="621"/>
        <w:spacing w:after="0" w:line="261" w:lineRule="auto"/>
        <w:rPr>
          <w:sz w:val="20"/>
          <w:szCs w:val="20"/>
          <w:color w:val="auto"/>
        </w:rPr>
      </w:pPr>
      <w:r>
        <w:rPr>
          <w:rFonts w:ascii="Arial" w:cs="Arial" w:eastAsia="Arial" w:hAnsi="Arial"/>
          <w:sz w:val="17"/>
          <w:szCs w:val="17"/>
          <w:color w:val="auto"/>
        </w:rPr>
        <w:t>Revenue increased $72.2 million, or 170%, for the three months ended June 30, 2021 compared to the three months ended June 30, 2020. Our revenue growth was driven by increases in our core business as well as incremental revenue from the SpotX Acquisition, which was completed on April 30, 2021. On a pro forma basis, including SpotX revenue for the three months ended June 30, 2020 and April 2021, revenue increased 86% for the three months ended June 30, 2021 compared to the prior period, primarily due to the growth in all channels, mainly driven by CTV and mobile, and a rebound from impacts of the COVID-19 pandemic.</w:t>
      </w:r>
    </w:p>
    <w:p>
      <w:pPr>
        <w:spacing w:after="0" w:line="63" w:lineRule="exact"/>
        <w:rPr>
          <w:sz w:val="20"/>
          <w:szCs w:val="20"/>
          <w:color w:val="auto"/>
        </w:rPr>
      </w:pPr>
    </w:p>
    <w:p>
      <w:pPr>
        <w:ind w:right="120" w:firstLine="621"/>
        <w:spacing w:after="0" w:line="293" w:lineRule="auto"/>
        <w:rPr>
          <w:sz w:val="20"/>
          <w:szCs w:val="20"/>
          <w:color w:val="auto"/>
        </w:rPr>
      </w:pPr>
      <w:r>
        <w:rPr>
          <w:rFonts w:ascii="Arial" w:cs="Arial" w:eastAsia="Arial" w:hAnsi="Arial"/>
          <w:sz w:val="16"/>
          <w:szCs w:val="16"/>
          <w:color w:val="auto"/>
        </w:rPr>
        <w:t>Revenue increased $96.6 million, or 123%, for the six months ended June 30, 2021 compared to the prior year period, for the same reasons above plus incremental contributions from the Telaria Merger, which was completed on April 1, 2020. On a pro forma basis, including revenue for SpotX and Telaria during the relevant pre-acquisition period, revenue increased 59%, for the six months ended June 30, 2021 compared to the prior year period.</w:t>
      </w:r>
    </w:p>
    <w:p>
      <w:pPr>
        <w:spacing w:after="0" w:line="25" w:lineRule="exact"/>
        <w:rPr>
          <w:sz w:val="20"/>
          <w:szCs w:val="20"/>
          <w:color w:val="auto"/>
        </w:rPr>
      </w:pPr>
    </w:p>
    <w:p>
      <w:pPr>
        <w:jc w:val="both"/>
        <w:ind w:right="40" w:firstLine="621"/>
        <w:spacing w:after="0" w:line="293" w:lineRule="auto"/>
        <w:rPr>
          <w:sz w:val="20"/>
          <w:szCs w:val="20"/>
          <w:color w:val="auto"/>
        </w:rPr>
      </w:pPr>
      <w:r>
        <w:rPr>
          <w:rFonts w:ascii="Arial" w:cs="Arial" w:eastAsia="Arial" w:hAnsi="Arial"/>
          <w:sz w:val="15"/>
          <w:szCs w:val="15"/>
          <w:color w:val="auto"/>
        </w:rPr>
        <w:t>We expect our revenue will substantially increase through the remainder of 2021 as a result of the SpotX Acquisition and from continued growth in other areas of our business, in particular CTV.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Because pricing and take rate vary across publisher, channel and transaction type, our revenue is impacted by shifts in the mix of advertising spend on our platform. For instance, an increase in PMP transactions as a percentage of the transactions on our platform could also result in reduced revenue, if not offset by increased advertising spend, because PMP transactions can carry lower take rates than OMP transactions. We believe that contributions to revenue from PMPs, in particular with respect to CTV which is largely transacted through PMPs, will continue to grow as a percentage of our total revenue. In general, we expect this shift will result in an overall increase in advertising spend through our platform and in revenue due to both an increase in volume and average CPM which will be partially offset by a decrease in our average take rate.</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89" w:lineRule="exact"/>
        <w:rPr>
          <w:sz w:val="20"/>
          <w:szCs w:val="20"/>
          <w:color w:val="auto"/>
        </w:rPr>
      </w:pPr>
    </w:p>
    <w:p>
      <w:pPr>
        <w:ind w:right="60" w:firstLine="621"/>
        <w:spacing w:after="0" w:line="261" w:lineRule="auto"/>
        <w:rPr>
          <w:sz w:val="20"/>
          <w:szCs w:val="20"/>
          <w:color w:val="auto"/>
        </w:rPr>
      </w:pPr>
      <w:r>
        <w:rPr>
          <w:rFonts w:ascii="Arial" w:cs="Arial" w:eastAsia="Arial" w:hAnsi="Arial"/>
          <w:sz w:val="17"/>
          <w:szCs w:val="17"/>
          <w:color w:val="auto"/>
        </w:rPr>
        <w:t>Cost of revenue increased $29.0 million, or 135%, for the three months ended June 30, 2021 compared to the three months ended June 30, 2020, primarily due to costs associated with our revenue growth, and an increase in traffic acquisition cost driven by the increase in revenue reported on a gross basis as a result of the SpotX Acquisition. Cost of revenue increased by $13.8 million in traffic acquisition costs associated with revenue recognized on a gross basis, $9.3 million in depreciation and amortization, and $4.1 million in data and bandwidth expenses during the three months ended June 30, 2021 compared to the same period in the prior year.</w:t>
      </w:r>
    </w:p>
    <w:p>
      <w:pPr>
        <w:spacing w:after="0" w:line="63" w:lineRule="exact"/>
        <w:rPr>
          <w:sz w:val="20"/>
          <w:szCs w:val="20"/>
          <w:color w:val="auto"/>
        </w:rPr>
      </w:pPr>
    </w:p>
    <w:p>
      <w:pPr>
        <w:ind w:right="100" w:firstLine="621"/>
        <w:spacing w:after="0" w:line="264" w:lineRule="auto"/>
        <w:rPr>
          <w:sz w:val="20"/>
          <w:szCs w:val="20"/>
          <w:color w:val="auto"/>
        </w:rPr>
      </w:pPr>
      <w:r>
        <w:rPr>
          <w:rFonts w:ascii="Arial" w:cs="Arial" w:eastAsia="Arial" w:hAnsi="Arial"/>
          <w:sz w:val="17"/>
          <w:szCs w:val="17"/>
          <w:color w:val="auto"/>
        </w:rPr>
        <w:t>For the six months ended June 30, 2021, cost of revenue increased $35.7 million, or 101%, compared to the prior year period primarily due to the SpotX Acquisition. Cost of revenue increased by $14.7 million in traffic acquisition costs associated with revenue recognized on a gross basis, $10.5 million in depreciation and amortization, and $8.5 million in data and bandwidth expenses during the six months ended June 30, 2021 compared to the same period in the prior year.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20" w:firstLine="621"/>
        <w:spacing w:after="0" w:line="293" w:lineRule="auto"/>
        <w:rPr>
          <w:sz w:val="20"/>
          <w:szCs w:val="20"/>
          <w:color w:val="auto"/>
        </w:rPr>
      </w:pPr>
      <w:r>
        <w:rPr>
          <w:rFonts w:ascii="Arial" w:cs="Arial" w:eastAsia="Arial" w:hAnsi="Arial"/>
          <w:sz w:val="16"/>
          <w:szCs w:val="16"/>
          <w:color w:val="auto"/>
        </w:rPr>
        <w:t>Our cost of revenue will continue to increase in future periods as a result of the SpotX Acquisition. In addition, excluding the impact of the SpotX Acquisition, we expect our cost of revenue to be higher through the remainder of 2021 in absolute dollars due primarily to the increase in expenses due to a full year of amortization of intangible assets resulting from the Telaria Merger and higher cloud service costs to support the growth of our business.</w:t>
      </w:r>
    </w:p>
    <w:p>
      <w:pPr>
        <w:spacing w:after="0" w:line="25"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89" w:lineRule="exact"/>
        <w:rPr>
          <w:sz w:val="20"/>
          <w:szCs w:val="20"/>
          <w:color w:val="auto"/>
        </w:rPr>
      </w:pPr>
    </w:p>
    <w:p>
      <w:pPr>
        <w:ind w:right="120" w:firstLine="621"/>
        <w:spacing w:after="0" w:line="264" w:lineRule="auto"/>
        <w:rPr>
          <w:sz w:val="20"/>
          <w:szCs w:val="20"/>
          <w:color w:val="auto"/>
        </w:rPr>
      </w:pPr>
      <w:r>
        <w:rPr>
          <w:rFonts w:ascii="Arial" w:cs="Arial" w:eastAsia="Arial" w:hAnsi="Arial"/>
          <w:sz w:val="17"/>
          <w:szCs w:val="17"/>
          <w:color w:val="auto"/>
        </w:rPr>
        <w:t>Sales and marketing expenses increased $23.2 million, or 116%, for the three months ended June 30, 2021 compared to the three months ended June 30, 2020, primarily due to the SpotX Acquisition and associated increases in headcount and the amortization of acquired intangibles and other assets. Sales and marketing expenses increased by $12.1 million related to depreciation and amortization associated with the SpotX Acquisition and by $9.7 million related to personnel expenses.</w:t>
      </w:r>
    </w:p>
    <w:p>
      <w:pPr>
        <w:spacing w:after="0" w:line="58" w:lineRule="exact"/>
        <w:rPr>
          <w:sz w:val="20"/>
          <w:szCs w:val="20"/>
          <w:color w:val="auto"/>
        </w:rPr>
      </w:pPr>
    </w:p>
    <w:p>
      <w:pPr>
        <w:ind w:right="120" w:firstLine="621"/>
        <w:spacing w:after="0" w:line="268" w:lineRule="auto"/>
        <w:rPr>
          <w:sz w:val="20"/>
          <w:szCs w:val="20"/>
          <w:color w:val="auto"/>
        </w:rPr>
      </w:pPr>
      <w:r>
        <w:rPr>
          <w:rFonts w:ascii="Arial" w:cs="Arial" w:eastAsia="Arial" w:hAnsi="Arial"/>
          <w:sz w:val="17"/>
          <w:szCs w:val="17"/>
          <w:color w:val="auto"/>
        </w:rPr>
        <w:t>For the six months ended June 30, 2021, sales and marketing expenses increased $34.6 million, or 110%, compared to the prior year period for the same reasons above. Sales and marketing expenses increased by $17.4 million related to personnel expenses and by $15.8 million related to depreciation and amortization associated with the SpotX Acquisition and the Telaria Merger.</w:t>
      </w:r>
    </w:p>
    <w:p>
      <w:pPr>
        <w:spacing w:after="0" w:line="57" w:lineRule="exact"/>
        <w:rPr>
          <w:sz w:val="20"/>
          <w:szCs w:val="20"/>
          <w:color w:val="auto"/>
        </w:rPr>
      </w:pPr>
    </w:p>
    <w:p>
      <w:pPr>
        <w:ind w:right="220" w:firstLine="621"/>
        <w:spacing w:after="0" w:line="264" w:lineRule="auto"/>
        <w:rPr>
          <w:sz w:val="20"/>
          <w:szCs w:val="20"/>
          <w:color w:val="auto"/>
        </w:rPr>
      </w:pPr>
      <w:r>
        <w:rPr>
          <w:rFonts w:ascii="Arial" w:cs="Arial" w:eastAsia="Arial" w:hAnsi="Arial"/>
          <w:sz w:val="17"/>
          <w:szCs w:val="17"/>
          <w:color w:val="auto"/>
        </w:rPr>
        <w:t>We expect sales and marketing expenses will continue to increase through the remainder of 2021 in absolute dollars primarily due to the SpotX Acquisition, increase in expenses due to a full year of additional headcount costs and amortization of acquired intangible assets as a result of the Telaria Merger and the SpotX Acquisition, increased costs due to marketing events and travel and entertainment expenses post COVID-19, and a return to office work environment, partially offset by reductions associated with cost synergies.</w:t>
      </w:r>
    </w:p>
    <w:p>
      <w:pPr>
        <w:spacing w:after="0" w:line="45"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Technology and Development</w:t>
      </w:r>
    </w:p>
    <w:p>
      <w:pPr>
        <w:spacing w:after="0" w:line="89" w:lineRule="exact"/>
        <w:rPr>
          <w:sz w:val="20"/>
          <w:szCs w:val="20"/>
          <w:color w:val="auto"/>
        </w:rPr>
      </w:pPr>
    </w:p>
    <w:p>
      <w:pPr>
        <w:ind w:right="260" w:firstLine="621"/>
        <w:spacing w:after="0" w:line="350" w:lineRule="auto"/>
        <w:rPr>
          <w:sz w:val="20"/>
          <w:szCs w:val="20"/>
          <w:color w:val="auto"/>
        </w:rPr>
      </w:pPr>
      <w:r>
        <w:rPr>
          <w:rFonts w:ascii="Arial" w:cs="Arial" w:eastAsia="Arial" w:hAnsi="Arial"/>
          <w:sz w:val="15"/>
          <w:szCs w:val="15"/>
          <w:color w:val="auto"/>
        </w:rPr>
        <w:t>Technology and development expenses increased $5.0 million, or 39%, for the three months ended June 30, 2021 compared to the three months ended June 30, 2020, due primarily to an increase of $4.6 million in personnel costs as a result of the increased headcount associated with the SpotX Acquisition.</w:t>
      </w:r>
    </w:p>
    <w:p>
      <w:pPr>
        <w:spacing w:after="0" w:line="1" w:lineRule="exact"/>
        <w:rPr>
          <w:sz w:val="20"/>
          <w:szCs w:val="20"/>
          <w:color w:val="auto"/>
        </w:rPr>
      </w:pPr>
    </w:p>
    <w:p>
      <w:pPr>
        <w:ind w:right="40" w:firstLine="621"/>
        <w:spacing w:after="0" w:line="283" w:lineRule="auto"/>
        <w:rPr>
          <w:sz w:val="20"/>
          <w:szCs w:val="20"/>
          <w:color w:val="auto"/>
        </w:rPr>
      </w:pPr>
      <w:r>
        <w:rPr>
          <w:rFonts w:ascii="Arial" w:cs="Arial" w:eastAsia="Arial" w:hAnsi="Arial"/>
          <w:sz w:val="17"/>
          <w:szCs w:val="17"/>
          <w:color w:val="auto"/>
        </w:rPr>
        <w:t>For the six months ended June 30, 2021, technology and development expenses increased $8.6 million, or 36%, compared to the prior year period, due to an increase of $8.4 million in personnel costs primarily for the same reasons above.</w:t>
      </w:r>
    </w:p>
    <w:p>
      <w:pPr>
        <w:spacing w:after="0" w:line="43" w:lineRule="exact"/>
        <w:rPr>
          <w:sz w:val="20"/>
          <w:szCs w:val="20"/>
          <w:color w:val="auto"/>
        </w:rPr>
      </w:pPr>
    </w:p>
    <w:p>
      <w:pPr>
        <w:ind w:right="120" w:firstLine="621"/>
        <w:spacing w:after="0" w:line="316" w:lineRule="auto"/>
        <w:rPr>
          <w:sz w:val="20"/>
          <w:szCs w:val="20"/>
          <w:color w:val="auto"/>
        </w:rPr>
      </w:pPr>
      <w:r>
        <w:rPr>
          <w:rFonts w:ascii="Arial" w:cs="Arial" w:eastAsia="Arial" w:hAnsi="Arial"/>
          <w:sz w:val="16"/>
          <w:szCs w:val="16"/>
          <w:color w:val="auto"/>
        </w:rPr>
        <w:t>We expect technology and development expenses to increase through the remainder of 2021 in absolute dollars, primarily due to the SpotX Acquisition, increase in expenses assuming a return to office work environment later in the year, partially offset by reductions associated with cost synergies.</w:t>
      </w:r>
    </w:p>
    <w:p>
      <w:pPr>
        <w:spacing w:after="0" w:line="7"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80" w:lineRule="exact"/>
        <w:rPr>
          <w:sz w:val="20"/>
          <w:szCs w:val="20"/>
          <w:color w:val="auto"/>
        </w:rPr>
      </w:pPr>
    </w:p>
    <w:p>
      <w:pPr>
        <w:jc w:val="both"/>
        <w:ind w:right="300" w:firstLine="621"/>
        <w:spacing w:after="0" w:line="268" w:lineRule="auto"/>
        <w:rPr>
          <w:sz w:val="20"/>
          <w:szCs w:val="20"/>
          <w:color w:val="auto"/>
        </w:rPr>
      </w:pPr>
      <w:r>
        <w:rPr>
          <w:rFonts w:ascii="Arial" w:cs="Arial" w:eastAsia="Arial" w:hAnsi="Arial"/>
          <w:sz w:val="17"/>
          <w:szCs w:val="17"/>
          <w:color w:val="auto"/>
        </w:rPr>
        <w:t>General and administrative expenses increased by $1.2 million, or 8%, for the three months ended June 30, 2021 compared to the three months ended June 30, 2020, primarily due to increases of $0.7 million in professional services and $0.5 million in personnel expenses, primarily associated with the SpotX Acquisition, offset by other cost savings.</w:t>
      </w:r>
    </w:p>
    <w:p>
      <w:pPr>
        <w:spacing w:after="0" w:line="57" w:lineRule="exact"/>
        <w:rPr>
          <w:sz w:val="20"/>
          <w:szCs w:val="20"/>
          <w:color w:val="auto"/>
        </w:rPr>
      </w:pPr>
    </w:p>
    <w:p>
      <w:pPr>
        <w:ind w:right="680" w:firstLine="621"/>
        <w:spacing w:after="0" w:line="316" w:lineRule="auto"/>
        <w:rPr>
          <w:sz w:val="20"/>
          <w:szCs w:val="20"/>
          <w:color w:val="auto"/>
        </w:rPr>
      </w:pPr>
      <w:r>
        <w:rPr>
          <w:rFonts w:ascii="Arial" w:cs="Arial" w:eastAsia="Arial" w:hAnsi="Arial"/>
          <w:sz w:val="16"/>
          <w:szCs w:val="16"/>
          <w:color w:val="auto"/>
        </w:rPr>
        <w:t>For the six months ended June 30, 2021, general and administrative expenses increased $6.2 million, or 25%, compared to the prior year period, primarily due to increases of $3.0 million in personnel expenses and $1.7 million in professional services for the same reasons above.</w:t>
      </w:r>
    </w:p>
    <w:p>
      <w:pPr>
        <w:spacing w:after="0" w:line="7" w:lineRule="exact"/>
        <w:rPr>
          <w:sz w:val="20"/>
          <w:szCs w:val="20"/>
          <w:color w:val="auto"/>
        </w:rPr>
      </w:pPr>
    </w:p>
    <w:p>
      <w:pPr>
        <w:ind w:right="160" w:firstLine="621"/>
        <w:spacing w:after="0" w:line="350" w:lineRule="auto"/>
        <w:rPr>
          <w:sz w:val="20"/>
          <w:szCs w:val="20"/>
          <w:color w:val="auto"/>
        </w:rPr>
      </w:pPr>
      <w:r>
        <w:rPr>
          <w:rFonts w:ascii="Arial" w:cs="Arial" w:eastAsia="Arial" w:hAnsi="Arial"/>
          <w:sz w:val="15"/>
          <w:szCs w:val="15"/>
          <w:color w:val="auto"/>
        </w:rPr>
        <w:t>We expect general and administrative expenses will continue to increase through the remainder of 2021 in absolute dollars primarily due to the SpotX Acquisition and increase in expenses assuming a return to office work environment later in the year, partially offset by reductions associated with cost synergies.</w:t>
      </w:r>
    </w:p>
    <w:p>
      <w:pPr>
        <w:spacing w:after="0" w:line="1" w:lineRule="exact"/>
        <w:rPr>
          <w:sz w:val="20"/>
          <w:szCs w:val="20"/>
          <w:color w:val="auto"/>
        </w:rPr>
      </w:pPr>
    </w:p>
    <w:p>
      <w:pPr>
        <w:ind w:right="160" w:firstLine="621"/>
        <w:spacing w:after="0" w:line="353" w:lineRule="auto"/>
        <w:rPr>
          <w:sz w:val="20"/>
          <w:szCs w:val="20"/>
          <w:color w:val="auto"/>
        </w:rPr>
      </w:pPr>
      <w:r>
        <w:rPr>
          <w:rFonts w:ascii="Arial" w:cs="Arial" w:eastAsia="Arial" w:hAnsi="Arial"/>
          <w:sz w:val="15"/>
          <w:szCs w:val="15"/>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Merger, Acquisition, and Restructuring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4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6"/>
                <w:szCs w:val="16"/>
                <w:b w:val="1"/>
                <w:bCs w:val="1"/>
                <w:color w:val="auto"/>
                <w:w w:val="92"/>
              </w:rPr>
              <w:t>June 30, 2020</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2"/>
              </w:rPr>
              <w:t>June 30, 2020</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60" w:type="dxa"/>
            <w:vAlign w:val="bottom"/>
          </w:tcPr>
          <w:p>
            <w:pPr>
              <w:ind w:left="20"/>
              <w:spacing w:after="0" w:line="171" w:lineRule="exact"/>
              <w:rPr>
                <w:sz w:val="20"/>
                <w:szCs w:val="20"/>
                <w:color w:val="auto"/>
              </w:rPr>
            </w:pPr>
            <w:r>
              <w:rPr>
                <w:rFonts w:ascii="Arial" w:cs="Arial" w:eastAsia="Arial" w:hAnsi="Arial"/>
                <w:sz w:val="17"/>
                <w:szCs w:val="17"/>
                <w:color w:val="auto"/>
                <w:w w:val="98"/>
              </w:rPr>
              <w:t>Professional Services (investment banking advisory, legal and other</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24,741</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6,754</w:t>
            </w:r>
          </w:p>
        </w:tc>
        <w:tc>
          <w:tcPr>
            <w:tcW w:w="8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26,967</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8,581</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7"/>
                <w:szCs w:val="17"/>
                <w:color w:val="auto"/>
              </w:rPr>
              <w:t>professional services)</w:t>
            </w:r>
          </w:p>
        </w:tc>
        <w:tc>
          <w:tcPr>
            <w:tcW w:w="240" w:type="dxa"/>
            <w:vAlign w:val="bottom"/>
            <w:vMerge w:val="continue"/>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Personnel related (severance and one-time termination benefit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w:t>
            </w:r>
          </w:p>
        </w:tc>
        <w:tc>
          <w:tcPr>
            <w:tcW w:w="0" w:type="dxa"/>
            <w:vAlign w:val="bottom"/>
          </w:tcPr>
          <w:p>
            <w:pPr>
              <w:spacing w:after="0"/>
              <w:rPr>
                <w:sz w:val="1"/>
                <w:szCs w:val="1"/>
                <w:color w:val="auto"/>
              </w:rPr>
            </w:pPr>
          </w:p>
        </w:tc>
      </w:tr>
      <w:tr>
        <w:trPr>
          <w:trHeight w:val="169"/>
        </w:trPr>
        <w:tc>
          <w:tcPr>
            <w:tcW w:w="5060" w:type="dxa"/>
            <w:vAlign w:val="bottom"/>
          </w:tcPr>
          <w:p>
            <w:pPr>
              <w:ind w:left="20"/>
              <w:spacing w:after="0" w:line="169" w:lineRule="exact"/>
              <w:rPr>
                <w:sz w:val="20"/>
                <w:szCs w:val="20"/>
                <w:color w:val="auto"/>
              </w:rPr>
            </w:pPr>
            <w:r>
              <w:rPr>
                <w:rFonts w:ascii="Arial" w:cs="Arial" w:eastAsia="Arial" w:hAnsi="Arial"/>
                <w:sz w:val="17"/>
                <w:szCs w:val="17"/>
                <w:color w:val="auto"/>
                <w:w w:val="95"/>
              </w:rPr>
              <w:t>Non-cash stock-based compensation (double-trigger acceleration and</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646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1,200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1,023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7"/>
                <w:szCs w:val="17"/>
                <w:color w:val="auto"/>
              </w:rPr>
              <w:t>severance)</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contracts (lease related)</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7"/>
                <w:szCs w:val="17"/>
                <w:color w:val="auto"/>
              </w:rPr>
              <w:t>Total merger, acquisition, and restructuring costs</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32,632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12,493</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35,354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14,423</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20" w:firstLine="621"/>
        <w:spacing w:after="0" w:line="298" w:lineRule="auto"/>
        <w:rPr>
          <w:sz w:val="20"/>
          <w:szCs w:val="20"/>
          <w:color w:val="auto"/>
        </w:rPr>
      </w:pPr>
      <w:r>
        <w:rPr>
          <w:rFonts w:ascii="Arial" w:cs="Arial" w:eastAsia="Arial" w:hAnsi="Arial"/>
          <w:sz w:val="15"/>
          <w:szCs w:val="15"/>
          <w:color w:val="auto"/>
        </w:rPr>
        <w:t>Merger, acquisition, and restructuring costs increased by $20.1 million, or 161%, for the three months ended June 30, 2021 compared to the three months ended June 30, 2020. Costs incurred during the three months ended June 30, 2021 of $32.6 million were primarily due to the SpotX Acquisition, which was completed on April 30, 2021, which costs included investment banking advisory, legal, and other professional services fees, one-time cash-based employee termination benefit costs, non-cash stock-based compensation expense associated with equity accelerations due to severance benefits, and facility closure costs associated with office space restructuring activities. Costs incurred during the three months ended June 30, 2020 of $12.5 million were primarily due to the Telaria Merger, which was completed on April 1, 2020, which costs included investment banking advisory, legal, and other professional services fees, one-time cash-based employee termination benefit costs, and non-cash stock-based compensation expense associated with double-trigger accelerations.</w:t>
      </w:r>
    </w:p>
    <w:p>
      <w:pPr>
        <w:spacing w:after="0" w:line="118" w:lineRule="exact"/>
        <w:rPr>
          <w:sz w:val="20"/>
          <w:szCs w:val="20"/>
          <w:color w:val="auto"/>
        </w:rPr>
      </w:pPr>
    </w:p>
    <w:p>
      <w:pPr>
        <w:ind w:right="400" w:firstLine="621"/>
        <w:spacing w:after="0" w:line="283" w:lineRule="auto"/>
        <w:rPr>
          <w:sz w:val="20"/>
          <w:szCs w:val="20"/>
          <w:color w:val="auto"/>
        </w:rPr>
      </w:pPr>
      <w:r>
        <w:rPr>
          <w:rFonts w:ascii="Arial" w:cs="Arial" w:eastAsia="Arial" w:hAnsi="Arial"/>
          <w:sz w:val="17"/>
          <w:szCs w:val="17"/>
          <w:color w:val="auto"/>
        </w:rPr>
        <w:t>Merger, acquisition, and restructuring costs increased by $20.9 million, or 145%, for the six months ended June 30, 2021 compared to the prior year period for the same reasons above.</w:t>
      </w:r>
    </w:p>
    <w:p>
      <w:pPr>
        <w:spacing w:after="0" w:line="43"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We expect to continue to incur merger, acquisition, and restructuring costs through the remainder of 2021 as a result of the close of the SpotX Acquisition and related restructuring activities.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5"/>
          </w:tcPr>
          <w:p>
            <w:pPr>
              <w:ind w:left="9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660" w:type="dxa"/>
            <w:vAlign w:val="bottom"/>
            <w:gridSpan w:val="4"/>
          </w:tcPr>
          <w:p>
            <w:pPr>
              <w:jc w:val="right"/>
              <w:ind w:right="797"/>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4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June 30, 2020</w:t>
            </w:r>
          </w:p>
        </w:tc>
      </w:tr>
      <w:tr>
        <w:trPr>
          <w:trHeight w:val="168"/>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4"/>
          </w:tcPr>
          <w:p>
            <w:pPr>
              <w:jc w:val="right"/>
              <w:ind w:right="957"/>
              <w:spacing w:after="0"/>
              <w:rPr>
                <w:sz w:val="20"/>
                <w:szCs w:val="20"/>
                <w:color w:val="auto"/>
              </w:rPr>
            </w:pPr>
            <w:r>
              <w:rPr>
                <w:rFonts w:ascii="Arial" w:cs="Arial" w:eastAsia="Arial" w:hAnsi="Arial"/>
                <w:sz w:val="13"/>
                <w:szCs w:val="13"/>
                <w:b w:val="1"/>
                <w:bCs w:val="1"/>
                <w:color w:val="auto"/>
              </w:rPr>
              <w:t>(in thousands)</w:t>
            </w: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5,172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0"/>
        </w:trPr>
        <w:tc>
          <w:tcPr>
            <w:tcW w:w="46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(1,293)</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gain, net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3,906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2,841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(2,573)</w:t>
            </w:r>
          </w:p>
        </w:tc>
      </w:tr>
      <w:tr>
        <w:trPr>
          <w:trHeight w:val="20"/>
        </w:trPr>
        <w:tc>
          <w:tcPr>
            <w:tcW w:w="4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Interest (income) expense, net increased by $5.2 million and $5.5 million during the three and six months ended June 30, 2021, respectively, compared to the same periods in the prior year, mainly due to interest expense associated with the Convertible Notes (defined below), which the Company entered into during March 2021, and interest expense associated with the Term Loan B Facility (defined below), which the Company entered into during April 2021, and amortization of debt issuance cost associated with the both the Convertible Notes and Term Loan B Facility.</w:t>
      </w:r>
    </w:p>
    <w:p>
      <w:pPr>
        <w:spacing w:after="0" w:line="58" w:lineRule="exact"/>
        <w:rPr>
          <w:sz w:val="20"/>
          <w:szCs w:val="20"/>
          <w:color w:val="auto"/>
        </w:rPr>
      </w:pPr>
    </w:p>
    <w:p>
      <w:pPr>
        <w:ind w:right="20" w:firstLine="621"/>
        <w:spacing w:after="0" w:line="283" w:lineRule="auto"/>
        <w:rPr>
          <w:sz w:val="20"/>
          <w:szCs w:val="20"/>
          <w:color w:val="auto"/>
        </w:rPr>
      </w:pPr>
      <w:r>
        <w:rPr>
          <w:rFonts w:ascii="Arial" w:cs="Arial" w:eastAsia="Arial" w:hAnsi="Arial"/>
          <w:sz w:val="17"/>
          <w:szCs w:val="17"/>
          <w:color w:val="auto"/>
        </w:rPr>
        <w:t>We expect interest expense to increase in 2021 compared to 2020 significantly as a result of increases in cash-based interest expenses and non-cash based amortization of debt issuance costs associated with our Convertible Notes and Term Loan B Facility.</w:t>
      </w:r>
    </w:p>
    <w:p>
      <w:pPr>
        <w:spacing w:after="0" w:line="43" w:lineRule="exact"/>
        <w:rPr>
          <w:sz w:val="20"/>
          <w:szCs w:val="20"/>
          <w:color w:val="auto"/>
        </w:rPr>
      </w:pPr>
    </w:p>
    <w:p>
      <w:pPr>
        <w:jc w:val="both"/>
        <w:ind w:right="320" w:firstLine="621"/>
        <w:spacing w:after="0" w:line="320" w:lineRule="auto"/>
        <w:rPr>
          <w:sz w:val="20"/>
          <w:szCs w:val="20"/>
          <w:color w:val="auto"/>
        </w:rPr>
      </w:pPr>
      <w:r>
        <w:rPr>
          <w:rFonts w:ascii="Arial" w:cs="Arial" w:eastAsia="Arial" w:hAnsi="Arial"/>
          <w:sz w:val="15"/>
          <w:szCs w:val="15"/>
          <w:color w:val="auto"/>
        </w:rPr>
        <w:t>Foreign exchange gain, net is impacted by movements in exchange rates and the amount of foreign currency-denominated receivables and payables, which are impacted by our billings to buyers and payments to sellers. During the three and six months ended June 30, 2021, the net foreign exchange loss was primarily attributable to the currency movements between the British Pound, Australian Dollar, Canadian Dollar, and the Euro relative to the U.S. Dollar.</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40" w:firstLine="172"/>
        <w:spacing w:after="0" w:line="259" w:lineRule="auto"/>
        <w:rPr>
          <w:sz w:val="20"/>
          <w:szCs w:val="20"/>
          <w:color w:val="auto"/>
        </w:rPr>
      </w:pPr>
      <w:r>
        <w:rPr>
          <w:rFonts w:ascii="Arial" w:cs="Arial" w:eastAsia="Arial" w:hAnsi="Arial"/>
          <w:sz w:val="17"/>
          <w:szCs w:val="17"/>
          <w:color w:val="auto"/>
        </w:rPr>
        <w:t>We recorded an income tax benefit of $87.7 million and expense of $0.3 million for the three months ended June 30, 2021 and 2020, respectively and an income tax benefit of $87.5 million and expense of $0.1 million for the six months ended June 30, 2021 and 2020, respectively. The tax benefit for the three and six months ended June 30, 2021 is primarily the result of the partial release of the domestic valuation allowance of $56.2 million related to the SpotX Acquisition, as well as the income tax benefit of a portion of our current year projected loss. The net deferred tax liabilities recorded in connection with the acquisition provided an additional source of taxable income to support the realizability of pre-existing deferred tax assets, and, as a result, we released a portion of our domestic valuation allowance and recognized current benefit for a portion of our projected losses. We continue to maintain a partial valuation allowance for our domestic deferred tax assets.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Performance Metrics</w:t>
      </w:r>
    </w:p>
    <w:p>
      <w:pPr>
        <w:spacing w:after="0" w:line="108" w:lineRule="exact"/>
        <w:rPr>
          <w:sz w:val="20"/>
          <w:szCs w:val="20"/>
          <w:color w:val="auto"/>
        </w:rPr>
      </w:pPr>
    </w:p>
    <w:p>
      <w:pPr>
        <w:ind w:right="80" w:firstLine="621"/>
        <w:spacing w:after="0" w:line="285" w:lineRule="auto"/>
        <w:rPr>
          <w:sz w:val="20"/>
          <w:szCs w:val="20"/>
          <w:color w:val="auto"/>
        </w:rPr>
      </w:pPr>
      <w:r>
        <w:rPr>
          <w:rFonts w:ascii="Arial" w:cs="Arial" w:eastAsia="Arial" w:hAnsi="Arial"/>
          <w:sz w:val="16"/>
          <w:szCs w:val="16"/>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under the headings "Components of Our Results of Operations" and "Results of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vMerge w:val="restart"/>
          </w:tcPr>
          <w:p>
            <w:pPr>
              <w:spacing w:after="0"/>
              <w:rPr>
                <w:sz w:val="11"/>
                <w:szCs w:val="11"/>
                <w:color w:val="auto"/>
              </w:rPr>
            </w:pPr>
          </w:p>
        </w:tc>
        <w:tc>
          <w:tcPr>
            <w:tcW w:w="12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Favorable/</w:t>
            </w:r>
          </w:p>
        </w:tc>
        <w:tc>
          <w:tcPr>
            <w:tcW w:w="140" w:type="dxa"/>
            <w:vAlign w:val="bottom"/>
          </w:tcPr>
          <w:p>
            <w:pPr>
              <w:spacing w:after="0"/>
              <w:rPr>
                <w:sz w:val="11"/>
                <w:szCs w:val="11"/>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0"/>
              </w:rPr>
              <w:t>June 30, 2021</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0"/>
              </w:rPr>
              <w:t>June 30, 2020</w:t>
            </w:r>
          </w:p>
        </w:tc>
        <w:tc>
          <w:tcPr>
            <w:tcW w:w="100" w:type="dxa"/>
            <w:vAlign w:val="bottom"/>
            <w:vMerge w:val="restart"/>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Favorable/</w:t>
            </w:r>
          </w:p>
        </w:tc>
        <w:tc>
          <w:tcPr>
            <w:tcW w:w="0" w:type="dxa"/>
            <w:vAlign w:val="bottom"/>
          </w:tcPr>
          <w:p>
            <w:pPr>
              <w:spacing w:after="0"/>
              <w:rPr>
                <w:sz w:val="1"/>
                <w:szCs w:val="1"/>
                <w:color w:val="auto"/>
              </w:rPr>
            </w:pPr>
          </w:p>
        </w:tc>
      </w:tr>
      <w:tr>
        <w:trPr>
          <w:trHeight w:val="180"/>
        </w:trPr>
        <w:tc>
          <w:tcPr>
            <w:tcW w:w="34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(Unfavorable)</w:t>
            </w: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175,256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78,643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7"/>
                <w:szCs w:val="17"/>
                <w:color w:val="auto"/>
              </w:rPr>
              <w:t>Revenue ex-TAC</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42,050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160,292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78,345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1"/>
              </w:rPr>
              <w:t>105%</w:t>
            </w:r>
          </w:p>
        </w:tc>
        <w:tc>
          <w:tcPr>
            <w:tcW w:w="0" w:type="dxa"/>
            <w:vAlign w:val="bottom"/>
          </w:tcPr>
          <w:p>
            <w:pPr>
              <w:spacing w:after="0"/>
              <w:rPr>
                <w:sz w:val="1"/>
                <w:szCs w:val="1"/>
                <w:color w:val="auto"/>
              </w:rPr>
            </w:pPr>
          </w:p>
        </w:tc>
      </w:tr>
      <w:tr>
        <w:trPr>
          <w:trHeight w:val="220"/>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149%</w:t>
            </w:r>
          </w:p>
        </w:tc>
        <w:tc>
          <w:tcPr>
            <w:tcW w:w="0" w:type="dxa"/>
            <w:vAlign w:val="bottom"/>
          </w:tcPr>
          <w:p>
            <w:pPr>
              <w:spacing w:after="0"/>
              <w:rPr>
                <w:sz w:val="1"/>
                <w:szCs w:val="1"/>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(3,486)</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1,012%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41,155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0"/>
              </w:rPr>
              <w:t>6,022%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Revenue ex-TAC:</w:t>
      </w:r>
    </w:p>
    <w:p>
      <w:pPr>
        <w:spacing w:after="0" w:line="95"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We believe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33" w:lineRule="exact"/>
        <w:rPr>
          <w:sz w:val="20"/>
          <w:szCs w:val="20"/>
          <w:color w:val="auto"/>
        </w:rPr>
      </w:pPr>
    </w:p>
    <w:p>
      <w:pPr>
        <w:ind w:right="100" w:firstLine="621"/>
        <w:spacing w:after="0" w:line="257" w:lineRule="auto"/>
        <w:rPr>
          <w:sz w:val="20"/>
          <w:szCs w:val="20"/>
          <w:color w:val="auto"/>
        </w:rPr>
      </w:pPr>
      <w:r>
        <w:rPr>
          <w:rFonts w:ascii="Arial" w:cs="Arial" w:eastAsia="Arial" w:hAnsi="Arial"/>
          <w:sz w:val="17"/>
          <w:szCs w:val="17"/>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1"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The following table presents the calculation of gross profit and reconciliation of gross profit to Revenue ex-TAC for the three and six months ended June 30, 2021 and 2020, respectively: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r>
      <w:tr>
        <w:trPr>
          <w:trHeight w:val="200"/>
        </w:trPr>
        <w:tc>
          <w:tcPr>
            <w:tcW w:w="3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2"/>
              </w:rPr>
              <w:t>June 30, 2020</w:t>
            </w:r>
          </w:p>
        </w:tc>
        <w:tc>
          <w:tcPr>
            <w:tcW w:w="126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b w:val="1"/>
                <w:bCs w:val="1"/>
                <w:color w:val="auto"/>
              </w:rPr>
              <w:t>Change %</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June 30, 2021</w:t>
            </w: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0"/>
              </w:rPr>
              <w:t>June 30, 2020</w:t>
            </w:r>
          </w:p>
        </w:tc>
        <w:tc>
          <w:tcPr>
            <w:tcW w:w="1060" w:type="dxa"/>
            <w:vAlign w:val="bottom"/>
            <w:tcBorders>
              <w:bottom w:val="single" w:sz="8" w:color="CCEEFF"/>
            </w:tcBorders>
          </w:tcPr>
          <w:p>
            <w:pPr>
              <w:jc w:val="right"/>
              <w:ind w:right="137"/>
              <w:spacing w:after="0"/>
              <w:rPr>
                <w:sz w:val="20"/>
                <w:szCs w:val="20"/>
                <w:color w:val="auto"/>
              </w:rPr>
            </w:pPr>
            <w:r>
              <w:rPr>
                <w:rFonts w:ascii="Arial" w:cs="Arial" w:eastAsia="Arial" w:hAnsi="Arial"/>
                <w:sz w:val="14"/>
                <w:szCs w:val="14"/>
                <w:b w:val="1"/>
                <w:bCs w:val="1"/>
                <w:color w:val="auto"/>
              </w:rPr>
              <w:t>Change %</w:t>
            </w: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42,348</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78,643</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123 %</w:t>
            </w:r>
          </w:p>
        </w:tc>
      </w:tr>
      <w:tr>
        <w:trPr>
          <w:trHeight w:val="220"/>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Cost of revenue</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21,545</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71,282</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35,548</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101 %</w:t>
            </w:r>
          </w:p>
        </w:tc>
      </w:tr>
      <w:tr>
        <w:trPr>
          <w:trHeight w:val="21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20,803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103,974</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43,095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141 %</w:t>
            </w:r>
          </w:p>
        </w:tc>
      </w:tr>
      <w:tr>
        <w:trPr>
          <w:trHeight w:val="213"/>
        </w:trPr>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Add back: Cost of revenue, excluding TAC</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21,247</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71 %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56,318</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35,250</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60 %</w:t>
            </w:r>
          </w:p>
        </w:tc>
      </w:tr>
      <w:tr>
        <w:trPr>
          <w:trHeight w:val="23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ex-TAC</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42,050</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160,292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78,345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813"/>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356"/>
              <w:spacing w:after="0"/>
              <w:rPr>
                <w:sz w:val="20"/>
                <w:szCs w:val="20"/>
                <w:color w:val="auto"/>
              </w:rPr>
            </w:pPr>
            <w:r>
              <w:rPr>
                <w:rFonts w:ascii="Arial" w:cs="Arial" w:eastAsia="Arial" w:hAnsi="Arial"/>
                <w:sz w:val="17"/>
                <w:szCs w:val="17"/>
                <w:color w:val="auto"/>
              </w:rPr>
              <w:t>42</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9"/>
        </w:trPr>
        <w:tc>
          <w:tcPr>
            <w:tcW w:w="3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Sellers use our technology to monetize their content across all digital channels, including CTV, mobile and desktop, and each of these channels will continue to represent a meaningful portion of our revenue in future periods. 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Revenue ex-TAC</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9"/>
        </w:trPr>
        <w:tc>
          <w:tcPr>
            <w:tcW w:w="3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b w:val="1"/>
                <w:bCs w:val="1"/>
                <w:color w:val="auto"/>
                <w:w w:val="97"/>
              </w:rPr>
              <w:t>Six Months Ended</w:t>
            </w:r>
          </w:p>
        </w:tc>
        <w:tc>
          <w:tcPr>
            <w:tcW w:w="1160" w:type="dxa"/>
            <w:vAlign w:val="bottom"/>
            <w:tcBorders>
              <w:bottom w:val="single" w:sz="8" w:color="auto"/>
            </w:tcBorders>
          </w:tcPr>
          <w:p>
            <w:pPr>
              <w:spacing w:after="0"/>
              <w:rPr>
                <w:sz w:val="15"/>
                <w:szCs w:val="15"/>
                <w:color w:val="auto"/>
              </w:rPr>
            </w:pPr>
          </w:p>
        </w:tc>
      </w:tr>
      <w:tr>
        <w:trPr>
          <w:trHeight w:val="174"/>
        </w:trPr>
        <w:tc>
          <w:tcPr>
            <w:tcW w:w="3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4"/>
              </w:rPr>
              <w:t>June 30, 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2"/>
              </w:rPr>
              <w:t>June 30, 2020</w:t>
            </w:r>
          </w:p>
        </w:tc>
        <w:tc>
          <w:tcPr>
            <w:tcW w:w="11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 %</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June 30, 2021</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June 30, 2020</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 %</w:t>
            </w:r>
          </w:p>
        </w:tc>
      </w:tr>
      <w:tr>
        <w:trPr>
          <w:trHeight w:val="188"/>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0"/>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3760" w:type="dxa"/>
            <w:vAlign w:val="bottom"/>
          </w:tcPr>
          <w:p>
            <w:pPr>
              <w:ind w:left="340"/>
              <w:spacing w:after="0"/>
              <w:rPr>
                <w:sz w:val="20"/>
                <w:szCs w:val="20"/>
                <w:color w:val="auto"/>
              </w:rPr>
            </w:pPr>
            <w:r>
              <w:rPr>
                <w:rFonts w:ascii="Arial" w:cs="Arial" w:eastAsia="Arial" w:hAnsi="Arial"/>
                <w:sz w:val="17"/>
                <w:szCs w:val="17"/>
                <w:color w:val="auto"/>
              </w:rPr>
              <w:t>CTV</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34,264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7,919</w:t>
            </w:r>
          </w:p>
        </w:tc>
        <w:tc>
          <w:tcPr>
            <w:tcW w:w="1180" w:type="dxa"/>
            <w:vAlign w:val="bottom"/>
          </w:tcPr>
          <w:p>
            <w:pPr>
              <w:jc w:val="right"/>
              <w:spacing w:after="0"/>
              <w:rPr>
                <w:sz w:val="20"/>
                <w:szCs w:val="20"/>
                <w:color w:val="auto"/>
              </w:rPr>
            </w:pPr>
            <w:r>
              <w:rPr>
                <w:rFonts w:ascii="Arial" w:cs="Arial" w:eastAsia="Arial" w:hAnsi="Arial"/>
                <w:sz w:val="17"/>
                <w:szCs w:val="17"/>
                <w:color w:val="auto"/>
              </w:rPr>
              <w:t>333 %</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46,240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7,919</w:t>
            </w:r>
          </w:p>
        </w:tc>
        <w:tc>
          <w:tcPr>
            <w:tcW w:w="1160" w:type="dxa"/>
            <w:vAlign w:val="bottom"/>
          </w:tcPr>
          <w:p>
            <w:pPr>
              <w:jc w:val="right"/>
              <w:spacing w:after="0"/>
              <w:rPr>
                <w:sz w:val="20"/>
                <w:szCs w:val="20"/>
                <w:color w:val="auto"/>
              </w:rPr>
            </w:pPr>
            <w:r>
              <w:rPr>
                <w:rFonts w:ascii="Arial" w:cs="Arial" w:eastAsia="Arial" w:hAnsi="Arial"/>
                <w:sz w:val="17"/>
                <w:szCs w:val="17"/>
                <w:color w:val="auto"/>
              </w:rPr>
              <w:t>484 %</w:t>
            </w:r>
          </w:p>
        </w:tc>
      </w:tr>
      <w:tr>
        <w:trPr>
          <w:trHeight w:val="220"/>
        </w:trPr>
        <w:tc>
          <w:tcPr>
            <w:tcW w:w="3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Desktop</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14,973</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30,268</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r>
      <w:tr>
        <w:trPr>
          <w:trHeight w:val="220"/>
        </w:trPr>
        <w:tc>
          <w:tcPr>
            <w:tcW w:w="37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19,158</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102 %</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66,678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40,158</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66 %</w:t>
            </w:r>
          </w:p>
        </w:tc>
      </w:tr>
      <w:tr>
        <w:trPr>
          <w:trHeight w:val="233"/>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42,050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139 %</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160,292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78,345</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Revenue ex-TAC increased $58.4 million, or 139%, for the three months ended June 30, 2021 compared to the three months ended June 30, 2020. The increase in Revenue ex-TAC is due to increases across all channels, a rebound from COVID-19 advertising lows, and includes increases associated with the SpotX Acquisition, which was completed on April 30 2021.</w:t>
      </w:r>
    </w:p>
    <w:p>
      <w:pPr>
        <w:spacing w:after="0" w:line="57" w:lineRule="exact"/>
        <w:rPr>
          <w:sz w:val="20"/>
          <w:szCs w:val="20"/>
          <w:color w:val="auto"/>
        </w:rPr>
      </w:pPr>
    </w:p>
    <w:p>
      <w:pPr>
        <w:ind w:right="520" w:firstLine="621"/>
        <w:spacing w:after="0" w:line="283" w:lineRule="auto"/>
        <w:rPr>
          <w:sz w:val="20"/>
          <w:szCs w:val="20"/>
          <w:color w:val="auto"/>
        </w:rPr>
      </w:pPr>
      <w:r>
        <w:rPr>
          <w:rFonts w:ascii="Arial" w:cs="Arial" w:eastAsia="Arial" w:hAnsi="Arial"/>
          <w:sz w:val="17"/>
          <w:szCs w:val="17"/>
          <w:color w:val="auto"/>
        </w:rPr>
        <w:t>Revenue ex-TAC increased $81.9 million, or 105%, for the six months ended June 30, 2021 compared to the six months ended June 30, 2020. The increase in Revenue ex-TAC is attributable to the same reasons above.</w:t>
      </w:r>
    </w:p>
    <w:p>
      <w:pPr>
        <w:spacing w:after="0" w:line="43" w:lineRule="exact"/>
        <w:rPr>
          <w:sz w:val="20"/>
          <w:szCs w:val="20"/>
          <w:color w:val="auto"/>
        </w:rPr>
      </w:pPr>
    </w:p>
    <w:p>
      <w:pPr>
        <w:ind w:right="20" w:firstLine="621"/>
        <w:spacing w:after="0" w:line="268" w:lineRule="auto"/>
        <w:rPr>
          <w:sz w:val="20"/>
          <w:szCs w:val="20"/>
          <w:color w:val="auto"/>
        </w:rPr>
      </w:pPr>
      <w:r>
        <w:rPr>
          <w:rFonts w:ascii="Arial" w:cs="Arial" w:eastAsia="Arial" w:hAnsi="Arial"/>
          <w:sz w:val="17"/>
          <w:szCs w:val="17"/>
          <w:color w:val="auto"/>
        </w:rPr>
        <w:t>We expect Revenue ex-TAC to increase through the remainder of 2021 as compared to the same period in the prior year. We believe that CTV will be our biggest growth driver in future periods and with the recently completed SpotX Acquisition, we expect CTV Revenue ex-TAC to represent a significantly higher percentage of our overall Revenue ex-TAC.</w:t>
      </w:r>
    </w:p>
    <w:p>
      <w:pPr>
        <w:spacing w:after="0" w:line="44" w:lineRule="exact"/>
        <w:rPr>
          <w:sz w:val="20"/>
          <w:szCs w:val="20"/>
          <w:color w:val="auto"/>
        </w:rPr>
      </w:pPr>
    </w:p>
    <w:p>
      <w:pPr>
        <w:ind w:right="60" w:firstLine="621"/>
        <w:spacing w:after="0" w:line="264" w:lineRule="auto"/>
        <w:rPr>
          <w:sz w:val="20"/>
          <w:szCs w:val="20"/>
          <w:color w:val="auto"/>
        </w:rPr>
      </w:pPr>
      <w:r>
        <w:rPr>
          <w:rFonts w:ascii="Arial" w:cs="Arial" w:eastAsia="Arial" w:hAnsi="Arial"/>
          <w:sz w:val="17"/>
          <w:szCs w:val="17"/>
          <w:color w:val="auto"/>
        </w:rPr>
        <w:t>We expect our mobile business to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video.</w:t>
      </w:r>
    </w:p>
    <w:p>
      <w:pPr>
        <w:spacing w:after="0" w:line="58" w:lineRule="exact"/>
        <w:rPr>
          <w:sz w:val="20"/>
          <w:szCs w:val="20"/>
          <w:color w:val="auto"/>
        </w:rPr>
      </w:pPr>
    </w:p>
    <w:p>
      <w:pPr>
        <w:ind w:right="20" w:firstLine="621"/>
        <w:spacing w:after="0" w:line="285" w:lineRule="auto"/>
        <w:rPr>
          <w:sz w:val="20"/>
          <w:szCs w:val="20"/>
          <w:color w:val="auto"/>
        </w:rPr>
      </w:pPr>
      <w:r>
        <w:rPr>
          <w:rFonts w:ascii="Arial" w:cs="Arial" w:eastAsia="Arial" w:hAnsi="Arial"/>
          <w:sz w:val="16"/>
          <w:szCs w:val="16"/>
          <w:color w:val="auto"/>
        </w:rPr>
        <w:t>Lower industry growth rates in desktop will make growing desktop Revenue ex-TAC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ex-TAC in the near term. Therefore, the mix of our desktop business will continue to dampen our overall growth rate.</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Adjusted EBITDA:</w:t>
      </w:r>
    </w:p>
    <w:p>
      <w:pPr>
        <w:spacing w:after="0" w:line="250" w:lineRule="exact"/>
        <w:rPr>
          <w:sz w:val="20"/>
          <w:szCs w:val="20"/>
          <w:color w:val="auto"/>
        </w:rPr>
      </w:pPr>
    </w:p>
    <w:p>
      <w:pPr>
        <w:ind w:right="40" w:firstLine="621"/>
        <w:spacing w:after="0" w:line="259" w:lineRule="auto"/>
        <w:rPr>
          <w:sz w:val="20"/>
          <w:szCs w:val="20"/>
          <w:color w:val="auto"/>
        </w:rPr>
      </w:pPr>
      <w:r>
        <w:rPr>
          <w:rFonts w:ascii="Arial" w:cs="Arial" w:eastAsia="Arial" w:hAnsi="Arial"/>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expense (income), net, and provision (benefit) for income taxes. We also track future expenses on an Adjusted EBITDA basis, and describe them as Adjusted EBITDA operating expenses, which includes total operating expenses. Total operating expenses include cost of revenue. We adjust Adjusted EBITDA operating expenses for the same expense items excluded in Adjusted EBITDA. We believe Adjusted EBITDA is useful to investors in evaluating our performance for the following reasons:</w:t>
      </w:r>
    </w:p>
    <w:p>
      <w:pPr>
        <w:spacing w:after="0" w:line="50" w:lineRule="exact"/>
        <w:rPr>
          <w:sz w:val="20"/>
          <w:szCs w:val="20"/>
          <w:color w:val="auto"/>
        </w:rPr>
      </w:pPr>
    </w:p>
    <w:p>
      <w:pPr>
        <w:ind w:left="620" w:right="180" w:hanging="306"/>
        <w:spacing w:after="0" w:line="268"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56" w:lineRule="exact"/>
        <w:rPr>
          <w:rFonts w:ascii="Arial" w:cs="Arial" w:eastAsia="Arial" w:hAnsi="Arial"/>
          <w:sz w:val="17"/>
          <w:szCs w:val="17"/>
          <w:color w:val="auto"/>
        </w:rPr>
      </w:pPr>
    </w:p>
    <w:p>
      <w:pPr>
        <w:ind w:left="620" w:right="200" w:hanging="306"/>
        <w:spacing w:after="0" w:line="293" w:lineRule="auto"/>
        <w:tabs>
          <w:tab w:leader="none" w:pos="6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37" w:lineRule="exact"/>
        <w:rPr>
          <w:rFonts w:ascii="Arial" w:cs="Arial" w:eastAsia="Arial" w:hAnsi="Arial"/>
          <w:sz w:val="16"/>
          <w:szCs w:val="16"/>
          <w:color w:val="auto"/>
        </w:rPr>
      </w:pPr>
    </w:p>
    <w:p>
      <w:pPr>
        <w:jc w:val="both"/>
        <w:ind w:left="620" w:right="80" w:hanging="306"/>
        <w:spacing w:after="0" w:line="268"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7" w:lineRule="exact"/>
        <w:rPr>
          <w:sz w:val="20"/>
          <w:szCs w:val="20"/>
          <w:color w:val="auto"/>
        </w:rPr>
      </w:pPr>
    </w:p>
    <w:p>
      <w:pPr>
        <w:ind w:left="620" w:right="10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43" w:lineRule="exact"/>
        <w:rPr>
          <w:rFonts w:ascii="Arial" w:cs="Arial" w:eastAsia="Arial" w:hAnsi="Arial"/>
          <w:sz w:val="17"/>
          <w:szCs w:val="17"/>
          <w:color w:val="auto"/>
        </w:rPr>
      </w:pPr>
    </w:p>
    <w:p>
      <w:pPr>
        <w:ind w:left="620" w:right="54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0"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goodwill, intangible assets and/or long-lived assets.</w:t>
      </w:r>
    </w:p>
    <w:p>
      <w:pPr>
        <w:spacing w:after="0" w:line="102" w:lineRule="exact"/>
        <w:rPr>
          <w:rFonts w:ascii="Arial" w:cs="Arial" w:eastAsia="Arial" w:hAnsi="Arial"/>
          <w:sz w:val="17"/>
          <w:szCs w:val="17"/>
          <w:color w:val="auto"/>
        </w:rPr>
      </w:pPr>
    </w:p>
    <w:p>
      <w:pPr>
        <w:ind w:left="620" w:right="20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non-cash charges related to acquisition and related items, such as amortization of acquired intangible assets, merger related severance costs, and changes in the fair value of contingent consideration.</w:t>
      </w:r>
    </w:p>
    <w:p>
      <w:pPr>
        <w:spacing w:after="0" w:line="43" w:lineRule="exact"/>
        <w:rPr>
          <w:rFonts w:ascii="Arial" w:cs="Arial" w:eastAsia="Arial" w:hAnsi="Arial"/>
          <w:sz w:val="17"/>
          <w:szCs w:val="17"/>
          <w:color w:val="auto"/>
        </w:rPr>
      </w:pPr>
    </w:p>
    <w:p>
      <w:pPr>
        <w:ind w:left="620" w:right="36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cash and non-cash charges and changes in, or cash requirements for, acquisition and related items, such as certain transaction expenses and expenses associated with earn-out amounts.</w:t>
      </w:r>
    </w:p>
    <w:p>
      <w:pPr>
        <w:spacing w:after="0" w:line="30" w:lineRule="exact"/>
        <w:rPr>
          <w:rFonts w:ascii="Arial" w:cs="Arial" w:eastAsia="Arial" w:hAnsi="Arial"/>
          <w:sz w:val="17"/>
          <w:szCs w:val="17"/>
          <w:color w:val="auto"/>
        </w:rPr>
      </w:pPr>
    </w:p>
    <w:p>
      <w:pPr>
        <w:ind w:left="620" w:right="600" w:hanging="306"/>
        <w:spacing w:after="0" w:line="283"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changes in our working capital needs, capital expenditures, non-operational real estate expenses or income, or contractual commitments.</w:t>
      </w:r>
    </w:p>
    <w:p>
      <w:pPr>
        <w:spacing w:after="0" w:line="43"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cash requirements for income taxes and the cash impact of other income or expense.</w:t>
      </w:r>
    </w:p>
    <w:p>
      <w:pPr>
        <w:spacing w:after="0" w:line="102" w:lineRule="exact"/>
        <w:rPr>
          <w:rFonts w:ascii="Arial" w:cs="Arial" w:eastAsia="Arial" w:hAnsi="Arial"/>
          <w:sz w:val="17"/>
          <w:szCs w:val="17"/>
          <w:color w:val="auto"/>
        </w:rPr>
      </w:pPr>
    </w:p>
    <w:p>
      <w:pPr>
        <w:ind w:left="620" w:hanging="30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companies may calculate Adjusted EBITDA differently than we do, limiting its usefulness as a comparative measure.</w:t>
      </w:r>
    </w:p>
    <w:p>
      <w:pPr>
        <w:spacing w:after="0" w:line="180" w:lineRule="exact"/>
        <w:rPr>
          <w:sz w:val="20"/>
          <w:szCs w:val="20"/>
          <w:color w:val="auto"/>
        </w:rPr>
      </w:pPr>
    </w:p>
    <w:p>
      <w:pPr>
        <w:jc w:val="both"/>
        <w:ind w:right="80" w:firstLine="621"/>
        <w:spacing w:after="0" w:line="268" w:lineRule="auto"/>
        <w:rPr>
          <w:sz w:val="20"/>
          <w:szCs w:val="20"/>
          <w:color w:val="auto"/>
        </w:rPr>
      </w:pPr>
      <w:r>
        <w:rPr>
          <w:rFonts w:ascii="Arial" w:cs="Arial" w:eastAsia="Arial" w:hAnsi="Arial"/>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21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(48,803)</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Add back (deduct):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ind w:left="340"/>
              <w:spacing w:after="0" w:line="169" w:lineRule="exact"/>
              <w:rPr>
                <w:sz w:val="20"/>
                <w:szCs w:val="20"/>
                <w:color w:val="auto"/>
              </w:rPr>
            </w:pPr>
            <w:r>
              <w:rPr>
                <w:rFonts w:ascii="Arial" w:cs="Arial" w:eastAsia="Arial" w:hAnsi="Arial"/>
                <w:sz w:val="17"/>
                <w:szCs w:val="17"/>
                <w:color w:val="auto"/>
              </w:rPr>
              <w:t>Depreciation and amortization expense, excluding amortization of</w:t>
            </w: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6,535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12,999</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acquired intangible assets</w:t>
            </w: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Amortization of acquired intangibles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9,082</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13,948</w:t>
            </w:r>
          </w:p>
        </w:tc>
        <w:tc>
          <w:tcPr>
            <w:tcW w:w="0" w:type="dxa"/>
            <w:vAlign w:val="bottom"/>
          </w:tcPr>
          <w:p>
            <w:pPr>
              <w:spacing w:after="0"/>
              <w:rPr>
                <w:sz w:val="1"/>
                <w:szCs w:val="1"/>
                <w:color w:val="auto"/>
              </w:rPr>
            </w:pPr>
          </w:p>
        </w:tc>
      </w:tr>
      <w:tr>
        <w:trPr>
          <w:trHeight w:val="169"/>
        </w:trPr>
        <w:tc>
          <w:tcPr>
            <w:tcW w:w="5400" w:type="dxa"/>
            <w:vAlign w:val="bottom"/>
          </w:tcPr>
          <w:p>
            <w:pPr>
              <w:ind w:left="340"/>
              <w:spacing w:after="0" w:line="169" w:lineRule="exact"/>
              <w:rPr>
                <w:sz w:val="20"/>
                <w:szCs w:val="20"/>
                <w:color w:val="auto"/>
              </w:rPr>
            </w:pPr>
            <w:r>
              <w:rPr>
                <w:rFonts w:ascii="Arial" w:cs="Arial" w:eastAsia="Arial" w:hAnsi="Arial"/>
                <w:sz w:val="17"/>
                <w:szCs w:val="17"/>
                <w:color w:val="auto"/>
              </w:rPr>
              <w:t>Merger, acquisition, and restructuring costs, excluding stock-based</w:t>
            </w: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31,986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11,295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34,331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13,223</w:t>
            </w:r>
          </w:p>
        </w:tc>
        <w:tc>
          <w:tcPr>
            <w:tcW w:w="0" w:type="dxa"/>
            <w:vAlign w:val="bottom"/>
          </w:tcPr>
          <w:p>
            <w:pPr>
              <w:spacing w:after="0"/>
              <w:rPr>
                <w:sz w:val="1"/>
                <w:szCs w:val="1"/>
                <w:color w:val="auto"/>
              </w:rPr>
            </w:pPr>
          </w:p>
        </w:tc>
      </w:tr>
      <w:tr>
        <w:trPr>
          <w:trHeight w:val="219"/>
        </w:trPr>
        <w:tc>
          <w:tcPr>
            <w:tcW w:w="5400" w:type="dxa"/>
            <w:vAlign w:val="bottom"/>
          </w:tcPr>
          <w:p>
            <w:pPr>
              <w:ind w:left="340"/>
              <w:spacing w:after="0"/>
              <w:rPr>
                <w:sz w:val="20"/>
                <w:szCs w:val="20"/>
                <w:color w:val="auto"/>
              </w:rPr>
            </w:pPr>
            <w:r>
              <w:rPr>
                <w:rFonts w:ascii="Arial" w:cs="Arial" w:eastAsia="Arial" w:hAnsi="Arial"/>
                <w:sz w:val="17"/>
                <w:szCs w:val="17"/>
                <w:color w:val="auto"/>
              </w:rPr>
              <w:t>compensation expense</w:t>
            </w: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Non-operational real estate expense (income),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Interest expense (income),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exchange (gain) loss,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Other non-operating (income) expense, net</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Adjusted EBITDA increased by $35.3 million during the three months ended June 30, 2021 compared to the three months ended June 30, 2020, primarily due to increase in revenue from both organic growth and the SpotX Acquisition, which are discussed in section "Comparison of the Three and Six Months Ended June 30, 2021 and 2020," and improved operating leverage from our increased scale and related cost synergies.</w:t>
      </w:r>
    </w:p>
    <w:p>
      <w:pPr>
        <w:spacing w:after="0" w:line="147"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Adjusted EBITDA increased by $41.9 million during the six months ended June 30, 2021 compared to the six months ended June 30, 2020, for the same reasons above.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expect Adjusted EBITDA to continue to increase as a result of continued growth in revenue and the realization of additional cost synergies.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8" w:lineRule="exact"/>
        <w:rPr>
          <w:sz w:val="20"/>
          <w:szCs w:val="20"/>
          <w:color w:val="auto"/>
        </w:rPr>
      </w:pPr>
    </w:p>
    <w:p>
      <w:pPr>
        <w:ind w:right="60" w:firstLine="621"/>
        <w:spacing w:after="0" w:line="261" w:lineRule="auto"/>
        <w:rPr>
          <w:sz w:val="20"/>
          <w:szCs w:val="20"/>
          <w:color w:val="auto"/>
        </w:rPr>
      </w:pPr>
      <w:r>
        <w:rPr>
          <w:rFonts w:ascii="Arial" w:cs="Arial" w:eastAsia="Arial" w:hAnsi="Arial"/>
          <w:sz w:val="17"/>
          <w:szCs w:val="17"/>
          <w:color w:val="auto"/>
        </w:rPr>
        <w:t>Our principal sources of liquidity are our cash and cash equivalents, cash generated from operations, cash generated from the offering of our Convertible Notes and our Term Loan B Facility, and our Revolving Credit Facility (each defined below). On April 30, 2021, we entered into a Term Loan B Facility and Revolving Credit Facility, which replaced our SVB Loan Agreement (defined below). On April 30, 2021, we completed the SpotX Acquisition, which included cash consideration of $640.0 million. As of June 30, 2021, we had cash and cash equivalents of $193.0 million, of which $34.6 million was held in foreign currency cash accounts.</w:t>
      </w:r>
    </w:p>
    <w:p>
      <w:pPr>
        <w:spacing w:after="0" w:line="50"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color w:val="auto"/>
        </w:rPr>
        <w:t>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50" w:lineRule="exact"/>
        <w:rPr>
          <w:sz w:val="20"/>
          <w:szCs w:val="20"/>
          <w:color w:val="auto"/>
        </w:rPr>
      </w:pPr>
    </w:p>
    <w:p>
      <w:pPr>
        <w:ind w:firstLine="621"/>
        <w:spacing w:after="0" w:line="234" w:lineRule="auto"/>
        <w:rPr>
          <w:sz w:val="20"/>
          <w:szCs w:val="20"/>
          <w:color w:val="auto"/>
        </w:rPr>
      </w:pPr>
      <w:r>
        <w:rPr>
          <w:rFonts w:ascii="Arial" w:cs="Arial" w:eastAsia="Arial" w:hAnsi="Arial"/>
          <w:sz w:val="17"/>
          <w:szCs w:val="17"/>
          <w:color w:val="auto"/>
        </w:rPr>
        <w:t>Through April 30, 2021, we were party to an amended and restated loan and security agreement with SVB (the "SVB Loan Agreement"), which provided for a senior secured revolving credit facility of up to $60.0 million with a maturity date of September 25, 2022. The Loan Agreement included a letter of credit, foreign exchange and cash management facility with a sublimit up to $10.0 million. The SVB Loan Agreement was terminated on April 30, 2021 in conjunction with the Company entering into the Credit Agreement (defined below).</w:t>
      </w:r>
    </w:p>
    <w:p>
      <w:pPr>
        <w:spacing w:after="0" w:line="66"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In March 2021, we sold convertible senior notes ("Convertible Notes") for gross proceeds of $400 million. The Convertible Notes are senior, unsecured obligations with interest payable semi-annually in cash at a rate of 0.25% per annum in arrears on March 15 and September 15. The Convertible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June 30, 2021, the balance of the Convertible Debt was $389.2 million, net of unamortized debt issuance costs of $10.8 million. Accrued interest at June 30, 2021 was $0.3 million.</w:t>
      </w:r>
    </w:p>
    <w:p>
      <w:pPr>
        <w:spacing w:after="0" w:line="49" w:lineRule="exact"/>
        <w:rPr>
          <w:sz w:val="20"/>
          <w:szCs w:val="20"/>
          <w:color w:val="auto"/>
        </w:rPr>
      </w:pPr>
    </w:p>
    <w:p>
      <w:pPr>
        <w:ind w:right="100" w:firstLine="621"/>
        <w:spacing w:after="0" w:line="277" w:lineRule="auto"/>
        <w:rPr>
          <w:sz w:val="20"/>
          <w:szCs w:val="20"/>
          <w:color w:val="auto"/>
        </w:rPr>
      </w:pPr>
      <w:r>
        <w:rPr>
          <w:rFonts w:ascii="Arial" w:cs="Arial" w:eastAsia="Arial" w:hAnsi="Arial"/>
          <w:sz w:val="16"/>
          <w:szCs w:val="16"/>
          <w:color w:val="auto"/>
        </w:rPr>
        <w:t>In conjunction with the issuance of the Convertible Notes, we entered into capped call transactions to reduce the Company's exposure to additional cash payments above principal balances in the event of a cash conversion of the Convertible Notes. The Company may owe additional cash or shares to the holders of the Convertible Notes upon early conversion if our stock price exceeds $91.260 per share, which is subject to certain adjustments. Although the Company’s incremental exposure to the additional cash payment above the principal amount of the Convertible Notes is reduced by the capped calls, conversion of the Convertible Notes by the holders may cause dilution to the ownership interests of existing stockholders. See Note 14 "Convertible Senior Notes and Capped Call Transactions" in the notes to unaudited condensed consolidated financial statements included in this Quarterly Report for more information regarding terms and conditions of the Convertible Notes and the capped call transactions.</w:t>
      </w:r>
    </w:p>
    <w:p>
      <w:pPr>
        <w:spacing w:after="0" w:line="53" w:lineRule="exact"/>
        <w:rPr>
          <w:sz w:val="20"/>
          <w:szCs w:val="20"/>
          <w:color w:val="auto"/>
        </w:rPr>
      </w:pPr>
    </w:p>
    <w:p>
      <w:pPr>
        <w:ind w:right="80" w:firstLine="621"/>
        <w:spacing w:after="0" w:line="261" w:lineRule="auto"/>
        <w:rPr>
          <w:sz w:val="20"/>
          <w:szCs w:val="20"/>
          <w:color w:val="auto"/>
        </w:rPr>
      </w:pPr>
      <w:r>
        <w:rPr>
          <w:rFonts w:ascii="Arial" w:cs="Arial" w:eastAsia="Arial" w:hAnsi="Arial"/>
          <w:sz w:val="17"/>
          <w:szCs w:val="17"/>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w:t>
      </w:r>
    </w:p>
    <w:p>
      <w:pPr>
        <w:spacing w:after="0" w:line="63" w:lineRule="exact"/>
        <w:rPr>
          <w:sz w:val="20"/>
          <w:szCs w:val="20"/>
          <w:color w:val="auto"/>
        </w:rPr>
      </w:pPr>
    </w:p>
    <w:p>
      <w:pPr>
        <w:ind w:right="20" w:firstLine="621"/>
        <w:spacing w:after="0" w:line="285" w:lineRule="auto"/>
        <w:rPr>
          <w:sz w:val="20"/>
          <w:szCs w:val="20"/>
          <w:color w:val="auto"/>
        </w:rPr>
      </w:pPr>
      <w:r>
        <w:rPr>
          <w:rFonts w:ascii="Arial" w:cs="Arial" w:eastAsia="Arial" w:hAnsi="Arial"/>
          <w:sz w:val="16"/>
          <w:szCs w:val="16"/>
          <w:color w:val="auto"/>
        </w:rPr>
        <w:t>On June 28, 2021, we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to $65.0 million total, and the letter of credit sublimit under the Credit Agreement was increased by $5.0 million. At June 30, 2021, amounts available under the Revolving Credit Facility were $60.1 million, net of letters of credit outstanding in the amount of $4.9 million.</w:t>
      </w:r>
    </w:p>
    <w:p>
      <w:pPr>
        <w:spacing w:after="0" w:line="32" w:lineRule="exact"/>
        <w:rPr>
          <w:sz w:val="20"/>
          <w:szCs w:val="20"/>
          <w:color w:val="auto"/>
        </w:rPr>
      </w:pPr>
    </w:p>
    <w:p>
      <w:pPr>
        <w:ind w:firstLine="621"/>
        <w:spacing w:after="0" w:line="276" w:lineRule="auto"/>
        <w:rPr>
          <w:sz w:val="20"/>
          <w:szCs w:val="20"/>
          <w:color w:val="auto"/>
        </w:rPr>
      </w:pPr>
      <w:r>
        <w:rPr>
          <w:rFonts w:ascii="Arial" w:cs="Arial" w:eastAsia="Arial" w:hAnsi="Arial"/>
          <w:sz w:val="16"/>
          <w:szCs w:val="16"/>
          <w:color w:val="auto"/>
        </w:rPr>
        <w:t>We believe our existing cash and cash equivalents, investment balances, cash generated from operating activities, and available borrowings under our Revolving Credit Facility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In addition, in the event a buyer defaults on payment, we may still be required to pay sellers for the inventory purchased even if we are unable to collect from buyers. To date, these actions have not had a material negative impact on our cash flow or liquidity. The future capital requirements and the adequacy of available funds will depend on many factors, including the duration and severity of the COVID-19 pandemic and its impact on buyers and sellers and the factors and those set forth in Part II, Item 1A: "Risk Factors" of our Annual Report on Form 10-K for the year ended December 31, 2020.</w:t>
      </w:r>
    </w:p>
    <w:p>
      <w:pPr>
        <w:spacing w:after="0" w:line="54" w:lineRule="exact"/>
        <w:rPr>
          <w:sz w:val="20"/>
          <w:szCs w:val="20"/>
          <w:color w:val="auto"/>
        </w:rPr>
      </w:pPr>
    </w:p>
    <w:p>
      <w:pPr>
        <w:jc w:val="both"/>
        <w:ind w:right="120" w:firstLine="621"/>
        <w:spacing w:after="0" w:line="268" w:lineRule="auto"/>
        <w:rPr>
          <w:sz w:val="20"/>
          <w:szCs w:val="20"/>
          <w:color w:val="auto"/>
        </w:rPr>
      </w:pPr>
      <w:r>
        <w:rPr>
          <w:rFonts w:ascii="Arial" w:cs="Arial" w:eastAsia="Arial" w:hAnsi="Arial"/>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44" w:lineRule="exact"/>
        <w:rPr>
          <w:sz w:val="20"/>
          <w:szCs w:val="20"/>
          <w:color w:val="auto"/>
        </w:rPr>
      </w:pPr>
    </w:p>
    <w:p>
      <w:pPr>
        <w:ind w:right="380" w:firstLine="621"/>
        <w:spacing w:after="0" w:line="316"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Cash Flows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97"/>
              <w:spacing w:after="0"/>
              <w:rPr>
                <w:sz w:val="20"/>
                <w:szCs w:val="20"/>
                <w:color w:val="auto"/>
              </w:rPr>
            </w:pPr>
            <w:r>
              <w:rPr>
                <w:rFonts w:ascii="Arial" w:cs="Arial" w:eastAsia="Arial" w:hAnsi="Arial"/>
                <w:sz w:val="14"/>
                <w:szCs w:val="14"/>
                <w:b w:val="1"/>
                <w:bCs w:val="1"/>
                <w:color w:val="auto"/>
              </w:rPr>
              <w:t>Six Months Ended</w:t>
            </w:r>
          </w:p>
        </w:tc>
      </w:tr>
      <w:tr>
        <w:trPr>
          <w:trHeight w:val="179"/>
        </w:trPr>
        <w:tc>
          <w:tcPr>
            <w:tcW w:w="7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0"/>
              </w:rPr>
              <w:t>June 30, 2020</w:t>
            </w:r>
          </w:p>
        </w:tc>
      </w:tr>
      <w:tr>
        <w:trPr>
          <w:trHeight w:val="174"/>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5"/>
                <w:szCs w:val="15"/>
                <w:color w:val="auto"/>
              </w:rPr>
            </w:pPr>
          </w:p>
        </w:tc>
      </w:tr>
      <w:tr>
        <w:trPr>
          <w:trHeight w:val="221"/>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by (used in) operating activities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(21,496)</w:t>
            </w:r>
          </w:p>
        </w:tc>
      </w:tr>
      <w:tr>
        <w:trPr>
          <w:trHeight w:val="220"/>
        </w:trPr>
        <w:tc>
          <w:tcPr>
            <w:tcW w:w="7600" w:type="dxa"/>
            <w:vAlign w:val="bottom"/>
          </w:tcPr>
          <w:p>
            <w:pPr>
              <w:ind w:left="20"/>
              <w:spacing w:after="0"/>
              <w:rPr>
                <w:sz w:val="20"/>
                <w:szCs w:val="20"/>
                <w:color w:val="auto"/>
              </w:rPr>
            </w:pPr>
            <w:r>
              <w:rPr>
                <w:rFonts w:ascii="Arial" w:cs="Arial" w:eastAsia="Arial" w:hAnsi="Arial"/>
                <w:sz w:val="17"/>
                <w:szCs w:val="17"/>
                <w:color w:val="auto"/>
              </w:rPr>
              <w:t>Cash flows (used in) provided by investing activities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(640,091)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46,457</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by (used in) financing activities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688,281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(4,842)</w:t>
            </w:r>
          </w:p>
        </w:tc>
      </w:tr>
      <w:tr>
        <w:trPr>
          <w:trHeight w:val="22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75,492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19,854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2"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w:t>
      </w:r>
    </w:p>
    <w:p>
      <w:pPr>
        <w:spacing w:after="0" w:line="50"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For the six months ended June 30, 2021, net cash provided by operating activities was $27.4 million compared to net cash used in operating activities of $21.5 million for the six months ended June 30, 2020. Our operating activities included our net income of $23.9 million and net loss of $48.8 million for the six months ended June 30, 2021 and 2020, respectively, which were offset by non-cash adjustments of $19.5 million and $33.9 million, respectively. In the six months ended June 30, 2021, cash provided by operating activities was increased by a net decrease in our working capital of $23.0 million. Net cash used in operating activities for the six months ended June 30, 2020 was increased by a net increase in our working capital of $6.6 million. The net changes in working capital for both periods are primarily due to the timing of cash receipts from buyers and the timing of payments to sellers.</w:t>
      </w:r>
    </w:p>
    <w:p>
      <w:pPr>
        <w:spacing w:after="0" w:line="49" w:lineRule="exact"/>
        <w:rPr>
          <w:sz w:val="20"/>
          <w:szCs w:val="20"/>
          <w:color w:val="auto"/>
        </w:rPr>
      </w:pPr>
    </w:p>
    <w:p>
      <w:pPr>
        <w:ind w:left="180" w:right="820" w:firstLine="449"/>
        <w:spacing w:after="0" w:line="412" w:lineRule="auto"/>
        <w:rPr>
          <w:sz w:val="20"/>
          <w:szCs w:val="20"/>
          <w:color w:val="auto"/>
        </w:rPr>
      </w:pPr>
      <w:r>
        <w:rPr>
          <w:rFonts w:ascii="Arial" w:cs="Arial" w:eastAsia="Arial" w:hAnsi="Arial"/>
          <w:sz w:val="17"/>
          <w:szCs w:val="17"/>
          <w:color w:val="auto"/>
        </w:rPr>
        <w:t xml:space="preserve">We believe that cash flows from operations will continue to fluctuate, but in general will increase over time as our business continues to grow. </w:t>
      </w:r>
      <w:r>
        <w:rPr>
          <w:rFonts w:ascii="Arial" w:cs="Arial" w:eastAsia="Arial" w:hAnsi="Arial"/>
          <w:sz w:val="17"/>
          <w:szCs w:val="17"/>
          <w:b w:val="1"/>
          <w:bCs w:val="1"/>
          <w:i w:val="1"/>
          <w:iCs w:val="1"/>
          <w:color w:val="auto"/>
        </w:rPr>
        <w:t>Investing Activities</w:t>
      </w:r>
    </w:p>
    <w:p>
      <w:pPr>
        <w:spacing w:after="0" w:line="2"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Our primary investing activities have consisted of acquisitions of businesses, purchases of property and equipment, capital expenditures to develop our internal use software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2020.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56" w:lineRule="exact"/>
        <w:rPr>
          <w:sz w:val="20"/>
          <w:szCs w:val="20"/>
          <w:color w:val="auto"/>
        </w:rPr>
      </w:pPr>
    </w:p>
    <w:p>
      <w:pPr>
        <w:ind w:right="60" w:firstLine="621"/>
        <w:spacing w:after="0" w:line="309" w:lineRule="auto"/>
        <w:rPr>
          <w:sz w:val="20"/>
          <w:szCs w:val="20"/>
          <w:color w:val="auto"/>
        </w:rPr>
      </w:pPr>
      <w:r>
        <w:rPr>
          <w:rFonts w:ascii="Arial" w:cs="Arial" w:eastAsia="Arial" w:hAnsi="Arial"/>
          <w:sz w:val="15"/>
          <w:szCs w:val="15"/>
          <w:color w:val="auto"/>
        </w:rPr>
        <w:t>During the six months ended June 30, 2021 and 2020, our investing activities used net cash of $640.1 million and provided net cash of $46.5 million, respectively. During the six months ended June 30, 2021 and 2020, we used cash for purchases of property and equipment of $10.9 million and $3.4 million, respectively, and used cash for investments in our internally developed software of $5.2 million and $4.7 million, respectively. During the six months ended June 30, 2021, we used net cash of $624.0 million to acquire SpotX. During the six months ended June 30, 2020, we acquired $54.6 million cash in the Telaria Merger.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0" w:firstLine="621"/>
        <w:spacing w:after="0" w:line="264" w:lineRule="auto"/>
        <w:rPr>
          <w:sz w:val="20"/>
          <w:szCs w:val="20"/>
          <w:color w:val="auto"/>
        </w:rPr>
      </w:pPr>
      <w:r>
        <w:rPr>
          <w:rFonts w:ascii="Arial" w:cs="Arial" w:eastAsia="Arial" w:hAnsi="Arial"/>
          <w:sz w:val="17"/>
          <w:szCs w:val="17"/>
          <w:color w:val="auto"/>
        </w:rPr>
        <w:t>We believe that cash flows used in our investing activities will continue to increase as a result of investments associated with supporting our overall growth, primarily property and equipment, and internally developed software. Subsequent to June 30, 2021, we completed the acquisition of SpringServe, LLC, "SpringServe", pursuant to a definitive agreement entered into on July 1, 2021 for $31.0 million in cash (net of a prior $2 million investment and subject to adjustments).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2"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Our financing activities consisted of our Convertible Notes offering, amounts borrowed against our Term Loan B Facility, and transactions related to our equity plans.</w:t>
      </w:r>
    </w:p>
    <w:p>
      <w:pPr>
        <w:spacing w:after="0" w:line="31"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color w:val="auto"/>
        </w:rPr>
        <w:t>For the six months ended June 30, 2021 and 2020, we received net cash of $688.3 million and we used net cash of $4.8 million, respectively, for financing activities. Cash inflows from financing activities for the six months ended June 30, 2021 included an increase of $400.0 million in net proceeds from our Convertible Notes offering, $349.2 million in net proceeds from our Term Loan B Facility, cash proceeds from stock options exercised of $7.3 million and $1.2 million cash proceeds from issuance of common stock from the employee stock purchase plan. These increases for the six months ended June 30, 2021 were partially offset by a $39.0 million payment for capped call transactions entered into in connection with the Convertible Notes offering and debt issuance cost payments of $30.4 million. Cash outflows from financing activities for the six months ended June 30, 2020 included payments of $7.8 million for income tax deposits paid in respect of vesting of stock-based compensation awards that were reimbursed by the award recipients through surrender of shares.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95" w:lineRule="exact"/>
        <w:rPr>
          <w:sz w:val="20"/>
          <w:szCs w:val="20"/>
          <w:color w:val="auto"/>
        </w:rPr>
      </w:pPr>
    </w:p>
    <w:p>
      <w:pPr>
        <w:ind w:firstLine="621"/>
        <w:spacing w:after="0" w:line="320" w:lineRule="auto"/>
        <w:rPr>
          <w:sz w:val="20"/>
          <w:szCs w:val="20"/>
          <w:color w:val="auto"/>
        </w:rPr>
      </w:pPr>
      <w:r>
        <w:rPr>
          <w:rFonts w:ascii="Arial" w:cs="Arial" w:eastAsia="Arial" w:hAnsi="Arial"/>
          <w:sz w:val="15"/>
          <w:szCs w:val="15"/>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June 30, 2021 other than the short-term operating leases and the indemnification agreements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Known Future Cash Requirements</w:t>
      </w:r>
    </w:p>
    <w:p>
      <w:pPr>
        <w:spacing w:after="0" w:line="95" w:lineRule="exact"/>
        <w:rPr>
          <w:sz w:val="20"/>
          <w:szCs w:val="20"/>
          <w:color w:val="auto"/>
        </w:rPr>
      </w:pPr>
    </w:p>
    <w:p>
      <w:pPr>
        <w:ind w:right="300" w:firstLine="621"/>
        <w:spacing w:after="0" w:line="268" w:lineRule="auto"/>
        <w:rPr>
          <w:sz w:val="20"/>
          <w:szCs w:val="20"/>
          <w:color w:val="auto"/>
        </w:rPr>
      </w:pPr>
      <w:r>
        <w:rPr>
          <w:rFonts w:ascii="Arial" w:cs="Arial" w:eastAsia="Arial" w:hAnsi="Arial"/>
          <w:sz w:val="17"/>
          <w:szCs w:val="17"/>
          <w:color w:val="auto"/>
        </w:rPr>
        <w:t>As of June 30, 2021, our principal commitments consist of obligations under our Convertible Notes, Term Loan B Facility, Revolving Credit Facility, leases for our various office facilities, and operating lease agreements including data centers and cloud managed services that expire at various times through 2030. In certain cases, the terms of the lease agreements provide for rental payments on a graduated basis.</w:t>
      </w:r>
    </w:p>
    <w:p>
      <w:pPr>
        <w:spacing w:after="0" w:line="57"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During the three and six months ended June 30, 2021, we received rental income from subleases totaling $1.1 million and $2.4 million, respectively, and an $1.3 million and $1.3 million amount during the three and six months ended June 30, 2020, respectively.</w:t>
      </w:r>
    </w:p>
    <w:p>
      <w:pPr>
        <w:spacing w:after="0" w:line="43"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The following table summarizes our future lease obligations, payments of principal and interest under our debt agreements, sublease income, and other future payments due under non-cancelable agreements at June 30, 2021.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w w:val="97"/>
              </w:rPr>
              <w:t>Lease liabilities associated with leases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included Right of Use Asset as of June</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9,441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15,657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11,997</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9,780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11,403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62,320</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30, 2021</w:t>
            </w: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880" w:type="dxa"/>
            <w:vAlign w:val="bottom"/>
          </w:tcPr>
          <w:p>
            <w:pPr>
              <w:ind w:left="20"/>
              <w:spacing w:after="0" w:line="169" w:lineRule="exact"/>
              <w:rPr>
                <w:sz w:val="20"/>
                <w:szCs w:val="20"/>
                <w:color w:val="auto"/>
              </w:rPr>
            </w:pPr>
            <w:r>
              <w:rPr>
                <w:rFonts w:ascii="Arial" w:cs="Arial" w:eastAsia="Arial" w:hAnsi="Arial"/>
                <w:sz w:val="17"/>
                <w:szCs w:val="17"/>
                <w:color w:val="auto"/>
              </w:rPr>
              <w:t>Obligations for leases not included in</w:t>
            </w:r>
          </w:p>
        </w:tc>
        <w:tc>
          <w:tcPr>
            <w:tcW w:w="26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2,200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2,277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2,357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2,440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13,943</w:t>
            </w:r>
          </w:p>
        </w:tc>
        <w:tc>
          <w:tcPr>
            <w:tcW w:w="100" w:type="dxa"/>
            <w:vAlign w:val="bottom"/>
          </w:tcPr>
          <w:p>
            <w:pPr>
              <w:spacing w:after="0"/>
              <w:rPr>
                <w:sz w:val="14"/>
                <w:szCs w:val="14"/>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23,217</w:t>
            </w:r>
          </w:p>
        </w:tc>
        <w:tc>
          <w:tcPr>
            <w:tcW w:w="0" w:type="dxa"/>
            <w:vAlign w:val="bottom"/>
          </w:tcPr>
          <w:p>
            <w:pPr>
              <w:spacing w:after="0"/>
              <w:rPr>
                <w:sz w:val="1"/>
                <w:szCs w:val="1"/>
                <w:color w:val="auto"/>
              </w:rPr>
            </w:pPr>
          </w:p>
        </w:tc>
      </w:tr>
      <w:tr>
        <w:trPr>
          <w:trHeight w:val="219"/>
        </w:trPr>
        <w:tc>
          <w:tcPr>
            <w:tcW w:w="2880" w:type="dxa"/>
            <w:vAlign w:val="bottom"/>
          </w:tcPr>
          <w:p>
            <w:pPr>
              <w:ind w:left="20"/>
              <w:spacing w:after="0"/>
              <w:rPr>
                <w:sz w:val="20"/>
                <w:szCs w:val="20"/>
                <w:color w:val="auto"/>
              </w:rPr>
            </w:pPr>
            <w:r>
              <w:rPr>
                <w:rFonts w:ascii="Arial" w:cs="Arial" w:eastAsia="Arial" w:hAnsi="Arial"/>
                <w:sz w:val="17"/>
                <w:szCs w:val="17"/>
                <w:color w:val="auto"/>
              </w:rPr>
              <w:t>Lease liabilities as of June 30, 2021</w:t>
            </w:r>
          </w:p>
        </w:tc>
        <w:tc>
          <w:tcPr>
            <w:tcW w:w="2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7"/>
                <w:szCs w:val="17"/>
                <w:color w:val="auto"/>
              </w:rPr>
              <w:t>Interest, Convertible Notes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4,708</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Term Loan B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360,000</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Interest, Term Loan B </w:t>
            </w:r>
            <w:r>
              <w:rPr>
                <w:rFonts w:ascii="Arial" w:cs="Arial" w:eastAsia="Arial" w:hAnsi="Arial"/>
                <w:sz w:val="22"/>
                <w:szCs w:val="22"/>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20,593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46,219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138,796</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sublease income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(11,488)</w:t>
            </w: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7"/>
                <w:szCs w:val="17"/>
                <w:color w:val="auto"/>
              </w:rPr>
              <w:t>Other non-cancelable obligations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10,869</w:t>
            </w:r>
          </w:p>
        </w:tc>
        <w:tc>
          <w:tcPr>
            <w:tcW w:w="0" w:type="dxa"/>
            <w:vAlign w:val="bottom"/>
          </w:tcPr>
          <w:p>
            <w:pPr>
              <w:spacing w:after="0"/>
              <w:rPr>
                <w:sz w:val="1"/>
                <w:szCs w:val="1"/>
                <w:color w:val="auto"/>
              </w:rPr>
            </w:pPr>
          </w:p>
        </w:tc>
      </w:tr>
      <w:tr>
        <w:trPr>
          <w:trHeight w:val="219"/>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815,573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988,422</w:t>
            </w:r>
          </w:p>
        </w:tc>
        <w:tc>
          <w:tcPr>
            <w:tcW w:w="0" w:type="dxa"/>
            <w:vAlign w:val="bottom"/>
          </w:tcPr>
          <w:p>
            <w:pPr>
              <w:spacing w:after="0"/>
              <w:rPr>
                <w:sz w:val="1"/>
                <w:szCs w:val="1"/>
                <w:color w:val="auto"/>
              </w:rPr>
            </w:pPr>
          </w:p>
        </w:tc>
      </w:tr>
    </w:tbl>
    <w:p>
      <w:pPr>
        <w:ind w:left="160" w:hanging="139"/>
        <w:spacing w:after="0"/>
        <w:tabs>
          <w:tab w:leader="none" w:pos="160" w:val="left"/>
        </w:tabs>
        <w:numPr>
          <w:ilvl w:val="0"/>
          <w:numId w:val="13"/>
        </w:numPr>
        <w:rPr>
          <w:rFonts w:ascii="Arial" w:cs="Arial" w:eastAsia="Arial" w:hAnsi="Arial"/>
          <w:sz w:val="8"/>
          <w:szCs w:val="8"/>
          <w:color w:val="auto"/>
        </w:rPr>
      </w:pPr>
      <w:r>
        <w:rPr>
          <w:rFonts w:ascii="Arial" w:cs="Arial" w:eastAsia="Arial" w:hAnsi="Arial"/>
          <w:sz w:val="11"/>
          <w:szCs w:val="11"/>
          <w:color w:val="auto"/>
        </w:rPr>
        <w:t>Includes only scheduled amortization of payments and excludes currently unknown prepayment amounts that will be required, per terms of the Credit Agreement, after the end of each fiscal year.</w:t>
      </w:r>
    </w:p>
    <w:p>
      <w:pPr>
        <w:spacing w:after="0" w:line="49" w:lineRule="exact"/>
        <w:rPr>
          <w:rFonts w:ascii="Arial" w:cs="Arial" w:eastAsia="Arial" w:hAnsi="Arial"/>
          <w:sz w:val="8"/>
          <w:szCs w:val="8"/>
          <w:color w:val="auto"/>
        </w:rPr>
      </w:pPr>
    </w:p>
    <w:p>
      <w:pPr>
        <w:ind w:left="160" w:hanging="139"/>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4"/>
          <w:szCs w:val="14"/>
          <w:color w:val="auto"/>
        </w:rPr>
        <w:t>Interest payments are based on an assumed rate of 5.75%, which was the rate used as of June 30, 2021 for the associated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-205105</wp:posOffset>
            </wp:positionV>
            <wp:extent cx="53060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520" w:firstLine="621"/>
        <w:spacing w:after="0" w:line="283" w:lineRule="auto"/>
        <w:rPr>
          <w:sz w:val="20"/>
          <w:szCs w:val="20"/>
          <w:color w:val="auto"/>
        </w:rPr>
      </w:pPr>
      <w:r>
        <w:rPr>
          <w:rFonts w:ascii="Arial" w:cs="Arial" w:eastAsia="Arial" w:hAnsi="Arial"/>
          <w:sz w:val="17"/>
          <w:szCs w:val="17"/>
          <w:color w:val="auto"/>
        </w:rPr>
        <w:t>Obligations for leases not included in the lease liabilities as of June 30, 2021 include a commitments under an agreement for an office lease in Los Angeles which has not commenced as of June 30, 2021.</w:t>
      </w:r>
    </w:p>
    <w:p>
      <w:pPr>
        <w:spacing w:after="0" w:line="31"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Payments associated with our Convertible Notes are based on contractual terms and intended timing of repayments of long-term debt and associated interest and do not assume conversion prior to the maturity date.</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non-cancelable obligations include agreements in the normal course of business that extend beyond a year.</w:t>
      </w:r>
    </w:p>
    <w:p>
      <w:pPr>
        <w:spacing w:after="0" w:line="102"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There was no material change to the Company's unrecognized tax benefits in the three months ended June 30, 2021 and we do not expect to have any material changes to unrecognized tax benefits through December 31, 2021.</w:t>
      </w:r>
    </w:p>
    <w:p>
      <w:pPr>
        <w:spacing w:after="0" w:line="31"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June 30, 2021.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95" w:lineRule="exact"/>
        <w:rPr>
          <w:sz w:val="20"/>
          <w:szCs w:val="20"/>
          <w:color w:val="auto"/>
        </w:rPr>
      </w:pPr>
    </w:p>
    <w:p>
      <w:pPr>
        <w:ind w:right="40" w:firstLine="621"/>
        <w:spacing w:after="0" w:line="260"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By their nature, estimates are subject to an inherent degree of uncertainty. Certain of our estimates and assumptions require increased judgment and carry a higher degree of variability and volatility that could result in material changes to our estimates in future periods. Our actual results could differ from these estimates.</w:t>
      </w:r>
    </w:p>
    <w:p>
      <w:pPr>
        <w:spacing w:after="0" w:line="62" w:lineRule="exact"/>
        <w:rPr>
          <w:sz w:val="20"/>
          <w:szCs w:val="20"/>
          <w:color w:val="auto"/>
        </w:rPr>
      </w:pPr>
    </w:p>
    <w:p>
      <w:pPr>
        <w:ind w:right="120" w:firstLine="621"/>
        <w:spacing w:after="0" w:line="276"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2020 included in our Annual Report on Form 10-K.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95"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 About Market Risk</w:t>
      </w:r>
    </w:p>
    <w:p>
      <w:pPr>
        <w:spacing w:after="0" w:line="108"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02" w:lineRule="exact"/>
        <w:rPr>
          <w:sz w:val="20"/>
          <w:szCs w:val="20"/>
          <w:color w:val="auto"/>
        </w:rPr>
      </w:pPr>
    </w:p>
    <w:p>
      <w:pPr>
        <w:ind w:right="340" w:firstLine="621"/>
        <w:spacing w:after="0" w:line="309" w:lineRule="auto"/>
        <w:rPr>
          <w:sz w:val="20"/>
          <w:szCs w:val="20"/>
          <w:color w:val="auto"/>
        </w:rPr>
      </w:pPr>
      <w:r>
        <w:rPr>
          <w:rFonts w:ascii="Arial" w:cs="Arial" w:eastAsia="Arial" w:hAnsi="Arial"/>
          <w:sz w:val="15"/>
          <w:szCs w:val="15"/>
          <w:color w:val="auto"/>
        </w:rPr>
        <w:t>Our cash and cash equivalents consist of cash, money market funds, and commercial paper, with original maturities of three months or less. Our investments consist of repurchase agreements, U.S. government agency debt, and U.S. treasury debt.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however, interest income earned will vary as interest rates change.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520" w:firstLine="621"/>
        <w:spacing w:after="0" w:line="268" w:lineRule="auto"/>
        <w:rPr>
          <w:sz w:val="20"/>
          <w:szCs w:val="20"/>
          <w:color w:val="auto"/>
        </w:rPr>
      </w:pPr>
      <w:r>
        <w:rPr>
          <w:rFonts w:ascii="Arial" w:cs="Arial" w:eastAsia="Arial" w:hAnsi="Arial"/>
          <w:sz w:val="17"/>
          <w:szCs w:val="17"/>
          <w:color w:val="auto"/>
        </w:rPr>
        <w:t>We do not have economic interest rate expense exposure on our Convertible Notes due to their fixed interest rate nature. The amount paid upon redemption is not based on changes in any index or changing market rates. It is fixed at 100% of the principal amount of the Convertible Notes plus unpaid interest.</w:t>
      </w:r>
    </w:p>
    <w:p>
      <w:pPr>
        <w:spacing w:after="0" w:line="44" w:lineRule="exact"/>
        <w:rPr>
          <w:sz w:val="20"/>
          <w:szCs w:val="20"/>
          <w:color w:val="auto"/>
        </w:rPr>
      </w:pPr>
    </w:p>
    <w:p>
      <w:pPr>
        <w:ind w:right="80" w:firstLine="621"/>
        <w:spacing w:after="0" w:line="275" w:lineRule="auto"/>
        <w:rPr>
          <w:sz w:val="20"/>
          <w:szCs w:val="20"/>
          <w:color w:val="auto"/>
        </w:rPr>
      </w:pPr>
      <w:r>
        <w:rPr>
          <w:rFonts w:ascii="Arial" w:cs="Arial" w:eastAsia="Arial" w:hAnsi="Arial"/>
          <w:sz w:val="16"/>
          <w:szCs w:val="16"/>
          <w:color w:val="auto"/>
        </w:rPr>
        <w:t>We do not believe that an increase or decrease in interest rates of 100 basis points would have a material effect on our operating results or financial condition. In future periods, we will continue to evaluate our investment policy relative to our overall objectives. Because the Company has debt under the Credit Agreement which has a floating rate of interest which resets periodically, it is exposed to potential changes in the underlying base interest rate on that debt each time the base interest rate resets. However, the fair value of Term Loan B loans will generally not change as the underlying interest rates change. As of June 30, 2021, the company had no outstanding borrowings under the Revolving Credit Facility. Should the company borrow under the Revolving Credit Facility at any point in the future, any associated borrowings would, similar to loans under the Term Loan B Facility, have a floating underlying base rate of interest that would expose the Company to interest rate risk. Since the Convertible Notes bear a fixed rate coupon, the company is not exposed to interest rate risk on those notes, however, the Fair Value of those notes will change as market interest rates change. With regard to all debt currently outstanding, the company is potentially exposed to refinancing risk, should the Company seek to refinance or raise debt in the future, and the price of debt or terms on debt differ from terms present in the Company’s debt agreements.</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02" w:lineRule="exact"/>
        <w:rPr>
          <w:sz w:val="20"/>
          <w:szCs w:val="20"/>
          <w:color w:val="auto"/>
        </w:rPr>
      </w:pPr>
    </w:p>
    <w:p>
      <w:pPr>
        <w:ind w:right="40" w:firstLine="621"/>
        <w:spacing w:after="0" w:line="275"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June 30, 2021, including intercompany balances, would result in a foreign currency loss of approximately $3.4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Inflation Risk</w:t>
      </w:r>
    </w:p>
    <w:p>
      <w:pPr>
        <w:spacing w:after="0" w:line="102"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89" w:lineRule="exact"/>
        <w:rPr>
          <w:sz w:val="20"/>
          <w:szCs w:val="20"/>
          <w:color w:val="auto"/>
        </w:rPr>
      </w:pPr>
    </w:p>
    <w:p>
      <w:pPr>
        <w:ind w:right="20" w:firstLine="621"/>
        <w:spacing w:after="0" w:line="298"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June 30, 2021, our disclosure controls and procedures were effective at the reasonable assurance level.</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2" w:lineRule="exact"/>
        <w:rPr>
          <w:sz w:val="20"/>
          <w:szCs w:val="20"/>
          <w:color w:val="auto"/>
        </w:rPr>
      </w:pPr>
    </w:p>
    <w:p>
      <w:pPr>
        <w:ind w:right="660" w:firstLine="621"/>
        <w:spacing w:after="0" w:line="316" w:lineRule="auto"/>
        <w:rPr>
          <w:sz w:val="20"/>
          <w:szCs w:val="20"/>
          <w:color w:val="auto"/>
        </w:rPr>
      </w:pPr>
      <w:r>
        <w:rPr>
          <w:rFonts w:ascii="Arial" w:cs="Arial" w:eastAsia="Arial" w:hAnsi="Arial"/>
          <w:sz w:val="16"/>
          <w:szCs w:val="16"/>
          <w:color w:val="auto"/>
        </w:rPr>
        <w:t>There have been no changes in our internal control over financial reporting that occurred during the three months ended June 30, 2021 that have materially affected, or are reasonably likely to materially affect, our internal control over financial reporting, except as noted below.</w:t>
      </w:r>
    </w:p>
    <w:p>
      <w:pPr>
        <w:spacing w:after="0" w:line="7"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During the quarter ended June 30, 2021, we completed the SpotX Acquisition. See Note 7 of "Notes to Condensed Consolidated Financial Statements" for more information. We are currently integrating SpotX into our operations and internal control processes. As we complete this integration, we are analyzing, evaluating, and where necessary, making changes in control and procedures related to the SpotX business, which we expect to complete within one year after the date of acquisition. Pursuant to the SEC’s guidance that an assessment of a recently acquired business may be omitted from the scope of an assessment in the year of acquisition, the scope of our assessment of the effectiveness of our internal controls over financial reporting at December 31, 2021 may exclude SpotX to the extent that they are not yet integrated into our internal controls environment.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89"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9" w:lineRule="exact"/>
        <w:rPr>
          <w:sz w:val="20"/>
          <w:szCs w:val="20"/>
          <w:color w:val="auto"/>
        </w:rPr>
      </w:pPr>
    </w:p>
    <w:p>
      <w:pPr>
        <w:ind w:right="80" w:firstLine="621"/>
        <w:spacing w:after="0" w:line="258"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June 30, 2021. However, based on our knowledge as of June 30, 2021,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12—"Commitments and Contingencies" for additional information related to legal proceedings.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3" w:lineRule="exact"/>
        <w:rPr>
          <w:sz w:val="20"/>
          <w:szCs w:val="20"/>
          <w:color w:val="auto"/>
        </w:rPr>
      </w:pPr>
    </w:p>
    <w:p>
      <w:pPr>
        <w:ind w:right="60" w:firstLine="621"/>
        <w:spacing w:after="0" w:line="254" w:lineRule="auto"/>
        <w:rPr>
          <w:sz w:val="20"/>
          <w:szCs w:val="20"/>
          <w:color w:val="auto"/>
        </w:rPr>
      </w:pPr>
      <w:r>
        <w:rPr>
          <w:rFonts w:ascii="Arial" w:cs="Arial" w:eastAsia="Arial" w:hAnsi="Arial"/>
          <w:sz w:val="15"/>
          <w:szCs w:val="15"/>
          <w:color w:val="auto"/>
        </w:rPr>
        <w:t>Investing in our common stock involves a high degree of risk. We describe risks associated with our business below and in Part I, Item 1A: "Risk Factors" of our Annual Report on Form 10-K for the year ended December 31, 2020 and in Part II, Item 1A "Risk Factors" of our Quarterly Report on Form 10-Q for the period ended March 31, 2021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4" w:lineRule="exact"/>
        <w:rPr>
          <w:sz w:val="20"/>
          <w:szCs w:val="20"/>
          <w:color w:val="auto"/>
        </w:rPr>
      </w:pPr>
    </w:p>
    <w:p>
      <w:pPr>
        <w:ind w:right="120" w:firstLine="621"/>
        <w:spacing w:after="0" w:line="227" w:lineRule="auto"/>
        <w:rPr>
          <w:sz w:val="20"/>
          <w:szCs w:val="20"/>
          <w:color w:val="auto"/>
        </w:rPr>
      </w:pPr>
      <w:r>
        <w:rPr>
          <w:rFonts w:ascii="Arial" w:cs="Arial" w:eastAsia="Arial" w:hAnsi="Arial"/>
          <w:sz w:val="17"/>
          <w:szCs w:val="17"/>
          <w:color w:val="auto"/>
        </w:rPr>
        <w:t>The following risk factors supplement the Risk Factors contained in our Annual Report on Form 10-K for the year ended December 31, 2020 and in our Quarterly Report on Form 10-Q for the period ended March 31, 2021. The following disclosures do not address all risks that may be important to you as a Magnite stockholder.</w:t>
      </w:r>
    </w:p>
    <w:p>
      <w:pPr>
        <w:spacing w:after="0" w:line="2" w:lineRule="exact"/>
        <w:rPr>
          <w:sz w:val="20"/>
          <w:szCs w:val="20"/>
          <w:color w:val="auto"/>
        </w:rPr>
      </w:pPr>
    </w:p>
    <w:p>
      <w:pPr>
        <w:ind w:right="120" w:firstLine="621"/>
        <w:spacing w:after="0" w:line="262" w:lineRule="auto"/>
        <w:rPr>
          <w:sz w:val="20"/>
          <w:szCs w:val="20"/>
          <w:color w:val="auto"/>
        </w:rPr>
      </w:pPr>
      <w:r>
        <w:rPr>
          <w:rFonts w:ascii="Arial" w:cs="Arial" w:eastAsia="Arial" w:hAnsi="Arial"/>
          <w:sz w:val="16"/>
          <w:szCs w:val="16"/>
          <w:color w:val="auto"/>
        </w:rPr>
        <w:t>Except as set forth below, 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achieve anticipated benefits of the SpringServe Acquisition.</w:t>
      </w:r>
    </w:p>
    <w:p>
      <w:pPr>
        <w:spacing w:after="0" w:line="89" w:lineRule="exact"/>
        <w:rPr>
          <w:sz w:val="20"/>
          <w:szCs w:val="20"/>
          <w:color w:val="auto"/>
        </w:rPr>
      </w:pPr>
    </w:p>
    <w:p>
      <w:pPr>
        <w:ind w:right="200" w:firstLine="621"/>
        <w:spacing w:after="0" w:line="281" w:lineRule="auto"/>
        <w:rPr>
          <w:sz w:val="20"/>
          <w:szCs w:val="20"/>
          <w:color w:val="auto"/>
        </w:rPr>
      </w:pPr>
      <w:r>
        <w:rPr>
          <w:rFonts w:ascii="Arial" w:cs="Arial" w:eastAsia="Arial" w:hAnsi="Arial"/>
          <w:sz w:val="16"/>
          <w:szCs w:val="16"/>
          <w:color w:val="auto"/>
        </w:rPr>
        <w:t>The success of the SpringServe Acquisition will depend, in part, on our ability to successfully integrate SpringServe with our business and realize the anticipated benefits, including innovation and technological opportunities in a manner that does not materially disrupt existing customer, supplier and employee relations and does not result in decreased revenues due to losses of, or decreases in use of our solutions by, buyers and sellers of advertising inventory. The integration with our business presents specific challenges due to the fact that SpringServe operates an ad-server product, which we have not historically offered. Operating this business may require us to abide by different business rules with respect to data privacy and segmentation.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our common stock by the former owner of SpotX may have an adverse effect on the price of our common stock.</w:t>
      </w:r>
    </w:p>
    <w:p>
      <w:pPr>
        <w:spacing w:after="0" w:line="76" w:lineRule="exact"/>
        <w:rPr>
          <w:sz w:val="20"/>
          <w:szCs w:val="20"/>
          <w:color w:val="auto"/>
        </w:rPr>
      </w:pPr>
    </w:p>
    <w:p>
      <w:pPr>
        <w:ind w:right="80" w:firstLine="621"/>
        <w:spacing w:after="0" w:line="273" w:lineRule="auto"/>
        <w:rPr>
          <w:sz w:val="20"/>
          <w:szCs w:val="20"/>
          <w:color w:val="auto"/>
        </w:rPr>
      </w:pPr>
      <w:r>
        <w:rPr>
          <w:rFonts w:ascii="Arial" w:cs="Arial" w:eastAsia="Arial" w:hAnsi="Arial"/>
          <w:sz w:val="15"/>
          <w:szCs w:val="15"/>
          <w:color w:val="auto"/>
        </w:rPr>
        <w:t>As part of the consideration for the SpotX Acquisition, we issued to the seller of SpotX 12,374,315 shares of our common stock. In accordance with the terms of a registration rights agreement entered into at the closing of the SpotX Acquisition, the holder of such shares has elected to require the Company to file a registration statement in order to register such shares for resale by such holder. Sales by the former owner of SpotX of its shares of our common stock, or the possibility of such sales, pursuant to an underwritten offering or otherwise, may have an adverse effect on the per share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95" w:lineRule="exact"/>
        <w:rPr>
          <w:sz w:val="20"/>
          <w:szCs w:val="20"/>
          <w:color w:val="auto"/>
        </w:rPr>
      </w:pPr>
    </w:p>
    <w:p>
      <w:pPr>
        <w:ind w:left="180" w:right="7660" w:firstLine="444"/>
        <w:spacing w:after="0" w:line="467" w:lineRule="auto"/>
        <w:tabs>
          <w:tab w:leader="none" w:pos="873"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Recent Sales of Unregistered Securities </w:t>
      </w:r>
      <w:r>
        <w:rPr>
          <w:rFonts w:ascii="Arial" w:cs="Arial" w:eastAsia="Arial" w:hAnsi="Arial"/>
          <w:sz w:val="15"/>
          <w:szCs w:val="15"/>
          <w:color w:val="auto"/>
        </w:rPr>
        <w:t>None (except as previously disclosed).</w:t>
      </w:r>
    </w:p>
    <w:p>
      <w:pPr>
        <w:spacing w:after="0" w:line="1" w:lineRule="exact"/>
        <w:rPr>
          <w:rFonts w:ascii="Arial" w:cs="Arial" w:eastAsia="Arial" w:hAnsi="Arial"/>
          <w:sz w:val="15"/>
          <w:szCs w:val="15"/>
          <w:i w:val="1"/>
          <w:iCs w:val="1"/>
          <w:color w:val="auto"/>
        </w:rPr>
      </w:pPr>
    </w:p>
    <w:p>
      <w:pPr>
        <w:ind w:left="860" w:hanging="236"/>
        <w:spacing w:after="0"/>
        <w:tabs>
          <w:tab w:leader="none" w:pos="8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Use of Proceeds</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 Applicable.</w:t>
      </w:r>
    </w:p>
    <w:p>
      <w:pPr>
        <w:spacing w:after="0" w:line="180" w:lineRule="exact"/>
        <w:rPr>
          <w:sz w:val="20"/>
          <w:szCs w:val="20"/>
          <w:color w:val="auto"/>
        </w:rPr>
      </w:pPr>
    </w:p>
    <w:p>
      <w:pPr>
        <w:ind w:left="180" w:right="5300" w:firstLine="444"/>
        <w:spacing w:after="0" w:line="413" w:lineRule="auto"/>
        <w:tabs>
          <w:tab w:leader="none" w:pos="866"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Purchases of Equity Securities by the Company and Affiliated Purchasers </w:t>
      </w:r>
      <w:r>
        <w:rPr>
          <w:rFonts w:ascii="Arial" w:cs="Arial" w:eastAsia="Arial" w:hAnsi="Arial"/>
          <w:sz w:val="15"/>
          <w:szCs w:val="15"/>
          <w:color w:val="auto"/>
        </w:rPr>
        <w:t>We currently have no publicly announced repurchase plan or program.</w:t>
      </w:r>
    </w:p>
    <w:p>
      <w:pPr>
        <w:spacing w:after="0" w:line="1" w:lineRule="exact"/>
        <w:rPr>
          <w:sz w:val="20"/>
          <w:szCs w:val="20"/>
          <w:color w:val="auto"/>
        </w:rPr>
      </w:pPr>
    </w:p>
    <w:p>
      <w:pPr>
        <w:ind w:firstLine="172"/>
        <w:spacing w:after="0" w:line="293" w:lineRule="auto"/>
        <w:rPr>
          <w:sz w:val="20"/>
          <w:szCs w:val="20"/>
          <w:color w:val="auto"/>
        </w:rPr>
      </w:pPr>
      <w:r>
        <w:rPr>
          <w:rFonts w:ascii="Arial" w:cs="Arial" w:eastAsia="Arial" w:hAnsi="Arial"/>
          <w:sz w:val="16"/>
          <w:szCs w:val="16"/>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Item 6. Exhibits</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340" w:type="dxa"/>
            <w:vAlign w:val="bottom"/>
            <w:gridSpan w:val="2"/>
          </w:tcPr>
          <w:p>
            <w:pPr>
              <w:ind w:left="20"/>
              <w:spacing w:after="0"/>
              <w:rPr>
                <w:sz w:val="20"/>
                <w:szCs w:val="20"/>
                <w:color w:val="auto"/>
              </w:rPr>
            </w:pPr>
            <w:r>
              <w:rPr>
                <w:rFonts w:ascii="Arial" w:cs="Arial" w:eastAsia="Arial" w:hAnsi="Arial"/>
                <w:sz w:val="17"/>
                <w:szCs w:val="17"/>
                <w:b w:val="1"/>
                <w:bCs w:val="1"/>
                <w:color w:val="auto"/>
              </w:rPr>
              <w:t>Number</w:t>
            </w:r>
          </w:p>
        </w:tc>
        <w:tc>
          <w:tcPr>
            <w:tcW w:w="8880" w:type="dxa"/>
            <w:vAlign w:val="bottom"/>
            <w:gridSpan w:val="19"/>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23"/>
                <w:szCs w:val="23"/>
                <w:color w:val="auto"/>
              </w:rPr>
            </w:pPr>
          </w:p>
        </w:tc>
        <w:tc>
          <w:tcPr>
            <w:tcW w:w="8880" w:type="dxa"/>
            <w:vAlign w:val="bottom"/>
            <w:tcBorders>
              <w:top w:val="single" w:sz="8" w:color="auto"/>
            </w:tcBorders>
            <w:gridSpan w:val="19"/>
          </w:tcPr>
          <w:p>
            <w:pPr>
              <w:spacing w:after="0"/>
              <w:rPr>
                <w:rFonts w:ascii="Arial" w:cs="Arial" w:eastAsia="Arial" w:hAnsi="Arial"/>
                <w:sz w:val="17"/>
                <w:szCs w:val="17"/>
                <w:color w:val="0000FF"/>
                <w:w w:val="93"/>
              </w:rPr>
            </w:pPr>
            <w:hyperlink r:id="rId77">
              <w:r>
                <w:rPr>
                  <w:rFonts w:ascii="Arial" w:cs="Arial" w:eastAsia="Arial" w:hAnsi="Arial"/>
                  <w:sz w:val="17"/>
                  <w:szCs w:val="17"/>
                  <w:color w:val="0000FF"/>
                  <w:w w:val="93"/>
                </w:rPr>
                <w:t>Amendment to Stock Purchase Agreement, dated as of April 30, 2021, by and among Magnite, Inc., RTL US Holding, Inc., and</w:t>
              </w:r>
            </w:hyperlink>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20" w:type="dxa"/>
            <w:vAlign w:val="bottom"/>
            <w:tcBorders>
              <w:top w:val="single" w:sz="8" w:color="0000FF"/>
            </w:tcBorders>
            <w:gridSpan w:val="17"/>
          </w:tcPr>
          <w:p>
            <w:pPr>
              <w:spacing w:after="0" w:line="161" w:lineRule="exact"/>
              <w:rPr>
                <w:rFonts w:ascii="Arial" w:cs="Arial" w:eastAsia="Arial" w:hAnsi="Arial"/>
                <w:sz w:val="17"/>
                <w:szCs w:val="17"/>
                <w:color w:val="0000FF"/>
                <w:w w:val="97"/>
              </w:rPr>
            </w:pPr>
            <w:hyperlink r:id="rId77">
              <w:r>
                <w:rPr>
                  <w:rFonts w:ascii="Arial" w:cs="Arial" w:eastAsia="Arial" w:hAnsi="Arial"/>
                  <w:sz w:val="17"/>
                  <w:szCs w:val="17"/>
                  <w:color w:val="0000FF"/>
                  <w:w w:val="97"/>
                </w:rPr>
                <w:t>RTL Group S.A (incorporated by reference to Exhibit 2.1 of the Registrant’s Quarterly Report on Form 10-Q filed with the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80" w:type="dxa"/>
            <w:vAlign w:val="bottom"/>
            <w:tcBorders>
              <w:top w:val="single" w:sz="8" w:color="0000FF"/>
            </w:tcBorders>
            <w:gridSpan w:val="8"/>
          </w:tcPr>
          <w:p>
            <w:pPr>
              <w:spacing w:after="0" w:line="161" w:lineRule="exact"/>
              <w:rPr>
                <w:rFonts w:ascii="Arial" w:cs="Arial" w:eastAsia="Arial" w:hAnsi="Arial"/>
                <w:sz w:val="17"/>
                <w:szCs w:val="17"/>
                <w:color w:val="0000FF"/>
              </w:rPr>
            </w:pPr>
            <w:hyperlink r:id="rId77">
              <w:r>
                <w:rPr>
                  <w:rFonts w:ascii="Arial" w:cs="Arial" w:eastAsia="Arial" w:hAnsi="Arial"/>
                  <w:sz w:val="17"/>
                  <w:szCs w:val="17"/>
                  <w:color w:val="0000FF"/>
                </w:rPr>
                <w:t>Commission on May 10,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8"/>
                <w:szCs w:val="18"/>
                <w:color w:val="auto"/>
              </w:rPr>
            </w:pPr>
          </w:p>
        </w:tc>
        <w:tc>
          <w:tcPr>
            <w:tcW w:w="8880" w:type="dxa"/>
            <w:vAlign w:val="bottom"/>
            <w:gridSpan w:val="19"/>
          </w:tcPr>
          <w:p>
            <w:pPr>
              <w:spacing w:after="0"/>
              <w:rPr>
                <w:rFonts w:ascii="Arial" w:cs="Arial" w:eastAsia="Arial" w:hAnsi="Arial"/>
                <w:sz w:val="17"/>
                <w:szCs w:val="17"/>
                <w:color w:val="0000FF"/>
                <w:w w:val="94"/>
              </w:rPr>
            </w:pPr>
            <w:hyperlink r:id="rId78">
              <w:r>
                <w:rPr>
                  <w:rFonts w:ascii="Arial" w:cs="Arial" w:eastAsia="Arial" w:hAnsi="Arial"/>
                  <w:sz w:val="17"/>
                  <w:szCs w:val="17"/>
                  <w:color w:val="0000FF"/>
                  <w:w w:val="94"/>
                </w:rPr>
                <w:t>Credit Agreement, dated as of April 30, 2021, by and among Magnite, Inc., Goldman Sachs Bank USA, as administrative and</w:t>
              </w:r>
            </w:hyperlink>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80" w:type="dxa"/>
            <w:vAlign w:val="bottom"/>
            <w:tcBorders>
              <w:top w:val="single" w:sz="8" w:color="0000FF"/>
            </w:tcBorders>
            <w:gridSpan w:val="15"/>
          </w:tcPr>
          <w:p>
            <w:pPr>
              <w:spacing w:after="0" w:line="161" w:lineRule="exact"/>
              <w:rPr>
                <w:rFonts w:ascii="Arial" w:cs="Arial" w:eastAsia="Arial" w:hAnsi="Arial"/>
                <w:sz w:val="17"/>
                <w:szCs w:val="17"/>
                <w:color w:val="0000FF"/>
                <w:w w:val="93"/>
              </w:rPr>
            </w:pPr>
            <w:hyperlink r:id="rId78">
              <w:r>
                <w:rPr>
                  <w:rFonts w:ascii="Arial" w:cs="Arial" w:eastAsia="Arial" w:hAnsi="Arial"/>
                  <w:sz w:val="17"/>
                  <w:szCs w:val="17"/>
                  <w:color w:val="0000FF"/>
                  <w:w w:val="93"/>
                </w:rPr>
                <w:t>collateral agent, and the other lender parties thereto (incorporated by reference to Exhibit 10.2 of the Registrant’s Quarterly</w:t>
              </w:r>
            </w:hyperlink>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00" w:type="dxa"/>
            <w:vAlign w:val="bottom"/>
            <w:tcBorders>
              <w:top w:val="single" w:sz="8" w:color="0000FF"/>
            </w:tcBorders>
            <w:gridSpan w:val="9"/>
          </w:tcPr>
          <w:p>
            <w:pPr>
              <w:spacing w:after="0" w:line="161" w:lineRule="exact"/>
              <w:rPr>
                <w:rFonts w:ascii="Arial" w:cs="Arial" w:eastAsia="Arial" w:hAnsi="Arial"/>
                <w:sz w:val="17"/>
                <w:szCs w:val="17"/>
                <w:color w:val="0000FF"/>
              </w:rPr>
            </w:pPr>
            <w:hyperlink r:id="rId78">
              <w:r>
                <w:rPr>
                  <w:rFonts w:ascii="Arial" w:cs="Arial" w:eastAsia="Arial" w:hAnsi="Arial"/>
                  <w:sz w:val="17"/>
                  <w:szCs w:val="17"/>
                  <w:color w:val="0000FF"/>
                </w:rPr>
                <w:t>Report on Form 10-Q filed with the Commission on May 10,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8"/>
                <w:szCs w:val="18"/>
                <w:color w:val="auto"/>
              </w:rPr>
            </w:pPr>
          </w:p>
        </w:tc>
        <w:tc>
          <w:tcPr>
            <w:tcW w:w="8880" w:type="dxa"/>
            <w:vAlign w:val="bottom"/>
            <w:gridSpan w:val="19"/>
          </w:tcPr>
          <w:p>
            <w:pPr>
              <w:spacing w:after="0"/>
              <w:rPr>
                <w:rFonts w:ascii="Arial" w:cs="Arial" w:eastAsia="Arial" w:hAnsi="Arial"/>
                <w:sz w:val="17"/>
                <w:szCs w:val="17"/>
                <w:color w:val="0000FF"/>
              </w:rPr>
            </w:pPr>
            <w:hyperlink r:id="rId79">
              <w:r>
                <w:rPr>
                  <w:rFonts w:ascii="Arial" w:cs="Arial" w:eastAsia="Arial" w:hAnsi="Arial"/>
                  <w:sz w:val="17"/>
                  <w:szCs w:val="17"/>
                  <w:color w:val="0000FF"/>
                </w:rPr>
                <w:t>Registration Rights Agreement, dated as of April 30, 2021, by and between Magnite, Inc. and RTL US Holding, Inc</w:t>
              </w:r>
            </w:hyperlink>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80" w:type="dxa"/>
            <w:vAlign w:val="bottom"/>
            <w:gridSpan w:val="19"/>
          </w:tcPr>
          <w:p>
            <w:pPr>
              <w:spacing w:after="0" w:line="161" w:lineRule="exact"/>
              <w:rPr>
                <w:rFonts w:ascii="Arial" w:cs="Arial" w:eastAsia="Arial" w:hAnsi="Arial"/>
                <w:sz w:val="17"/>
                <w:szCs w:val="17"/>
                <w:color w:val="0000FF"/>
                <w:w w:val="96"/>
              </w:rPr>
            </w:pPr>
            <w:hyperlink r:id="rId79">
              <w:r>
                <w:rPr>
                  <w:rFonts w:ascii="Arial" w:cs="Arial" w:eastAsia="Arial" w:hAnsi="Arial"/>
                  <w:sz w:val="17"/>
                  <w:szCs w:val="17"/>
                  <w:color w:val="0000FF"/>
                  <w:w w:val="96"/>
                </w:rPr>
                <w:t>(incorporated by reference to Exhibit 10.3 of the Registrant’s Quarterly Report on Form 10-Q filed with the Commission on</w:t>
              </w:r>
            </w:hyperlink>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0000FF"/>
              <w:bottom w:val="single" w:sz="8" w:color="0000FF"/>
            </w:tcBorders>
          </w:tcPr>
          <w:p>
            <w:pPr>
              <w:spacing w:after="0" w:line="161" w:lineRule="exact"/>
              <w:rPr>
                <w:rFonts w:ascii="Arial" w:cs="Arial" w:eastAsia="Arial" w:hAnsi="Arial"/>
                <w:sz w:val="17"/>
                <w:szCs w:val="17"/>
                <w:color w:val="0000FF"/>
                <w:w w:val="93"/>
              </w:rPr>
            </w:pPr>
            <w:hyperlink r:id="rId79">
              <w:r>
                <w:rPr>
                  <w:rFonts w:ascii="Arial" w:cs="Arial" w:eastAsia="Arial" w:hAnsi="Arial"/>
                  <w:sz w:val="17"/>
                  <w:szCs w:val="17"/>
                  <w:color w:val="0000FF"/>
                  <w:w w:val="93"/>
                </w:rPr>
                <w:t>May 10, 2021).</w:t>
              </w:r>
            </w:hyperlink>
          </w:p>
        </w:tc>
        <w:tc>
          <w:tcPr>
            <w:tcW w:w="748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8"/>
                <w:szCs w:val="18"/>
                <w:color w:val="auto"/>
              </w:rPr>
            </w:pPr>
          </w:p>
        </w:tc>
        <w:tc>
          <w:tcPr>
            <w:tcW w:w="8880" w:type="dxa"/>
            <w:vAlign w:val="bottom"/>
            <w:gridSpan w:val="19"/>
          </w:tcPr>
          <w:p>
            <w:pPr>
              <w:spacing w:after="0"/>
              <w:rPr>
                <w:rFonts w:ascii="Arial" w:cs="Arial" w:eastAsia="Arial" w:hAnsi="Arial"/>
                <w:sz w:val="17"/>
                <w:szCs w:val="17"/>
                <w:color w:val="0000FF"/>
                <w:w w:val="95"/>
              </w:rPr>
            </w:pPr>
            <w:hyperlink r:id="rId80">
              <w:r>
                <w:rPr>
                  <w:rFonts w:ascii="Arial" w:cs="Arial" w:eastAsia="Arial" w:hAnsi="Arial"/>
                  <w:sz w:val="17"/>
                  <w:szCs w:val="17"/>
                  <w:color w:val="0000FF"/>
                  <w:w w:val="95"/>
                </w:rPr>
                <w:t>Incremental Assumption Agreement dated as of June 28, 2021, relating to the Credit Agreement dated as of April 30, 2021,</w:t>
              </w:r>
            </w:hyperlink>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540" w:type="dxa"/>
            <w:vAlign w:val="bottom"/>
            <w:tcBorders>
              <w:top w:val="single" w:sz="8" w:color="0000FF"/>
            </w:tcBorders>
            <w:gridSpan w:val="11"/>
          </w:tcPr>
          <w:p>
            <w:pPr>
              <w:spacing w:after="0" w:line="161"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among Magnite, Inc., each Issuing Bank, the Swingline Lender, the other Lenders party thereto and Goldman Sachs Bank</w:t>
              </w:r>
            </w:hyperlink>
          </w:p>
        </w:tc>
        <w:tc>
          <w:tcPr>
            <w:tcW w:w="340" w:type="dxa"/>
            <w:vAlign w:val="bottom"/>
            <w:gridSpan w:val="8"/>
          </w:tcPr>
          <w:p>
            <w:pPr>
              <w:spacing w:after="0" w:line="161" w:lineRule="exact"/>
              <w:rPr>
                <w:rFonts w:ascii="Arial" w:cs="Arial" w:eastAsia="Arial" w:hAnsi="Arial"/>
                <w:sz w:val="17"/>
                <w:szCs w:val="17"/>
                <w:color w:val="0000FF"/>
                <w:w w:val="80"/>
              </w:rPr>
            </w:pPr>
            <w:hyperlink r:id="rId80">
              <w:r>
                <w:rPr>
                  <w:rFonts w:ascii="Arial" w:cs="Arial" w:eastAsia="Arial" w:hAnsi="Arial"/>
                  <w:sz w:val="17"/>
                  <w:szCs w:val="17"/>
                  <w:color w:val="0000FF"/>
                  <w:w w:val="80"/>
                </w:rPr>
                <w:t>USA,</w:t>
              </w:r>
            </w:hyperlink>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40" w:type="dxa"/>
            <w:vAlign w:val="bottom"/>
            <w:tcBorders>
              <w:top w:val="single" w:sz="8" w:color="0000FF"/>
            </w:tcBorders>
            <w:gridSpan w:val="18"/>
          </w:tcPr>
          <w:p>
            <w:pPr>
              <w:spacing w:after="0" w:line="161" w:lineRule="exact"/>
              <w:rPr>
                <w:rFonts w:ascii="Arial" w:cs="Arial" w:eastAsia="Arial" w:hAnsi="Arial"/>
                <w:sz w:val="17"/>
                <w:szCs w:val="17"/>
                <w:color w:val="0000FF"/>
                <w:w w:val="95"/>
              </w:rPr>
            </w:pPr>
            <w:hyperlink r:id="rId80">
              <w:r>
                <w:rPr>
                  <w:rFonts w:ascii="Arial" w:cs="Arial" w:eastAsia="Arial" w:hAnsi="Arial"/>
                  <w:sz w:val="17"/>
                  <w:szCs w:val="17"/>
                  <w:color w:val="0000FF"/>
                  <w:w w:val="95"/>
                </w:rPr>
                <w:t>as administrative agent and as collateral agent for the Lenders (incorporated by reference to Exhibit 10.1 of the Registrant’s</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6"/>
          </w:tcPr>
          <w:p>
            <w:pPr>
              <w:spacing w:after="0" w:line="161"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Current Report on Form 8-K filed with the Commission on July 2, 2021).</w:t>
              </w:r>
            </w:hyperlink>
          </w:p>
        </w:tc>
        <w:tc>
          <w:tcPr>
            <w:tcW w:w="3440" w:type="dxa"/>
            <w:vAlign w:val="bottom"/>
            <w:tcBorders>
              <w:top w:val="single" w:sz="8" w:color="0000FF"/>
            </w:tcBorders>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8"/>
                <w:szCs w:val="18"/>
                <w:color w:val="auto"/>
              </w:rPr>
            </w:pPr>
          </w:p>
        </w:tc>
        <w:tc>
          <w:tcPr>
            <w:tcW w:w="8880" w:type="dxa"/>
            <w:vAlign w:val="bottom"/>
            <w:gridSpan w:val="19"/>
          </w:tcPr>
          <w:p>
            <w:pPr>
              <w:spacing w:after="0"/>
              <w:rPr>
                <w:rFonts w:ascii="Arial" w:cs="Arial" w:eastAsia="Arial" w:hAnsi="Arial"/>
                <w:sz w:val="17"/>
                <w:szCs w:val="17"/>
                <w:color w:val="0000FF"/>
                <w:w w:val="94"/>
              </w:rPr>
            </w:pPr>
            <w:hyperlink w:anchor="page54">
              <w:r>
                <w:rPr>
                  <w:rFonts w:ascii="Arial" w:cs="Arial" w:eastAsia="Arial" w:hAnsi="Arial"/>
                  <w:sz w:val="17"/>
                  <w:szCs w:val="17"/>
                  <w:color w:val="0000FF"/>
                  <w:w w:val="94"/>
                </w:rPr>
                <w:t>Certification of Principal Executive Officer Pursuant to Exchange Act Rules 13a-14(a) and 15d-14(a), as adopted pursuant to</w:t>
              </w:r>
            </w:hyperlink>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0000FF"/>
            </w:tcBorders>
            <w:gridSpan w:val="14"/>
          </w:tcPr>
          <w:p>
            <w:pPr>
              <w:spacing w:after="0" w:line="148" w:lineRule="exact"/>
              <w:rPr>
                <w:rFonts w:ascii="Arial" w:cs="Arial" w:eastAsia="Arial" w:hAnsi="Arial"/>
                <w:sz w:val="17"/>
                <w:szCs w:val="17"/>
                <w:color w:val="0000FF"/>
              </w:rPr>
            </w:pPr>
            <w:hyperlink w:anchor="page54">
              <w:r>
                <w:rPr>
                  <w:rFonts w:ascii="Arial" w:cs="Arial" w:eastAsia="Arial" w:hAnsi="Arial"/>
                  <w:sz w:val="17"/>
                  <w:szCs w:val="17"/>
                  <w:color w:val="0000FF"/>
                </w:rPr>
                <w:t>Section 302 of the Sarbanes-Oxley Act of 2002.</w:t>
              </w:r>
            </w:hyperlink>
          </w:p>
        </w:tc>
        <w:tc>
          <w:tcPr>
            <w:tcW w:w="12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gridSpan w:val="9"/>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20" w:type="dxa"/>
            <w:vAlign w:val="bottom"/>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7"/>
                <w:szCs w:val="17"/>
                <w:color w:val="auto"/>
              </w:rPr>
            </w:pPr>
          </w:p>
        </w:tc>
        <w:tc>
          <w:tcPr>
            <w:tcW w:w="8880" w:type="dxa"/>
            <w:vAlign w:val="bottom"/>
            <w:gridSpan w:val="19"/>
          </w:tcPr>
          <w:p>
            <w:pPr>
              <w:spacing w:after="0"/>
              <w:rPr>
                <w:rFonts w:ascii="Arial" w:cs="Arial" w:eastAsia="Arial" w:hAnsi="Arial"/>
                <w:sz w:val="17"/>
                <w:szCs w:val="17"/>
                <w:color w:val="0000FF"/>
                <w:w w:val="95"/>
              </w:rPr>
            </w:pPr>
            <w:hyperlink w:anchor="page55">
              <w:r>
                <w:rPr>
                  <w:rFonts w:ascii="Arial" w:cs="Arial" w:eastAsia="Arial" w:hAnsi="Arial"/>
                  <w:sz w:val="17"/>
                  <w:szCs w:val="17"/>
                  <w:color w:val="0000FF"/>
                  <w:w w:val="95"/>
                </w:rPr>
                <w:t>Certification of Principal Financial Officer Pursuant to Exchange Act Rules 13a-14(a) and 15d-14(a), as adopted pursuant to</w:t>
              </w:r>
            </w:hyperlink>
          </w:p>
        </w:tc>
        <w:tc>
          <w:tcPr>
            <w:tcW w:w="0" w:type="dxa"/>
            <w:vAlign w:val="bottom"/>
          </w:tcPr>
          <w:p>
            <w:pPr>
              <w:spacing w:after="0"/>
              <w:rPr>
                <w:sz w:val="1"/>
                <w:szCs w:val="1"/>
                <w:color w:val="auto"/>
              </w:rPr>
            </w:pPr>
          </w:p>
        </w:tc>
      </w:tr>
      <w:tr>
        <w:trPr>
          <w:trHeight w:val="148"/>
        </w:trPr>
        <w:tc>
          <w:tcPr>
            <w:tcW w:w="2220" w:type="dxa"/>
            <w:vAlign w:val="bottom"/>
            <w:vMerge w:val="restart"/>
          </w:tcPr>
          <w:p>
            <w:pPr>
              <w:ind w:left="20"/>
              <w:spacing w:after="0" w:line="367" w:lineRule="exact"/>
              <w:rPr>
                <w:sz w:val="20"/>
                <w:szCs w:val="20"/>
                <w:color w:val="auto"/>
              </w:rPr>
            </w:pPr>
            <w:r>
              <w:rPr>
                <w:rFonts w:ascii="Arial" w:cs="Arial" w:eastAsia="Arial" w:hAnsi="Arial"/>
                <w:sz w:val="34"/>
                <w:szCs w:val="34"/>
                <w:color w:val="auto"/>
                <w:vertAlign w:val="subscript"/>
              </w:rPr>
              <w:t>32*</w:t>
            </w: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8600" w:type="dxa"/>
            <w:vAlign w:val="bottom"/>
            <w:tcBorders>
              <w:top w:val="single" w:sz="8" w:color="0000FF"/>
            </w:tcBorders>
            <w:gridSpan w:val="13"/>
          </w:tcPr>
          <w:p>
            <w:pPr>
              <w:spacing w:after="0" w:line="148" w:lineRule="exact"/>
              <w:rPr>
                <w:rFonts w:ascii="Arial" w:cs="Arial" w:eastAsia="Arial" w:hAnsi="Arial"/>
                <w:sz w:val="17"/>
                <w:szCs w:val="17"/>
                <w:color w:val="0000FF"/>
              </w:rPr>
            </w:pPr>
            <w:hyperlink w:anchor="page55">
              <w:r>
                <w:rPr>
                  <w:rFonts w:ascii="Arial" w:cs="Arial" w:eastAsia="Arial" w:hAnsi="Arial"/>
                  <w:sz w:val="17"/>
                  <w:szCs w:val="17"/>
                  <w:color w:val="0000FF"/>
                </w:rPr>
                <w:t>Section 302 of the Sarbanes-Oxley Act of 2002.</w:t>
              </w:r>
            </w:hyperlink>
          </w:p>
        </w:tc>
        <w:tc>
          <w:tcPr>
            <w:tcW w:w="160" w:type="dxa"/>
            <w:vAlign w:val="bottom"/>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gridSpan w:val="19"/>
          </w:tcPr>
          <w:p>
            <w:pPr>
              <w:spacing w:after="0"/>
              <w:rPr>
                <w:rFonts w:ascii="Arial" w:cs="Arial" w:eastAsia="Arial" w:hAnsi="Arial"/>
                <w:sz w:val="17"/>
                <w:szCs w:val="17"/>
                <w:color w:val="0000FF"/>
                <w:w w:val="94"/>
              </w:rPr>
            </w:pPr>
            <w:hyperlink w:anchor="page56">
              <w:r>
                <w:rPr>
                  <w:rFonts w:ascii="Arial" w:cs="Arial" w:eastAsia="Arial" w:hAnsi="Arial"/>
                  <w:sz w:val="17"/>
                  <w:szCs w:val="17"/>
                  <w:color w:val="0000FF"/>
                  <w:w w:val="94"/>
                </w:rPr>
                <w:t>Certification of the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1"/>
              </w:rPr>
            </w:pPr>
            <w:hyperlink w:anchor="page56">
              <w:r>
                <w:rPr>
                  <w:rFonts w:ascii="Arial" w:cs="Arial" w:eastAsia="Arial" w:hAnsi="Arial"/>
                  <w:sz w:val="17"/>
                  <w:szCs w:val="17"/>
                  <w:color w:val="0000FF"/>
                  <w:w w:val="91"/>
                </w:rPr>
                <w:t>pursuant to Section 906 of the Sarbanes-Oxley Act of 2002.</w:t>
              </w:r>
            </w:hyperlink>
          </w:p>
        </w:tc>
        <w:tc>
          <w:tcPr>
            <w:tcW w:w="4620" w:type="dxa"/>
            <w:vAlign w:val="bottom"/>
            <w:tcBorders>
              <w:top w:val="single" w:sz="8" w:color="0000FF"/>
            </w:tcBorders>
            <w:gridSpan w:val="12"/>
          </w:tcPr>
          <w:p>
            <w:pPr>
              <w:spacing w:after="0"/>
              <w:rPr>
                <w:sz w:val="12"/>
                <w:szCs w:val="12"/>
                <w:color w:val="auto"/>
              </w:rPr>
            </w:pPr>
          </w:p>
        </w:tc>
        <w:tc>
          <w:tcPr>
            <w:tcW w:w="1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40" w:type="dxa"/>
            <w:vAlign w:val="bottom"/>
            <w:gridSpan w:val="2"/>
            <w:vMerge w:val="restart"/>
          </w:tcPr>
          <w:p>
            <w:pPr>
              <w:ind w:left="20"/>
              <w:spacing w:after="0"/>
              <w:rPr>
                <w:sz w:val="20"/>
                <w:szCs w:val="20"/>
                <w:color w:val="auto"/>
              </w:rPr>
            </w:pPr>
            <w:r>
              <w:rPr>
                <w:rFonts w:ascii="Arial" w:cs="Arial" w:eastAsia="Arial" w:hAnsi="Arial"/>
                <w:sz w:val="17"/>
                <w:szCs w:val="17"/>
                <w:color w:val="auto"/>
              </w:rPr>
              <w:t>101.ins *</w:t>
            </w:r>
          </w:p>
        </w:tc>
        <w:tc>
          <w:tcPr>
            <w:tcW w:w="8880" w:type="dxa"/>
            <w:vAlign w:val="bottom"/>
            <w:gridSpan w:val="19"/>
          </w:tcPr>
          <w:p>
            <w:pPr>
              <w:spacing w:after="0" w:line="188" w:lineRule="exact"/>
              <w:rPr>
                <w:sz w:val="20"/>
                <w:szCs w:val="20"/>
                <w:color w:val="auto"/>
              </w:rPr>
            </w:pPr>
            <w:r>
              <w:rPr>
                <w:rFonts w:ascii="Arial" w:cs="Arial" w:eastAsia="Arial" w:hAnsi="Arial"/>
                <w:sz w:val="17"/>
                <w:szCs w:val="17"/>
                <w:color w:val="auto"/>
                <w:w w:val="93"/>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0"/>
        </w:trPr>
        <w:tc>
          <w:tcPr>
            <w:tcW w:w="2340" w:type="dxa"/>
            <w:vAlign w:val="bottom"/>
            <w:gridSpan w:val="2"/>
            <w:vMerge w:val="continue"/>
          </w:tcPr>
          <w:p>
            <w:pPr>
              <w:spacing w:after="0"/>
              <w:rPr>
                <w:sz w:val="19"/>
                <w:szCs w:val="19"/>
                <w:color w:val="auto"/>
              </w:rPr>
            </w:pPr>
          </w:p>
        </w:tc>
        <w:tc>
          <w:tcPr>
            <w:tcW w:w="8880" w:type="dxa"/>
            <w:vAlign w:val="bottom"/>
            <w:gridSpan w:val="19"/>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101.sch *</w:t>
            </w:r>
          </w:p>
        </w:tc>
        <w:tc>
          <w:tcPr>
            <w:tcW w:w="8880" w:type="dxa"/>
            <w:vAlign w:val="bottom"/>
            <w:gridSpan w:val="19"/>
          </w:tcPr>
          <w:p>
            <w:pPr>
              <w:spacing w:after="0"/>
              <w:rPr>
                <w:sz w:val="20"/>
                <w:szCs w:val="20"/>
                <w:color w:val="auto"/>
              </w:rPr>
            </w:pPr>
            <w:r>
              <w:rPr>
                <w:rFonts w:ascii="Arial" w:cs="Arial" w:eastAsia="Arial" w:hAnsi="Arial"/>
                <w:sz w:val="17"/>
                <w:szCs w:val="17"/>
                <w:color w:val="auto"/>
              </w:rPr>
              <w:t>XBRL Taxonomy Schema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101.cal *</w:t>
            </w:r>
          </w:p>
        </w:tc>
        <w:tc>
          <w:tcPr>
            <w:tcW w:w="8880" w:type="dxa"/>
            <w:vAlign w:val="bottom"/>
            <w:gridSpan w:val="19"/>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101.def *</w:t>
            </w:r>
          </w:p>
        </w:tc>
        <w:tc>
          <w:tcPr>
            <w:tcW w:w="8880" w:type="dxa"/>
            <w:vAlign w:val="bottom"/>
            <w:gridSpan w:val="19"/>
          </w:tcPr>
          <w:p>
            <w:pPr>
              <w:spacing w:after="0"/>
              <w:rPr>
                <w:sz w:val="20"/>
                <w:szCs w:val="20"/>
                <w:color w:val="auto"/>
              </w:rPr>
            </w:pPr>
            <w:r>
              <w:rPr>
                <w:rFonts w:ascii="Arial" w:cs="Arial" w:eastAsia="Arial" w:hAnsi="Arial"/>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101.lab *</w:t>
            </w:r>
          </w:p>
        </w:tc>
        <w:tc>
          <w:tcPr>
            <w:tcW w:w="8880" w:type="dxa"/>
            <w:vAlign w:val="bottom"/>
            <w:gridSpan w:val="19"/>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101.pre *</w:t>
            </w:r>
          </w:p>
        </w:tc>
        <w:tc>
          <w:tcPr>
            <w:tcW w:w="8880" w:type="dxa"/>
            <w:vAlign w:val="bottom"/>
            <w:gridSpan w:val="19"/>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2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1"/>
                <w:szCs w:val="21"/>
                <w:color w:val="auto"/>
              </w:rPr>
            </w:pPr>
          </w:p>
        </w:tc>
        <w:tc>
          <w:tcPr>
            <w:tcW w:w="8880" w:type="dxa"/>
            <w:vAlign w:val="bottom"/>
            <w:gridSpan w:val="19"/>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Filed herewith</w:t>
      </w:r>
    </w:p>
    <w:p>
      <w:pPr>
        <w:spacing w:after="0" w:line="115" w:lineRule="exact"/>
        <w:rPr>
          <w:sz w:val="20"/>
          <w:szCs w:val="20"/>
          <w:color w:val="auto"/>
        </w:rPr>
      </w:pPr>
    </w:p>
    <w:p>
      <w:pPr>
        <w:ind w:right="260" w:firstLine="3"/>
        <w:spacing w:after="0"/>
        <w:tabs>
          <w:tab w:leader="none" w:pos="242"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587375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19" w:firstLine="172"/>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MAGNITE, INC. (Registrant)</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31750</wp:posOffset>
            </wp:positionV>
            <wp:extent cx="34994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(Principal Financial Officer and Duly Authorized Officer)</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5, 2021</w:t>
      </w:r>
    </w:p>
    <w:p>
      <w:pPr>
        <w:sectPr>
          <w:pgSz w:w="11900" w:h="16838" w:orient="portrait"/>
          <w:cols w:equalWidth="0" w:num="1">
            <w:col w:w="10139"/>
          </w:cols>
          <w:pgMar w:left="320" w:top="127" w:right="1440" w:bottom="1440" w:gutter="0" w:footer="0" w:header="0"/>
        </w:sectPr>
      </w:pPr>
    </w:p>
    <w:bookmarkStart w:id="53" w:name="page54"/>
    <w:bookmarkEnd w:id="53"/>
    <w:p>
      <w:pPr>
        <w:ind w:left="9980"/>
        <w:spacing w:after="0"/>
        <w:rPr>
          <w:sz w:val="20"/>
          <w:szCs w:val="20"/>
          <w:color w:val="auto"/>
        </w:rPr>
      </w:pPr>
      <w:r>
        <w:rPr>
          <w:rFonts w:ascii="Arial" w:cs="Arial" w:eastAsia="Arial" w:hAnsi="Arial"/>
          <w:sz w:val="16"/>
          <w:szCs w:val="16"/>
          <w:b w:val="1"/>
          <w:bCs w:val="1"/>
          <w:color w:val="auto"/>
        </w:rPr>
        <w:t>Exhibit 31.1</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of Principal Executive Officer</w:t>
      </w:r>
    </w:p>
    <w:p>
      <w:pPr>
        <w:jc w:val="center"/>
        <w:ind w:right="-39"/>
        <w:spacing w:after="0" w:line="236" w:lineRule="auto"/>
        <w:rPr>
          <w:sz w:val="20"/>
          <w:szCs w:val="20"/>
          <w:color w:val="auto"/>
        </w:rPr>
      </w:pPr>
      <w:r>
        <w:rPr>
          <w:rFonts w:ascii="Arial" w:cs="Arial" w:eastAsia="Arial" w:hAnsi="Arial"/>
          <w:sz w:val="16"/>
          <w:szCs w:val="16"/>
          <w:b w:val="1"/>
          <w:bCs w:val="1"/>
          <w:color w:val="auto"/>
        </w:rPr>
        <w:t>pursuant to</w:t>
      </w:r>
    </w:p>
    <w:p>
      <w:pPr>
        <w:jc w:val="center"/>
        <w:ind w:right="-39"/>
        <w:spacing w:after="0" w:line="236" w:lineRule="auto"/>
        <w:rPr>
          <w:sz w:val="20"/>
          <w:szCs w:val="20"/>
          <w:color w:val="auto"/>
        </w:rPr>
      </w:pPr>
      <w:r>
        <w:rPr>
          <w:rFonts w:ascii="Arial" w:cs="Arial" w:eastAsia="Arial" w:hAnsi="Arial"/>
          <w:sz w:val="16"/>
          <w:szCs w:val="16"/>
          <w:b w:val="1"/>
          <w:bCs w:val="1"/>
          <w:color w:val="auto"/>
        </w:rPr>
        <w:t>Exchange Act Rules 13a-14(a) and 15d-14(a),</w:t>
      </w:r>
    </w:p>
    <w:p>
      <w:pPr>
        <w:jc w:val="center"/>
        <w:ind w:right="-39"/>
        <w:spacing w:after="0" w:line="236"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43" w:lineRule="exact"/>
        <w:rPr>
          <w:sz w:val="20"/>
          <w:szCs w:val="20"/>
          <w:color w:val="auto"/>
        </w:rPr>
      </w:pPr>
    </w:p>
    <w:p>
      <w:pPr>
        <w:ind w:left="1240" w:hanging="616"/>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1240" w:right="220" w:hanging="616"/>
        <w:spacing w:after="0" w:line="324" w:lineRule="auto"/>
        <w:tabs>
          <w:tab w:leader="none" w:pos="1240" w:val="left"/>
        </w:tabs>
        <w:numPr>
          <w:ilvl w:val="0"/>
          <w:numId w:val="17"/>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1240" w:right="320" w:hanging="616"/>
        <w:spacing w:after="0" w:line="254"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17"/>
          <w:szCs w:val="17"/>
          <w:color w:val="auto"/>
        </w:rPr>
      </w:pPr>
    </w:p>
    <w:p>
      <w:pPr>
        <w:ind w:left="1240" w:right="20" w:hanging="616"/>
        <w:spacing w:after="0" w:line="245"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720" w:right="160" w:hanging="475"/>
        <w:spacing w:after="0" w:line="252" w:lineRule="auto"/>
        <w:tabs>
          <w:tab w:leader="none" w:pos="1534"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Arial" w:cs="Arial" w:eastAsia="Arial" w:hAnsi="Arial"/>
          <w:sz w:val="16"/>
          <w:szCs w:val="16"/>
          <w:color w:val="auto"/>
        </w:rPr>
      </w:pPr>
    </w:p>
    <w:p>
      <w:pPr>
        <w:ind w:left="1720" w:right="240" w:hanging="475"/>
        <w:spacing w:after="0" w:line="252" w:lineRule="auto"/>
        <w:tabs>
          <w:tab w:leader="none" w:pos="1543"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6"/>
          <w:szCs w:val="16"/>
          <w:color w:val="auto"/>
        </w:rPr>
      </w:pPr>
    </w:p>
    <w:p>
      <w:pPr>
        <w:ind w:left="1720" w:right="60" w:hanging="475"/>
        <w:spacing w:after="0" w:line="341" w:lineRule="auto"/>
        <w:tabs>
          <w:tab w:leader="none" w:pos="1534"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4"/>
          <w:szCs w:val="14"/>
          <w:color w:val="auto"/>
        </w:rPr>
      </w:pPr>
    </w:p>
    <w:p>
      <w:pPr>
        <w:ind w:left="1720" w:hanging="475"/>
        <w:spacing w:after="0" w:line="252" w:lineRule="auto"/>
        <w:tabs>
          <w:tab w:leader="none" w:pos="1543"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2" w:lineRule="exact"/>
        <w:rPr>
          <w:rFonts w:ascii="Arial" w:cs="Arial" w:eastAsia="Arial" w:hAnsi="Arial"/>
          <w:sz w:val="16"/>
          <w:szCs w:val="16"/>
          <w:color w:val="auto"/>
        </w:rPr>
      </w:pPr>
    </w:p>
    <w:p>
      <w:pPr>
        <w:ind w:left="1240" w:right="660" w:hanging="616"/>
        <w:spacing w:after="0" w:line="324" w:lineRule="auto"/>
        <w:tabs>
          <w:tab w:leader="none" w:pos="1240" w:val="left"/>
        </w:tabs>
        <w:numPr>
          <w:ilvl w:val="0"/>
          <w:numId w:val="17"/>
        </w:numPr>
        <w:rPr>
          <w:rFonts w:ascii="Arial" w:cs="Arial" w:eastAsia="Arial" w:hAnsi="Arial"/>
          <w:sz w:val="15"/>
          <w:szCs w:val="15"/>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720" w:right="200" w:hanging="475"/>
        <w:spacing w:after="0" w:line="269" w:lineRule="auto"/>
        <w:tabs>
          <w:tab w:leader="none" w:pos="1573"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6"/>
          <w:szCs w:val="16"/>
          <w:color w:val="auto"/>
        </w:rPr>
      </w:pPr>
    </w:p>
    <w:p>
      <w:pPr>
        <w:ind w:left="1720" w:right="340" w:hanging="436"/>
        <w:spacing w:after="0" w:line="269" w:lineRule="auto"/>
        <w:tabs>
          <w:tab w:leader="none" w:pos="1621" w:val="left"/>
        </w:tabs>
        <w:numPr>
          <w:ilvl w:val="2"/>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00"/>
        <w:spacing w:after="0"/>
        <w:tabs>
          <w:tab w:leader="none" w:pos="66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11430</wp:posOffset>
            </wp:positionV>
            <wp:extent cx="2152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55"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Michael Barrett</w:t>
      </w:r>
    </w:p>
    <w:p>
      <w:pPr>
        <w:spacing w:after="0" w:line="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President and Chief Executive Officer</w:t>
      </w:r>
    </w:p>
    <w:p>
      <w:pPr>
        <w:ind w:left="7180"/>
        <w:spacing w:after="0"/>
        <w:rPr>
          <w:sz w:val="20"/>
          <w:szCs w:val="20"/>
          <w:color w:val="auto"/>
        </w:rPr>
      </w:pPr>
      <w:r>
        <w:rPr>
          <w:rFonts w:ascii="Arial" w:cs="Arial" w:eastAsia="Arial" w:hAnsi="Arial"/>
          <w:sz w:val="16"/>
          <w:szCs w:val="16"/>
          <w:color w:val="auto"/>
        </w:rPr>
        <w:t>(Principal Executive Officer)</w:t>
      </w:r>
    </w:p>
    <w:p>
      <w:pPr>
        <w:spacing w:after="0" w:line="218"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Date August 5, 2021</w:t>
      </w:r>
    </w:p>
    <w:p>
      <w:pPr>
        <w:sectPr>
          <w:pgSz w:w="11900" w:h="16838" w:orient="portrait"/>
          <w:cols w:equalWidth="0" w:num="1">
            <w:col w:w="11200"/>
          </w:cols>
          <w:pgMar w:left="320" w:top="863" w:right="379" w:bottom="1440" w:gutter="0" w:footer="0" w:header="0"/>
        </w:sectPr>
      </w:pPr>
    </w:p>
    <w:bookmarkStart w:id="54" w:name="page55"/>
    <w:bookmarkEnd w:id="54"/>
    <w:p>
      <w:pPr>
        <w:ind w:left="9660"/>
        <w:spacing w:after="0"/>
        <w:rPr>
          <w:sz w:val="20"/>
          <w:szCs w:val="20"/>
          <w:color w:val="auto"/>
        </w:rPr>
      </w:pPr>
      <w:r>
        <w:rPr>
          <w:rFonts w:ascii="Arial" w:cs="Arial" w:eastAsia="Arial" w:hAnsi="Arial"/>
          <w:sz w:val="16"/>
          <w:szCs w:val="16"/>
          <w:b w:val="1"/>
          <w:bCs w:val="1"/>
          <w:color w:val="auto"/>
        </w:rPr>
        <w:t>Exhibit 31.2</w:t>
      </w:r>
    </w:p>
    <w:p>
      <w:pPr>
        <w:spacing w:after="0" w:line="230"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12"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pursuant to</w:t>
      </w:r>
    </w:p>
    <w:p>
      <w:pPr>
        <w:jc w:val="center"/>
        <w:ind w:right="260"/>
        <w:spacing w:after="0" w:line="236" w:lineRule="auto"/>
        <w:rPr>
          <w:sz w:val="20"/>
          <w:szCs w:val="20"/>
          <w:color w:val="auto"/>
        </w:rPr>
      </w:pPr>
      <w:r>
        <w:rPr>
          <w:rFonts w:ascii="Arial" w:cs="Arial" w:eastAsia="Arial" w:hAnsi="Arial"/>
          <w:sz w:val="16"/>
          <w:szCs w:val="16"/>
          <w:b w:val="1"/>
          <w:bCs w:val="1"/>
          <w:color w:val="auto"/>
        </w:rPr>
        <w:t>Exchange Act Rules 13a-14(a) and 15d-14(a),</w:t>
      </w:r>
    </w:p>
    <w:p>
      <w:pPr>
        <w:jc w:val="center"/>
        <w:ind w:right="260"/>
        <w:spacing w:after="0" w:line="236" w:lineRule="auto"/>
        <w:rPr>
          <w:sz w:val="20"/>
          <w:szCs w:val="20"/>
          <w:color w:val="auto"/>
        </w:rPr>
      </w:pPr>
      <w:r>
        <w:rPr>
          <w:rFonts w:ascii="Arial" w:cs="Arial" w:eastAsia="Arial" w:hAnsi="Arial"/>
          <w:sz w:val="16"/>
          <w:szCs w:val="16"/>
          <w:b w:val="1"/>
          <w:bCs w:val="1"/>
          <w:color w:val="auto"/>
        </w:rPr>
        <w:t>as adopted pursuant to</w:t>
      </w:r>
    </w:p>
    <w:p>
      <w:pPr>
        <w:jc w:val="center"/>
        <w:ind w:right="26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43" w:lineRule="exact"/>
        <w:rPr>
          <w:sz w:val="20"/>
          <w:szCs w:val="20"/>
          <w:color w:val="auto"/>
        </w:rPr>
      </w:pPr>
    </w:p>
    <w:p>
      <w:pPr>
        <w:ind w:left="920" w:hanging="460"/>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920" w:right="220" w:hanging="460"/>
        <w:spacing w:after="0" w:line="324" w:lineRule="auto"/>
        <w:tabs>
          <w:tab w:leader="none" w:pos="920" w:val="left"/>
        </w:tabs>
        <w:numPr>
          <w:ilvl w:val="0"/>
          <w:numId w:val="18"/>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920" w:right="320" w:hanging="460"/>
        <w:spacing w:after="0" w:line="254"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17"/>
          <w:szCs w:val="17"/>
          <w:color w:val="auto"/>
        </w:rPr>
      </w:pPr>
    </w:p>
    <w:p>
      <w:pPr>
        <w:ind w:left="920" w:right="20" w:hanging="460"/>
        <w:spacing w:after="0" w:line="245"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540" w:right="100" w:hanging="459"/>
        <w:spacing w:after="0" w:line="245" w:lineRule="auto"/>
        <w:tabs>
          <w:tab w:leader="none" w:pos="1530" w:val="left"/>
        </w:tabs>
        <w:numPr>
          <w:ilvl w:val="1"/>
          <w:numId w:val="18"/>
        </w:numPr>
        <w:rPr>
          <w:rFonts w:ascii="Arial" w:cs="Arial" w:eastAsia="Arial" w:hAnsi="Arial"/>
          <w:sz w:val="17"/>
          <w:szCs w:val="17"/>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17"/>
          <w:szCs w:val="17"/>
          <w:color w:val="auto"/>
        </w:rPr>
      </w:pPr>
    </w:p>
    <w:p>
      <w:pPr>
        <w:ind w:left="1540" w:right="80" w:hanging="459"/>
        <w:spacing w:after="0" w:line="245" w:lineRule="auto"/>
        <w:tabs>
          <w:tab w:leader="none" w:pos="1540" w:val="left"/>
        </w:tabs>
        <w:numPr>
          <w:ilvl w:val="1"/>
          <w:numId w:val="18"/>
        </w:numPr>
        <w:rPr>
          <w:rFonts w:ascii="Arial" w:cs="Arial" w:eastAsia="Arial" w:hAnsi="Arial"/>
          <w:sz w:val="17"/>
          <w:szCs w:val="17"/>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Arial" w:cs="Arial" w:eastAsia="Arial" w:hAnsi="Arial"/>
          <w:sz w:val="17"/>
          <w:szCs w:val="17"/>
          <w:color w:val="auto"/>
        </w:rPr>
      </w:pPr>
    </w:p>
    <w:p>
      <w:pPr>
        <w:ind w:left="1540" w:right="120" w:hanging="459"/>
        <w:spacing w:after="0" w:line="287" w:lineRule="auto"/>
        <w:tabs>
          <w:tab w:leader="none" w:pos="1530" w:val="left"/>
        </w:tabs>
        <w:numPr>
          <w:ilvl w:val="1"/>
          <w:numId w:val="18"/>
        </w:numPr>
        <w:rPr>
          <w:rFonts w:ascii="Arial" w:cs="Arial" w:eastAsia="Arial" w:hAnsi="Arial"/>
          <w:sz w:val="16"/>
          <w:szCs w:val="16"/>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6"/>
          <w:szCs w:val="16"/>
          <w:color w:val="auto"/>
        </w:rPr>
      </w:pPr>
    </w:p>
    <w:p>
      <w:pPr>
        <w:ind w:left="1540" w:hanging="459"/>
        <w:spacing w:after="0" w:line="245" w:lineRule="auto"/>
        <w:tabs>
          <w:tab w:leader="none" w:pos="1540" w:val="left"/>
        </w:tabs>
        <w:numPr>
          <w:ilvl w:val="1"/>
          <w:numId w:val="18"/>
        </w:numPr>
        <w:rPr>
          <w:rFonts w:ascii="Arial" w:cs="Arial" w:eastAsia="Arial" w:hAnsi="Arial"/>
          <w:sz w:val="17"/>
          <w:szCs w:val="17"/>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17"/>
          <w:szCs w:val="17"/>
          <w:color w:val="auto"/>
        </w:rPr>
      </w:pPr>
    </w:p>
    <w:p>
      <w:pPr>
        <w:ind w:left="920" w:right="80" w:hanging="460"/>
        <w:spacing w:after="0" w:line="341" w:lineRule="auto"/>
        <w:tabs>
          <w:tab w:leader="none" w:pos="782"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4"/>
          <w:szCs w:val="14"/>
          <w:color w:val="auto"/>
        </w:rPr>
      </w:pPr>
    </w:p>
    <w:p>
      <w:pPr>
        <w:ind w:left="1540" w:right="60" w:hanging="304"/>
        <w:spacing w:after="0" w:line="254" w:lineRule="auto"/>
        <w:tabs>
          <w:tab w:leader="none" w:pos="1530" w:val="left"/>
        </w:tabs>
        <w:numPr>
          <w:ilvl w:val="2"/>
          <w:numId w:val="18"/>
        </w:numPr>
        <w:rPr>
          <w:rFonts w:ascii="Arial" w:cs="Arial" w:eastAsia="Arial" w:hAnsi="Arial"/>
          <w:sz w:val="17"/>
          <w:szCs w:val="17"/>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7"/>
          <w:szCs w:val="17"/>
          <w:color w:val="auto"/>
        </w:rPr>
      </w:pPr>
    </w:p>
    <w:p>
      <w:pPr>
        <w:ind w:left="1540" w:right="100" w:hanging="304"/>
        <w:spacing w:after="0" w:line="254" w:lineRule="auto"/>
        <w:tabs>
          <w:tab w:leader="none" w:pos="1540" w:val="left"/>
        </w:tabs>
        <w:numPr>
          <w:ilvl w:val="2"/>
          <w:numId w:val="18"/>
        </w:numPr>
        <w:rPr>
          <w:rFonts w:ascii="Arial" w:cs="Arial" w:eastAsia="Arial" w:hAnsi="Arial"/>
          <w:sz w:val="17"/>
          <w:szCs w:val="17"/>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5440" w:type="dxa"/>
            <w:vAlign w:val="bottom"/>
          </w:tcPr>
          <w:p>
            <w:pPr>
              <w:ind w:left="2780"/>
              <w:spacing w:after="0"/>
              <w:rPr>
                <w:sz w:val="20"/>
                <w:szCs w:val="20"/>
                <w:color w:val="auto"/>
              </w:rPr>
            </w:pPr>
            <w:r>
              <w:rPr>
                <w:rFonts w:ascii="Arial" w:cs="Arial" w:eastAsia="Arial" w:hAnsi="Arial"/>
                <w:sz w:val="16"/>
                <w:szCs w:val="16"/>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Day</w:t>
            </w:r>
          </w:p>
        </w:tc>
      </w:tr>
      <w:tr>
        <w:trPr>
          <w:trHeight w:val="234"/>
        </w:trPr>
        <w:tc>
          <w:tcPr>
            <w:tcW w:w="544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Arial" w:cs="Arial" w:eastAsia="Arial" w:hAnsi="Arial"/>
                <w:sz w:val="16"/>
                <w:szCs w:val="16"/>
                <w:color w:val="auto"/>
              </w:rPr>
              <w:t>David Day</w:t>
            </w:r>
          </w:p>
        </w:tc>
      </w:tr>
      <w:tr>
        <w:trPr>
          <w:trHeight w:val="181"/>
        </w:trPr>
        <w:tc>
          <w:tcPr>
            <w:tcW w:w="5440" w:type="dxa"/>
            <w:vAlign w:val="bottom"/>
          </w:tcPr>
          <w:p>
            <w:pPr>
              <w:spacing w:after="0"/>
              <w:rPr>
                <w:sz w:val="15"/>
                <w:szCs w:val="15"/>
                <w:color w:val="auto"/>
              </w:rPr>
            </w:pPr>
          </w:p>
        </w:tc>
        <w:tc>
          <w:tcPr>
            <w:tcW w:w="3380" w:type="dxa"/>
            <w:vAlign w:val="bottom"/>
          </w:tcPr>
          <w:p>
            <w:pPr>
              <w:ind w:left="700"/>
              <w:spacing w:after="0" w:line="181" w:lineRule="exact"/>
              <w:rPr>
                <w:sz w:val="20"/>
                <w:szCs w:val="20"/>
                <w:color w:val="auto"/>
              </w:rPr>
            </w:pPr>
            <w:r>
              <w:rPr>
                <w:rFonts w:ascii="Arial" w:cs="Arial" w:eastAsia="Arial" w:hAnsi="Arial"/>
                <w:sz w:val="16"/>
                <w:szCs w:val="16"/>
                <w:color w:val="auto"/>
              </w:rPr>
              <w:t>Chief Financial Officer</w:t>
            </w:r>
          </w:p>
        </w:tc>
      </w:tr>
      <w:tr>
        <w:trPr>
          <w:trHeight w:val="235"/>
        </w:trPr>
        <w:tc>
          <w:tcPr>
            <w:tcW w:w="5440" w:type="dxa"/>
            <w:vAlign w:val="bottom"/>
          </w:tcPr>
          <w:p>
            <w:pPr>
              <w:spacing w:after="0"/>
              <w:rPr>
                <w:sz w:val="20"/>
                <w:szCs w:val="20"/>
                <w:color w:val="auto"/>
              </w:rPr>
            </w:pPr>
            <w:r>
              <w:rPr>
                <w:rFonts w:ascii="Arial" w:cs="Arial" w:eastAsia="Arial" w:hAnsi="Arial"/>
                <w:sz w:val="16"/>
                <w:szCs w:val="16"/>
                <w:color w:val="auto"/>
              </w:rPr>
              <w:t>Date August 5, 2021</w:t>
            </w:r>
          </w:p>
        </w:tc>
        <w:tc>
          <w:tcPr>
            <w:tcW w:w="3380" w:type="dxa"/>
            <w:vAlign w:val="bottom"/>
          </w:tcPr>
          <w:p>
            <w:pPr>
              <w:ind w:left="70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0880"/>
          </w:cols>
          <w:pgMar w:left="640" w:top="863"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32</w:t>
      </w:r>
    </w:p>
    <w:p>
      <w:pPr>
        <w:spacing w:after="0" w:line="308" w:lineRule="exact"/>
        <w:rPr>
          <w:sz w:val="20"/>
          <w:szCs w:val="20"/>
          <w:color w:val="auto"/>
        </w:rPr>
      </w:pPr>
    </w:p>
    <w:p>
      <w:pPr>
        <w:jc w:val="center"/>
        <w:ind w:left="780" w:right="140"/>
        <w:spacing w:after="0" w:line="361"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36" w:lineRule="exact"/>
        <w:rPr>
          <w:sz w:val="20"/>
          <w:szCs w:val="20"/>
          <w:color w:val="auto"/>
        </w:rPr>
      </w:pPr>
    </w:p>
    <w:p>
      <w:pPr>
        <w:ind w:right="480"/>
        <w:spacing w:after="0" w:line="345"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1" w:lineRule="exact"/>
        <w:rPr>
          <w:sz w:val="20"/>
          <w:szCs w:val="20"/>
          <w:color w:val="auto"/>
        </w:rPr>
      </w:pPr>
    </w:p>
    <w:p>
      <w:pPr>
        <w:ind w:left="620" w:right="220" w:hanging="306"/>
        <w:spacing w:after="0" w:line="355"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Our Quarterly Report on Form 10-Q for the quarter ended June 30, 2021, to which this certification is attached as Exhibit 32 (the "Report"), fully complies with the requirements of Section 13(a) or 15(d) of the Securities Exchange Act of 1934; and</w:t>
      </w:r>
    </w:p>
    <w:p>
      <w:pPr>
        <w:spacing w:after="0" w:line="227" w:lineRule="exact"/>
        <w:rPr>
          <w:rFonts w:ascii="Arial" w:cs="Arial" w:eastAsia="Arial" w:hAnsi="Arial"/>
          <w:sz w:val="17"/>
          <w:szCs w:val="17"/>
          <w:color w:val="auto"/>
        </w:rPr>
      </w:pPr>
    </w:p>
    <w:p>
      <w:pPr>
        <w:ind w:left="620" w:hanging="306"/>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2021</w:t>
      </w:r>
    </w:p>
    <w:p>
      <w:pPr>
        <w:spacing w:after="0" w:line="30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11430</wp:posOffset>
            </wp:positionV>
            <wp:extent cx="2250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Michael Barrett</w:t>
      </w:r>
    </w:p>
    <w:p>
      <w:pPr>
        <w:spacing w:after="0" w:line="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President and Chief Executive</w:t>
      </w:r>
    </w:p>
    <w:p>
      <w:pPr>
        <w:ind w:left="7380"/>
        <w:spacing w:after="0" w:line="236" w:lineRule="auto"/>
        <w:rPr>
          <w:sz w:val="20"/>
          <w:szCs w:val="20"/>
          <w:color w:val="auto"/>
        </w:rPr>
      </w:pPr>
      <w:r>
        <w:rPr>
          <w:rFonts w:ascii="Arial" w:cs="Arial" w:eastAsia="Arial" w:hAnsi="Arial"/>
          <w:sz w:val="16"/>
          <w:szCs w:val="16"/>
          <w:color w:val="auto"/>
        </w:rPr>
        <w:t>Officer</w:t>
      </w:r>
    </w:p>
    <w:p>
      <w:pPr>
        <w:ind w:left="73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11430</wp:posOffset>
            </wp:positionV>
            <wp:extent cx="2250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David Day</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Chief Financial Officer</w:t>
      </w:r>
    </w:p>
    <w:p>
      <w:pPr>
        <w:spacing w:after="0" w:line="24"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0"/>
        <w:spacing w:after="0" w:line="438"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310"/>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7">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77" Type="http://schemas.openxmlformats.org/officeDocument/2006/relationships/hyperlink" Target="https://www.sec.gov/Archives/edgar/data/1595974/000159597421000028/a21spaamendment.htm" TargetMode="External"/><Relationship Id="rId78" Type="http://schemas.openxmlformats.org/officeDocument/2006/relationships/hyperlink" Target="https://www.sec.gov/Archives/edgar/data/1595974/000159597421000028/a102creditagreement.htm" TargetMode="External"/><Relationship Id="rId79" Type="http://schemas.openxmlformats.org/officeDocument/2006/relationships/hyperlink" Target="https://www.sec.gov/Archives/edgar/data/1595974/000159597421000028/a103registrationrightsagre.htm" TargetMode="External"/><Relationship Id="rId80" Type="http://schemas.openxmlformats.org/officeDocument/2006/relationships/hyperlink" Target="https://www.sec.gov/Archives/edgar/data/1595974/000159597421000045/exhibit101magniteincr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2021-08-05T17:31:12Z</dcterms:created>
  <dcterms:modified xsi:type="dcterms:W3CDTF">2021-08-05T17:31:12Z</dcterms:modified>
</cp:coreProperties>
</file>