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Magnite,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55955D100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55955D100</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Capital Research Global Investors</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6,982,861.00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6,982,861.00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6,982,861.00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Magnite,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N/A</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Capital Research Global Investors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333 South Hope Street, 55th Fl, Los Angeles, CA 90071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N/A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55955D100</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(h)</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ind w:left="360"/>
        <w:spacing w:after="0"/>
        <w:rPr>
          <w:sz w:val="20"/>
          <w:szCs w:val="20"/>
          <w:color w:val="auto"/>
        </w:rPr>
      </w:pPr>
      <w:r>
        <w:rPr>
          <w:rFonts w:ascii="Times New Roman" w:cs="Times New Roman" w:eastAsia="Times New Roman" w:hAnsi="Times New Roman"/>
          <w:sz w:val="21"/>
          <w:szCs w:val="21"/>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2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49" w:lineRule="exact"/>
        <w:rPr>
          <w:sz w:val="20"/>
          <w:szCs w:val="20"/>
          <w:color w:val="auto"/>
        </w:rPr>
      </w:pPr>
    </w:p>
    <w:p>
      <w:pPr>
        <w:ind w:right="6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20"/>
        <w:spacing w:after="0" w:line="241" w:lineRule="auto"/>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838" w:orient="portrait"/>
          <w:cols w:equalWidth="0" w:num="2">
            <w:col w:w="620" w:space="300"/>
            <w:col w:w="10220"/>
          </w:cols>
          <w:pgMar w:left="360" w:top="111" w:right="399" w:bottom="0" w:gutter="0" w:footer="0" w:header="0"/>
        </w:sectPr>
      </w:pPr>
    </w:p>
    <w:p>
      <w:pPr>
        <w:spacing w:after="0" w:line="33" w:lineRule="exact"/>
        <w:rPr>
          <w:sz w:val="20"/>
          <w:szCs w:val="20"/>
          <w:color w:val="auto"/>
        </w:rPr>
      </w:pPr>
    </w:p>
    <w:p>
      <w:pPr>
        <w:ind w:left="920" w:right="560"/>
        <w:spacing w:after="0" w:line="253" w:lineRule="auto"/>
        <w:rPr>
          <w:sz w:val="20"/>
          <w:szCs w:val="20"/>
          <w:color w:val="auto"/>
        </w:rPr>
      </w:pPr>
      <w:r>
        <w:rPr>
          <w:rFonts w:ascii="Times New Roman" w:cs="Times New Roman" w:eastAsia="Times New Roman" w:hAnsi="Times New Roman"/>
          <w:sz w:val="21"/>
          <w:szCs w:val="21"/>
          <w:color w:val="auto"/>
        </w:rPr>
        <w:t>6,982,861 ** **Capital Research Global Investors ("CRGI") is a division of Capital Research and Management Company ("CRMC"), as well as its investment management subsidiaries and affiliates Capital Bank and Trust</w:t>
      </w:r>
    </w:p>
    <w:p>
      <w:pPr>
        <w:spacing w:after="0" w:line="1" w:lineRule="exact"/>
        <w:rPr>
          <w:sz w:val="20"/>
          <w:szCs w:val="20"/>
          <w:color w:val="auto"/>
        </w:rPr>
      </w:pPr>
    </w:p>
    <w:p>
      <w:pPr>
        <w:ind w:left="920" w:right="100" w:hanging="912"/>
        <w:spacing w:after="0" w:line="201" w:lineRule="auto"/>
        <w:tabs>
          <w:tab w:leader="none" w:pos="920" w:val="left"/>
        </w:tabs>
        <w:numPr>
          <w:ilvl w:val="0"/>
          <w:numId w:val="4"/>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Company, Capital International, Inc., Capital International Limited, Capital International Sarl, Capital International K.K., Capital Group Private Client Services, Inc., and Capital Group Investment Management Private Limited (together with CRMC, the "investment management entities"). CRGI's divisions of each of the investment management entities collectively provide investment management services under the name "Capital Research Global Investors." CRGI is deemed to be the beneficial owner of 6,982,861 shares or 4.9% of the 142,399,305 shares believed to be outstanding.</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4.9 %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1" w:right="39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6,982,861</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6,982,861</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1" w:right="399" w:bottom="0" w:gutter="0" w:footer="0" w:header="0"/>
          <w:type w:val="continuous"/>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ectPr>
          <w:pgSz w:w="11900" w:h="16838" w:orient="portrait"/>
          <w:cols w:equalWidth="0" w:num="1">
            <w:col w:w="11140"/>
          </w:cols>
          <w:pgMar w:left="360" w:top="111" w:right="399" w:bottom="0" w:gutter="0" w:footer="0" w:header="0"/>
          <w:type w:val="continuous"/>
        </w:sectPr>
      </w:pPr>
    </w:p>
    <w:bookmarkStart w:id="3" w:name="page4"/>
    <w:bookmarkEnd w:id="3"/>
    <w:p>
      <w:pPr>
        <w:ind w:left="2080"/>
        <w:spacing w:after="0"/>
        <w:rPr>
          <w:sz w:val="20"/>
          <w:szCs w:val="20"/>
          <w:color w:val="auto"/>
        </w:rPr>
      </w:pPr>
      <w:r>
        <w:rPr>
          <w:rFonts w:ascii="Times New Roman" w:cs="Times New Roman" w:eastAsia="Times New Roman" w:hAnsi="Times New Roman"/>
          <w:sz w:val="22"/>
          <w:szCs w:val="22"/>
          <w:color w:val="auto"/>
        </w:rPr>
        <w:t>Capital Research Global Investors</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Jae Won Chung</w:t>
      </w:r>
    </w:p>
    <w:p>
      <w:pPr>
        <w:jc w:val="right"/>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Vice President and Senior Counsel II, Capital</w:t>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Research and Management Company</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11/11/2025</w:t>
      </w:r>
    </w:p>
    <w:sectPr>
      <w:pgSz w:w="11900" w:h="16838" w:orient="portrait"/>
      <w:cols w:equalWidth="0" w:num="1">
        <w:col w:w="9600"/>
      </w:cols>
      <w:pgMar w:left="1440" w:top="477" w:right="8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2025-11-13T09:34:14Z</dcterms:created>
  <dcterms:modified xsi:type="dcterms:W3CDTF">2025-11-13T09:34:14Z</dcterms:modified>
</cp:coreProperties>
</file>