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4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0" w:after="0"/>
        <w:jc w:val="center"/>
        <w:rPr/>
      </w:pPr>
      <w:r>
        <w:rPr>
          <w:color w:val="000000"/>
        </w:rPr>
        <w:t xml:space="preserve">  </w:t>
      </w:r>
      <w:r>
        <w:rPr>
          <w:rFonts w:ascii="Times New Roman;sans-serif" w:hAnsi="Times New Roman;sans-serif"/>
          <w:b w:val="false"/>
          <w:color w:val="000000"/>
          <w:sz w:val="20"/>
        </w:rPr>
        <w:t>(Mark One)</w:t>
      </w:r>
    </w:p>
    <w:p>
      <w:pPr>
        <w:pStyle w:val="TextBody"/>
        <w:bidi w:val="0"/>
        <w:spacing w:before="0" w:after="0"/>
        <w:jc w:val="center"/>
        <w:rPr/>
      </w:pPr>
      <w:r>
        <w:rPr/>
      </w:r>
    </w:p>
    <w:p>
      <w:pPr>
        <w:pStyle w:val="TextBody"/>
        <w:bidi w:val="0"/>
        <w:spacing w:lineRule="auto" w:line="288" w:before="0" w:after="0"/>
        <w:jc w:val="center"/>
        <w:rPr/>
      </w:pPr>
      <w:r>
        <w:rPr>
          <w:color w:val="000000"/>
        </w:rPr>
        <w:t> ☒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 to _____________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20-8881738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1250 Broadway, 15th Floor</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10001</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(212) 243-2769</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0" w:after="10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10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00"/>
        <w:jc w:val="left"/>
        <w:rPr/>
      </w:pPr>
      <w:r>
        <w:rPr>
          <w:rFonts w:ascii="Times New Roman;sans-serif" w:hAnsi="Times New Roman;sans-serif"/>
          <w:b w:val="false"/>
          <w:color w:val="000000"/>
          <w:sz w:val="20"/>
        </w:rPr>
        <w:t xml:space="preserve">Indicate by check mark whether the registrant is a shell company (as defined in Rule 12b-2 of the Act).   </w:t>
      </w:r>
      <w:r>
        <w:rPr>
          <w:color w:val="000000"/>
        </w:rPr>
        <w:t xml:space="preserve">☐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 date.</w:t>
      </w:r>
    </w:p>
    <w:tbl>
      <w:tblPr>
        <w:tblW w:w="6041"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754"/>
        <w:gridCol w:w="754"/>
        <w:gridCol w:w="1072"/>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as of July 31, 2024</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141,146,976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MAGNITE,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11"/>
        <w:gridCol w:w="280"/>
        <w:gridCol w:w="285"/>
        <w:gridCol w:w="2801"/>
        <w:gridCol w:w="2801"/>
        <w:gridCol w:w="2808"/>
        <w:gridCol w:w="238"/>
        <w:gridCol w:w="238"/>
        <w:gridCol w:w="343"/>
      </w:tblGrid>
      <w:tr>
        <w:trPr/>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0">
              <w:r>
                <w:rPr>
                  <w:rStyle w:val="InternetLink"/>
                  <w:rFonts w:ascii="Times New Roman;sans-serif" w:hAnsi="Times New Roman;sans-serif"/>
                  <w:b w:val="false"/>
                  <w:color w:val="0000FF"/>
                  <w:sz w:val="20"/>
                  <w:u w:val="single"/>
                </w:rPr>
                <w:t>FINANCIAL INFORMATION</w:t>
              </w:r>
            </w:hyperlink>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14353ee9f1394c318c52c56c210b0f95_10">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3">
              <w:r>
                <w:rPr>
                  <w:rStyle w:val="InternetLink"/>
                  <w:rFonts w:ascii="Times New Roman;sans-serif" w:hAnsi="Times New Roman;sans-serif"/>
                  <w:b w:val="false"/>
                  <w:color w:val="0000FF"/>
                  <w:sz w:val="20"/>
                  <w:u w:val="single"/>
                </w:rPr>
                <w:t>Condensed Consolidated Financial Statements (Unaudited)</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3">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6">
              <w:r>
                <w:rPr>
                  <w:rStyle w:val="InternetLink"/>
                  <w:rFonts w:ascii="Times New Roman;sans-serif" w:hAnsi="Times New Roman;sans-serif"/>
                  <w:b w:val="false"/>
                  <w:color w:val="000080"/>
                  <w:sz w:val="20"/>
                  <w:u w:val="single"/>
                </w:rPr>
                <w:t xml:space="preserve">Condensed Consolidated Balance Sheets as of </w:t>
              </w:r>
            </w:hyperlink>
            <w:hyperlink w:anchor="i14353ee9f1394c318c52c56c210b0f95_16">
              <w:r>
                <w:rPr>
                  <w:rStyle w:val="InternetLink"/>
                  <w:rFonts w:ascii="Times New Roman;sans-serif" w:hAnsi="Times New Roman;sans-serif"/>
                  <w:b w:val="false"/>
                  <w:color w:val="000080"/>
                  <w:sz w:val="20"/>
                  <w:u w:val="single"/>
                </w:rPr>
                <w:t>June</w:t>
              </w:r>
            </w:hyperlink>
            <w:hyperlink w:anchor="i14353ee9f1394c318c52c56c210b0f95_16">
              <w:r>
                <w:rPr>
                  <w:rStyle w:val="InternetLink"/>
                  <w:rFonts w:ascii="Times New Roman;sans-serif" w:hAnsi="Times New Roman;sans-serif"/>
                  <w:b w:val="false"/>
                  <w:color w:val="000080"/>
                  <w:sz w:val="20"/>
                  <w:u w:val="single"/>
                </w:rPr>
                <w:t xml:space="preserve"> 3</w:t>
              </w:r>
            </w:hyperlink>
            <w:hyperlink w:anchor="i14353ee9f1394c318c52c56c210b0f95_16">
              <w:r>
                <w:rPr>
                  <w:rStyle w:val="InternetLink"/>
                  <w:rFonts w:ascii="Times New Roman;sans-serif" w:hAnsi="Times New Roman;sans-serif"/>
                  <w:b w:val="false"/>
                  <w:color w:val="000080"/>
                  <w:sz w:val="20"/>
                  <w:u w:val="single"/>
                </w:rPr>
                <w:t>0</w:t>
              </w:r>
            </w:hyperlink>
            <w:hyperlink w:anchor="i14353ee9f1394c318c52c56c210b0f95_16">
              <w:r>
                <w:rPr>
                  <w:rStyle w:val="InternetLink"/>
                  <w:rFonts w:ascii="Times New Roman;sans-serif" w:hAnsi="Times New Roman;sans-serif"/>
                  <w:b w:val="false"/>
                  <w:color w:val="000080"/>
                  <w:sz w:val="20"/>
                  <w:u w:val="single"/>
                </w:rPr>
                <w:t>, 2024 and December 31, 2023</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6">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9">
              <w:r>
                <w:rPr>
                  <w:rStyle w:val="InternetLink"/>
                  <w:rFonts w:ascii="Times New Roman;sans-serif" w:hAnsi="Times New Roman;sans-serif"/>
                  <w:b w:val="false"/>
                  <w:color w:val="000080"/>
                  <w:sz w:val="20"/>
                  <w:u w:val="single"/>
                </w:rPr>
                <w:t>Condensed Consolidated Statements of Operations for the Three</w:t>
              </w:r>
            </w:hyperlink>
            <w:hyperlink w:anchor="i14353ee9f1394c318c52c56c210b0f95_19">
              <w:r>
                <w:rPr>
                  <w:rStyle w:val="InternetLink"/>
                  <w:rFonts w:ascii="Times New Roman;sans-serif" w:hAnsi="Times New Roman;sans-serif"/>
                  <w:b w:val="false"/>
                  <w:color w:val="000080"/>
                  <w:sz w:val="20"/>
                  <w:u w:val="single"/>
                </w:rPr>
                <w:t xml:space="preserve"> and Six</w:t>
              </w:r>
            </w:hyperlink>
            <w:hyperlink w:anchor="i14353ee9f1394c318c52c56c210b0f95_19">
              <w:r>
                <w:rPr>
                  <w:rStyle w:val="InternetLink"/>
                  <w:rFonts w:ascii="Times New Roman;sans-serif" w:hAnsi="Times New Roman;sans-serif"/>
                  <w:b w:val="false"/>
                  <w:color w:val="000080"/>
                  <w:sz w:val="20"/>
                  <w:u w:val="single"/>
                </w:rPr>
                <w:t xml:space="preserve"> Months Ended </w:t>
              </w:r>
            </w:hyperlink>
            <w:hyperlink w:anchor="i14353ee9f1394c318c52c56c210b0f95_19">
              <w:r>
                <w:rPr>
                  <w:rStyle w:val="InternetLink"/>
                  <w:rFonts w:ascii="Times New Roman;sans-serif" w:hAnsi="Times New Roman;sans-serif"/>
                  <w:b w:val="false"/>
                  <w:color w:val="000080"/>
                  <w:sz w:val="20"/>
                  <w:u w:val="single"/>
                </w:rPr>
                <w:t>June</w:t>
              </w:r>
            </w:hyperlink>
            <w:hyperlink w:anchor="i14353ee9f1394c318c52c56c210b0f95_19">
              <w:r>
                <w:rPr>
                  <w:rStyle w:val="InternetLink"/>
                  <w:rFonts w:ascii="Times New Roman;sans-serif" w:hAnsi="Times New Roman;sans-serif"/>
                  <w:b w:val="false"/>
                  <w:color w:val="000080"/>
                  <w:sz w:val="20"/>
                  <w:u w:val="single"/>
                </w:rPr>
                <w:t xml:space="preserve"> 3</w:t>
              </w:r>
            </w:hyperlink>
            <w:hyperlink w:anchor="i14353ee9f1394c318c52c56c210b0f95_19">
              <w:r>
                <w:rPr>
                  <w:rStyle w:val="InternetLink"/>
                  <w:rFonts w:ascii="Times New Roman;sans-serif" w:hAnsi="Times New Roman;sans-serif"/>
                  <w:b w:val="false"/>
                  <w:color w:val="000080"/>
                  <w:sz w:val="20"/>
                  <w:u w:val="single"/>
                </w:rPr>
                <w:t>0</w:t>
              </w:r>
            </w:hyperlink>
            <w:hyperlink w:anchor="i14353ee9f1394c318c52c56c210b0f95_19">
              <w:r>
                <w:rPr>
                  <w:rStyle w:val="InternetLink"/>
                  <w:rFonts w:ascii="Times New Roman;sans-serif" w:hAnsi="Times New Roman;sans-serif"/>
                  <w:b w:val="false"/>
                  <w:color w:val="000080"/>
                  <w:sz w:val="20"/>
                  <w:u w:val="single"/>
                </w:rPr>
                <w:t xml:space="preserve">, 2024 and </w:t>
              </w:r>
            </w:hyperlink>
            <w:hyperlink w:anchor="i14353ee9f1394c318c52c56c210b0f95_19">
              <w:r>
                <w:rPr>
                  <w:rStyle w:val="InternetLink"/>
                  <w:rFonts w:ascii="Times New Roman;sans-serif" w:hAnsi="Times New Roman;sans-serif"/>
                  <w:b w:val="false"/>
                  <w:color w:val="000080"/>
                  <w:sz w:val="20"/>
                  <w:u w:val="single"/>
                </w:rPr>
                <w:t>June</w:t>
              </w:r>
            </w:hyperlink>
            <w:hyperlink w:anchor="i14353ee9f1394c318c52c56c210b0f95_19">
              <w:r>
                <w:rPr>
                  <w:rStyle w:val="InternetLink"/>
                  <w:rFonts w:ascii="Times New Roman;sans-serif" w:hAnsi="Times New Roman;sans-serif"/>
                  <w:b w:val="false"/>
                  <w:color w:val="000080"/>
                  <w:sz w:val="20"/>
                  <w:u w:val="single"/>
                </w:rPr>
                <w:t xml:space="preserve"> 3</w:t>
              </w:r>
            </w:hyperlink>
            <w:hyperlink w:anchor="i14353ee9f1394c318c52c56c210b0f95_19">
              <w:r>
                <w:rPr>
                  <w:rStyle w:val="InternetLink"/>
                  <w:rFonts w:ascii="Times New Roman;sans-serif" w:hAnsi="Times New Roman;sans-serif"/>
                  <w:b w:val="false"/>
                  <w:color w:val="000080"/>
                  <w:sz w:val="20"/>
                  <w:u w:val="single"/>
                </w:rPr>
                <w:t>0</w:t>
              </w:r>
            </w:hyperlink>
            <w:hyperlink w:anchor="i14353ee9f1394c318c52c56c210b0f95_19">
              <w:r>
                <w:rPr>
                  <w:rStyle w:val="InternetLink"/>
                  <w:rFonts w:ascii="Times New Roman;sans-serif" w:hAnsi="Times New Roman;sans-serif"/>
                  <w:b w:val="false"/>
                  <w:color w:val="000080"/>
                  <w:sz w:val="20"/>
                  <w:u w:val="single"/>
                </w:rPr>
                <w:t>, 2023</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9">
              <w:r>
                <w:rPr>
                  <w:rStyle w:val="InternetLink"/>
                  <w:rFonts w:ascii="Times New Roman;sans-serif" w:hAnsi="Times New Roman;sans-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22">
              <w:r>
                <w:rPr>
                  <w:rStyle w:val="InternetLink"/>
                  <w:rFonts w:ascii="Times New Roman;sans-serif" w:hAnsi="Times New Roman;sans-serif"/>
                  <w:b w:val="false"/>
                  <w:color w:val="000080"/>
                  <w:sz w:val="20"/>
                  <w:u w:val="single"/>
                </w:rPr>
                <w:t xml:space="preserve">Condensed Consolidated Statements of Comprehensive Loss for the Three </w:t>
              </w:r>
            </w:hyperlink>
            <w:hyperlink w:anchor="i14353ee9f1394c318c52c56c210b0f95_22">
              <w:r>
                <w:rPr>
                  <w:rStyle w:val="InternetLink"/>
                  <w:rFonts w:ascii="Times New Roman;sans-serif" w:hAnsi="Times New Roman;sans-serif"/>
                  <w:b w:val="false"/>
                  <w:color w:val="000080"/>
                  <w:sz w:val="20"/>
                  <w:u w:val="single"/>
                </w:rPr>
                <w:t xml:space="preserve">and Six </w:t>
              </w:r>
            </w:hyperlink>
            <w:hyperlink w:anchor="i14353ee9f1394c318c52c56c210b0f95_22">
              <w:r>
                <w:rPr>
                  <w:rStyle w:val="InternetLink"/>
                  <w:rFonts w:ascii="Times New Roman;sans-serif" w:hAnsi="Times New Roman;sans-serif"/>
                  <w:b w:val="false"/>
                  <w:color w:val="000080"/>
                  <w:sz w:val="20"/>
                  <w:u w:val="single"/>
                </w:rPr>
                <w:t xml:space="preserve">Months Ended </w:t>
              </w:r>
            </w:hyperlink>
            <w:hyperlink w:anchor="i14353ee9f1394c318c52c56c210b0f95_22">
              <w:r>
                <w:rPr>
                  <w:rStyle w:val="InternetLink"/>
                  <w:rFonts w:ascii="Times New Roman;sans-serif" w:hAnsi="Times New Roman;sans-serif"/>
                  <w:b w:val="false"/>
                  <w:color w:val="000080"/>
                  <w:sz w:val="20"/>
                  <w:u w:val="single"/>
                </w:rPr>
                <w:t>June</w:t>
              </w:r>
            </w:hyperlink>
            <w:hyperlink w:anchor="i14353ee9f1394c318c52c56c210b0f95_22">
              <w:r>
                <w:rPr>
                  <w:rStyle w:val="InternetLink"/>
                  <w:rFonts w:ascii="Times New Roman;sans-serif" w:hAnsi="Times New Roman;sans-serif"/>
                  <w:b w:val="false"/>
                  <w:color w:val="000080"/>
                  <w:sz w:val="20"/>
                  <w:u w:val="single"/>
                </w:rPr>
                <w:t xml:space="preserve"> 3</w:t>
              </w:r>
            </w:hyperlink>
            <w:hyperlink w:anchor="i14353ee9f1394c318c52c56c210b0f95_22">
              <w:r>
                <w:rPr>
                  <w:rStyle w:val="InternetLink"/>
                  <w:rFonts w:ascii="Times New Roman;sans-serif" w:hAnsi="Times New Roman;sans-serif"/>
                  <w:b w:val="false"/>
                  <w:color w:val="000080"/>
                  <w:sz w:val="20"/>
                  <w:u w:val="single"/>
                </w:rPr>
                <w:t>0</w:t>
              </w:r>
            </w:hyperlink>
            <w:hyperlink w:anchor="i14353ee9f1394c318c52c56c210b0f95_22">
              <w:r>
                <w:rPr>
                  <w:rStyle w:val="InternetLink"/>
                  <w:rFonts w:ascii="Times New Roman;sans-serif" w:hAnsi="Times New Roman;sans-serif"/>
                  <w:b w:val="false"/>
                  <w:color w:val="000080"/>
                  <w:sz w:val="20"/>
                  <w:u w:val="single"/>
                </w:rPr>
                <w:t xml:space="preserve">, 2024 and </w:t>
              </w:r>
            </w:hyperlink>
            <w:hyperlink w:anchor="i14353ee9f1394c318c52c56c210b0f95_22">
              <w:r>
                <w:rPr>
                  <w:rStyle w:val="InternetLink"/>
                  <w:rFonts w:ascii="Times New Roman;sans-serif" w:hAnsi="Times New Roman;sans-serif"/>
                  <w:b w:val="false"/>
                  <w:color w:val="000080"/>
                  <w:sz w:val="20"/>
                  <w:u w:val="single"/>
                </w:rPr>
                <w:t>June</w:t>
              </w:r>
            </w:hyperlink>
            <w:hyperlink w:anchor="i14353ee9f1394c318c52c56c210b0f95_22">
              <w:r>
                <w:rPr>
                  <w:rStyle w:val="InternetLink"/>
                  <w:rFonts w:ascii="Times New Roman;sans-serif" w:hAnsi="Times New Roman;sans-serif"/>
                  <w:b w:val="false"/>
                  <w:color w:val="000080"/>
                  <w:sz w:val="20"/>
                  <w:u w:val="single"/>
                </w:rPr>
                <w:t xml:space="preserve"> 3</w:t>
              </w:r>
            </w:hyperlink>
            <w:hyperlink w:anchor="i14353ee9f1394c318c52c56c210b0f95_22">
              <w:r>
                <w:rPr>
                  <w:rStyle w:val="InternetLink"/>
                  <w:rFonts w:ascii="Times New Roman;sans-serif" w:hAnsi="Times New Roman;sans-serif"/>
                  <w:b w:val="false"/>
                  <w:color w:val="000080"/>
                  <w:sz w:val="20"/>
                  <w:u w:val="single"/>
                </w:rPr>
                <w:t>0</w:t>
              </w:r>
            </w:hyperlink>
            <w:hyperlink w:anchor="i14353ee9f1394c318c52c56c210b0f95_22">
              <w:r>
                <w:rPr>
                  <w:rStyle w:val="InternetLink"/>
                  <w:rFonts w:ascii="Times New Roman;sans-serif" w:hAnsi="Times New Roman;sans-serif"/>
                  <w:b w:val="false"/>
                  <w:color w:val="000080"/>
                  <w:sz w:val="20"/>
                  <w:u w:val="single"/>
                </w:rPr>
                <w:t>, 2023</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22">
              <w:r>
                <w:rPr>
                  <w:rStyle w:val="InternetLink"/>
                  <w:rFonts w:ascii="Times New Roman;sans-serif" w:hAnsi="Times New Roman;sans-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25">
              <w:r>
                <w:rPr>
                  <w:rStyle w:val="InternetLink"/>
                  <w:rFonts w:ascii="Times New Roman;sans-serif" w:hAnsi="Times New Roman;sans-serif"/>
                  <w:b w:val="false"/>
                  <w:color w:val="000080"/>
                  <w:sz w:val="20"/>
                  <w:u w:val="single"/>
                </w:rPr>
                <w:t xml:space="preserve">Condensed Consolidated Statements of Stockholders' Equity for the Three </w:t>
              </w:r>
            </w:hyperlink>
            <w:hyperlink w:anchor="i14353ee9f1394c318c52c56c210b0f95_25">
              <w:r>
                <w:rPr>
                  <w:rStyle w:val="InternetLink"/>
                  <w:rFonts w:ascii="Times New Roman;sans-serif" w:hAnsi="Times New Roman;sans-serif"/>
                  <w:b w:val="false"/>
                  <w:color w:val="000080"/>
                  <w:sz w:val="20"/>
                  <w:u w:val="single"/>
                </w:rPr>
                <w:t xml:space="preserve">and Six </w:t>
              </w:r>
            </w:hyperlink>
            <w:hyperlink w:anchor="i14353ee9f1394c318c52c56c210b0f95_25">
              <w:r>
                <w:rPr>
                  <w:rStyle w:val="InternetLink"/>
                  <w:rFonts w:ascii="Times New Roman;sans-serif" w:hAnsi="Times New Roman;sans-serif"/>
                  <w:b w:val="false"/>
                  <w:color w:val="000080"/>
                  <w:sz w:val="20"/>
                  <w:u w:val="single"/>
                </w:rPr>
                <w:t xml:space="preserve">Months Ended </w:t>
              </w:r>
            </w:hyperlink>
            <w:hyperlink w:anchor="i14353ee9f1394c318c52c56c210b0f95_25">
              <w:r>
                <w:rPr>
                  <w:rStyle w:val="InternetLink"/>
                  <w:rFonts w:ascii="Times New Roman;sans-serif" w:hAnsi="Times New Roman;sans-serif"/>
                  <w:b w:val="false"/>
                  <w:color w:val="000080"/>
                  <w:sz w:val="20"/>
                  <w:u w:val="single"/>
                </w:rPr>
                <w:t>June</w:t>
              </w:r>
            </w:hyperlink>
            <w:hyperlink w:anchor="i14353ee9f1394c318c52c56c210b0f95_25">
              <w:r>
                <w:rPr>
                  <w:rStyle w:val="InternetLink"/>
                  <w:rFonts w:ascii="Times New Roman;sans-serif" w:hAnsi="Times New Roman;sans-serif"/>
                  <w:b w:val="false"/>
                  <w:color w:val="000080"/>
                  <w:sz w:val="20"/>
                  <w:u w:val="single"/>
                </w:rPr>
                <w:t xml:space="preserve"> 3</w:t>
              </w:r>
            </w:hyperlink>
            <w:hyperlink w:anchor="i14353ee9f1394c318c52c56c210b0f95_25">
              <w:r>
                <w:rPr>
                  <w:rStyle w:val="InternetLink"/>
                  <w:rFonts w:ascii="Times New Roman;sans-serif" w:hAnsi="Times New Roman;sans-serif"/>
                  <w:b w:val="false"/>
                  <w:color w:val="000080"/>
                  <w:sz w:val="20"/>
                  <w:u w:val="single"/>
                </w:rPr>
                <w:t>0</w:t>
              </w:r>
            </w:hyperlink>
            <w:hyperlink w:anchor="i14353ee9f1394c318c52c56c210b0f95_25">
              <w:r>
                <w:rPr>
                  <w:rStyle w:val="InternetLink"/>
                  <w:rFonts w:ascii="Times New Roman;sans-serif" w:hAnsi="Times New Roman;sans-serif"/>
                  <w:b w:val="false"/>
                  <w:color w:val="000080"/>
                  <w:sz w:val="20"/>
                  <w:u w:val="single"/>
                </w:rPr>
                <w:t xml:space="preserve">, 2024 and </w:t>
              </w:r>
            </w:hyperlink>
            <w:hyperlink w:anchor="i14353ee9f1394c318c52c56c210b0f95_25">
              <w:r>
                <w:rPr>
                  <w:rStyle w:val="InternetLink"/>
                  <w:rFonts w:ascii="Times New Roman;sans-serif" w:hAnsi="Times New Roman;sans-serif"/>
                  <w:b w:val="false"/>
                  <w:color w:val="000080"/>
                  <w:sz w:val="20"/>
                  <w:u w:val="single"/>
                </w:rPr>
                <w:t>June</w:t>
              </w:r>
            </w:hyperlink>
            <w:hyperlink w:anchor="i14353ee9f1394c318c52c56c210b0f95_25">
              <w:r>
                <w:rPr>
                  <w:rStyle w:val="InternetLink"/>
                  <w:rFonts w:ascii="Times New Roman;sans-serif" w:hAnsi="Times New Roman;sans-serif"/>
                  <w:b w:val="false"/>
                  <w:color w:val="000080"/>
                  <w:sz w:val="20"/>
                  <w:u w:val="single"/>
                </w:rPr>
                <w:t xml:space="preserve"> 3</w:t>
              </w:r>
            </w:hyperlink>
            <w:hyperlink w:anchor="i14353ee9f1394c318c52c56c210b0f95_25">
              <w:r>
                <w:rPr>
                  <w:rStyle w:val="InternetLink"/>
                  <w:rFonts w:ascii="Times New Roman;sans-serif" w:hAnsi="Times New Roman;sans-serif"/>
                  <w:b w:val="false"/>
                  <w:color w:val="000080"/>
                  <w:sz w:val="20"/>
                  <w:u w:val="single"/>
                </w:rPr>
                <w:t>0</w:t>
              </w:r>
            </w:hyperlink>
            <w:hyperlink w:anchor="i14353ee9f1394c318c52c56c210b0f95_25">
              <w:r>
                <w:rPr>
                  <w:rStyle w:val="InternetLink"/>
                  <w:rFonts w:ascii="Times New Roman;sans-serif" w:hAnsi="Times New Roman;sans-serif"/>
                  <w:b w:val="false"/>
                  <w:color w:val="000080"/>
                  <w:sz w:val="20"/>
                  <w:u w:val="single"/>
                </w:rPr>
                <w:t>, 2023</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25">
              <w:r>
                <w:rPr>
                  <w:rStyle w:val="InternetLink"/>
                  <w:rFonts w:ascii="Times New Roman;sans-serif" w:hAnsi="Times New Roman;sans-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28">
              <w:r>
                <w:rPr>
                  <w:rStyle w:val="InternetLink"/>
                  <w:rFonts w:ascii="Times New Roman;sans-serif" w:hAnsi="Times New Roman;sans-serif"/>
                  <w:b w:val="false"/>
                  <w:color w:val="000080"/>
                  <w:sz w:val="20"/>
                  <w:u w:val="single"/>
                </w:rPr>
                <w:t xml:space="preserve">Condensed Consolidated Statements of Cash Flows for the </w:t>
              </w:r>
            </w:hyperlink>
            <w:hyperlink w:anchor="i14353ee9f1394c318c52c56c210b0f95_28">
              <w:r>
                <w:rPr>
                  <w:rStyle w:val="InternetLink"/>
                  <w:rFonts w:ascii="Times New Roman;sans-serif" w:hAnsi="Times New Roman;sans-serif"/>
                  <w:b w:val="false"/>
                  <w:color w:val="000080"/>
                  <w:sz w:val="20"/>
                  <w:u w:val="single"/>
                </w:rPr>
                <w:t>Six</w:t>
              </w:r>
            </w:hyperlink>
            <w:hyperlink w:anchor="i14353ee9f1394c318c52c56c210b0f95_28">
              <w:r>
                <w:rPr>
                  <w:rStyle w:val="InternetLink"/>
                  <w:rFonts w:ascii="Times New Roman;sans-serif" w:hAnsi="Times New Roman;sans-serif"/>
                  <w:b w:val="false"/>
                  <w:color w:val="000080"/>
                  <w:sz w:val="20"/>
                  <w:u w:val="single"/>
                </w:rPr>
                <w:t xml:space="preserve"> Months Ended </w:t>
              </w:r>
            </w:hyperlink>
            <w:hyperlink w:anchor="i14353ee9f1394c318c52c56c210b0f95_28">
              <w:r>
                <w:rPr>
                  <w:rStyle w:val="InternetLink"/>
                  <w:rFonts w:ascii="Times New Roman;sans-serif" w:hAnsi="Times New Roman;sans-serif"/>
                  <w:b w:val="false"/>
                  <w:color w:val="000080"/>
                  <w:sz w:val="20"/>
                  <w:u w:val="single"/>
                </w:rPr>
                <w:t>J</w:t>
              </w:r>
            </w:hyperlink>
            <w:hyperlink w:anchor="i14353ee9f1394c318c52c56c210b0f95_28">
              <w:r>
                <w:rPr>
                  <w:rStyle w:val="InternetLink"/>
                  <w:rFonts w:ascii="Times New Roman;sans-serif" w:hAnsi="Times New Roman;sans-serif"/>
                  <w:b w:val="false"/>
                  <w:color w:val="000080"/>
                  <w:sz w:val="20"/>
                  <w:u w:val="single"/>
                </w:rPr>
                <w:t>une</w:t>
              </w:r>
            </w:hyperlink>
            <w:hyperlink w:anchor="i14353ee9f1394c318c52c56c210b0f95_28">
              <w:r>
                <w:rPr>
                  <w:rStyle w:val="InternetLink"/>
                  <w:rFonts w:ascii="Times New Roman;sans-serif" w:hAnsi="Times New Roman;sans-serif"/>
                  <w:b w:val="false"/>
                  <w:color w:val="000080"/>
                  <w:sz w:val="20"/>
                  <w:u w:val="single"/>
                </w:rPr>
                <w:t xml:space="preserve"> 3</w:t>
              </w:r>
            </w:hyperlink>
            <w:hyperlink w:anchor="i14353ee9f1394c318c52c56c210b0f95_28">
              <w:r>
                <w:rPr>
                  <w:rStyle w:val="InternetLink"/>
                  <w:rFonts w:ascii="Times New Roman;sans-serif" w:hAnsi="Times New Roman;sans-serif"/>
                  <w:b w:val="false"/>
                  <w:color w:val="000080"/>
                  <w:sz w:val="20"/>
                  <w:u w:val="single"/>
                </w:rPr>
                <w:t>0</w:t>
              </w:r>
            </w:hyperlink>
            <w:hyperlink w:anchor="i14353ee9f1394c318c52c56c210b0f95_28">
              <w:r>
                <w:rPr>
                  <w:rStyle w:val="InternetLink"/>
                  <w:rFonts w:ascii="Times New Roman;sans-serif" w:hAnsi="Times New Roman;sans-serif"/>
                  <w:b w:val="false"/>
                  <w:color w:val="000080"/>
                  <w:sz w:val="20"/>
                  <w:u w:val="single"/>
                </w:rPr>
                <w:t xml:space="preserve">, 2024 and </w:t>
              </w:r>
            </w:hyperlink>
            <w:hyperlink w:anchor="i14353ee9f1394c318c52c56c210b0f95_28">
              <w:r>
                <w:rPr>
                  <w:rStyle w:val="InternetLink"/>
                  <w:rFonts w:ascii="Times New Roman;sans-serif" w:hAnsi="Times New Roman;sans-serif"/>
                  <w:b w:val="false"/>
                  <w:color w:val="000080"/>
                  <w:sz w:val="20"/>
                  <w:u w:val="single"/>
                </w:rPr>
                <w:t>June</w:t>
              </w:r>
            </w:hyperlink>
            <w:hyperlink w:anchor="i14353ee9f1394c318c52c56c210b0f95_28">
              <w:r>
                <w:rPr>
                  <w:rStyle w:val="InternetLink"/>
                  <w:rFonts w:ascii="Times New Roman;sans-serif" w:hAnsi="Times New Roman;sans-serif"/>
                  <w:b w:val="false"/>
                  <w:color w:val="000080"/>
                  <w:sz w:val="20"/>
                  <w:u w:val="single"/>
                </w:rPr>
                <w:t xml:space="preserve"> 3</w:t>
              </w:r>
            </w:hyperlink>
            <w:hyperlink w:anchor="i14353ee9f1394c318c52c56c210b0f95_28">
              <w:r>
                <w:rPr>
                  <w:rStyle w:val="InternetLink"/>
                  <w:rFonts w:ascii="Times New Roman;sans-serif" w:hAnsi="Times New Roman;sans-serif"/>
                  <w:b w:val="false"/>
                  <w:color w:val="000080"/>
                  <w:sz w:val="20"/>
                  <w:u w:val="single"/>
                </w:rPr>
                <w:t>0</w:t>
              </w:r>
            </w:hyperlink>
            <w:hyperlink w:anchor="i14353ee9f1394c318c52c56c210b0f95_28">
              <w:r>
                <w:rPr>
                  <w:rStyle w:val="InternetLink"/>
                  <w:rFonts w:ascii="Times New Roman;sans-serif" w:hAnsi="Times New Roman;sans-serif"/>
                  <w:b w:val="false"/>
                  <w:color w:val="000080"/>
                  <w:sz w:val="20"/>
                  <w:u w:val="single"/>
                </w:rPr>
                <w:t>, 2023</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28">
              <w:r>
                <w:rPr>
                  <w:rStyle w:val="InternetLink"/>
                  <w:rFonts w:ascii="Times New Roman;sans-serif" w:hAnsi="Times New Roman;sans-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34">
              <w:r>
                <w:rPr>
                  <w:rStyle w:val="InternetLink"/>
                  <w:rFonts w:ascii="Times New Roman;sans-serif" w:hAnsi="Times New Roman;sans-serif"/>
                  <w:b w:val="false"/>
                  <w:color w:val="0000FF"/>
                  <w:sz w:val="20"/>
                  <w:u w:val="single"/>
                </w:rPr>
                <w:t>Notes to Condensed Consolidated Financial Statements</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34">
              <w:r>
                <w:rPr>
                  <w:rStyle w:val="InternetLink"/>
                  <w:rFonts w:ascii="Times New Roman;sans-serif" w:hAnsi="Times New Roman;sans-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91">
              <w:r>
                <w:rPr>
                  <w:rStyle w:val="InternetLink"/>
                  <w:rFonts w:ascii="Times New Roman;sans-serif" w:hAnsi="Times New Roman;sans-serif"/>
                  <w:b w:val="false"/>
                  <w:color w:val="0000FF"/>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24">
              <w:r>
                <w:rPr>
                  <w:rStyle w:val="InternetLink"/>
                  <w:rFonts w:ascii="Times New Roman;sans-serif" w:hAnsi="Times New Roman;sans-serif"/>
                  <w:b w:val="false"/>
                  <w:color w:val="0000FF"/>
                  <w:sz w:val="20"/>
                  <w:u w:val="single"/>
                </w:rPr>
                <w:t>Quantitative and Qualitative Disclosures About Market Risk</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24">
              <w:r>
                <w:rPr>
                  <w:rStyle w:val="InternetLink"/>
                  <w:rFonts w:ascii="Times New Roman;sans-serif" w:hAnsi="Times New Roman;sans-serif"/>
                  <w:b w:val="false"/>
                  <w:color w:val="0000FF"/>
                  <w:sz w:val="20"/>
                  <w:u w:val="singl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27">
              <w:r>
                <w:rPr>
                  <w:rStyle w:val="InternetLink"/>
                  <w:rFonts w:ascii="Times New Roman;sans-serif" w:hAnsi="Times New Roman;sans-serif"/>
                  <w:b w:val="false"/>
                  <w:color w:val="0000FF"/>
                  <w:sz w:val="20"/>
                  <w:u w:val="single"/>
                </w:rPr>
                <w:t>Controls and Procedures</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27">
              <w:r>
                <w:rPr>
                  <w:rStyle w:val="InternetLink"/>
                  <w:rFonts w:ascii="Times New Roman;sans-serif" w:hAnsi="Times New Roman;sans-serif"/>
                  <w:b w:val="false"/>
                  <w:color w:val="0000FF"/>
                  <w:sz w:val="20"/>
                  <w:u w:val="single"/>
                </w:rPr>
                <w:t>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30">
              <w:r>
                <w:rPr>
                  <w:rStyle w:val="InternetLink"/>
                  <w:rFonts w:ascii="Times New Roman;sans-serif" w:hAnsi="Times New Roman;sans-serif"/>
                  <w:b w:val="false"/>
                  <w:color w:val="0000FF"/>
                  <w:sz w:val="20"/>
                  <w:u w:val="single"/>
                </w:rPr>
                <w:t>OTHER INFORMATION</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30">
              <w:r>
                <w:rPr>
                  <w:rStyle w:val="InternetLink"/>
                  <w:rFonts w:ascii="Times New Roman;sans-serif" w:hAnsi="Times New Roman;sans-serif"/>
                  <w:b w:val="false"/>
                  <w:color w:val="0000FF"/>
                  <w:sz w:val="20"/>
                  <w:u w:val="single"/>
                </w:rPr>
                <w:t>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33">
              <w:r>
                <w:rPr>
                  <w:rStyle w:val="InternetLink"/>
                  <w:rFonts w:ascii="Times New Roman;sans-serif" w:hAnsi="Times New Roman;sans-serif"/>
                  <w:b w:val="false"/>
                  <w:color w:val="0000FF"/>
                  <w:sz w:val="20"/>
                  <w:u w:val="single"/>
                </w:rPr>
                <w:t>Legal Proceedings</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33">
              <w:r>
                <w:rPr>
                  <w:rStyle w:val="InternetLink"/>
                  <w:rFonts w:ascii="Times New Roman;sans-serif" w:hAnsi="Times New Roman;sans-serif"/>
                  <w:b w:val="false"/>
                  <w:color w:val="0000FF"/>
                  <w:sz w:val="20"/>
                  <w:u w:val="single"/>
                </w:rPr>
                <w:t>44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36">
              <w:r>
                <w:rPr>
                  <w:rStyle w:val="InternetLink"/>
                  <w:rFonts w:ascii="Times New Roman;sans-serif" w:hAnsi="Times New Roman;sans-serif"/>
                  <w:b w:val="false"/>
                  <w:color w:val="0000FF"/>
                  <w:sz w:val="20"/>
                  <w:u w:val="single"/>
                </w:rPr>
                <w:t>Risk Factors</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36">
              <w:r>
                <w:rPr>
                  <w:rStyle w:val="InternetLink"/>
                  <w:rFonts w:ascii="Times New Roman;sans-serif" w:hAnsi="Times New Roman;sans-serif"/>
                  <w:b w:val="false"/>
                  <w:color w:val="0000FF"/>
                  <w:sz w:val="20"/>
                  <w:u w:val="single"/>
                </w:rPr>
                <w:t>44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39">
              <w:r>
                <w:rPr>
                  <w:rStyle w:val="InternetLink"/>
                  <w:rFonts w:ascii="Times New Roman;sans-serif" w:hAnsi="Times New Roman;sans-serif"/>
                  <w:b w:val="false"/>
                  <w:color w:val="0000FF"/>
                  <w:sz w:val="20"/>
                  <w:u w:val="single"/>
                </w:rPr>
                <w:t>Unregistered Sales of Equity Securities and Use of Proceeds</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39">
              <w:r>
                <w:rPr>
                  <w:rStyle w:val="InternetLink"/>
                  <w:rFonts w:ascii="Times New Roman;sans-serif" w:hAnsi="Times New Roman;sans-serif"/>
                  <w:b w:val="false"/>
                  <w:color w:val="0000FF"/>
                  <w:sz w:val="20"/>
                  <w:u w:val="single"/>
                </w:rPr>
                <w:t>44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42">
              <w:r>
                <w:rPr>
                  <w:rStyle w:val="InternetLink"/>
                  <w:rFonts w:ascii="Times New Roman;sans-serif" w:hAnsi="Times New Roman;sans-serif"/>
                  <w:b w:val="false"/>
                  <w:color w:val="000080"/>
                  <w:sz w:val="20"/>
                  <w:u w:val="single"/>
                </w:rPr>
                <w:t>O</w:t>
              </w:r>
            </w:hyperlink>
            <w:hyperlink w:anchor="i14353ee9f1394c318c52c56c210b0f95_142">
              <w:r>
                <w:rPr>
                  <w:rStyle w:val="InternetLink"/>
                  <w:rFonts w:ascii="Times New Roman;sans-serif" w:hAnsi="Times New Roman;sans-serif"/>
                  <w:b w:val="false"/>
                  <w:color w:val="000080"/>
                  <w:sz w:val="20"/>
                  <w:u w:val="single"/>
                </w:rPr>
                <w:t>ther Information</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42">
              <w:r>
                <w:rPr>
                  <w:rStyle w:val="InternetLink"/>
                  <w:rFonts w:ascii="Times New Roman;sans-serif" w:hAnsi="Times New Roman;sans-serif"/>
                  <w:b w:val="false"/>
                  <w:color w:val="0000FF"/>
                  <w:sz w:val="20"/>
                  <w:u w:val="singl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48">
              <w:r>
                <w:rPr>
                  <w:rStyle w:val="InternetLink"/>
                  <w:rFonts w:ascii="Times New Roman;sans-serif" w:hAnsi="Times New Roman;sans-serif"/>
                  <w:b w:val="false"/>
                  <w:color w:val="0000FF"/>
                  <w:sz w:val="20"/>
                  <w:u w:val="single"/>
                </w:rPr>
                <w:t>Exhibits</w:t>
              </w:r>
            </w:hyperlink>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48">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353ee9f1394c318c52c56c210b0f95_151">
              <w:r>
                <w:rPr>
                  <w:rStyle w:val="InternetLink"/>
                  <w:rFonts w:ascii="Times New Roman;sans-serif" w:hAnsi="Times New Roman;sans-serif"/>
                  <w:b w:val="false"/>
                  <w:strike w:val="false"/>
                  <w:dstrike w:val="false"/>
                  <w:color w:val="0000FF"/>
                  <w:sz w:val="20"/>
                  <w:u w:val="none"/>
                  <w:effect w:val="none"/>
                </w:rPr>
                <w:t>Signatures</w:t>
              </w:r>
            </w:hyperlink>
          </w:p>
        </w:tc>
        <w:tc>
          <w:tcPr>
            <w:tcW w:w="8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53ee9f1394c318c52c56c210b0f95_151">
              <w:r>
                <w:rPr>
                  <w:rStyle w:val="InternetLink"/>
                  <w:rFonts w:ascii="Times New Roman;sans-serif" w:hAnsi="Times New Roman;sans-serif"/>
                  <w:b w:val="false"/>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Item 1.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right"/>
        <w:tblInd w:w="0" w:type="dxa"/>
        <w:tblLayout w:type="fixed"/>
        <w:tblCellMar>
          <w:top w:w="28" w:type="dxa"/>
          <w:left w:w="28" w:type="dxa"/>
          <w:bottom w:w="28" w:type="dxa"/>
          <w:right w:w="28" w:type="dxa"/>
        </w:tblCellMar>
      </w:tblPr>
      <w:tblGrid>
        <w:gridCol w:w="2964"/>
        <w:gridCol w:w="2079"/>
        <w:gridCol w:w="2086"/>
        <w:gridCol w:w="342"/>
        <w:gridCol w:w="461"/>
        <w:gridCol w:w="470"/>
        <w:gridCol w:w="109"/>
        <w:gridCol w:w="109"/>
        <w:gridCol w:w="109"/>
        <w:gridCol w:w="497"/>
        <w:gridCol w:w="418"/>
        <w:gridCol w:w="561"/>
      </w:tblGrid>
      <w:tr>
        <w:trPr/>
        <w:tc>
          <w:tcPr>
            <w:tcW w:w="2964"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7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326,219</w:t>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1,176,276</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1,523,003</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60,549</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 net</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51,011</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2,688,806</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1,372,176</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20,402</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1,402,135</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non-current, net of debt discount and debt issuance costs</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49,665</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1,987,123</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10,000 shares authorized at June 30, 2024 and December 31, 2023; 0 shares issued and outstanding at June 30, 2024 and December 31, 2023</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500,000 shares authorized at June 30, 2024 and December 31, 2023; 141,141 and 138,577 shares issued and outstanding at June 30, 2024 and December 31, 2023</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1,387,715</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w:t>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(683,958)</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701,683</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2,688,806</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74"/>
        <w:gridCol w:w="1421"/>
        <w:gridCol w:w="143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93"/>
        <w:gridCol w:w="156"/>
      </w:tblGrid>
      <w:tr>
        <w:trPr/>
        <w:tc>
          <w:tcPr>
            <w:tcW w:w="167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loss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140,551 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135,429 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55" w:type="dxa"/>
        <w:jc w:val="left"/>
        <w:tblInd w:w="0" w:type="dxa"/>
        <w:tblLayout w:type="fixed"/>
        <w:tblCellMar>
          <w:top w:w="28" w:type="dxa"/>
          <w:left w:w="28" w:type="dxa"/>
          <w:bottom w:w="28" w:type="dxa"/>
          <w:right w:w="28" w:type="dxa"/>
        </w:tblCellMar>
      </w:tblPr>
      <w:tblGrid>
        <w:gridCol w:w="1244"/>
        <w:gridCol w:w="1085"/>
        <w:gridCol w:w="1106"/>
        <w:gridCol w:w="235"/>
        <w:gridCol w:w="769"/>
        <w:gridCol w:w="121"/>
        <w:gridCol w:w="109"/>
        <w:gridCol w:w="109"/>
        <w:gridCol w:w="109"/>
        <w:gridCol w:w="212"/>
        <w:gridCol w:w="803"/>
        <w:gridCol w:w="109"/>
        <w:gridCol w:w="109"/>
        <w:gridCol w:w="109"/>
        <w:gridCol w:w="109"/>
        <w:gridCol w:w="212"/>
        <w:gridCol w:w="803"/>
        <w:gridCol w:w="109"/>
        <w:gridCol w:w="109"/>
        <w:gridCol w:w="109"/>
        <w:gridCol w:w="109"/>
        <w:gridCol w:w="211"/>
        <w:gridCol w:w="90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401"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109"/>
        <w:gridCol w:w="109"/>
        <w:gridCol w:w="1096"/>
        <w:gridCol w:w="109"/>
        <w:gridCol w:w="196"/>
        <w:gridCol w:w="73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c>
          <w:tcPr>
            <w:tcW w:w="1195"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9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9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(697,395)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652,578 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401"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1096"/>
        <w:gridCol w:w="109"/>
        <w:gridCol w:w="109"/>
        <w:gridCol w:w="109"/>
        <w:gridCol w:w="196"/>
        <w:gridCol w:w="73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c>
          <w:tcPr>
            <w:tcW w:w="1413"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09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141,141 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712,963 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2"/>
        <w:gridCol w:w="2410"/>
        <w:gridCol w:w="2418"/>
        <w:gridCol w:w="210"/>
        <w:gridCol w:w="789"/>
        <w:gridCol w:w="116"/>
        <w:gridCol w:w="109"/>
        <w:gridCol w:w="109"/>
        <w:gridCol w:w="109"/>
        <w:gridCol w:w="196"/>
        <w:gridCol w:w="809"/>
        <w:gridCol w:w="158"/>
      </w:tblGrid>
      <w:tr>
        <w:trPr/>
        <w:tc>
          <w:tcPr>
            <w:tcW w:w="2772"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7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 of debt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property and equipment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gain, net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 use software development costs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2024 Term Loan B Facility, net of debt discount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2021 Term Loan B Facility</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debt issuance costs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Convertible Senior Notes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financing lease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indemnification claims holdback</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(85,037)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CASH EQUIVALENTS AND RESTRICTED CASH</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(60,091)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326,464 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266,411 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24"/>
        <w:gridCol w:w="2396"/>
        <w:gridCol w:w="2400"/>
        <w:gridCol w:w="207"/>
        <w:gridCol w:w="779"/>
        <w:gridCol w:w="114"/>
        <w:gridCol w:w="109"/>
        <w:gridCol w:w="109"/>
        <w:gridCol w:w="109"/>
        <w:gridCol w:w="207"/>
        <w:gridCol w:w="779"/>
        <w:gridCol w:w="114"/>
        <w:gridCol w:w="158"/>
      </w:tblGrid>
      <w:tr>
        <w:trPr/>
        <w:tc>
          <w:tcPr>
            <w:tcW w:w="2724"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158" w:type="dxa"/>
            <w:tcBorders/>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CONSOLIDATED BALANCE SHEETS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326,464 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OTHER CASH FLOW INFORMATION:</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assets financed by accounts payable and accrued expenses and other liabilities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stock-based compensation</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Note 1—Organization and Summary of Significant Accounting Policies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("Magnite" or the "Company") was formed in Delaware and began operations on April 20, 2007. The Company operates a sell side advertising platform that offers buyers and sellers of digital advertising a single partner for transacting globally across all channels, formats, and auction types.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platform features applications and services for sellers of digital advertising inventory, or publishers, that own or operate websites, applications, connected television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Summary of Significant Accounting Policies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six months ended June 30, 2024 are not necessarily indicative of the results that may be expected for any future interim period, the year ending December 31, 2024, or for any future year.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at December 31, 2023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2023 included in its 2023 Annual Report on Form 10-K.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accounting policies from those disclosed in its audited consolidated financial statements and notes thereto for the year ended December 31, 2023 included in its Annual Report on Form 10-K.</w:t>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The preparation of condensed consolidated financial statements in conformity with GAAP requires management to make estimates and assumptions that affect the reported and disclosed financial statements and accompanying footnotes. </w:t>
      </w:r>
      <w:r>
        <w:rPr>
          <w:rFonts w:ascii="Times New Roman;sans-serif" w:hAnsi="Times New Roman;sans-serif"/>
          <w:b w:val="false"/>
          <w:color w:val="212529"/>
          <w:sz w:val="20"/>
        </w:rPr>
        <w:t>Actual results could differ materially from these estimates.</w:t>
      </w:r>
    </w:p>
    <w:p>
      <w:pPr>
        <w:pStyle w:val="TextBody"/>
        <w:bidi w:val="0"/>
        <w:spacing w:lineRule="auto" w:line="288" w:before="100" w:after="100"/>
        <w:ind w:left="0" w:right="0" w:firstLine="720"/>
        <w:jc w:val="left"/>
        <w:rPr/>
      </w:pPr>
      <w:r>
        <w:rPr>
          <w:rFonts w:ascii="Times New Roman;sans-serif" w:hAnsi="Times New Roman;sans-serif"/>
          <w:b w:val="false"/>
          <w:color w:val="212529"/>
          <w:sz w:val="20"/>
        </w:rPr>
        <w:t xml:space="preserve">In connection with the Company's periodic review of the estimated useful lives of its property and equipment, the Company extended the estimated useful lives of its network hardware assets from three years to five years effective January 1, 2024. The change in estimated useful lives were due to actual and expected longer refresh cycles for these assets. Based on the carrying value of network hardware assets as of December 31, 2023 and those placed in service during the </w:t>
      </w:r>
      <w:r>
        <w:rPr>
          <w:rFonts w:ascii="Times New Roman;sans-serif" w:hAnsi="Times New Roman;sans-serif"/>
          <w:b w:val="false"/>
          <w:color w:val="000000"/>
          <w:sz w:val="20"/>
        </w:rPr>
        <w:t>six months ended June 30, 2024</w:t>
      </w:r>
      <w:r>
        <w:rPr>
          <w:rFonts w:ascii="Times New Roman;sans-serif" w:hAnsi="Times New Roman;sans-serif"/>
          <w:b w:val="false"/>
          <w:color w:val="212529"/>
          <w:sz w:val="20"/>
        </w:rPr>
        <w:t xml:space="preserve">, the effect of this change in estimate was an increase in income from operations of </w:t>
      </w:r>
      <w:r>
        <w:rPr>
          <w:rFonts w:ascii="Times New Roman;sans-serif" w:hAnsi="Times New Roman;sans-serif"/>
          <w:b w:val="false"/>
          <w:color w:val="000000"/>
          <w:sz w:val="20"/>
        </w:rPr>
        <w:t xml:space="preserve">$2.9 million and a decrease in loss from operations of $6.5 million for the three and six months ended June 30, 2024, respectively, and </w:t>
      </w:r>
      <w:r>
        <w:rPr>
          <w:rFonts w:ascii="Times New Roman;sans-serif" w:hAnsi="Times New Roman;sans-serif"/>
          <w:b w:val="false"/>
          <w:color w:val="212529"/>
          <w:sz w:val="20"/>
        </w:rPr>
        <w:t xml:space="preserve">a decrease in net loss of </w:t>
      </w:r>
      <w:r>
        <w:rPr>
          <w:rFonts w:ascii="Times New Roman;sans-serif" w:hAnsi="Times New Roman;sans-serif"/>
          <w:b w:val="false"/>
          <w:color w:val="000000"/>
          <w:sz w:val="20"/>
        </w:rPr>
        <w:t>$5.5 million</w:t>
      </w:r>
      <w:r>
        <w:rPr>
          <w:rFonts w:ascii="Times New Roman;sans-serif" w:hAnsi="Times New Roman;sans-serif"/>
          <w:b w:val="false"/>
          <w:color w:val="212529"/>
          <w:sz w:val="20"/>
        </w:rPr>
        <w:t xml:space="preserve">, or </w:t>
      </w:r>
      <w:r>
        <w:rPr>
          <w:rFonts w:ascii="Times New Roman;sans-serif" w:hAnsi="Times New Roman;sans-serif"/>
          <w:b w:val="false"/>
          <w:color w:val="000000"/>
          <w:sz w:val="20"/>
        </w:rPr>
        <w:t>$0.04</w:t>
      </w:r>
      <w:r>
        <w:rPr>
          <w:color w:val="212529"/>
        </w:rPr>
        <w:t xml:space="preserve"> </w:t>
      </w:r>
      <w:r>
        <w:rPr>
          <w:rFonts w:ascii="Times New Roman;sans-serif" w:hAnsi="Times New Roman;sans-serif"/>
          <w:b w:val="false"/>
          <w:color w:val="212529"/>
          <w:sz w:val="20"/>
        </w:rPr>
        <w:t xml:space="preserve">per basic and diluted share, and a decrease in net loss of </w:t>
      </w:r>
      <w:r>
        <w:rPr>
          <w:rFonts w:ascii="Times New Roman;sans-serif" w:hAnsi="Times New Roman;sans-serif"/>
          <w:b w:val="false"/>
          <w:color w:val="000000"/>
          <w:sz w:val="20"/>
        </w:rPr>
        <w:t>$3.5 million</w:t>
      </w:r>
      <w:r>
        <w:rPr>
          <w:rFonts w:ascii="Times New Roman;sans-serif" w:hAnsi="Times New Roman;sans-serif"/>
          <w:b w:val="false"/>
          <w:color w:val="212529"/>
          <w:sz w:val="20"/>
        </w:rPr>
        <w:t xml:space="preserve">, or </w:t>
      </w:r>
      <w:r>
        <w:rPr>
          <w:rFonts w:ascii="Times New Roman;sans-serif" w:hAnsi="Times New Roman;sans-serif"/>
          <w:b w:val="false"/>
          <w:color w:val="000000"/>
          <w:sz w:val="20"/>
        </w:rPr>
        <w:t>$0.02</w:t>
      </w:r>
      <w:r>
        <w:rPr>
          <w:color w:val="212529"/>
        </w:rPr>
        <w:t xml:space="preserve"> </w:t>
      </w:r>
      <w:r>
        <w:rPr>
          <w:rFonts w:ascii="Times New Roman;sans-serif" w:hAnsi="Times New Roman;sans-serif"/>
          <w:b w:val="false"/>
          <w:color w:val="212529"/>
          <w:sz w:val="20"/>
        </w:rPr>
        <w:t xml:space="preserve">per basic and diluted share for the </w:t>
      </w:r>
      <w:r>
        <w:rPr>
          <w:rFonts w:ascii="Times New Roman;sans-serif" w:hAnsi="Times New Roman;sans-serif"/>
          <w:b w:val="false"/>
          <w:color w:val="000000"/>
          <w:sz w:val="20"/>
        </w:rPr>
        <w:t>three and six months ended</w:t>
      </w:r>
      <w:r>
        <w:rPr>
          <w:color w:val="212529"/>
        </w:rPr>
        <w:t xml:space="preserve"> </w:t>
      </w:r>
      <w:r>
        <w:rPr>
          <w:rFonts w:ascii="Times New Roman;sans-serif" w:hAnsi="Times New Roman;sans-serif"/>
          <w:b w:val="false"/>
          <w:color w:val="000000"/>
          <w:sz w:val="20"/>
        </w:rPr>
        <w:t>June 30, 2024, respectively</w:t>
      </w:r>
      <w:r>
        <w:rPr>
          <w:rFonts w:ascii="Times New Roman;sans-serif" w:hAnsi="Times New Roman;sans-serif"/>
          <w:b w:val="false"/>
          <w:color w:val="212529"/>
          <w:sz w:val="20"/>
        </w:rPr>
        <w:t>. The updated policy reflecting the change in estimated useful lives is below.</w:t>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6659" w:type="dxa"/>
        <w:jc w:val="left"/>
        <w:tblInd w:w="0" w:type="dxa"/>
        <w:tblLayout w:type="fixed"/>
        <w:tblCellMar>
          <w:top w:w="28" w:type="dxa"/>
          <w:left w:w="28" w:type="dxa"/>
          <w:bottom w:w="28" w:type="dxa"/>
          <w:right w:w="28" w:type="dxa"/>
        </w:tblCellMar>
      </w:tblPr>
      <w:tblGrid>
        <w:gridCol w:w="1331"/>
        <w:gridCol w:w="1168"/>
        <w:gridCol w:w="1175"/>
        <w:gridCol w:w="872"/>
        <w:gridCol w:w="872"/>
        <w:gridCol w:w="1241"/>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network hardware</w:t>
            </w:r>
          </w:p>
        </w:tc>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7</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life of lease</w:t>
            </w:r>
          </w:p>
        </w:tc>
      </w:tr>
    </w:tbl>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Repair and maintenance costs are charged to expense as incurred, while renewals and improvements are capitalized. When assets are retired or otherwise disposed of, the cost and related accumulated depreciation are removed from the accounts and any resulting gains or loss is reflected in the Company's results of operations.</w:t>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Not Yet Adopted </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In November 2023, the Financial Accounting Standards Board ("FASB") issued Accounting Standards Update ("ASU") 2023-07, Segment Reporting (Topic 280) –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("ASU 2023-07").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ASU 2023-07 is effective for annual periods beginning after December 15, 2023 and for interim periods beginning after December 15, 2024. Early adoption is permitted. The Company is currently evaluating the impact of adopting this new accounting guidance on its disclosures.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In December 2023, the FASB issued ASU 2023-09, Income Taxes (Topic 740) –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("ASU 2023-09") to enhance income tax information primarily through changes in the rate reconciliation and income taxes paid information. ASU 2023-09 is effective for annual periods beginning after December 15, 2024 on a prospective basis. The Company is evaluating the impact of adopting this new accounting guidance on its disclosures.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believe there are any other recently issued and effective or not yet effective pronouncements that would have or are expected to have a material impact on the Company’s present or future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Note 2—Net Loss Per Share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basic and diluted net loss per share: </w:t>
      </w:r>
    </w:p>
    <w:tbl>
      <w:tblPr>
        <w:tblW w:w="10205" w:type="dxa"/>
        <w:jc w:val="left"/>
        <w:tblInd w:w="0" w:type="dxa"/>
        <w:tblLayout w:type="fixed"/>
        <w:tblCellMar>
          <w:top w:w="28" w:type="dxa"/>
          <w:left w:w="28" w:type="dxa"/>
          <w:bottom w:w="28" w:type="dxa"/>
          <w:right w:w="28" w:type="dxa"/>
        </w:tblCellMar>
      </w:tblPr>
      <w:tblGrid>
        <w:gridCol w:w="1903"/>
        <w:gridCol w:w="1417"/>
        <w:gridCol w:w="1407"/>
        <w:gridCol w:w="225"/>
        <w:gridCol w:w="715"/>
        <w:gridCol w:w="116"/>
        <w:gridCol w:w="109"/>
        <w:gridCol w:w="109"/>
        <w:gridCol w:w="109"/>
        <w:gridCol w:w="211"/>
        <w:gridCol w:w="776"/>
        <w:gridCol w:w="109"/>
        <w:gridCol w:w="109"/>
        <w:gridCol w:w="109"/>
        <w:gridCol w:w="109"/>
        <w:gridCol w:w="211"/>
        <w:gridCol w:w="776"/>
        <w:gridCol w:w="109"/>
        <w:gridCol w:w="109"/>
        <w:gridCol w:w="109"/>
        <w:gridCol w:w="109"/>
        <w:gridCol w:w="211"/>
        <w:gridCol w:w="877"/>
        <w:gridCol w:w="161"/>
      </w:tblGrid>
      <w:tr>
        <w:trPr/>
        <w:tc>
          <w:tcPr>
            <w:tcW w:w="190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and Diluted Loss Per Share: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compute net loss per share</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weighted-average shares have been excluded from the calculation of diluted net loss per share attributable to common stockholders for each period presented because they are anti-dilutive: </w:t>
      </w:r>
    </w:p>
    <w:tbl>
      <w:tblPr>
        <w:tblW w:w="9847" w:type="dxa"/>
        <w:jc w:val="center"/>
        <w:tblInd w:w="0" w:type="dxa"/>
        <w:tblLayout w:type="fixed"/>
        <w:tblCellMar>
          <w:top w:w="28" w:type="dxa"/>
          <w:left w:w="28" w:type="dxa"/>
          <w:bottom w:w="28" w:type="dxa"/>
          <w:right w:w="28" w:type="dxa"/>
        </w:tblCellMar>
      </w:tblPr>
      <w:tblGrid>
        <w:gridCol w:w="1407"/>
        <w:gridCol w:w="1237"/>
        <w:gridCol w:w="1240"/>
        <w:gridCol w:w="375"/>
        <w:gridCol w:w="375"/>
        <w:gridCol w:w="375"/>
        <w:gridCol w:w="195"/>
        <w:gridCol w:w="195"/>
        <w:gridCol w:w="195"/>
        <w:gridCol w:w="375"/>
        <w:gridCol w:w="375"/>
        <w:gridCol w:w="375"/>
        <w:gridCol w:w="109"/>
        <w:gridCol w:w="109"/>
        <w:gridCol w:w="109"/>
        <w:gridCol w:w="375"/>
        <w:gridCol w:w="375"/>
        <w:gridCol w:w="375"/>
        <w:gridCol w:w="169"/>
        <w:gridCol w:w="169"/>
        <w:gridCol w:w="169"/>
        <w:gridCol w:w="343"/>
        <w:gridCol w:w="343"/>
        <w:gridCol w:w="483"/>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performance stock units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("ESPP") shares</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net loss per share</w:t>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and 2023, the Company excluded outstanding performance stock units from the calculation of diluted net loss per share because they were anti-dilutive. As of June 30, 2024, the performance stock units granted during 2021, 2022, 2023, and 2024 had expected achievement levels of 0%, 100%, 124%, and 150%, respectively.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 the performance stock units granted in 2021, 2022, and 2023 had expected achievement levels of 0%, 100%, and 146%, respectively. Refer to Note 9—"Stock-Based Compensation" for additional information related to performance stock units.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shares that would be issuable assuming conversion of all of the Convertible Senior Notes (as defined in Note 13) were excluded from the calculation of diluted loss per share because they were anti-dilutive. The Convertible Senior Notes have an initial conversion rate of 15.6539 shares of common stock per $1,000 principal amount of the Convertible Senior Notes, which will be subject to anti-dilution adjustments in certain circumstances. As of June 30, 2024 and 2023, the number of shares that would be issuable assuming conversion of all of the Convertible Senior Notes was approximately 3,210,098 and 4,845,242,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3—Revenue</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revenue recognized on a net basis and on a gross basis for the three and six months ended June 30, 2024 and 2023: </w:t>
      </w:r>
    </w:p>
    <w:tbl>
      <w:tblPr>
        <w:tblW w:w="10707"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by channel for the three and six months ended June 30, 2024 and 2023:</w:t>
      </w:r>
    </w:p>
    <w:tbl>
      <w:tblPr>
        <w:tblW w:w="10677" w:type="dxa"/>
        <w:jc w:val="left"/>
        <w:tblInd w:w="0" w:type="dxa"/>
        <w:tblLayout w:type="fixed"/>
        <w:tblCellMar>
          <w:top w:w="28" w:type="dxa"/>
          <w:left w:w="28" w:type="dxa"/>
          <w:bottom w:w="28" w:type="dxa"/>
          <w:right w:w="28" w:type="dxa"/>
        </w:tblCellMar>
      </w:tblPr>
      <w:tblGrid>
        <w:gridCol w:w="294"/>
        <w:gridCol w:w="258"/>
        <w:gridCol w:w="25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00"/>
        <w:jc w:val="left"/>
        <w:rPr>
          <w:color w:val="000000"/>
        </w:rPr>
      </w:pPr>
      <w:r>
        <w:rPr>
          <w:color w:val="000000"/>
        </w:rPr>
        <w:t>    </w:t>
      </w:r>
      <w:r>
        <w:rPr>
          <w:rFonts w:ascii="Times New Roman;sans-serif" w:hAnsi="Times New Roman;sans-serif"/>
          <w:b w:val="false"/>
          <w:color w:val="000000"/>
          <w:sz w:val="20"/>
        </w:rPr>
        <w:t>The following table presents the Company's revenue disaggregated by geographic location, based on the location of the Company's sellers for the three and six months ended June 30, 2024 and 2023:</w:t>
      </w:r>
    </w:p>
    <w:tbl>
      <w:tblPr>
        <w:tblW w:w="6809"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sellers are recorded at the net amount payable to sellers (see Note 5). Accordingly, both accounts receivable and accounts payable appear large in relation to revenue reported on a net basis. </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$2.7 million at June 30, 2024, and $20.4 million at December 31, 2023. Accounts receivable are written off against the allowance for doubtful accounts when the Company determines amounts are no longer collectible. </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$2.0 million and $1.1 million as of June 30, 2024 and December 31, 2023, respectively.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activity in the allowance for doubtful accounts for the three and six months ended June 30, 2024 and 2023:</w:t>
      </w:r>
    </w:p>
    <w:tbl>
      <w:tblPr>
        <w:tblW w:w="9904" w:type="dxa"/>
        <w:jc w:val="left"/>
        <w:tblInd w:w="0" w:type="dxa"/>
        <w:tblLayout w:type="fixed"/>
        <w:tblCellMar>
          <w:top w:w="28" w:type="dxa"/>
          <w:left w:w="28" w:type="dxa"/>
          <w:bottom w:w="28" w:type="dxa"/>
          <w:right w:w="28" w:type="dxa"/>
        </w:tblCellMar>
      </w:tblPr>
      <w:tblGrid>
        <w:gridCol w:w="1587"/>
        <w:gridCol w:w="1392"/>
        <w:gridCol w:w="1401"/>
        <w:gridCol w:w="253"/>
        <w:gridCol w:w="741"/>
        <w:gridCol w:w="131"/>
        <w:gridCol w:w="109"/>
        <w:gridCol w:w="109"/>
        <w:gridCol w:w="109"/>
        <w:gridCol w:w="228"/>
        <w:gridCol w:w="779"/>
        <w:gridCol w:w="117"/>
        <w:gridCol w:w="109"/>
        <w:gridCol w:w="109"/>
        <w:gridCol w:w="109"/>
        <w:gridCol w:w="228"/>
        <w:gridCol w:w="779"/>
        <w:gridCol w:w="117"/>
        <w:gridCol w:w="109"/>
        <w:gridCol w:w="109"/>
        <w:gridCol w:w="109"/>
        <w:gridCol w:w="227"/>
        <w:gridCol w:w="777"/>
        <w:gridCol w:w="166"/>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beginning balance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provision for expected credit losses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ending balance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wrote off $18.9 million of allowance for doubtful accounts, of which $18.5 million was attributable to the outstanding accounts receivable from a buyer that filed for bankruptcy during 2023.</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 provision for expected credit losses associated with accounts receivable increased by $0.6 million and $1.2 million, respectively, offset by increases of contra seller payables related to recoveries of uncollected buyer receivables of $0.5 million and $0.9 million, respectively, which resulted in $0.2 million and $0.3 million of bad debt expense, respectively. During the three and six months ended June 30, 2023, the provision for expected credit losses associated with accounts receivable increased by $18.7 million and $19.3 million, respectively, offset by increases of contra seller payables related to recoveries of uncollected buyer receivables of $14.1 million and $14.6 million, respectively, which resulted in $4.6 million and $4.6 million of bad debt expense,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4—Fair Value Measurements </w:t>
      </w:r>
    </w:p>
    <w:p>
      <w:pPr>
        <w:pStyle w:val="TextBody"/>
        <w:bidi w:val="0"/>
        <w:spacing w:lineRule="auto" w:line="288" w:before="100" w:after="120"/>
        <w:ind w:left="0" w:right="0" w:firstLine="720"/>
        <w:jc w:val="left"/>
        <w:rPr/>
      </w:pPr>
      <w:r>
        <w:rPr>
          <w:rFonts w:ascii="Times New Roman;sans-serif" w:hAnsi="Times New Roman;sans-serif"/>
          <w:b/>
          <w:i/>
          <w:color w:val="000000"/>
          <w:sz w:val="20"/>
        </w:rPr>
        <w:t>Recurring Fair Value Measurements</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83"/>
        <w:ind w:left="0" w:right="0" w:hanging="540"/>
        <w:jc w:val="left"/>
        <w:rPr/>
      </w:pPr>
      <w:r>
        <w:rPr>
          <w:color w:val="000000"/>
        </w:rPr>
        <w:t>•</w:t>
      </w:r>
      <w:r>
        <w:rPr>
          <w:rFonts w:ascii="Times New Roman;sans-serif" w:hAnsi="Times New Roman;sans-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283"/>
        <w:ind w:left="0" w:right="0" w:hanging="540"/>
        <w:jc w:val="left"/>
        <w:rPr/>
      </w:pPr>
      <w:r>
        <w:rPr>
          <w:color w:val="000000"/>
        </w:rPr>
        <w:t>•</w:t>
      </w:r>
      <w:r>
        <w:rPr>
          <w:rFonts w:ascii="Times New Roman;sans-serif" w:hAnsi="Times New Roman;sans-serif"/>
          <w:b w:val="false"/>
          <w:color w:val="000000"/>
          <w:sz w:val="20"/>
        </w:rPr>
        <w:t>Level 3 –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June 30, 2024:</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December 31, 2023:</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and December 31, 2023, cash equivalents of $289.2 million and $281.2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had debt outstanding under its Convertible Senior Notes and loans under its 2024 Term Loan B Facility (as defined in Note 13), and at December 31, 2023, had debt outstanding under its Convertible Senior Notes and loans under its 2021 Term Loan B Facility (as defined in Note 13) included in its balance sheets, respectively. The estimated fair value of the Company's Convertible Senior Notes was $184.0 million and $174.3 million as of June 30, 2024 and December 31, 2023, respectively. The estimated fair value of Convertible Senior Notes is based on market rates and the closing trading price of the Convertible Senior Notes as of June 30, 2024 and December 31, 2023 and is classified as Level 2 in the fair value hierarchy. At June 30, 2024 and December 31, 2023, the estimated fair value of the Company's 2024 Term Loan B Facility and of the Company's 2021 Term Loan B Facility was $365.0 million and $352.3 million, respectively. The estimated fair value is based on borrowing rates currently available to the Company for financing with similar terms and is classified as Level 2 in the fair value hierarchy.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fair value measurements during the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5—Other Balance Sheet Amounts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included the following:</w:t>
      </w:r>
    </w:p>
    <w:tbl>
      <w:tblPr>
        <w:tblW w:w="6183" w:type="dxa"/>
        <w:jc w:val="left"/>
        <w:tblInd w:w="0" w:type="dxa"/>
        <w:tblLayout w:type="fixed"/>
        <w:tblCellMar>
          <w:top w:w="28" w:type="dxa"/>
          <w:left w:w="28" w:type="dxa"/>
          <w:bottom w:w="28" w:type="dxa"/>
          <w:right w:w="28" w:type="dxa"/>
        </w:tblCellMar>
      </w:tblPr>
      <w:tblGrid>
        <w:gridCol w:w="1092"/>
        <w:gridCol w:w="960"/>
        <w:gridCol w:w="963"/>
        <w:gridCol w:w="211"/>
        <w:gridCol w:w="976"/>
        <w:gridCol w:w="109"/>
        <w:gridCol w:w="109"/>
        <w:gridCol w:w="109"/>
        <w:gridCol w:w="109"/>
        <w:gridCol w:w="243"/>
        <w:gridCol w:w="1125"/>
        <w:gridCol w:w="177"/>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payable—seller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payable—trade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employee-related payables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1,372,176 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6—Property and Equipment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Major classes of property and equipment were as follows:</w:t>
      </w:r>
    </w:p>
    <w:tbl>
      <w:tblPr>
        <w:tblW w:w="6691" w:type="dxa"/>
        <w:jc w:val="left"/>
        <w:tblInd w:w="0" w:type="dxa"/>
        <w:tblLayout w:type="fixed"/>
        <w:tblCellMar>
          <w:top w:w="28" w:type="dxa"/>
          <w:left w:w="28" w:type="dxa"/>
          <w:bottom w:w="28" w:type="dxa"/>
          <w:right w:w="28" w:type="dxa"/>
        </w:tblCellMar>
      </w:tblPr>
      <w:tblGrid>
        <w:gridCol w:w="1331"/>
        <w:gridCol w:w="1168"/>
        <w:gridCol w:w="1175"/>
        <w:gridCol w:w="211"/>
        <w:gridCol w:w="826"/>
        <w:gridCol w:w="109"/>
        <w:gridCol w:w="109"/>
        <w:gridCol w:w="109"/>
        <w:gridCol w:w="109"/>
        <w:gridCol w:w="273"/>
        <w:gridCol w:w="1072"/>
        <w:gridCol w:w="199"/>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network hardware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and equipment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on property and equipment totaled $3.6 million and $5.7 million for the three months ended June 30, 2024 and 2023, respectively and $6.8 million and $11.0 million for the six months ended June 30, 2024 and 2023. See Note 1 for information related to the change in estimated useful lives of network hardware assets.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property and equipment, net by geographical region was as follows:</w:t>
      </w:r>
    </w:p>
    <w:tbl>
      <w:tblPr>
        <w:tblW w:w="4195" w:type="dxa"/>
        <w:jc w:val="left"/>
        <w:tblInd w:w="0" w:type="dxa"/>
        <w:tblLayout w:type="fixed"/>
        <w:tblCellMar>
          <w:top w:w="28" w:type="dxa"/>
          <w:left w:w="28" w:type="dxa"/>
          <w:bottom w:w="28" w:type="dxa"/>
          <w:right w:w="28" w:type="dxa"/>
        </w:tblCellMar>
      </w:tblPr>
      <w:tblGrid>
        <w:gridCol w:w="435"/>
        <w:gridCol w:w="381"/>
        <w:gridCol w:w="383"/>
        <w:gridCol w:w="228"/>
        <w:gridCol w:w="779"/>
        <w:gridCol w:w="117"/>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7—Intangible Assets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as of June 30, 2024 and December 31, 2023 included the following:</w:t>
      </w:r>
    </w:p>
    <w:tbl>
      <w:tblPr>
        <w:tblW w:w="7276" w:type="dxa"/>
        <w:jc w:val="left"/>
        <w:tblInd w:w="0" w:type="dxa"/>
        <w:tblLayout w:type="fixed"/>
        <w:tblCellMar>
          <w:top w:w="28" w:type="dxa"/>
          <w:left w:w="28" w:type="dxa"/>
          <w:bottom w:w="28" w:type="dxa"/>
          <w:right w:w="28" w:type="dxa"/>
        </w:tblCellMar>
      </w:tblPr>
      <w:tblGrid>
        <w:gridCol w:w="1544"/>
        <w:gridCol w:w="1353"/>
        <w:gridCol w:w="1362"/>
        <w:gridCol w:w="211"/>
        <w:gridCol w:w="826"/>
        <w:gridCol w:w="109"/>
        <w:gridCol w:w="109"/>
        <w:gridCol w:w="109"/>
        <w:gridCol w:w="109"/>
        <w:gridCol w:w="273"/>
        <w:gridCol w:w="1072"/>
        <w:gridCol w:w="199"/>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gross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amortization—intangible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2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three months ended June 30, 2024 and 2023 was $7.6 million and $78.7 million, respectively and $15.2 million and $165.1 million for the six months ended June 30, 2024 and 2023, respectively.</w:t>
      </w:r>
    </w:p>
    <w:p>
      <w:pPr>
        <w:pStyle w:val="TextBody"/>
        <w:bidi w:val="0"/>
        <w:spacing w:lineRule="auto" w:line="288" w:before="100" w:after="12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remaining amortization expense associated with the Company's intangible assets was as follows as of June 30, 2024:</w:t>
      </w:r>
    </w:p>
    <w:tbl>
      <w:tblPr>
        <w:tblW w:w="2655" w:type="dxa"/>
        <w:jc w:val="left"/>
        <w:tblInd w:w="0" w:type="dxa"/>
        <w:tblLayout w:type="fixed"/>
        <w:tblCellMar>
          <w:top w:w="28" w:type="dxa"/>
          <w:left w:w="28" w:type="dxa"/>
          <w:bottom w:w="28" w:type="dxa"/>
          <w:right w:w="28" w:type="dxa"/>
        </w:tblCellMar>
      </w:tblPr>
      <w:tblGrid>
        <w:gridCol w:w="537"/>
        <w:gridCol w:w="471"/>
        <w:gridCol w:w="477"/>
        <w:gridCol w:w="227"/>
        <w:gridCol w:w="777"/>
        <w:gridCol w:w="166"/>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8—Merger, Acquisition, and Restructuring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primarily consists of professional services fees and employee termination costs, including stock-based compensation charges, associated with historical acquisitions and restructuring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merger, acquisition, and restructuring cost activity (in thousands):</w:t>
      </w:r>
    </w:p>
    <w:tbl>
      <w:tblPr>
        <w:tblW w:w="9863" w:type="dxa"/>
        <w:jc w:val="left"/>
        <w:tblInd w:w="0" w:type="dxa"/>
        <w:tblLayout w:type="fixed"/>
        <w:tblCellMar>
          <w:top w:w="28" w:type="dxa"/>
          <w:left w:w="28" w:type="dxa"/>
          <w:bottom w:w="28" w:type="dxa"/>
          <w:right w:w="28" w:type="dxa"/>
        </w:tblCellMar>
      </w:tblPr>
      <w:tblGrid>
        <w:gridCol w:w="2401"/>
        <w:gridCol w:w="2108"/>
        <w:gridCol w:w="2121"/>
        <w:gridCol w:w="109"/>
        <w:gridCol w:w="109"/>
        <w:gridCol w:w="109"/>
        <w:gridCol w:w="705"/>
        <w:gridCol w:w="705"/>
        <w:gridCol w:w="109"/>
        <w:gridCol w:w="109"/>
        <w:gridCol w:w="109"/>
        <w:gridCol w:w="251"/>
        <w:gridCol w:w="735"/>
        <w:gridCol w:w="183"/>
      </w:tblGrid>
      <w:tr>
        <w:trPr/>
        <w:tc>
          <w:tcPr>
            <w:tcW w:w="24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496" w:type="dxa"/>
            <w:gridSpan w:val="6"/>
            <w:tcBorders/>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9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(severance and one-time termination benefit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contracts (facilities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(double-trigger acceleration and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and the three months ended June 30, 2023, the Company did not incur any merger, acquisition, and restructuring costs. During the six months ended June 30, 2023, the Company incurred merger, acquisition, and restructuring costs of $7.5 million, which included the Company's reduction of its global workforce primarily associated with the elimination of duplicative roles and other costs associated with the consolidation of its legacy CTV and SpotX CTV platforms following the 2021 acquisition of SpotX Inc., including loss contracts for office facilities the Company does not plan to continue to occupy and impairment charges related to certain assets it no longer plans to utilize.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9—Stock-Based Compensation</w:t>
      </w:r>
    </w:p>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stock option activity for the six months ended June 30, 2024 is as follows: </w:t>
      </w:r>
    </w:p>
    <w:tbl>
      <w:tblPr>
        <w:tblW w:w="10205" w:type="dxa"/>
        <w:jc w:val="left"/>
        <w:tblInd w:w="0" w:type="dxa"/>
        <w:tblLayout w:type="fixed"/>
        <w:tblCellMar>
          <w:top w:w="28" w:type="dxa"/>
          <w:left w:w="28" w:type="dxa"/>
          <w:bottom w:w="28" w:type="dxa"/>
          <w:right w:w="28" w:type="dxa"/>
        </w:tblCellMar>
      </w:tblPr>
      <w:tblGrid>
        <w:gridCol w:w="768"/>
        <w:gridCol w:w="674"/>
        <w:gridCol w:w="678"/>
        <w:gridCol w:w="544"/>
        <w:gridCol w:w="441"/>
        <w:gridCol w:w="393"/>
        <w:gridCol w:w="109"/>
        <w:gridCol w:w="109"/>
        <w:gridCol w:w="109"/>
        <w:gridCol w:w="414"/>
        <w:gridCol w:w="1209"/>
        <w:gridCol w:w="213"/>
        <w:gridCol w:w="109"/>
        <w:gridCol w:w="109"/>
        <w:gridCol w:w="109"/>
        <w:gridCol w:w="705"/>
        <w:gridCol w:w="705"/>
        <w:gridCol w:w="707"/>
        <w:gridCol w:w="109"/>
        <w:gridCol w:w="109"/>
        <w:gridCol w:w="109"/>
        <w:gridCol w:w="326"/>
        <w:gridCol w:w="1118"/>
        <w:gridCol w:w="169"/>
        <w:gridCol w:w="160"/>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2024</w:t>
            </w:r>
          </w:p>
        </w:tc>
        <w:tc>
          <w:tcPr>
            <w:tcW w:w="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3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options exercised during the six months ended June 30, 2024 was $0.2 million. At June 30, 2024, the Company had unrecognized stock-based compensation expense relating to unvested stock options of approximately $4.6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which is expected to be recognized over a weighted-average period of 2.1 years. Total grant date fair value of options vested during the six months ended June 30, 2024 was $1.9 million.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that contain service conditions using the Black-Scholes option pricing model. The grant date fair value of options granted during the six months ended June 30, 2024 was $6.34 per share. The weighted-average input assumptions used by the Company were as follows:</w:t>
      </w:r>
    </w:p>
    <w:tbl>
      <w:tblPr>
        <w:tblW w:w="5401" w:type="dxa"/>
        <w:jc w:val="left"/>
        <w:tblInd w:w="0" w:type="dxa"/>
        <w:tblLayout w:type="fixed"/>
        <w:tblCellMar>
          <w:top w:w="28" w:type="dxa"/>
          <w:left w:w="28" w:type="dxa"/>
          <w:bottom w:w="28" w:type="dxa"/>
          <w:right w:w="28" w:type="dxa"/>
        </w:tblCellMar>
      </w:tblPr>
      <w:tblGrid>
        <w:gridCol w:w="755"/>
        <w:gridCol w:w="663"/>
        <w:gridCol w:w="666"/>
        <w:gridCol w:w="109"/>
        <w:gridCol w:w="109"/>
        <w:gridCol w:w="217"/>
        <w:gridCol w:w="217"/>
        <w:gridCol w:w="255"/>
        <w:gridCol w:w="256"/>
        <w:gridCol w:w="624"/>
        <w:gridCol w:w="109"/>
        <w:gridCol w:w="109"/>
        <w:gridCol w:w="109"/>
        <w:gridCol w:w="255"/>
        <w:gridCol w:w="256"/>
        <w:gridCol w:w="69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530"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ind w:left="0" w:right="0" w:firstLine="720"/>
        <w:jc w:val="left"/>
        <w:rPr/>
      </w:pPr>
      <w:r>
        <w:rPr/>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restricted stock unit ("RSU") activity for the six months ended June 30, 2024 is as follows: </w:t>
      </w:r>
    </w:p>
    <w:tbl>
      <w:tblPr>
        <w:tblW w:w="10205" w:type="dxa"/>
        <w:jc w:val="left"/>
        <w:tblInd w:w="0" w:type="dxa"/>
        <w:tblLayout w:type="fixed"/>
        <w:tblCellMar>
          <w:top w:w="28" w:type="dxa"/>
          <w:left w:w="28" w:type="dxa"/>
          <w:bottom w:w="28" w:type="dxa"/>
          <w:right w:w="28" w:type="dxa"/>
        </w:tblCellMar>
      </w:tblPr>
      <w:tblGrid>
        <w:gridCol w:w="1917"/>
        <w:gridCol w:w="1686"/>
        <w:gridCol w:w="1690"/>
        <w:gridCol w:w="469"/>
        <w:gridCol w:w="466"/>
        <w:gridCol w:w="465"/>
        <w:gridCol w:w="109"/>
        <w:gridCol w:w="109"/>
        <w:gridCol w:w="109"/>
        <w:gridCol w:w="684"/>
        <w:gridCol w:w="1996"/>
        <w:gridCol w:w="505"/>
      </w:tblGrid>
      <w:tr>
        <w:trPr/>
        <w:tc>
          <w:tcPr>
            <w:tcW w:w="191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at December 31, 2023</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released</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and unvested at June 30, 2024</w:t>
            </w:r>
          </w:p>
        </w:tc>
        <w:tc>
          <w:tcPr>
            <w:tcW w:w="9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14,355 </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5" w:type="dxa"/>
            <w:gridSpan w:val="3"/>
            <w:tcBorders/>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per share of restricted stock units granted during the six months ended June 30, 2024 was $9.27. The intrinsic value of restricted stock units that vested during the six months ended June 30, 2024 was $35.1 million. At June 30, 2024, the intrinsic value of unvested restricted stock units was $190.8 million. At June 30, 2024, the Company had unrecognized stock-based compensation expense relating to unvested restricted stock units of approximately $143.3 million, which is expected to be recognized over a weighted-average period of 2.9 years. </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performance stock units ("PSU") to select executive employees that vest based on share price metrics tied to total shareholder return relative ("TSR") to a peer group, subject to a time-based service component. Between 0% and 150% of the performance stock units will vest at the end of the performance period, which is generally on the third anniversary of the PSU grant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the Company granted PSUs with an aggregate target of 486,431 shares, assuming a performance measurement of 100%. The amount of shares that will ultimately vest will be determined based on the Company's TSR relative to the TSRs of a peer group for the three year-period beginning January 1, 2024, as well as certain interim measurements based on relative TSR for the one-year and two-year periods beginning on January 1, 2024.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PSU activity for the six months ended June 30, 2024 is as follows:</w:t>
      </w:r>
    </w:p>
    <w:tbl>
      <w:tblPr>
        <w:tblW w:w="7900" w:type="dxa"/>
        <w:jc w:val="left"/>
        <w:tblInd w:w="0" w:type="dxa"/>
        <w:tblLayout w:type="fixed"/>
        <w:tblCellMar>
          <w:top w:w="28" w:type="dxa"/>
          <w:left w:w="28" w:type="dxa"/>
          <w:bottom w:w="28" w:type="dxa"/>
          <w:right w:w="28" w:type="dxa"/>
        </w:tblCellMar>
      </w:tblPr>
      <w:tblGrid>
        <w:gridCol w:w="1065"/>
        <w:gridCol w:w="935"/>
        <w:gridCol w:w="940"/>
        <w:gridCol w:w="469"/>
        <w:gridCol w:w="469"/>
        <w:gridCol w:w="471"/>
        <w:gridCol w:w="109"/>
        <w:gridCol w:w="109"/>
        <w:gridCol w:w="109"/>
        <w:gridCol w:w="693"/>
        <w:gridCol w:w="2023"/>
        <w:gridCol w:w="50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for the PSUs was estimated using a Monte-Carlo simulation model that incorporates option-pricing inputs covering the period from the grant date through the end of the performance period. Stock-based compensation expense for PSUs is based on the grant date fair value and the number of shares assuming a performance measurement of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expense will not be reversed if the performance metrics are not met. The weighted-average input assumptions used by the Company were as follows:</w:t>
      </w:r>
    </w:p>
    <w:tbl>
      <w:tblPr>
        <w:tblW w:w="8342" w:type="dxa"/>
        <w:jc w:val="left"/>
        <w:tblInd w:w="0" w:type="dxa"/>
        <w:tblLayout w:type="fixed"/>
        <w:tblCellMar>
          <w:top w:w="28" w:type="dxa"/>
          <w:left w:w="28" w:type="dxa"/>
          <w:bottom w:w="28" w:type="dxa"/>
          <w:right w:w="28" w:type="dxa"/>
        </w:tblCellMar>
      </w:tblPr>
      <w:tblGrid>
        <w:gridCol w:w="1822"/>
        <w:gridCol w:w="1597"/>
        <w:gridCol w:w="1606"/>
        <w:gridCol w:w="109"/>
        <w:gridCol w:w="109"/>
        <w:gridCol w:w="217"/>
        <w:gridCol w:w="217"/>
        <w:gridCol w:w="255"/>
        <w:gridCol w:w="256"/>
        <w:gridCol w:w="624"/>
        <w:gridCol w:w="109"/>
        <w:gridCol w:w="109"/>
        <w:gridCol w:w="109"/>
        <w:gridCol w:w="255"/>
        <w:gridCol w:w="256"/>
        <w:gridCol w:w="692"/>
      </w:tblGrid>
      <w:tr>
        <w:trPr/>
        <w:tc>
          <w:tcPr>
            <w:tcW w:w="182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530" w:type="dxa"/>
            <w:gridSpan w:val="6"/>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period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the intrinsic value of unvested performance stock units based on expected achievement levels was $18.7 million. As of June 30, 2024, the Company had unrecognized stock-based compensation expense relating to unvested PSUs of approximately $10.3 million, which will be recognized over a weighted-average period of 2.0 years.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recorded in the condensed consolidated statements of operations was as follows: </w:t>
      </w:r>
    </w:p>
    <w:tbl>
      <w:tblPr>
        <w:tblW w:w="9152" w:type="dxa"/>
        <w:jc w:val="center"/>
        <w:tblInd w:w="0" w:type="dxa"/>
        <w:tblLayout w:type="fixed"/>
        <w:tblCellMar>
          <w:top w:w="28" w:type="dxa"/>
          <w:left w:w="28" w:type="dxa"/>
          <w:bottom w:w="28" w:type="dxa"/>
          <w:right w:w="28" w:type="dxa"/>
        </w:tblCellMar>
      </w:tblPr>
      <w:tblGrid>
        <w:gridCol w:w="1312"/>
        <w:gridCol w:w="1156"/>
        <w:gridCol w:w="1161"/>
        <w:gridCol w:w="228"/>
        <w:gridCol w:w="779"/>
        <w:gridCol w:w="117"/>
        <w:gridCol w:w="109"/>
        <w:gridCol w:w="109"/>
        <w:gridCol w:w="109"/>
        <w:gridCol w:w="228"/>
        <w:gridCol w:w="779"/>
        <w:gridCol w:w="117"/>
        <w:gridCol w:w="109"/>
        <w:gridCol w:w="109"/>
        <w:gridCol w:w="109"/>
        <w:gridCol w:w="228"/>
        <w:gridCol w:w="779"/>
        <w:gridCol w:w="117"/>
        <w:gridCol w:w="109"/>
        <w:gridCol w:w="109"/>
        <w:gridCol w:w="109"/>
        <w:gridCol w:w="227"/>
        <w:gridCol w:w="777"/>
        <w:gridCol w:w="166"/>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10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 aggregate of 17,311,016 shares remained available for future grants under the Magnite, Inc. Amended and Restated 2014 Equity Incentive Plan (the "Amended and Restated 2014 Equity Incentive Plan"). </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has reserved 4,425,429 shares of its common stock for issuance under the Magnite, Inc. Amended and Restated 2014 Employee Stock Purchase Plan (the "Amended and Restated 2014 Employee Stock 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Note 10—Income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provision of $4.6 million and tax benefit of $3.2 million for the three and six months ended June 30, 2024, respectively, and an income tax provision of $0.7 million and $0.4 million for the three and six months ended June 30, 2023, respectively. The tax provision and benefit for the three and six months ended June 30, 2024, respectively, was primarily the result of the Company's ability to recognize deferred tax assets ("DTAs") subject to the domestic valuation allowance and the foreign income tax provision. The tax provision for the three and six months ended June 30, 2023 was primarily the result of the Company's ability to recognize DTAs subject to the domestic valuation allowance and the foreign income tax provision. The Company continues to maintain a partial valuation allowance for the domestic DTAs.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net operating loss carryforwards, all of the Company's United States federal and a majority of its state returns are open to examination by the Internal Revenue Service and state jurisdictions for all years since inception. For the Netherlands, India, Sweden, and the United Kingdom, all tax years remain open for examination by the local country tax authorities, for France, only 2021 and forward are open, for Singapore, only 2019 and forward are open for examination, for Australia, Brazil, Germany,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New Zealand, 2019 and forward are open for examination, for Canada, Italy, and Malaysia, 2018 and forward are open for examination, and for Japan, 2017 and forward remain open for examination.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382 of the Internal Revenue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material change to the Company's unrecognized tax benefits in the six months ended June 30, 2024 and the Company does not expect to have any material changes to unrecognized tax benefits through the end of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11—Lease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was $5.9 million and $6.4 million for the three months ended June 30, 2024 and 2023, respectively, and $11.6 million and $12.9 million for the six months ended June 30, 2024 and 2023, respectively. Variable lease expense was $0.6 million and $0.9 million for the three months ended June 30, 2024 and 2023, respectively, and $1.5 million and $1.7 million for the six months ended June 30, 2024 and 2023, respectively.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received rental income of $1.3 million and $1.4 million for real estate leases for which it subleases the property to third parties during the three months ended June 30, 2024 and 2023, respectively, and $2.6 million and $2.7 million during the six months ended June 30, 2024 and 2023, respectively.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a weighted average discount rate of 6.19% and 6.19%, respectively,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4.8 years and 5.2 years as of June 30, 2024 and December 31, 2023, respectively. </w:t>
      </w:r>
    </w:p>
    <w:p>
      <w:pPr>
        <w:pStyle w:val="TextBody"/>
        <w:bidi w:val="0"/>
        <w:spacing w:lineRule="auto" w:line="288" w:before="1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the Company's lease liabilities associated with leases included in the lease liability and ROU asset were as follows as of June 30, 2024 (in thousands):</w:t>
      </w:r>
    </w:p>
    <w:tbl>
      <w:tblPr>
        <w:tblW w:w="4191" w:type="dxa"/>
        <w:jc w:val="left"/>
        <w:tblInd w:w="0" w:type="dxa"/>
        <w:tblLayout w:type="fixed"/>
        <w:tblCellMar>
          <w:top w:w="28" w:type="dxa"/>
          <w:left w:w="28" w:type="dxa"/>
          <w:bottom w:w="28" w:type="dxa"/>
          <w:right w:w="28" w:type="dxa"/>
        </w:tblCellMar>
      </w:tblPr>
      <w:tblGrid>
        <w:gridCol w:w="1123"/>
        <w:gridCol w:w="989"/>
        <w:gridCol w:w="993"/>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 (undiscounted)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liabilities—total (discounted)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12—Commitments and Contingencies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commitments under non-cancelable operating leases for facilities, certain equipment, and its managed data center facilities (Note 11).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had $5.2 million and $5.3 million, respectively, of letters of credit associated with office leases available for borrowing, on which there were no outstanding borrowings as of either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non-cancelable contractual obligations with various parties, primarily related to software services agreements and data center providers. As of June 30, 2024, the Company's outstanding non-cancelable contractual obligations with a remaining term in excess of one year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2570" w:type="dxa"/>
        <w:jc w:val="left"/>
        <w:tblInd w:w="0" w:type="dxa"/>
        <w:tblLayout w:type="fixed"/>
        <w:tblCellMar>
          <w:top w:w="28" w:type="dxa"/>
          <w:left w:w="28" w:type="dxa"/>
          <w:bottom w:w="28" w:type="dxa"/>
          <w:right w:w="28" w:type="dxa"/>
        </w:tblCellMar>
      </w:tblPr>
      <w:tblGrid>
        <w:gridCol w:w="535"/>
        <w:gridCol w:w="471"/>
        <w:gridCol w:w="478"/>
        <w:gridCol w:w="211"/>
        <w:gridCol w:w="721"/>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 </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audits by taxing authorities,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June 30, 2024. However, based on management’s knowledge as of June 30, 2024, management believes that the final resolution of these matters known at such date, individually and in the aggregate, will not have a material adverse effect upon the Company’s condensed consolidated financial position, results of operations or cash flows.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Employment Contracts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pStyle w:val="TextBody"/>
        <w:bidi w:val="0"/>
        <w:spacing w:before="1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13—Debt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 as of June 30, 2024 and December 31, 2023 consisted of the following:</w:t>
      </w:r>
    </w:p>
    <w:tbl>
      <w:tblPr>
        <w:tblW w:w="10205" w:type="dxa"/>
        <w:jc w:val="center"/>
        <w:tblInd w:w="0" w:type="dxa"/>
        <w:tblLayout w:type="fixed"/>
        <w:tblCellMar>
          <w:top w:w="28" w:type="dxa"/>
          <w:left w:w="28" w:type="dxa"/>
          <w:bottom w:w="28" w:type="dxa"/>
          <w:right w:w="28" w:type="dxa"/>
        </w:tblCellMar>
      </w:tblPr>
      <w:tblGrid>
        <w:gridCol w:w="2240"/>
        <w:gridCol w:w="1945"/>
        <w:gridCol w:w="1951"/>
        <w:gridCol w:w="290"/>
        <w:gridCol w:w="1138"/>
        <w:gridCol w:w="150"/>
        <w:gridCol w:w="150"/>
        <w:gridCol w:w="150"/>
        <w:gridCol w:w="150"/>
        <w:gridCol w:w="360"/>
        <w:gridCol w:w="1415"/>
        <w:gridCol w:w="266"/>
      </w:tblGrid>
      <w:tr>
        <w:trPr/>
        <w:tc>
          <w:tcPr>
            <w:tcW w:w="2240"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6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 of Convertible Senior Notes</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 of Term Loan B Facility*</w:t>
            </w:r>
          </w:p>
        </w:tc>
        <w:tc>
          <w:tcPr>
            <w:tcW w:w="1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334,117 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Sheet Presentation:</w:t>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non-current, net of debt discount and debt issuance costs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549,025 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552,675 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536,586 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Term Loan B Facility as of June 30, 2024 and December 31, 2023 reflect the balances under the 2024 Term Loan B Facility and the 2021 Term Loan B Facility, respectively.</w:t>
            </w:r>
          </w:p>
        </w:tc>
      </w:tr>
    </w:tbl>
    <w:p>
      <w:pPr>
        <w:pStyle w:val="TextBody"/>
        <w:bidi w:val="0"/>
        <w:spacing w:lineRule="auto" w:line="276"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the principal amount of the Company's long-term debt as of June 30, 2024 are as follows (in thousands):</w:t>
      </w:r>
    </w:p>
    <w:tbl>
      <w:tblPr>
        <w:tblW w:w="2676" w:type="dxa"/>
        <w:jc w:val="left"/>
        <w:tblInd w:w="0" w:type="dxa"/>
        <w:tblLayout w:type="fixed"/>
        <w:tblCellMar>
          <w:top w:w="28" w:type="dxa"/>
          <w:left w:w="28" w:type="dxa"/>
          <w:bottom w:w="28" w:type="dxa"/>
          <w:right w:w="28" w:type="dxa"/>
        </w:tblCellMar>
      </w:tblPr>
      <w:tblGrid>
        <w:gridCol w:w="537"/>
        <w:gridCol w:w="473"/>
        <w:gridCol w:w="475"/>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debt discount and debt issuance cost is computed using the effective interest method and is included in interest expense in the condensed consolidated statement of operations. Amortization of the debt discount and debt issuance cost associated with the Company's indebtedness totaled $0.9 million and $1.9 million for the three and six months ended June 30, 2024, respectively, and $1.5 million and $3.0 million for the three and six months ended June 30, 2023, respectively. In addition, amortization of deferred financing costs was $0.1 million and $0.3 million for the three and six months ended June 30, 2024, respectively, and $0.1 million and $0.2 million for the three and six months ended June 30, 2023, respectively. Deferred financing costs are included in other assets, non-current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and Capped Call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the Loan Agreement or the new Credit Agreement (see section below); and (iv) structurally subordinated to all existing and future indebtedness and other liabilities, including trade payables, and (to the extent the Company is not a holder thereof) preferred equity, if any, of the Company’s subsidiaries that do not guarantee the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have an initial conversion rate of 15.6539 shares of common stock per $1,000 principal amount of the Convertible Senior Notes, which will be subject to customary anti-dilution adjustments in certain circumstances.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repurchased its Convertible Senior Notes in the open market with cash on hand for $34.2 million and $75.0 million, respectively. The Company recognized a gain on extinguishment of debt of $5.4 million and $14.0 million related to the repurchase of $40.2 million and $90.5 million of principal balance of Convertible Senior Notes and $0.6 million and $1.5 million of unamortized debt issuance costs associated with the extinguished debt during the three and six months ended June 30, 2023, respectively. The gain on extinguishment is included in other (income) expense in the Company's condensed consolidated statement of operations.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Convertible Senior Notes for the three and six months ended June 30, 2024 and 2023 (in thousands, except interest rates):</w:t>
      </w:r>
    </w:p>
    <w:tbl>
      <w:tblPr>
        <w:tblW w:w="8522" w:type="dxa"/>
        <w:jc w:val="left"/>
        <w:tblInd w:w="0" w:type="dxa"/>
        <w:tblLayout w:type="fixed"/>
        <w:tblCellMar>
          <w:top w:w="28" w:type="dxa"/>
          <w:left w:w="28" w:type="dxa"/>
          <w:bottom w:w="28" w:type="dxa"/>
          <w:right w:w="28" w:type="dxa"/>
        </w:tblCellMar>
      </w:tblPr>
      <w:tblGrid>
        <w:gridCol w:w="1085"/>
        <w:gridCol w:w="954"/>
        <w:gridCol w:w="960"/>
        <w:gridCol w:w="250"/>
        <w:gridCol w:w="553"/>
        <w:gridCol w:w="321"/>
        <w:gridCol w:w="109"/>
        <w:gridCol w:w="109"/>
        <w:gridCol w:w="109"/>
        <w:gridCol w:w="250"/>
        <w:gridCol w:w="553"/>
        <w:gridCol w:w="321"/>
        <w:gridCol w:w="109"/>
        <w:gridCol w:w="109"/>
        <w:gridCol w:w="109"/>
        <w:gridCol w:w="250"/>
        <w:gridCol w:w="553"/>
        <w:gridCol w:w="321"/>
        <w:gridCol w:w="109"/>
        <w:gridCol w:w="109"/>
        <w:gridCol w:w="109"/>
        <w:gridCol w:w="216"/>
        <w:gridCol w:w="631"/>
        <w:gridCol w:w="323"/>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2" w:type="dxa"/>
            <w:gridSpan w:val="15"/>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Company's debt issuance costs related to the Convertible Senior Notes for the fiscal years 2024 through 2026 is as follows (in thousands):</w:t>
      </w:r>
    </w:p>
    <w:tbl>
      <w:tblPr>
        <w:tblW w:w="3059" w:type="dxa"/>
        <w:jc w:val="left"/>
        <w:tblInd w:w="0" w:type="dxa"/>
        <w:tblLayout w:type="fixed"/>
        <w:tblCellMar>
          <w:top w:w="28" w:type="dxa"/>
          <w:left w:w="28" w:type="dxa"/>
          <w:bottom w:w="28" w:type="dxa"/>
          <w:right w:w="28" w:type="dxa"/>
        </w:tblCellMar>
      </w:tblPr>
      <w:tblGrid>
        <w:gridCol w:w="537"/>
        <w:gridCol w:w="471"/>
        <w:gridCol w:w="477"/>
        <w:gridCol w:w="338"/>
        <w:gridCol w:w="989"/>
        <w:gridCol w:w="247"/>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2021 and 2024 Credit Agreements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the Amended 2021 Credit Agreement accrued interest at a rate equal to either, (1) for the 2021 Term Loan B Facility, at the Company’s election, the Adjusted Term SOFR plus a margin of 5.00% per annum, or ABR (as defined in the Amended 2021 Credit Agreement) plus a margin of 4.00%, and (2) for the 2021 Revolving Credit Facility, at the Company’s election, Adjusted Term SOFR plus a margin of 4.25% to 4.75%, or ABR plus a margin of 3.25% to 3.75%, in each case, depending on the Company’s first lien net leverage ratio.</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entered into a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includes a $365.0 million seven-year senior secured term loan facility (the "2024 Term Loan B Facility"), whose loans will mature in February 2031 and a $175.0 million five-year senior secured revolving credit facility (the "2024 Revolving Credit Facility"), which matures in February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2029. The Company primarily used the proceeds from the 2024 Term Loan B Facility to repay in full all outstanding amounts owed under the Company's Amended 2021 Credit Agreement. Accordingly, the Amended 2021 Credit Agreement was terminated and replaced in its entirely. The obligations under the 2024 Credit Agreement are secured by substantially all of the assets of the Company.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the 2024 Credit Agreement accrue interest at a rate equal to either, (1) for the 2024 Term Loan B Facility, at the Company’s election, Term SOFR (as defined in the 2024 Credit Agreement) plus a margin of 4.50% per annum, or ABR (as defined in the 2024 Credit Agreement) plus a margin of 3.50%, and (2) for the 2024 Revolving Credit Facility, at the Company’s election, Term SOFR plus a margin of 3.50% to 4.00%, or ABR plus a margin of 2.50% to 3.00%, in each case, depending on the Company’s First Lien Net Leverage Ratio (as defined in the 2024 Credit Agreement). As of June 30, 2024, the contractual interest rate related to the Term Loan B Facility was 9.81%.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 1.00. As of June 30, 2024, no amounts were outstanding under the 2024 Revolving Credit Facility and the Company was in compliance with its debt covenants. At June 30, 2024, amounts available under the 2024 Revolving Credit Facility were $169.8 million, net of letters of credit outstanding in the amount of $5.2 million.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June 30, 2024.</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outstanding under the Company's 2024 Term Loan B Facility and 2021 Term Loan B Facility at June 30, 2024 and December 31, 2023, respectively:</w:t>
      </w:r>
    </w:p>
    <w:tbl>
      <w:tblPr>
        <w:tblW w:w="10205" w:type="dxa"/>
        <w:jc w:val="left"/>
        <w:tblInd w:w="0" w:type="dxa"/>
        <w:tblLayout w:type="fixed"/>
        <w:tblCellMar>
          <w:top w:w="28" w:type="dxa"/>
          <w:left w:w="28" w:type="dxa"/>
          <w:bottom w:w="28" w:type="dxa"/>
          <w:right w:w="28" w:type="dxa"/>
        </w:tblCellMar>
      </w:tblPr>
      <w:tblGrid>
        <w:gridCol w:w="2093"/>
        <w:gridCol w:w="1741"/>
        <w:gridCol w:w="1748"/>
        <w:gridCol w:w="323"/>
        <w:gridCol w:w="1268"/>
        <w:gridCol w:w="166"/>
        <w:gridCol w:w="166"/>
        <w:gridCol w:w="166"/>
        <w:gridCol w:w="166"/>
        <w:gridCol w:w="406"/>
        <w:gridCol w:w="1591"/>
        <w:gridCol w:w="208"/>
        <w:gridCol w:w="163"/>
      </w:tblGrid>
      <w:tr>
        <w:trPr/>
        <w:tc>
          <w:tcPr>
            <w:tcW w:w="209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3" w:type="dxa"/>
            <w:tcBorders/>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net of debt discount and debt issuance costs</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349,619 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334,117 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Term Loan B Facility as of June 30, 2024 and December 31, 2023 reflect the balances under the 2024 Term Loan B Facility and the 2021 Term Loan B Facility, respectively.</w:t>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debt refinance on February 6, 2024, where lenders under the 2021 Credit Agreement continued to be lenders under the 2024 Credit Agreement, certain of their loans and revolving facility commitments were deemed to have been modified ("Modified Loans" and "Modified Commitments," respectively). The Company continued to defer debt discount costs of $3.7 million and debt issuance costs of $5.7 million from Modified Loans over the term of the new 2024 Term Loan B Facility. The Company continued to defer financing costs as of February 6, 2024 of $0.6 million from Modified Commitments over the term of the new 2024 Revolver Facility.</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lenders of the 2021 Credit Agreement that did not continue to participate in the 2024 Credit Agreement, their pro-rata portion of the unamortized debt discount of $2.8 million, unamortized debt issuance cost of $4.3 million, and unamortized deferred financing costs of $0.3 million were deemed to be extinguished. The resulting loss on extinguishment of debt is included in other (income) expense in the Company's condensed consolidated statement of operations.</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$7.7 million in third-party fees related to the closing of the 2024 Credit Agreement. Third-party fees attributed to new lenders of $2.4 million were capitalized as part of the debt issuance cost and will be amortized over the term of the 2024 Term Loan B Facility while third-party fees attributed to Modified Loans of $3.1 million were included in general and administrative expenses in the Company's condensed consolidated statement of operations for the six months ended June 30, 2024. In addition, third-party fees of $2.1 million attributed to new revolving lenders and Modified Commitments were capitalized as part of deferred financing costs and will be amortized over the term of the 2024 Revolving Facility. The Company also capitalized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debt discount costs of $3.7 million associated with the closing of the 2024 Term Loan B Facility, which will be amortized over the term of the 2024 Term Loan B Facility. </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2024 Term Loan B Facility and the 2021 Term Loan B Facility (in thousands, except interest rates):</w:t>
      </w:r>
    </w:p>
    <w:tbl>
      <w:tblPr>
        <w:tblW w:w="8653" w:type="dxa"/>
        <w:jc w:val="left"/>
        <w:tblInd w:w="0" w:type="dxa"/>
        <w:tblLayout w:type="fixed"/>
        <w:tblCellMar>
          <w:top w:w="28" w:type="dxa"/>
          <w:left w:w="28" w:type="dxa"/>
          <w:bottom w:w="28" w:type="dxa"/>
          <w:right w:w="28" w:type="dxa"/>
        </w:tblCellMar>
      </w:tblPr>
      <w:tblGrid>
        <w:gridCol w:w="1085"/>
        <w:gridCol w:w="954"/>
        <w:gridCol w:w="960"/>
        <w:gridCol w:w="211"/>
        <w:gridCol w:w="616"/>
        <w:gridCol w:w="271"/>
        <w:gridCol w:w="109"/>
        <w:gridCol w:w="109"/>
        <w:gridCol w:w="109"/>
        <w:gridCol w:w="216"/>
        <w:gridCol w:w="631"/>
        <w:gridCol w:w="277"/>
        <w:gridCol w:w="109"/>
        <w:gridCol w:w="109"/>
        <w:gridCol w:w="109"/>
        <w:gridCol w:w="211"/>
        <w:gridCol w:w="721"/>
        <w:gridCol w:w="271"/>
        <w:gridCol w:w="109"/>
        <w:gridCol w:w="109"/>
        <w:gridCol w:w="109"/>
        <w:gridCol w:w="211"/>
        <w:gridCol w:w="721"/>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575"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2024 Term Loan B Facility debt discount and debt issuance costs for fiscal years 2024 through 2028 and thereafter is as follows (in thousands):</w:t>
      </w:r>
    </w:p>
    <w:tbl>
      <w:tblPr>
        <w:tblW w:w="4511" w:type="dxa"/>
        <w:jc w:val="left"/>
        <w:tblInd w:w="0" w:type="dxa"/>
        <w:tblLayout w:type="fixed"/>
        <w:tblCellMar>
          <w:top w:w="28" w:type="dxa"/>
          <w:left w:w="28" w:type="dxa"/>
          <w:bottom w:w="28" w:type="dxa"/>
          <w:right w:w="28" w:type="dxa"/>
        </w:tblCellMar>
      </w:tblPr>
      <w:tblGrid>
        <w:gridCol w:w="537"/>
        <w:gridCol w:w="471"/>
        <w:gridCol w:w="477"/>
        <w:gridCol w:w="253"/>
        <w:gridCol w:w="741"/>
        <w:gridCol w:w="131"/>
        <w:gridCol w:w="109"/>
        <w:gridCol w:w="109"/>
        <w:gridCol w:w="109"/>
        <w:gridCol w:w="338"/>
        <w:gridCol w:w="989"/>
        <w:gridCol w:w="247"/>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potential synergies from the Company's acquisitions; macroeconomic conditions or concerns related thereto; the growth of ad-supported programmatic connected television ("CTV"); our ability to use and collect data to provide our offerings; scope and duration of client relationships; the fees we may charge in the future; our anticipated financial performance; key strategic objectives; anticipated benefits of new offerings;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2023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our unaudited condensed consolidated financial statements and notes thereto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streaming SSP platform and ad server offers CTV sellers a holistic solution for workflow, yield management and monetization, across both programmatic and direct-sold video inventory. We provide sellers with a full suite of tools to protect the consumer viewing experience and brand safety expectations, while increasing revenue opportunities, including forecasting tools, customized ad experiences and ad formats, and advanced podding logic. These tools are particularly important to CTV sellers who need to provide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so that competing brand ads do not appear during the same commercial break.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Industry and Business Trends, Opportunities and Challenges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Continued Shift Toward Digital Advertising and Automation of Buying and Selling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These reserve auctions may be “guaranteed,” where a buyer has negotiated a pre-established price and volume with a seller.</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Convergence of TV and Digital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and through biddable environments rather than programmatic guaranteed, similar to trends that occurred in desktop and mobile.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and plan to continue to make significant investments in technology, sales and support related to our CTV growth initiatives, and believe CTV will be a significant driver of our revenue growth for the foreseeable future. Consistent with this growth objective, in 2023 we introduced our Magnite Streaming platform, which merges leading technology from our legacy Magnite CTV and SpotX CTV platforms. We believe the combination of our Magnite Streaming platform with our ad server, which we acquired in 2021, is highly strategic as it allows us to offer publishers an independent full-stack solution to the walled gardens, which can be leveraged across their entire video advertising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 of our revenue and Contribution ex-TAC (as defined in section "Key Operating and Financial Performance Metrics") attributable to CTV has increased significantly in recent years. Because CTV is largely transacted through reserve auctions, reserve auctions have become a more significant portion of the transactions on our platform. In addition, as newer entrants to programmatic advertising, the largest publishers and broadcasters have tended to transact almost exclusively through reserve auctions and have lower overall take rates. These publishers have continued to increase their focus and investment in programmatic CTV, and in recent periods have grown as a percentage of our CTV business. Accordingly, the increase in share among these publishers on our platform has driven a decrease in our aggregate CTV take rates.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Identity Solutions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in particular web browsers and device manufacturers, have taken steps to eliminate or restrict the use of these technologies.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instance, Google had previously announced plans to fully deprecate third-party cookies by the end of 2024. However, recently Google announced that they will no longer be deprecating third-party cookies and instead will be introducing features that allows consumers to opt out of third-party cookies, while further investing in their own proprietary solutions. We would expect these new features to result in an increase in the number of users opting out of third-party cookies on Chrome browsers, which could lead to some short-term uncertainty as well as a decrease in CPMs.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long term, we believe that a decreased reliance on third-party cookies and other non-transparent tracking methods are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where third-party cookies do not exist, this identity model already largely exists with publishers more tightly controlling access to identifiers and user data, while offering proprietary first-party data segments for reaching desired audiences. 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Path Optimization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In furtherance of these goals, in April 2023 we announced the launch of ClearLine, a self-service solution that provides agencies direct access to premium advertising on our platform.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demand. We believe we are well positioned to benefit from SPO in the long run as a result of our transparency, our broad and unique inventory supply across all channels and formats, including CTV, buyer tools, such as traffic shaping and ClearLine that reduce the cost of working with us, and our brand safety measures.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Header Bidding and Data Processing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We have invested in technology solutions, such as Demand Manager, to help desktop and mobile publishers manage their header-bidding inventory.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header bidding has led to a significant increase in the number of ad impressions to be processed and analyzed through our platform as well as by DSPs, which can lead to increased costs if not properly addressed. We continuously work to increase the operational efficiency of our platform, so as to enable buyers and sellers to achieve their campaign and monetization objectives in a cost-effective manner. Our solution is self-improving as we process more volume and accumulate more data, which in turn helps make our machine-learning algorithms more intelligent. We believe these cost savings make our platform more attractive to buyers, which in turn improves revenue opportunities for sellers.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header-bidding technologies have not been largely adopted by CTV sellers, such solutions or similar solutions geared towards increasing demand competition have become more prevalent. We have addressed this, in part, through our ad server, which offers sellers a unified programmatic demand solution for CTV that leverages our existing programmatic SSP capabilities as well as connects with third party programmatic demand sources.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Macroeconomic Developments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Recent macroeconomic challenges, such as inflation, high interest rates, global conflicts, the risk of a recession, labor strikes, and other macroeconomic factors, have generally negatively impacted ad budgets, which in turn may lead to slower ad spend growth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 We expect our results for the second-half of 2024 to include revenue from political advertising, the magnitude of which is uncertain and depends on factors outside of our control.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Item 1A. "Risk Factors" in our Annual Report on Form 10-K for the year ended December 31, 2023 for additional information related to risks associated with macroeconomic challenges.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consolidated operating performance.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our revenue reported on a gross basis was 16% and 17%, respectively, of total revenue, and for the three and six months ended June 30, 2023, our revenue reported on a gross basis was 19% and 18%, respectively, of total revenue.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our audited consolidated financial statements and notes thereto for the year ended December 31, 2023 included in our Annual Report on Form 10-K and in Note 3 of the accompanying Notes to the Condensed Consolidated Financial Statements. </w:t>
      </w:r>
    </w:p>
    <w:p>
      <w:pPr>
        <w:pStyle w:val="TextBody"/>
        <w:bidi w:val="0"/>
        <w:spacing w:lineRule="auto" w:line="26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Expenses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expenses into the following categories: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Our cost of revenue primarily consists of cloud hosting, data center, and bandwidth costs, ad verification costs, depreciation and maintenance expense of hardware supporting our revenue-producing platform, amortization of software costs for the development of our revenue-producing platform, amortization expense associated with acquired developed technologies, and personnel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primarily consists of personnel costs, including salaries, bonuses, and stock-based compensation, as well as marketing expenses such as brand marketing, travel expenses, trade shows and marketing materials, amortization expense associated with client relationships, backlog,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and backlog from our business acquisitions over their estimated useful lives.</w:t>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Our technology and development expenses primarily consists of personnel costs, including salaries, bonuses, and stock-based compensation, as well as professional services associated with the ongoing development and maintenance of our solution, third-party software license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Our general and administrative expenses primarily consists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Merger, Acquisition, and Restructuring Costs.</w:t>
      </w:r>
      <w:r>
        <w:rPr>
          <w:color w:val="000000"/>
        </w:rPr>
        <w:t xml:space="preserve"> </w:t>
      </w:r>
      <w:r>
        <w:rPr>
          <w:rFonts w:ascii="Times New Roman;sans-serif" w:hAnsi="Times New Roman;sans-serif"/>
          <w:b w:val="false"/>
          <w:color w:val="000000"/>
          <w:sz w:val="20"/>
        </w:rPr>
        <w:t>Our merger, acquisition, and restructuring costs primarily consists of professional service fees associated 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Interest (Income) Expense, Net.</w:t>
      </w:r>
      <w:r>
        <w:rPr>
          <w:color w:val="000000"/>
        </w:rPr>
        <w:t xml:space="preserve"> </w:t>
      </w:r>
      <w:r>
        <w:rPr>
          <w:rFonts w:ascii="Times New Roman;sans-serif" w:hAnsi="Times New Roman;sans-serif"/>
          <w:b w:val="false"/>
          <w:color w:val="000000"/>
          <w:sz w:val="20"/>
        </w:rPr>
        <w:t xml:space="preserve">Interest expense primarily consists of interest expense associated with our 2024 Term Loan B Facility (defined below), 2021 Term Loan B Facility (defined below) and Convertible Senior Notes (defined below), and their related amortization of debt issuance costs and debt discount. Interest income primarily consists of interest earned on our cash equivalents.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Foreign Currency Exchange (Gain) Loss, Net</w:t>
      </w:r>
      <w:r>
        <w:rPr>
          <w:rFonts w:ascii="Times New Roman;sans-serif" w:hAnsi="Times New Roman;sans-serif"/>
          <w:b w:val="false"/>
          <w:color w:val="000000"/>
          <w:sz w:val="20"/>
        </w:rPr>
        <w:t>. Foreign currency exchange (gain) loss, net consists of gains and losses on foreign currency 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(Gain) Loss on Extinguishment of Debt. </w:t>
      </w:r>
      <w:r>
        <w:rPr>
          <w:rFonts w:ascii="Times New Roman;sans-serif" w:hAnsi="Times New Roman;sans-serif"/>
          <w:b w:val="false"/>
          <w:color w:val="000000"/>
          <w:sz w:val="20"/>
        </w:rPr>
        <w:t>Gain or loss on extinguishment of debt consists of gains or losses associated with the repurchases of Convertible Senior Notes at a discount or premium and gains or losses associated with the refinancing of our debt facilities, including the extinguishment of unamortized debt discount, debt issuance costs, and deferred financing costs.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Other income primarily consists of rental income from commercial office space we hold under lease and have sublet to other tenants.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00"/>
        <w:jc w:val="left"/>
        <w:rPr>
          <w:color w:val="000000"/>
        </w:rPr>
      </w:pPr>
      <w:r>
        <w:rPr>
          <w:color w:val="000000"/>
        </w:rPr>
        <w:t>    </w:t>
      </w:r>
      <w:r>
        <w:rPr>
          <w:rFonts w:ascii="Times New Roman;sans-serif" w:hAnsi="Times New Roman;sans-serif"/>
          <w:b w:val="false"/>
          <w:color w:val="000000"/>
          <w:sz w:val="20"/>
        </w:rPr>
        <w:t>The following table sets forth our condensed consolidated results of operations:</w:t>
      </w:r>
    </w:p>
    <w:tbl>
      <w:tblPr>
        <w:tblW w:w="10205" w:type="dxa"/>
        <w:jc w:val="center"/>
        <w:tblInd w:w="0" w:type="dxa"/>
        <w:tblLayout w:type="fixed"/>
        <w:tblCellMar>
          <w:top w:w="28" w:type="dxa"/>
          <w:left w:w="28" w:type="dxa"/>
          <w:bottom w:w="28" w:type="dxa"/>
          <w:right w:w="28" w:type="dxa"/>
        </w:tblCellMar>
      </w:tblPr>
      <w:tblGrid>
        <w:gridCol w:w="956"/>
        <w:gridCol w:w="741"/>
        <w:gridCol w:w="751"/>
        <w:gridCol w:w="206"/>
        <w:gridCol w:w="774"/>
        <w:gridCol w:w="114"/>
        <w:gridCol w:w="109"/>
        <w:gridCol w:w="109"/>
        <w:gridCol w:w="109"/>
        <w:gridCol w:w="206"/>
        <w:gridCol w:w="774"/>
        <w:gridCol w:w="114"/>
        <w:gridCol w:w="109"/>
        <w:gridCol w:w="109"/>
        <w:gridCol w:w="109"/>
        <w:gridCol w:w="210"/>
        <w:gridCol w:w="211"/>
        <w:gridCol w:w="392"/>
        <w:gridCol w:w="109"/>
        <w:gridCol w:w="109"/>
        <w:gridCol w:w="109"/>
        <w:gridCol w:w="206"/>
        <w:gridCol w:w="774"/>
        <w:gridCol w:w="114"/>
        <w:gridCol w:w="109"/>
        <w:gridCol w:w="109"/>
        <w:gridCol w:w="109"/>
        <w:gridCol w:w="196"/>
        <w:gridCol w:w="794"/>
        <w:gridCol w:w="109"/>
        <w:gridCol w:w="109"/>
        <w:gridCol w:w="109"/>
        <w:gridCol w:w="109"/>
        <w:gridCol w:w="239"/>
        <w:gridCol w:w="234"/>
        <w:gridCol w:w="455"/>
      </w:tblGrid>
      <w:tr>
        <w:trPr/>
        <w:tc>
          <w:tcPr>
            <w:tcW w:w="95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Change %</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Expenses </w:t>
            </w:r>
            <w:r>
              <w:rPr>
                <w:rFonts w:ascii="Times New Roman;sans-serif" w:hAnsi="Times New Roman;sans-serif"/>
                <w:b w:val="false"/>
                <w:color w:val="000000"/>
                <w:sz w:val="12"/>
              </w:rPr>
              <w:t>(1)(2)</w:t>
            </w:r>
            <w:r>
              <w:rPr>
                <w:rFonts w:ascii="Times New Roman;sans-serif" w:hAnsi="Times New Roman;sans-serif"/>
                <w:b w:val="false"/>
                <w:color w:val="000000"/>
                <w:sz w:val="18"/>
              </w:rPr>
              <w:t>:</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(73,226)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(18,835)</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1063"/>
        <w:gridCol w:w="884"/>
        <w:gridCol w:w="852"/>
        <w:gridCol w:w="397"/>
        <w:gridCol w:w="1311"/>
        <w:gridCol w:w="220"/>
        <w:gridCol w:w="220"/>
        <w:gridCol w:w="220"/>
        <w:gridCol w:w="220"/>
        <w:gridCol w:w="397"/>
        <w:gridCol w:w="1311"/>
        <w:gridCol w:w="220"/>
        <w:gridCol w:w="109"/>
        <w:gridCol w:w="109"/>
        <w:gridCol w:w="109"/>
        <w:gridCol w:w="225"/>
        <w:gridCol w:w="741"/>
        <w:gridCol w:w="125"/>
        <w:gridCol w:w="109"/>
        <w:gridCol w:w="109"/>
        <w:gridCol w:w="109"/>
        <w:gridCol w:w="223"/>
        <w:gridCol w:w="737"/>
        <w:gridCol w:w="185"/>
      </w:tblGrid>
      <w:tr>
        <w:trPr/>
        <w:tc>
          <w:tcPr>
            <w:tcW w:w="106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15" w:type="dxa"/>
            <w:gridSpan w:val="12"/>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  </w:t>
            </w:r>
            <w:r>
              <w:rPr>
                <w:rFonts w:ascii="Times New Roman;sans-serif" w:hAnsi="Times New Roman;sans-serif"/>
                <w:b w:val="false"/>
                <w:color w:val="000000"/>
                <w:sz w:val="18"/>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5" w:type="dxa"/>
            <w:gridSpan w:val="12"/>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18"/>
              </w:rPr>
            </w:pPr>
            <w:r>
              <w:rPr>
                <w:rFonts w:ascii="Times New Roman;sans-serif" w:hAnsi="Times New Roman;sans-serif"/>
                <w:b w:val="false"/>
                <w:color w:val="000000"/>
                <w:sz w:val="18"/>
              </w:rPr>
              <w:t>(1) Stock-based compensation expense included in our expenses was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19,660 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18,707 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50"/>
        <w:gridCol w:w="867"/>
        <w:gridCol w:w="822"/>
        <w:gridCol w:w="402"/>
        <w:gridCol w:w="1326"/>
        <w:gridCol w:w="223"/>
        <w:gridCol w:w="223"/>
        <w:gridCol w:w="223"/>
        <w:gridCol w:w="223"/>
        <w:gridCol w:w="402"/>
        <w:gridCol w:w="1326"/>
        <w:gridCol w:w="223"/>
        <w:gridCol w:w="109"/>
        <w:gridCol w:w="109"/>
        <w:gridCol w:w="109"/>
        <w:gridCol w:w="223"/>
        <w:gridCol w:w="737"/>
        <w:gridCol w:w="124"/>
        <w:gridCol w:w="109"/>
        <w:gridCol w:w="109"/>
        <w:gridCol w:w="109"/>
        <w:gridCol w:w="207"/>
        <w:gridCol w:w="780"/>
        <w:gridCol w:w="170"/>
      </w:tblGrid>
      <w:tr>
        <w:trPr/>
        <w:tc>
          <w:tcPr>
            <w:tcW w:w="105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10" w:type="dxa"/>
            <w:gridSpan w:val="12"/>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18"/>
              </w:rPr>
            </w:pPr>
            <w:r>
              <w:rPr>
                <w:rFonts w:ascii="Times New Roman;sans-serif" w:hAnsi="Times New Roman;sans-serif"/>
                <w:b w:val="false"/>
                <w:color w:val="000000"/>
                <w:sz w:val="18"/>
              </w:rPr>
              <w:t>(2) Depreciation and amortization expense included in our expenses was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81,336 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 expense</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88,939 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184,734 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sets forth our condensed consolidated results of operations for the specified periods as a percentage of our revenue for those periods presented:</w:t>
      </w:r>
    </w:p>
    <w:tbl>
      <w:tblPr>
        <w:tblW w:w="8769" w:type="dxa"/>
        <w:jc w:val="center"/>
        <w:tblInd w:w="0" w:type="dxa"/>
        <w:tblLayout w:type="fixed"/>
        <w:tblCellMar>
          <w:top w:w="28" w:type="dxa"/>
          <w:left w:w="28" w:type="dxa"/>
          <w:bottom w:w="28" w:type="dxa"/>
          <w:right w:w="28" w:type="dxa"/>
        </w:tblCellMar>
      </w:tblPr>
      <w:tblGrid>
        <w:gridCol w:w="1155"/>
        <w:gridCol w:w="1016"/>
        <w:gridCol w:w="1024"/>
        <w:gridCol w:w="229"/>
        <w:gridCol w:w="229"/>
        <w:gridCol w:w="666"/>
        <w:gridCol w:w="125"/>
        <w:gridCol w:w="125"/>
        <w:gridCol w:w="125"/>
        <w:gridCol w:w="229"/>
        <w:gridCol w:w="229"/>
        <w:gridCol w:w="666"/>
        <w:gridCol w:w="109"/>
        <w:gridCol w:w="109"/>
        <w:gridCol w:w="109"/>
        <w:gridCol w:w="229"/>
        <w:gridCol w:w="229"/>
        <w:gridCol w:w="666"/>
        <w:gridCol w:w="110"/>
        <w:gridCol w:w="110"/>
        <w:gridCol w:w="110"/>
        <w:gridCol w:w="220"/>
        <w:gridCol w:w="220"/>
        <w:gridCol w:w="730"/>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r>
      <w:tr>
        <w:trPr/>
        <w:tc>
          <w:tcPr>
            <w:tcW w:w="8769"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Note: Percentages may not sum due to rounding.</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and Six Months Ended June 30, 2024 and 2023</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$10.3 million, or 7%, for the three months ended June 30, 2024 compared to the prior year period. Our revenue growth was primarily driven by growth in CTV and mobile revenue. Revenue from CTV and mobile increased by $6.0 million, or 8%, and $3.6 million, or 6%, respectively.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$29.5 million, or 10%, for the six months ended June 30, 2024 compared to the prior year period. Our revenue growth was primarily driven by growth in CTV and mobile. Revenue from CTV and mobile increased by $19.5 million, or 15%, and $9.3 million, or 9%, respectively.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 For instance, managed services tend to have higher take rates while reserve auctions tend to have lower take rates. For full-year 2024, we believe our revenue will increase compared to the prior year period and we expect CTV will be our biggest growth driver for the remainder of 2024.</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$67.6 million, or 52%, for the three months ended June 30, 2024 compared to the prior year period, primarily due to a decrease of $69.9 million in depreciation and amortization, which was primarily driven by certain acquired intangible assets becoming fully amortized in the third quarter of 2023. The decrease was partially offset by increases of $3.1 million in cloud hosting, data center, and bandwidth expenses, primarily due to revenue growth.</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$126.5 million, or 50%, for the six months ended June 30, 2024, compared to the prior year period, primarily due to a decrease of $139.6 million in depreciation and amortization due to the same reason above. The decrease was partially offset by increases of $8.7 million in cloud hosting, data center, and bandwidth expenses, primarily due to revenue growth.</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We expect cost of revenue to decrease through the remainder of 2024 compared to 2023 in absolute dollars primarily due to certain acquired intangible assets becoming fully amortized in 2023 and due to the change in estimated useful life of our network hardware assets. On January 1, 2024, we extended the </w:t>
      </w:r>
      <w:r>
        <w:rPr>
          <w:rFonts w:ascii="Times New Roman;sans-serif" w:hAnsi="Times New Roman;sans-serif"/>
          <w:b w:val="false"/>
          <w:color w:val="212529"/>
          <w:sz w:val="20"/>
        </w:rPr>
        <w:t xml:space="preserve">estimated useful lives of our network hardware assets from three years to five years, which was due to actual and expected longer refresh cycles for these assets. Based on the related asset balance as of December 31, 2023 and those placed in service during the </w:t>
      </w:r>
      <w:r>
        <w:rPr>
          <w:rFonts w:ascii="Times New Roman;sans-serif" w:hAnsi="Times New Roman;sans-serif"/>
          <w:b w:val="false"/>
          <w:color w:val="000000"/>
          <w:sz w:val="20"/>
        </w:rPr>
        <w:t>six months ended</w:t>
      </w:r>
      <w:r>
        <w:rPr>
          <w:color w:val="212529"/>
        </w:rPr>
        <w:t xml:space="preserve"> </w:t>
      </w:r>
      <w:r>
        <w:rPr>
          <w:rFonts w:ascii="Times New Roman;sans-serif" w:hAnsi="Times New Roman;sans-serif"/>
          <w:b w:val="false"/>
          <w:color w:val="000000"/>
          <w:sz w:val="20"/>
        </w:rPr>
        <w:t>June 30, 2024</w:t>
      </w:r>
      <w:r>
        <w:rPr>
          <w:rFonts w:ascii="Times New Roman;sans-serif" w:hAnsi="Times New Roman;sans-serif"/>
          <w:b w:val="false"/>
          <w:color w:val="212529"/>
          <w:sz w:val="20"/>
        </w:rPr>
        <w:t>, the effect of this change is estimated to reduce depreciation expense by $12.0 million for the full year ending December 31, 2024 when compared to what depreciation expense would have been based on the original expected useful lives of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$2.9 million, or 6%, for the three months ended June 30, 2024 compared to the prior year period, primarily due to a decrease of $4.7 million in depreciation and amortization, which was primarily driven by certain acquired intangible assets becoming fully amortized in the third quarter of 2023. The decrease was partially offset by an increase of $1.7 million of personnel related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$12.3 million, or 12%, for the six months ended June 30, 2024 compared to the prior year period, primarily due to a decrease of $17.1 million in depreciation and amortization due to the same reason above. The decrease was partially offset by increases of $3.7 million related to personnel expenses and $1.8 million of event and travel-related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through the remainder of 2024 compared to 2023 in absolute dollars primarily due to increases in personnel related expenses.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may fluctuate quarter to quarter and period to period, on an absolute dollar basis and as a percentage of revenue, based on revenue levels, the timing of our investments and seasonality in our industry and business.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Technology and Development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expenses increased $2.4 million, or 10%, for the three months ended June 30, 2024 compared to the prior year period, primarily due to increases of $1.9 million of software license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expenses increased $5.1 million, or 11%, for the six months ended June 30, 2024 compared to the prior year period, primarily due to increases of $3.0 million in software license expenses, $1.3 million of event and travel-related expenses, and $1.1 million of personnel related expenses.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increase through the remainder of 2024 compared to 2023 in absolute dollars due to increases in software license expenses.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$3.0 million, or 12%, for the three months ended June 30, 2024 compared to the prior year period, primarily due to a decrease of $4.4 million in bad debt expense, which was primarily attributable to a buyer that filed for bankruptcy in the second quarter of 2023. The decrease was partially offset by an increase of $1.7 million in personnel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$2.6 million, or 5%, for the six months ended June 30, 2024, compared to the prior year period, primarily due to increases of $3.9 million in personnel costs and $3.1 million in expenses associated with refinancing our 2021 Credit Agreement (defined below). The increase was partially offset by a decrease of $4.4 million in bad debt expense due to the same reason above.</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increase the remainder of 2024 compared to 2023 in absolute dollars primarily due to increases in personnel related expenses.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Merger, Acquisition, and Restructuring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incur any merger, acquisition, and restructuring costs for the six months ended June 30, 2024. Merger, acquisition, and restructuring costs incurred during the six months ended June 30, 2023 were $7.5 million, and included $3.4 million of severance related expenses, $2.2 million of facilities related loss contracts, and $1.4 million of exit costs, all due to restructuring activities as a result of consolidating our legacy CTV and SpotX CTV platforms following the acquisition of SpotX, Inc.</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8705" w:type="dxa"/>
        <w:jc w:val="left"/>
        <w:tblInd w:w="0" w:type="dxa"/>
        <w:tblLayout w:type="fixed"/>
        <w:tblCellMar>
          <w:top w:w="28" w:type="dxa"/>
          <w:left w:w="28" w:type="dxa"/>
          <w:bottom w:w="28" w:type="dxa"/>
          <w:right w:w="28" w:type="dxa"/>
        </w:tblCellMar>
      </w:tblPr>
      <w:tblGrid>
        <w:gridCol w:w="1152"/>
        <w:gridCol w:w="1011"/>
        <w:gridCol w:w="1017"/>
        <w:gridCol w:w="253"/>
        <w:gridCol w:w="741"/>
        <w:gridCol w:w="131"/>
        <w:gridCol w:w="109"/>
        <w:gridCol w:w="109"/>
        <w:gridCol w:w="109"/>
        <w:gridCol w:w="253"/>
        <w:gridCol w:w="741"/>
        <w:gridCol w:w="131"/>
        <w:gridCol w:w="109"/>
        <w:gridCol w:w="109"/>
        <w:gridCol w:w="109"/>
        <w:gridCol w:w="228"/>
        <w:gridCol w:w="779"/>
        <w:gridCol w:w="117"/>
        <w:gridCol w:w="109"/>
        <w:gridCol w:w="109"/>
        <w:gridCol w:w="109"/>
        <w:gridCol w:w="227"/>
        <w:gridCol w:w="777"/>
        <w:gridCol w:w="166"/>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$1.7 million and $1.9 million for the three and six months ended June 30, 2024, compared to the prior year periods, respectively. The net decrease is due to an increase in interest income and a decrease in interest expense as a result of lower convertible debt outstanding in 2024 as compared to the prior year period.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(gain) loss, net changed by $0.8 million and $1.7 million for the three and six months ended June 30, 2024 compared to the prior year periods, respectively, due to movements in foreign currency exchange rates and the amount of foreign currency-denominated cash, receivables, and payables, which were impacted by our billings to buyers, payments to sellers, and intercompany balances.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loss on extinguishment of debt of $7.4 million for the six months ended June 30, 2024, was due to the refinancing of our 2021 Credit Agreement (defined below). The gain on extinguishment of debt of $5.4 million and $14.0 million during the three and six months ended June 30, 2023, respectively, was due to the repurchase of portions of our Convertible Senior Notes (defined below).</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an income tax provision of $4.6 million and a tax benefit of $3.2 million for the three and six months ended June 30, 2024, respectively, and an income tax provision of $0.7 million and $0.4 million for the three and six months ended June 30, 2023, respectively. The tax provision and benefit for the three and six months ended June 30, 2024, respectively, was primarily the result of the Company's ability to recognize DTAs subject to the domestic valuation allowance and the foreign income tax provision. The tax provision for the three and six months ended June 30, 2023 was primarily the result of the Company's ability to recognize DTAs subject to the domestic valuation allowance and the foreign income tax provision.</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and Financial Performance Metrics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 </w:t>
      </w:r>
    </w:p>
    <w:p>
      <w:pPr>
        <w:pStyle w:val="TextBody"/>
        <w:bidi w:val="0"/>
        <w:spacing w:before="100" w:after="10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76"/>
        <w:gridCol w:w="658"/>
        <w:gridCol w:w="663"/>
        <w:gridCol w:w="211"/>
        <w:gridCol w:w="826"/>
        <w:gridCol w:w="109"/>
        <w:gridCol w:w="109"/>
        <w:gridCol w:w="109"/>
        <w:gridCol w:w="109"/>
        <w:gridCol w:w="211"/>
        <w:gridCol w:w="826"/>
        <w:gridCol w:w="109"/>
        <w:gridCol w:w="109"/>
        <w:gridCol w:w="109"/>
        <w:gridCol w:w="109"/>
        <w:gridCol w:w="233"/>
        <w:gridCol w:w="233"/>
        <w:gridCol w:w="400"/>
        <w:gridCol w:w="109"/>
        <w:gridCol w:w="109"/>
        <w:gridCol w:w="109"/>
        <w:gridCol w:w="211"/>
        <w:gridCol w:w="826"/>
        <w:gridCol w:w="109"/>
        <w:gridCol w:w="109"/>
        <w:gridCol w:w="109"/>
        <w:gridCol w:w="109"/>
        <w:gridCol w:w="211"/>
        <w:gridCol w:w="826"/>
        <w:gridCol w:w="109"/>
        <w:gridCol w:w="109"/>
        <w:gridCol w:w="109"/>
        <w:gridCol w:w="109"/>
        <w:gridCol w:w="240"/>
        <w:gridCol w:w="226"/>
        <w:gridCol w:w="457"/>
      </w:tblGrid>
      <w:tr>
        <w:trPr/>
        <w:tc>
          <w:tcPr>
            <w:tcW w:w="87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Measures and non-GAAP Financial Measures: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Contribution ex-TAC</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assessing our performance and facilitates a consistent comparison against our core business without considering the impact of traffic acquisition costs related to revenue reported on a gross basis. </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calculation of gross profit and reconciliation of gross profit to Contribution ex-TAC for the three and six months ended June 30, 2024 and 2023: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16"/>
        <w:gridCol w:w="626"/>
        <w:gridCol w:w="629"/>
        <w:gridCol w:w="211"/>
        <w:gridCol w:w="826"/>
        <w:gridCol w:w="109"/>
        <w:gridCol w:w="109"/>
        <w:gridCol w:w="109"/>
        <w:gridCol w:w="109"/>
        <w:gridCol w:w="211"/>
        <w:gridCol w:w="826"/>
        <w:gridCol w:w="109"/>
        <w:gridCol w:w="109"/>
        <w:gridCol w:w="109"/>
        <w:gridCol w:w="109"/>
        <w:gridCol w:w="239"/>
        <w:gridCol w:w="227"/>
        <w:gridCol w:w="413"/>
        <w:gridCol w:w="109"/>
        <w:gridCol w:w="109"/>
        <w:gridCol w:w="109"/>
        <w:gridCol w:w="211"/>
        <w:gridCol w:w="826"/>
        <w:gridCol w:w="109"/>
        <w:gridCol w:w="109"/>
        <w:gridCol w:w="109"/>
        <w:gridCol w:w="109"/>
        <w:gridCol w:w="211"/>
        <w:gridCol w:w="826"/>
        <w:gridCol w:w="109"/>
        <w:gridCol w:w="109"/>
        <w:gridCol w:w="109"/>
        <w:gridCol w:w="109"/>
        <w:gridCol w:w="239"/>
        <w:gridCol w:w="227"/>
        <w:gridCol w:w="470"/>
      </w:tblGrid>
      <w:tr>
        <w:trPr/>
        <w:tc>
          <w:tcPr>
            <w:tcW w:w="91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Cost of revenue, excluding TAC</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track the breakdown of Contribution ex-TAC across channels to better understand how our clients are transacting on our platform, which informs decisions as to business strategy and the allocation of resources and capital. The following table presents Contribution ex-TAC by channel:</w:t>
      </w:r>
    </w:p>
    <w:tbl>
      <w:tblPr>
        <w:tblW w:w="8872" w:type="dxa"/>
        <w:jc w:val="left"/>
        <w:tblInd w:w="0" w:type="dxa"/>
        <w:tblLayout w:type="fixed"/>
        <w:tblCellMar>
          <w:top w:w="28" w:type="dxa"/>
          <w:left w:w="28" w:type="dxa"/>
          <w:bottom w:w="28" w:type="dxa"/>
          <w:right w:w="28" w:type="dxa"/>
        </w:tblCellMar>
      </w:tblPr>
      <w:tblGrid>
        <w:gridCol w:w="315"/>
        <w:gridCol w:w="277"/>
        <w:gridCol w:w="278"/>
        <w:gridCol w:w="211"/>
        <w:gridCol w:w="826"/>
        <w:gridCol w:w="109"/>
        <w:gridCol w:w="109"/>
        <w:gridCol w:w="109"/>
        <w:gridCol w:w="109"/>
        <w:gridCol w:w="211"/>
        <w:gridCol w:w="826"/>
        <w:gridCol w:w="109"/>
        <w:gridCol w:w="109"/>
        <w:gridCol w:w="109"/>
        <w:gridCol w:w="109"/>
        <w:gridCol w:w="193"/>
        <w:gridCol w:w="193"/>
        <w:gridCol w:w="483"/>
        <w:gridCol w:w="109"/>
        <w:gridCol w:w="109"/>
        <w:gridCol w:w="109"/>
        <w:gridCol w:w="211"/>
        <w:gridCol w:w="826"/>
        <w:gridCol w:w="109"/>
        <w:gridCol w:w="109"/>
        <w:gridCol w:w="109"/>
        <w:gridCol w:w="109"/>
        <w:gridCol w:w="211"/>
        <w:gridCol w:w="826"/>
        <w:gridCol w:w="109"/>
        <w:gridCol w:w="109"/>
        <w:gridCol w:w="109"/>
        <w:gridCol w:w="109"/>
        <w:gridCol w:w="186"/>
        <w:gridCol w:w="186"/>
        <w:gridCol w:w="542"/>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Contribution ex-TAC</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100"/>
        <w:ind w:left="0" w:right="0" w:firstLine="720"/>
        <w:jc w:val="left"/>
        <w:rPr/>
      </w:pPr>
      <w:r>
        <w:rPr/>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increased $12.1 million, or 9%, for the three months ended June 30, 2024 compared to the three months ended June 30, 2023. The increase in Contribution ex-TAC was primarily due to the growth drivers described above for revenue.</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increased $26.6 million, or 11%, for the six months ended June 30, 2024 compared to the six months ended June 30, 2023. The increase in Contribution ex-TAC was primarily due to the growth drivers described above for revenue.</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2024, we expect Contribution ex-TAC to increase compared to the prior year period and we expect CTV will be our biggest growth driver in 2024.</w:t>
      </w:r>
    </w:p>
    <w:p>
      <w:pPr>
        <w:pStyle w:val="TextBody"/>
        <w:bidi w:val="0"/>
        <w:spacing w:lineRule="auto" w:line="288" w:before="2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other debt refinancing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expenses, non-operational real estate and other expenses (income), net, and provision (benefit) for income taxes. We believe Adjusted EBITDA is useful to investors in evaluating our performance for the following reasons: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Impairment charges are non-cash charges related to goodwill, intangible assets and/or long-lived assets.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certain cash and non-cash charges related to acquisition and related items, such as amortization of acquired intangible assets, merger, acquisition, or restructuring related severance costs, and changes in the fair value of contingent consideration.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and non-cash charges and changes in, or cash requirements for, acquisition and related items, such as certain transaction expenses.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and non-cash charges related to certain financing transactions such as gains or losses on extinguishment of debt or other debt refinancing expenses.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changes in our working capital needs, capital expenditures, non-operational real estate expenses or income, or contractual commitments.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requirements for income taxes and the cash impact of other income or expense.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Other companies may calculate Adjusted EBITDA differently than we do, limiting its usefulness as a comparative measure.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loss, the most comparable GAAP measure, to Adjusted EBITDA for the three and six months ended June 30, 2024 and 2023 (in thousands):</w:t>
      </w:r>
    </w:p>
    <w:tbl>
      <w:tblPr>
        <w:tblW w:w="10205" w:type="dxa"/>
        <w:jc w:val="left"/>
        <w:tblInd w:w="0" w:type="dxa"/>
        <w:tblLayout w:type="fixed"/>
        <w:tblCellMar>
          <w:top w:w="28" w:type="dxa"/>
          <w:left w:w="28" w:type="dxa"/>
          <w:bottom w:w="28" w:type="dxa"/>
          <w:right w:w="28" w:type="dxa"/>
        </w:tblCellMar>
      </w:tblPr>
      <w:tblGrid>
        <w:gridCol w:w="1883"/>
        <w:gridCol w:w="1439"/>
        <w:gridCol w:w="1395"/>
        <w:gridCol w:w="219"/>
        <w:gridCol w:w="751"/>
        <w:gridCol w:w="113"/>
        <w:gridCol w:w="109"/>
        <w:gridCol w:w="109"/>
        <w:gridCol w:w="109"/>
        <w:gridCol w:w="211"/>
        <w:gridCol w:w="771"/>
        <w:gridCol w:w="109"/>
        <w:gridCol w:w="109"/>
        <w:gridCol w:w="109"/>
        <w:gridCol w:w="109"/>
        <w:gridCol w:w="211"/>
        <w:gridCol w:w="771"/>
        <w:gridCol w:w="109"/>
        <w:gridCol w:w="109"/>
        <w:gridCol w:w="109"/>
        <w:gridCol w:w="109"/>
        <w:gridCol w:w="211"/>
        <w:gridCol w:w="872"/>
        <w:gridCol w:w="159"/>
      </w:tblGrid>
      <w:tr>
        <w:trPr/>
        <w:tc>
          <w:tcPr>
            <w:tcW w:w="188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excluding amortization of acquired intangible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acquired intangibles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expense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excluding stock-based compensation expense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Non-operational real estate and other (income) expense,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debt refinancing expense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increased by $7.4 million during the three months ended June 30, 2024 compared to the prior year period, primarily due to increases in revenue described above, which were partially offset by increases in expenses to support this revenue growth. Refer to discussion in section "Comparison of the Three and Six Months Ended June 30, 2024 and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increased by $9.1 million during the six months ended June 30, 2024 compared to the prior year period for the same reasons above. Refer to discussion in section "Comparison of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cash and cash equivalents of $326.5 million, of which $51.5 million was held in foreign currency denominated cash accounts, and an aggregate gross principal amount of $569.2 million of indebtedness outstanding under our 2024 Term Loan B Facility (as defined below) and our Convertible Senior Notes (as defined below). In addition, we were party to a $175.0 million 2024 Revolving Credit Facility (as defined below), of which approximately $5.2 million was assigned to outstanding but undrawn letters of credit. See "Capital Resources" below for further information about our outstanding debt.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cash requirements for the twelve-month period following this report primarily consists of personnel costs, contractual payment obligations, including office leases, data center costs and cloud hosting costs, capital expenditures, payment of interest and required principal payments on our Convertible Senior Notes and our 2024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2023.</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June 30, 2024, the balance of the Convertible Senior Notes was $203.1 million, net of unamortized debt issuance costs of $2.0 million. Accrued interest for the Convertible Senior Notes at June 30, 2024 was immaterial.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(the "2021 Credit Agreement"), which included a term loan facility (the "2021 Term Loan B Facility") and a revolving facility (the "2021 Revolving Credit Facility"). At June 30, 2024, the balance of the 2024 Term Loan Facility was $349.6 million, net of unamortized debt discount and debt issuance costs of $14.5 million, and amounts available under the 2024 Revolving Credit Facility were $169.8 million, net of letters of credit outstanding in the amount of $5.2 million. Accrued interest for the 2024 Term Loan B Facility at June 30, 2024 was $1.6 million.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 2024, the Board of Directors approved a new repurchase plan (the "February 2024 Repurchase Plan"), which fully replaced the prior repurchase plan, pursuant to which we are authorized to repurchase common stock or Convertible Senior Notes, with an aggregate market value of up to $125.0 million, through February 1, 2026.</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pPr>
      <w:r>
        <w:rPr>
          <w:color w:val="000000"/>
        </w:rPr>
        <w:t>    </w:t>
      </w:r>
      <w:r>
        <w:rPr>
          <w:rFonts w:ascii="Times New Roman;sans-serif" w:hAnsi="Times New Roman;sans-serif"/>
          <w:b/>
          <w:i/>
          <w:color w:val="000000"/>
          <w:sz w:val="20"/>
        </w:rPr>
        <w:t>Cash Flows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9024" w:type="dxa"/>
        <w:jc w:val="center"/>
        <w:tblInd w:w="0" w:type="dxa"/>
        <w:tblLayout w:type="fixed"/>
        <w:tblCellMar>
          <w:top w:w="28" w:type="dxa"/>
          <w:left w:w="28" w:type="dxa"/>
          <w:bottom w:w="28" w:type="dxa"/>
          <w:right w:w="28" w:type="dxa"/>
        </w:tblCellMar>
      </w:tblPr>
      <w:tblGrid>
        <w:gridCol w:w="2317"/>
        <w:gridCol w:w="2040"/>
        <w:gridCol w:w="2047"/>
        <w:gridCol w:w="228"/>
        <w:gridCol w:w="779"/>
        <w:gridCol w:w="117"/>
        <w:gridCol w:w="109"/>
        <w:gridCol w:w="109"/>
        <w:gridCol w:w="109"/>
        <w:gridCol w:w="212"/>
        <w:gridCol w:w="802"/>
        <w:gridCol w:w="155"/>
      </w:tblGrid>
      <w:tr>
        <w:trPr/>
        <w:tc>
          <w:tcPr>
            <w:tcW w:w="231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appropriately.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net cash provided by operating activities was $29.2 million compared to net cash provided by operating activities of $43.2 million for the six months ended June 30, 2023. Our operating activities included our net loss of $18.8 million and $172.6 million for the six months ended June 30, 2024 and 2023, respectively, which were offset by non-cash adjustments of $70.7 million and $217.7 million, respectively. Net changes in our working capital resulted in $22.7 million and $1.9 million of cash used in operating activities for the six months ended June 30, 2024 and June 30, 2023, respectively. The net changes in working capital for both periods presented are primarily due to the timing of cash receipts from buyers and the timing of payments to sellers.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from operations will continue to fluctuate, but in general will increase over time as our business continues to grow.</w:t>
      </w:r>
    </w:p>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our investing activities used net cash of $22.6 million and $18.5 million, respectively. During the six months ended June 30, 2024 and 2023, we used cash for purchases of property and equipment of $15.0 million and $12.7 million, respectively, and used cash for investments in our internally developed software of $7.5 million and $5.8 million, respectively.</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cash flows used in our investing activities will generally increase through the remainder of 2024 compared to 2023 in order to support our overall growth, in particular with respect to investments in property and equipment and internally developed software.</w:t>
      </w:r>
    </w:p>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consisted of our debt refinancing activities, Convertible Senior Notes transactions, repayment of amounts borrowed under our 2024 Term Loan B Facility and our 2021 Term Loan B Facility, and transactions related to our equity plans.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net cash used in financing activities was $5.6 million and $85.0 million, respectively. Cash outflows from financing activities for the six months ended June 30, 2024 primarily included $351.0 million of payments related to paying off our 2021 Term Loan B Facility, $12.7 million for taxes paid related to net share settlement of stock-based awards, and $4.5 million of payments related to debt issuance costs for our 2024 Term Loan B Facility and 2024 Revolver Facility. The outflows were partially offset by cash proceeds of $361.4 million from the issuance of our 2024 Term Loan B Facility, net of debt discount and cash proceeds from the employee stock purchase plan of $2.0 million.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from financing activities for the six months ended June 30, 2023 primarily included $75.0 million of payments related to repurchases of our Convertible Senior Notes, $9.7 million for taxes paid related to net share settlement of stock-based awards, $2.3 million for payment of our indemnification claims holdback related to historical acquisitions, and $1.8 million for repayment of our 2021 Term Loan B. The outflows were offset by cash proceeds from stock options exercised of $2.1 million and cash proceeds from issuance of common stock from the employee stock purchase plan of $1.9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Off-Balance Sheet Arrangements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June 30, 2024 other than the short-term operating leases described below and commitments mentioned in Note 12— "Commitments Contingencies"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Contractual Obligations and Known Future Cash Requirements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our principal commitments consist of obligations under our Convertible Senior Notes,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2033. In certain cases, the terms of the lease agreements provide for rental payments on a graduated basis.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future lease obligations, payments of principal and interest under our debt agreements, and other future payments due under non-cancelable agreements at June 30, 2024 (in thousands):</w:t>
      </w:r>
    </w:p>
    <w:tbl>
      <w:tblPr>
        <w:tblW w:w="10975" w:type="dxa"/>
        <w:jc w:val="left"/>
        <w:tblInd w:w="0" w:type="dxa"/>
        <w:tblLayout w:type="fixed"/>
        <w:tblCellMar>
          <w:top w:w="28" w:type="dxa"/>
          <w:left w:w="28" w:type="dxa"/>
          <w:bottom w:w="28" w:type="dxa"/>
          <w:right w:w="28" w:type="dxa"/>
        </w:tblCellMar>
      </w:tblPr>
      <w:tblGrid>
        <w:gridCol w:w="753"/>
        <w:gridCol w:w="306"/>
        <w:gridCol w:w="30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associated with leases included Right of Use Asset as of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Term Loan B Facility</w:t>
            </w:r>
            <w:r>
              <w:rPr>
                <w:color w:val="000000"/>
              </w:rPr>
              <w:t xml:space="preserve">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2024 Term Loan B Facility</w:t>
            </w:r>
            <w:r>
              <w:rPr>
                <w:color w:val="000000"/>
              </w:rPr>
              <w:t xml:space="preserve">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Contractual fees related to the 2024 Term Loan B Facility and the 2024 Revolving Credit Facility</w:t>
            </w:r>
            <w:r>
              <w:rPr>
                <w:color w:val="000000"/>
              </w:rPr>
              <w:t xml:space="preserve"> </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7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only customary scheduled loan amortization payments and excludes currently unknown prepayment amounts that may be required, per terms of the 2024 Credit Agreement, after the end of each fiscal year.</w:t>
            </w:r>
          </w:p>
        </w:tc>
      </w:tr>
      <w:tr>
        <w:trPr/>
        <w:tc>
          <w:tcPr>
            <w:tcW w:w="10975" w:type="dxa"/>
            <w:gridSpan w:val="4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Interest payments are based on an assumed rate of 9.81%, which was the rate as of June 30, 2024 for the associated 2024 Term Loan B Facility.</w:t>
            </w:r>
          </w:p>
        </w:tc>
      </w:tr>
      <w:tr>
        <w:trPr/>
        <w:tc>
          <w:tcPr>
            <w:tcW w:w="10975" w:type="dxa"/>
            <w:gridSpan w:val="4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Includes estimated fees based on current available amounts under our 2024 Revolving Credit Facility and using the current commitment rate as of June 30, 2024, fees based on outstanding but undrawn letters of credit as of June 30, 2024, and fees owed to our administrative agents for both facilities under the 2024 Credit Agreement.</w:t>
            </w:r>
          </w:p>
        </w:tc>
      </w:tr>
    </w:tbl>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Payments associated with our Convertible Senior Notes, 2024 Term Loan B, and 2024 Revolving Credit Facility are based on contractual terms and intended timing of repayments of long-term debt and associated interest and required fees.</w:t>
      </w:r>
    </w:p>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 above include agreements in the normal course of business that are in excess of one year as of June 30, 2024.</w:t>
      </w:r>
    </w:p>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amounts above exclude commitments due within a year for a cloud-managed services agreement, under which the Company has a remaining non-cancelable minimum spend commitment from July 2024 to June 2025 of $57.6 million. </w:t>
      </w:r>
    </w:p>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2023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recent accounting pronouncements, refer to Note 1 —"Organization and Summary of Significant Accounting Policies"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June 30, 2024,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U.S. based company that does business around the globe, we have foreign currency risks related to our revenue and expenses denominated in currencies other than the U.S. Dollar, principally the Australian Dollar, British Pound, Canadian Dollar,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June 30, 2024 and December 31, 2023, including intercompany balances, would result in a foreign currency loss of approximately $9.1 million and $9.5 million, respectively. At this time we do not, but we may in the future, enter into derivatives or other financial instruments in an attempt to hedge our foreign currency exchange risk.</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2024, our disclosure controls and procedures were effective at the reasonable assurance level.</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three months ended June 30, 2024 that have materially affected, or are reasonably likely to materially affect, our internal control over financial reporting.</w:t>
      </w:r>
    </w:p>
    <w:p>
      <w:pPr>
        <w:pStyle w:val="TextBody"/>
        <w:bidi w:val="0"/>
        <w:spacing w:lineRule="auto" w:line="288" w:before="100" w:after="283"/>
        <w:ind w:left="0" w:right="0" w:firstLine="720"/>
        <w:jc w:val="left"/>
        <w:rPr/>
      </w:pPr>
      <w:r>
        <w:rPr>
          <w:rFonts w:ascii="Times New Roman;sans-serif" w:hAnsi="Times New Roman;sans-serif"/>
          <w:b/>
          <w:i/>
          <w:color w:val="000000"/>
          <w:sz w:val="20"/>
        </w:rPr>
        <w:t xml:space="preserve">Inherent Limitations on Effectiveness of Controls </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audits by taxing authorities,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June 30, 2024. However, based on our knowledge as of June 30, 2024, we believe that the final resolution of such matters pending at the time of this report, individually and in the aggregate, will not have a material adverse effect upon our condensed consolidated financial position, results of operations or cash flows.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12—"Commitments and Contingencies" to our condensed consolidated financial statements included in this Quarterly Report on Form 10-Q for additional information related to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common stock involves a high degree of risk. We describe risks associated with our business in Part I, Item 1A: "Risk Factors" of our Annual Report on Form 10-K for the year ended December 31, 2023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risk of a recession, and other macroeconomic factors may amplify many of the risks described in our risk factors. Accordingly, you are advised to consider additional sources of information and exercise your own judgment in addition to the information we provide.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Recent Sales of Unregistered Securities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 xml:space="preserve">None (except as previously disclosed).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 Use of Proceeds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 xml:space="preserve">Not Applicable.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 Purchases of Equity Securities by the Company and Affiliated Purchasers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repurchases during the quarter ended June 30, 2024 were as follows (in thousands, except per share amounts):</w:t>
      </w:r>
    </w:p>
    <w:tbl>
      <w:tblPr>
        <w:tblW w:w="7380" w:type="dxa"/>
        <w:jc w:val="left"/>
        <w:tblInd w:w="0" w:type="dxa"/>
        <w:tblLayout w:type="fixed"/>
        <w:tblCellMar>
          <w:top w:w="28" w:type="dxa"/>
          <w:left w:w="28" w:type="dxa"/>
          <w:bottom w:w="28" w:type="dxa"/>
          <w:right w:w="28" w:type="dxa"/>
        </w:tblCellMar>
      </w:tblPr>
      <w:tblGrid>
        <w:gridCol w:w="754"/>
        <w:gridCol w:w="664"/>
        <w:gridCol w:w="667"/>
        <w:gridCol w:w="1019"/>
        <w:gridCol w:w="1019"/>
        <w:gridCol w:w="1022"/>
        <w:gridCol w:w="480"/>
        <w:gridCol w:w="1404"/>
        <w:gridCol w:w="35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 Price per Share</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April 1 - April 30, 2024</w:t>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May 1 - May 31, 2024</w:t>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June 1 - June 30, 2024</w:t>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Trading Plans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the following trading plans were adopted or terminated by our Section 16 officers or directors:</w:t>
      </w:r>
    </w:p>
    <w:tbl>
      <w:tblPr>
        <w:tblW w:w="10205" w:type="dxa"/>
        <w:jc w:val="left"/>
        <w:tblInd w:w="0" w:type="dxa"/>
        <w:tblLayout w:type="fixed"/>
        <w:tblCellMar>
          <w:top w:w="28" w:type="dxa"/>
          <w:left w:w="28" w:type="dxa"/>
          <w:bottom w:w="28" w:type="dxa"/>
          <w:right w:w="28" w:type="dxa"/>
        </w:tblCellMar>
      </w:tblPr>
      <w:tblGrid>
        <w:gridCol w:w="317"/>
        <w:gridCol w:w="278"/>
        <w:gridCol w:w="280"/>
        <w:gridCol w:w="109"/>
        <w:gridCol w:w="109"/>
        <w:gridCol w:w="109"/>
        <w:gridCol w:w="363"/>
        <w:gridCol w:w="342"/>
        <w:gridCol w:w="344"/>
        <w:gridCol w:w="109"/>
        <w:gridCol w:w="109"/>
        <w:gridCol w:w="109"/>
        <w:gridCol w:w="526"/>
        <w:gridCol w:w="526"/>
        <w:gridCol w:w="527"/>
        <w:gridCol w:w="109"/>
        <w:gridCol w:w="109"/>
        <w:gridCol w:w="109"/>
        <w:gridCol w:w="643"/>
        <w:gridCol w:w="536"/>
        <w:gridCol w:w="538"/>
        <w:gridCol w:w="109"/>
        <w:gridCol w:w="109"/>
        <w:gridCol w:w="109"/>
        <w:gridCol w:w="608"/>
        <w:gridCol w:w="608"/>
        <w:gridCol w:w="610"/>
        <w:gridCol w:w="109"/>
        <w:gridCol w:w="109"/>
        <w:gridCol w:w="109"/>
        <w:gridCol w:w="444"/>
        <w:gridCol w:w="444"/>
        <w:gridCol w:w="636"/>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Intended to Satisfy Rule 10b5-1(c)?</w:t>
            </w:r>
          </w:p>
        </w:tc>
      </w:tr>
      <w:tr>
        <w:trPr/>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Adam Soroca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Product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June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16, 2024 - December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Sell up to 62,623,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2689"/>
        <w:gridCol w:w="2607"/>
        <w:gridCol w:w="372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4.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4.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q22024.htm">
              <w:r>
                <w:rPr>
                  <w:rStyle w:val="InternetLink"/>
                  <w:rFonts w:ascii="Times New Roman;sans-serif" w:hAnsi="Times New Roman;sans-serif"/>
                  <w:b w:val="false"/>
                  <w:color w:val="0000FF"/>
                  <w:sz w:val="20"/>
                  <w:u w:val="single"/>
                </w:rPr>
                <w:t xml:space="preserve">Certification of the Principal Executive Officer and Principal Financial Officer Pursuant to 18 U.S.C. Section 1350, as adopted pursuant to Section 906 of the Sarbanes-Oxley Act of 2002. </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Instance Document- the instance document does not appear in the Interactive Data File because its XBRL tags are embedded within the Inline XBRL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00" w:after="200"/>
        <w:jc w:val="left"/>
        <w:rPr>
          <w:color w:val="006EBF"/>
        </w:rPr>
      </w:pPr>
      <w:r>
        <w:rPr>
          <w:color w:val="006EBF"/>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14353ee9f1394c318c52c56c210b0f9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554" w:type="dxa"/>
        <w:jc w:val="center"/>
        <w:tblInd w:w="0" w:type="dxa"/>
        <w:tblLayout w:type="fixed"/>
        <w:tblCellMar>
          <w:top w:w="28" w:type="dxa"/>
          <w:left w:w="28" w:type="dxa"/>
          <w:bottom w:w="28" w:type="dxa"/>
          <w:right w:w="28" w:type="dxa"/>
        </w:tblCellMar>
      </w:tblPr>
      <w:tblGrid>
        <w:gridCol w:w="645"/>
        <w:gridCol w:w="569"/>
        <w:gridCol w:w="571"/>
        <w:gridCol w:w="1394"/>
        <w:gridCol w:w="1394"/>
        <w:gridCol w:w="1981"/>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(Registrant)</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Day</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Day</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Michael Barrett,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Magnite,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a.</w:t>
      </w:r>
      <w:r>
        <w:rPr>
          <w:color w:val="000000"/>
        </w:rPr>
        <w:t>    </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b.</w:t>
      </w:r>
      <w:r>
        <w:rPr>
          <w:color w:val="000000"/>
        </w:rPr>
        <w:t>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c.</w:t>
      </w:r>
      <w:r>
        <w:rPr>
          <w:color w:val="000000"/>
        </w:rPr>
        <w:t>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a. </w:t>
      </w:r>
      <w:r>
        <w:rPr>
          <w:color w:val="000000"/>
        </w:rPr>
        <w:t>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280"/>
        <w:ind w:left="0" w:right="0" w:hanging="540"/>
        <w:jc w:val="left"/>
        <w:rPr/>
      </w:pPr>
      <w:r>
        <w:rPr>
          <w:color w:val="000000"/>
        </w:rPr>
        <w:t> </w:t>
      </w:r>
      <w:r>
        <w:rPr>
          <w:rFonts w:ascii="Times New Roman;sans-serif" w:hAnsi="Times New Roman;sans-serif"/>
          <w:b w:val="false"/>
          <w:color w:val="000000"/>
          <w:sz w:val="18"/>
        </w:rPr>
        <w:t xml:space="preserve">b. </w:t>
      </w:r>
      <w:r>
        <w:rPr>
          <w:color w:val="000000"/>
        </w:rPr>
        <w:t>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5263" w:type="dxa"/>
        <w:jc w:val="center"/>
        <w:tblInd w:w="0" w:type="dxa"/>
        <w:tblLayout w:type="fixed"/>
        <w:tblCellMar>
          <w:top w:w="28" w:type="dxa"/>
          <w:left w:w="28" w:type="dxa"/>
          <w:bottom w:w="28" w:type="dxa"/>
          <w:right w:w="28" w:type="dxa"/>
        </w:tblCellMar>
      </w:tblPr>
      <w:tblGrid>
        <w:gridCol w:w="581"/>
        <w:gridCol w:w="509"/>
        <w:gridCol w:w="514"/>
        <w:gridCol w:w="274"/>
        <w:gridCol w:w="274"/>
        <w:gridCol w:w="276"/>
        <w:gridCol w:w="827"/>
        <w:gridCol w:w="827"/>
        <w:gridCol w:w="1181"/>
      </w:tblGrid>
      <w:tr>
        <w:trPr/>
        <w:tc>
          <w:tcPr>
            <w:tcW w:w="58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August 7, 2024</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ans-serif" w:hAnsi="Times New Roman;sans-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David Day, certify that: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Magnite, Inc.;</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5. </w:t>
      </w:r>
      <w:r>
        <w:rPr>
          <w:color w:val="000000"/>
        </w:rPr>
        <w:t>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573" w:type="dxa"/>
        <w:jc w:val="center"/>
        <w:tblInd w:w="0" w:type="dxa"/>
        <w:tblLayout w:type="fixed"/>
        <w:tblCellMar>
          <w:top w:w="28" w:type="dxa"/>
          <w:left w:w="28" w:type="dxa"/>
          <w:bottom w:w="28" w:type="dxa"/>
          <w:right w:w="28" w:type="dxa"/>
        </w:tblCellMar>
      </w:tblPr>
      <w:tblGrid>
        <w:gridCol w:w="581"/>
        <w:gridCol w:w="509"/>
        <w:gridCol w:w="514"/>
        <w:gridCol w:w="274"/>
        <w:gridCol w:w="274"/>
        <w:gridCol w:w="276"/>
        <w:gridCol w:w="627"/>
        <w:gridCol w:w="627"/>
        <w:gridCol w:w="891"/>
      </w:tblGrid>
      <w:tr>
        <w:trPr/>
        <w:tc>
          <w:tcPr>
            <w:tcW w:w="58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August 7, 2024</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18"/>
        </w:rPr>
      </w:pPr>
      <w:r>
        <w:rPr>
          <w:rFonts w:ascii="Times New Roman;sans-serif" w:hAnsi="Times New Roman;sans-serif"/>
          <w:b/>
          <w:color w:val="000000"/>
          <w:sz w:val="18"/>
        </w:rPr>
        <w:t>Exhibit 32</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ans-serif" w:hAnsi="Times New Roman;sans-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Our Quarterly Report on Form 10-Q for the quarter ended June 30, 2024, to which this certification is attached as Exhibit 32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August 7, 2024 </w:t>
      </w:r>
    </w:p>
    <w:p>
      <w:pPr>
        <w:pStyle w:val="TextBody"/>
        <w:bidi w:val="0"/>
        <w:spacing w:before="0" w:after="0"/>
        <w:jc w:val="left"/>
        <w:rPr/>
      </w:pPr>
      <w:r>
        <w:rPr/>
      </w:r>
    </w:p>
    <w:tbl>
      <w:tblPr>
        <w:tblW w:w="3177" w:type="dxa"/>
        <w:jc w:val="center"/>
        <w:tblInd w:w="0" w:type="dxa"/>
        <w:tblLayout w:type="fixed"/>
        <w:tblCellMar>
          <w:top w:w="28" w:type="dxa"/>
          <w:left w:w="28" w:type="dxa"/>
          <w:bottom w:w="28" w:type="dxa"/>
          <w:right w:w="28" w:type="dxa"/>
        </w:tblCellMar>
      </w:tblPr>
      <w:tblGrid>
        <w:gridCol w:w="124"/>
        <w:gridCol w:w="109"/>
        <w:gridCol w:w="109"/>
        <w:gridCol w:w="827"/>
        <w:gridCol w:w="827"/>
        <w:gridCol w:w="11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20" w:after="280"/>
        <w:jc w:val="left"/>
        <w:rPr/>
      </w:pPr>
      <w:r>
        <w:rPr/>
      </w:r>
    </w:p>
    <w:tbl>
      <w:tblPr>
        <w:tblW w:w="2487" w:type="dxa"/>
        <w:jc w:val="center"/>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before="20" w:after="283"/>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25995</Words>
  <Characters>142808</Characters>
  <CharactersWithSpaces>167257</CharactersWithSpaces>
  <Paragraphs>2910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