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ind w:left="1100"/>
        <w:spacing w:after="0"/>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QUARTERLY REPORT PURSUANT TO SECTION 13 OR 15(d) OF THE SECURITIES EXCHANGE ACT OF 1934</w:t>
      </w:r>
    </w:p>
    <w:p>
      <w:pPr>
        <w:spacing w:after="0" w:line="102"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TRANSITION REPORT PURSUANT TO SECTION 13 OR 15(d) OF THE SECURITIES EXCHANGE ACT OF 1934</w:t>
      </w:r>
    </w:p>
    <w:p>
      <w:pPr>
        <w:spacing w:after="0" w:line="2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For the transition period from _____________ to 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001-36384</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RUBICON PROJECT,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__________________</w:t>
      </w:r>
    </w:p>
    <w:p>
      <w:pPr>
        <w:sectPr>
          <w:pgSz w:w="11900" w:h="16838" w:orient="portrait"/>
          <w:cols w:equalWidth="0" w:num="1">
            <w:col w:w="11420"/>
          </w:cols>
          <w:pgMar w:left="240" w:top="233" w:right="239" w:bottom="1440" w:gutter="0" w:footer="0" w:header="0"/>
        </w:sectPr>
      </w:pPr>
    </w:p>
    <w:p>
      <w:pPr>
        <w:spacing w:after="0" w:line="153"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20-8881738</w:t>
      </w:r>
    </w:p>
    <w:p>
      <w:pPr>
        <w:spacing w:after="0" w:line="90" w:lineRule="exact"/>
        <w:rPr>
          <w:sz w:val="24"/>
          <w:szCs w:val="24"/>
          <w:color w:val="auto"/>
        </w:rPr>
      </w:pPr>
    </w:p>
    <w:p>
      <w:pPr>
        <w:sectPr>
          <w:pgSz w:w="11900" w:h="16838" w:orient="portrait"/>
          <w:cols w:equalWidth="0" w:num="2">
            <w:col w:w="7540" w:space="720"/>
            <w:col w:w="3160"/>
          </w:cols>
          <w:pgMar w:left="240" w:top="233" w:right="239" w:bottom="1440" w:gutter="0" w:footer="0" w:header="0"/>
          <w:type w:val="continuous"/>
        </w:sectPr>
      </w:pPr>
    </w:p>
    <w:p>
      <w:pPr>
        <w:jc w:val="center"/>
        <w:ind w:right="1120"/>
        <w:spacing w:after="0"/>
        <w:rPr>
          <w:sz w:val="20"/>
          <w:szCs w:val="20"/>
          <w:color w:val="auto"/>
        </w:rPr>
      </w:pPr>
      <w:r>
        <w:rPr>
          <w:rFonts w:ascii="Arial" w:cs="Arial" w:eastAsia="Arial" w:hAnsi="Arial"/>
          <w:sz w:val="16"/>
          <w:szCs w:val="16"/>
          <w:color w:val="auto"/>
        </w:rPr>
        <w:t>(State or other jurisdiction of incorporation or</w:t>
      </w:r>
    </w:p>
    <w:p>
      <w:pPr>
        <w:spacing w:after="0" w:line="4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421" w:lineRule="exact"/>
        <w:rPr>
          <w:sz w:val="24"/>
          <w:szCs w:val="24"/>
          <w:color w:val="auto"/>
        </w:rPr>
      </w:pPr>
    </w:p>
    <w:p>
      <w:pPr>
        <w:sectPr>
          <w:pgSz w:w="11900" w:h="16838" w:orient="portrait"/>
          <w:cols w:equalWidth="0" w:num="2">
            <w:col w:w="6660" w:space="720"/>
            <w:col w:w="4040"/>
          </w:cols>
          <w:pgMar w:left="240" w:top="233" w:right="239" w:bottom="1440" w:gutter="0" w:footer="0" w:header="0"/>
          <w:type w:val="continuous"/>
        </w:sectPr>
      </w:pPr>
    </w:p>
    <w:p>
      <w:pPr>
        <w:ind w:left="4380"/>
        <w:spacing w:after="0"/>
        <w:rPr>
          <w:sz w:val="20"/>
          <w:szCs w:val="20"/>
          <w:color w:val="auto"/>
        </w:rPr>
      </w:pPr>
      <w:r>
        <w:rPr>
          <w:rFonts w:ascii="Arial" w:cs="Arial" w:eastAsia="Arial" w:hAnsi="Arial"/>
          <w:sz w:val="16"/>
          <w:szCs w:val="16"/>
          <w:b w:val="1"/>
          <w:bCs w:val="1"/>
          <w:color w:val="auto"/>
        </w:rPr>
        <w:t>12181 Bluff Creek Drive, 4th Floor</w:t>
      </w:r>
    </w:p>
    <w:p>
      <w:pPr>
        <w:spacing w:after="0" w:line="86"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Los Angeles, CA 90094</w:t>
      </w:r>
    </w:p>
    <w:p>
      <w:pPr>
        <w:sectPr>
          <w:pgSz w:w="11900" w:h="16838" w:orient="portrait"/>
          <w:cols w:equalWidth="0" w:num="1">
            <w:col w:w="11420"/>
          </w:cols>
          <w:pgMar w:left="240" w:top="233" w:right="239" w:bottom="1440" w:gutter="0" w:footer="0" w:header="0"/>
          <w:type w:val="continuous"/>
        </w:sectPr>
      </w:pP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5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207-0272</w:t>
      </w:r>
    </w:p>
    <w:p>
      <w:pPr>
        <w:spacing w:after="0" w:line="36" w:lineRule="exact"/>
        <w:rPr>
          <w:rFonts w:ascii="Arial" w:cs="Arial" w:eastAsia="Arial" w:hAnsi="Arial"/>
          <w:sz w:val="18"/>
          <w:szCs w:val="18"/>
          <w:b w:val="1"/>
          <w:bCs w:val="1"/>
          <w:color w:val="auto"/>
        </w:rPr>
      </w:pPr>
    </w:p>
    <w:p>
      <w:pPr>
        <w:ind w:left="4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w:t>
      </w:r>
    </w:p>
    <w:p>
      <w:pPr>
        <w:spacing w:after="0" w:line="1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ind w:right="2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70" w:lineRule="exact"/>
        <w:rPr>
          <w:sz w:val="24"/>
          <w:szCs w:val="24"/>
          <w:color w:val="auto"/>
        </w:rPr>
      </w:pPr>
    </w:p>
    <w:p>
      <w:pPr>
        <w:ind w:left="15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175" w:lineRule="exact"/>
        <w:rPr>
          <w:sz w:val="24"/>
          <w:szCs w:val="24"/>
          <w:color w:val="auto"/>
        </w:rPr>
      </w:pPr>
    </w:p>
    <w:p>
      <w:pPr>
        <w:sectPr>
          <w:pgSz w:w="11900" w:h="16838" w:orient="portrait"/>
          <w:cols w:equalWidth="0" w:num="3">
            <w:col w:w="3160" w:space="100"/>
            <w:col w:w="4560" w:space="720"/>
            <w:col w:w="2880"/>
          </w:cols>
          <w:pgMar w:left="240" w:top="233" w:right="239" w:bottom="1440" w:gutter="0" w:footer="0" w:header="0"/>
          <w:type w:val="continuous"/>
        </w:sectPr>
      </w:pPr>
    </w:p>
    <w:p>
      <w:pPr>
        <w:ind w:left="15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7060" w:space="720"/>
            <w:col w:w="3640"/>
          </w:cols>
          <w:pgMar w:left="240" w:top="233" w:right="239" w:bottom="1440" w:gutter="0" w:footer="0" w:header="0"/>
          <w:type w:val="continuous"/>
        </w:sectPr>
      </w:pPr>
    </w:p>
    <w:p>
      <w:pPr>
        <w:spacing w:after="0" w:line="8" w:lineRule="exact"/>
        <w:rPr>
          <w:sz w:val="24"/>
          <w:szCs w:val="24"/>
          <w:color w:val="auto"/>
        </w:rPr>
      </w:pPr>
    </w:p>
    <w:p>
      <w:pPr>
        <w:ind w:left="7780"/>
        <w:spacing w:after="0"/>
        <w:rPr>
          <w:sz w:val="20"/>
          <w:szCs w:val="20"/>
          <w:color w:val="auto"/>
        </w:rPr>
      </w:pPr>
      <w:r>
        <w:rPr>
          <w:rFonts w:ascii="Arial" w:cs="Arial" w:eastAsia="Arial" w:hAnsi="Arial"/>
          <w:sz w:val="16"/>
          <w:szCs w:val="16"/>
          <w:color w:val="auto"/>
        </w:rPr>
        <w:t>Emerging growth company x</w:t>
      </w:r>
    </w:p>
    <w:p>
      <w:pPr>
        <w:sectPr>
          <w:pgSz w:w="11900" w:h="16838" w:orient="portrait"/>
          <w:cols w:equalWidth="0" w:num="1">
            <w:col w:w="11420"/>
          </w:cols>
          <w:pgMar w:left="240" w:top="233" w:right="239" w:bottom="1440" w:gutter="0" w:footer="0" w:header="0"/>
          <w:type w:val="continuous"/>
        </w:sectPr>
      </w:pPr>
    </w:p>
    <w:p>
      <w:pPr>
        <w:spacing w:after="0" w:line="23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35" w:lineRule="exact"/>
        <w:rPr>
          <w:sz w:val="24"/>
          <w:szCs w:val="24"/>
          <w:color w:val="auto"/>
        </w:rPr>
      </w:pPr>
    </w:p>
    <w:p>
      <w:pPr>
        <w:ind w:right="2360"/>
        <w:spacing w:after="0" w:line="448" w:lineRule="auto"/>
        <w:rPr>
          <w:sz w:val="20"/>
          <w:szCs w:val="20"/>
          <w:color w:val="auto"/>
        </w:rPr>
      </w:pPr>
      <w:r>
        <w:rPr>
          <w:rFonts w:ascii="Arial" w:cs="Arial" w:eastAsia="Arial" w:hAnsi="Arial"/>
          <w:sz w:val="16"/>
          <w:szCs w:val="16"/>
          <w:color w:val="auto"/>
        </w:rPr>
        <w:t>Indicate by check mark whether the registrant is a shell company (as defined in Rule 12b-2 of the Act). o Yes x No Indicate the number of shares outstanding of each of the registrant's classes of common stock, as of the latest practicable date.</w:t>
      </w:r>
    </w:p>
    <w:p>
      <w:pPr>
        <w:spacing w:after="0" w:line="178" w:lineRule="exact"/>
        <w:rPr>
          <w:sz w:val="24"/>
          <w:szCs w:val="24"/>
          <w:color w:val="auto"/>
        </w:rPr>
      </w:pPr>
    </w:p>
    <w:tbl>
      <w:tblPr>
        <w:tblLayout w:type="fixed"/>
        <w:tblInd w:w="1520" w:type="dxa"/>
        <w:tblCellMar>
          <w:top w:w="0" w:type="dxa"/>
          <w:left w:w="0" w:type="dxa"/>
          <w:bottom w:w="0" w:type="dxa"/>
          <w:right w:w="0" w:type="dxa"/>
        </w:tblCellMar>
      </w:tblPr>
      <w:tr>
        <w:trPr>
          <w:trHeight w:val="210"/>
        </w:trPr>
        <w:tc>
          <w:tcPr>
            <w:tcW w:w="4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Class</w:t>
            </w:r>
          </w:p>
        </w:tc>
        <w:tc>
          <w:tcPr>
            <w:tcW w:w="418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 as of April 24, 2019</w:t>
            </w:r>
          </w:p>
        </w:tc>
      </w:tr>
      <w:tr>
        <w:trPr>
          <w:trHeight w:val="33"/>
        </w:trPr>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7"/>
        </w:trPr>
        <w:tc>
          <w:tcPr>
            <w:tcW w:w="4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Common Stock, $0.00001 par value</w:t>
            </w:r>
          </w:p>
        </w:tc>
        <w:tc>
          <w:tcPr>
            <w:tcW w:w="4180" w:type="dxa"/>
            <w:vAlign w:val="bottom"/>
          </w:tcPr>
          <w:p>
            <w:pPr>
              <w:jc w:val="right"/>
              <w:ind w:right="1594"/>
              <w:spacing w:after="0"/>
              <w:rPr>
                <w:sz w:val="20"/>
                <w:szCs w:val="20"/>
                <w:color w:val="auto"/>
              </w:rPr>
            </w:pPr>
            <w:r>
              <w:rPr>
                <w:rFonts w:ascii="Arial" w:cs="Arial" w:eastAsia="Arial" w:hAnsi="Arial"/>
                <w:sz w:val="18"/>
                <w:szCs w:val="18"/>
                <w:b w:val="1"/>
                <w:bCs w:val="1"/>
                <w:color w:val="auto"/>
              </w:rPr>
              <w:t>51,776,370</w:t>
            </w:r>
          </w:p>
        </w:tc>
      </w:tr>
    </w:tbl>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40" w:type="dxa"/>
            <w:vAlign w:val="bottom"/>
            <w:gridSpan w:val="1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677"/>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40" w:type="dxa"/>
            <w:vAlign w:val="bottom"/>
            <w:gridSpan w:val="10"/>
          </w:tcPr>
          <w:p>
            <w:pPr>
              <w:jc w:val="center"/>
              <w:ind w:right="2420"/>
              <w:spacing w:after="0"/>
              <w:rPr>
                <w:sz w:val="20"/>
                <w:szCs w:val="20"/>
                <w:color w:val="auto"/>
              </w:rPr>
            </w:pPr>
            <w:r>
              <w:rPr>
                <w:rFonts w:ascii="Arial" w:cs="Arial" w:eastAsia="Arial" w:hAnsi="Arial"/>
                <w:sz w:val="18"/>
                <w:szCs w:val="18"/>
                <w:b w:val="1"/>
                <w:bCs w:val="1"/>
                <w:color w:val="auto"/>
              </w:rPr>
              <w:t>THE RUBICON PROJECT, INC.</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40" w:type="dxa"/>
            <w:vAlign w:val="bottom"/>
            <w:gridSpan w:val="10"/>
          </w:tcPr>
          <w:p>
            <w:pPr>
              <w:jc w:val="center"/>
              <w:ind w:right="2420"/>
              <w:spacing w:after="0"/>
              <w:rPr>
                <w:sz w:val="20"/>
                <w:szCs w:val="20"/>
                <w:color w:val="auto"/>
              </w:rPr>
            </w:pPr>
            <w:r>
              <w:rPr>
                <w:rFonts w:ascii="Arial" w:cs="Arial" w:eastAsia="Arial" w:hAnsi="Arial"/>
                <w:sz w:val="18"/>
                <w:szCs w:val="18"/>
                <w:b w:val="1"/>
                <w:bCs w:val="1"/>
                <w:color w:val="auto"/>
                <w:w w:val="99"/>
              </w:rPr>
              <w:t>QUARTERLY REPORT ON FORM 10-Q</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40" w:type="dxa"/>
            <w:vAlign w:val="bottom"/>
            <w:gridSpan w:val="10"/>
          </w:tcPr>
          <w:p>
            <w:pPr>
              <w:jc w:val="center"/>
              <w:ind w:right="2400"/>
              <w:spacing w:after="0"/>
              <w:rPr>
                <w:sz w:val="20"/>
                <w:szCs w:val="20"/>
                <w:color w:val="auto"/>
              </w:rPr>
            </w:pPr>
            <w:r>
              <w:rPr>
                <w:rFonts w:ascii="Arial" w:cs="Arial" w:eastAsia="Arial" w:hAnsi="Arial"/>
                <w:sz w:val="18"/>
                <w:szCs w:val="18"/>
                <w:b w:val="1"/>
                <w:bCs w:val="1"/>
                <w:color w:val="auto"/>
                <w:w w:val="98"/>
              </w:rPr>
              <w:t>TABLE OF CONTENTS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78"/>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5"/>
          </w:tcPr>
          <w:p>
            <w:pPr>
              <w:ind w:left="100"/>
              <w:spacing w:after="0"/>
              <w:rPr>
                <w:sz w:val="20"/>
                <w:szCs w:val="20"/>
                <w:color w:val="auto"/>
              </w:rPr>
            </w:pPr>
            <w:r>
              <w:rPr>
                <w:rFonts w:ascii="Arial" w:cs="Arial" w:eastAsia="Arial" w:hAnsi="Arial"/>
                <w:sz w:val="18"/>
                <w:szCs w:val="18"/>
                <w:b w:val="1"/>
                <w:bCs w:val="1"/>
                <w:color w:val="auto"/>
                <w:w w:val="98"/>
              </w:rPr>
              <w:t>Page No.</w:t>
            </w:r>
          </w:p>
        </w:tc>
      </w:tr>
      <w:tr>
        <w:trPr>
          <w:trHeight w:val="27"/>
        </w:trPr>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Part I.</w:t>
            </w:r>
          </w:p>
        </w:tc>
        <w:tc>
          <w:tcPr>
            <w:tcW w:w="930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20" w:type="dxa"/>
            <w:vAlign w:val="bottom"/>
            <w:gridSpan w:val="4"/>
          </w:tcPr>
          <w:p>
            <w:pPr>
              <w:jc w:val="center"/>
              <w:ind w:left="250"/>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2019 and December 31, 2018</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for the Three Months Ended March 31, 2019 and March 31, 2018</w:t>
              </w:r>
            </w:hyperlink>
          </w:p>
        </w:tc>
        <w:tc>
          <w:tcPr>
            <w:tcW w:w="860" w:type="dxa"/>
            <w:vAlign w:val="bottom"/>
            <w:gridSpan w:val="4"/>
          </w:tcPr>
          <w:p>
            <w:pPr>
              <w:spacing w:after="0"/>
              <w:rPr>
                <w:sz w:val="21"/>
                <w:szCs w:val="21"/>
                <w:color w:val="auto"/>
              </w:rPr>
            </w:pPr>
          </w:p>
        </w:tc>
        <w:tc>
          <w:tcPr>
            <w:tcW w:w="38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8"/>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(Loss) for the Three Months Ended March 31, 2019 and March</w:t>
              </w:r>
            </w:hyperlink>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31, 2018</w:t>
              </w:r>
            </w:hyperlink>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8"/>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Stockholders' Equity for the Three Months Ended March 31, 2019 and March 31, 2018</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36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85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Cash Flows for the Three Months Ended March 31, 2019 and March 31, 2018</w:t>
              </w:r>
            </w:hyperlink>
          </w:p>
        </w:tc>
        <w:tc>
          <w:tcPr>
            <w:tcW w:w="640" w:type="dxa"/>
            <w:vAlign w:val="bottom"/>
            <w:tcBorders>
              <w:top w:val="single" w:sz="8" w:color="0000EE"/>
            </w:tcBorders>
          </w:tcPr>
          <w:p>
            <w:pPr>
              <w:spacing w:after="0"/>
              <w:rPr>
                <w:sz w:val="21"/>
                <w:szCs w:val="21"/>
                <w:color w:val="auto"/>
              </w:rPr>
            </w:pPr>
          </w:p>
        </w:tc>
        <w:tc>
          <w:tcPr>
            <w:tcW w:w="160" w:type="dxa"/>
            <w:vAlign w:val="bottom"/>
            <w:gridSpan w:val="2"/>
          </w:tcPr>
          <w:p>
            <w:pPr>
              <w:spacing w:after="0"/>
              <w:rPr>
                <w:sz w:val="21"/>
                <w:szCs w:val="21"/>
                <w:color w:val="auto"/>
              </w:rPr>
            </w:pPr>
          </w:p>
        </w:tc>
        <w:tc>
          <w:tcPr>
            <w:tcW w:w="38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6460" w:type="dxa"/>
            <w:vAlign w:val="bottom"/>
            <w:gridSpan w:val="13"/>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5"/>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3.</w:t>
            </w:r>
          </w:p>
        </w:tc>
        <w:tc>
          <w:tcPr>
            <w:tcW w:w="4360" w:type="dxa"/>
            <w:vAlign w:val="bottom"/>
            <w:gridSpan w:val="11"/>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Quantitative and Qualitative Disclosures About Market Risk</w:t>
              </w:r>
            </w:hyperlink>
          </w:p>
        </w:tc>
        <w:tc>
          <w:tcPr>
            <w:tcW w:w="2100" w:type="dxa"/>
            <w:vAlign w:val="bottom"/>
            <w:gridSpan w:val="2"/>
          </w:tcPr>
          <w:p>
            <w:pPr>
              <w:spacing w:after="0"/>
              <w:rPr>
                <w:sz w:val="21"/>
                <w:szCs w:val="21"/>
                <w:color w:val="auto"/>
              </w:rPr>
            </w:pPr>
          </w:p>
        </w:tc>
        <w:tc>
          <w:tcPr>
            <w:tcW w:w="2840" w:type="dxa"/>
            <w:vAlign w:val="bottom"/>
            <w:gridSpan w:val="5"/>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4940" w:type="dxa"/>
            <w:vAlign w:val="bottom"/>
            <w:tcBorders>
              <w:left w:val="single" w:sz="8" w:color="0000EE"/>
            </w:tcBorders>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2580" w:type="dxa"/>
            <w:vAlign w:val="bottom"/>
            <w:gridSpan w:val="5"/>
          </w:tcPr>
          <w:p>
            <w:pPr>
              <w:spacing w:after="0"/>
              <w:rPr>
                <w:sz w:val="21"/>
                <w:szCs w:val="21"/>
                <w:color w:val="auto"/>
              </w:rPr>
            </w:pPr>
          </w:p>
        </w:tc>
        <w:tc>
          <w:tcPr>
            <w:tcW w:w="494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Part II.</w:t>
            </w:r>
          </w:p>
        </w:tc>
        <w:tc>
          <w:tcPr>
            <w:tcW w:w="1900" w:type="dxa"/>
            <w:vAlign w:val="bottom"/>
            <w:gridSpan w:val="7"/>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OTHER INFORMATION</w:t>
              </w:r>
            </w:hyperlink>
          </w:p>
        </w:tc>
        <w:tc>
          <w:tcPr>
            <w:tcW w:w="7400" w:type="dxa"/>
            <w:vAlign w:val="bottom"/>
            <w:gridSpan w:val="11"/>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1900" w:type="dxa"/>
            <w:vAlign w:val="bottom"/>
            <w:gridSpan w:val="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7400" w:type="dxa"/>
            <w:vAlign w:val="bottom"/>
            <w:gridSpan w:val="11"/>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gridSpan w:val="4"/>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Risk Factors</w:t>
              </w:r>
            </w:hyperlink>
          </w:p>
        </w:tc>
        <w:tc>
          <w:tcPr>
            <w:tcW w:w="420" w:type="dxa"/>
            <w:vAlign w:val="bottom"/>
          </w:tcPr>
          <w:p>
            <w:pPr>
              <w:spacing w:after="0"/>
              <w:rPr>
                <w:sz w:val="21"/>
                <w:szCs w:val="21"/>
                <w:color w:val="auto"/>
              </w:rPr>
            </w:pPr>
          </w:p>
        </w:tc>
        <w:tc>
          <w:tcPr>
            <w:tcW w:w="7960" w:type="dxa"/>
            <w:vAlign w:val="bottom"/>
            <w:gridSpan w:val="13"/>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4360" w:type="dxa"/>
            <w:vAlign w:val="bottom"/>
            <w:gridSpan w:val="11"/>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Unregistered Sales of Equity Securities and Use of Proceeds</w:t>
              </w:r>
            </w:hyperlink>
          </w:p>
        </w:tc>
        <w:tc>
          <w:tcPr>
            <w:tcW w:w="494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760" w:type="dxa"/>
            <w:vAlign w:val="bottom"/>
            <w:gridSpan w:val="9"/>
            <w:shd w:val="clear" w:color="auto" w:fill="0000EE"/>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6.</w:t>
            </w:r>
          </w:p>
        </w:tc>
        <w:tc>
          <w:tcPr>
            <w:tcW w:w="4360" w:type="dxa"/>
            <w:vAlign w:val="bottom"/>
            <w:gridSpan w:val="1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494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r>
      <w:tr>
        <w:trPr>
          <w:trHeight w:val="507"/>
        </w:trPr>
        <w:tc>
          <w:tcPr>
            <w:tcW w:w="1140" w:type="dxa"/>
            <w:vAlign w:val="bottom"/>
          </w:tcPr>
          <w:p>
            <w:pPr>
              <w:spacing w:after="0"/>
              <w:rPr>
                <w:sz w:val="24"/>
                <w:szCs w:val="24"/>
                <w:color w:val="auto"/>
              </w:rPr>
            </w:pPr>
          </w:p>
        </w:tc>
        <w:tc>
          <w:tcPr>
            <w:tcW w:w="6280" w:type="dxa"/>
            <w:vAlign w:val="bottom"/>
            <w:gridSpan w:val="12"/>
          </w:tcPr>
          <w:p>
            <w:pPr>
              <w:jc w:val="center"/>
              <w:ind w:left="2770"/>
              <w:spacing w:after="0"/>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320"/>
          </w:cols>
          <w:pgMar w:left="240" w:top="10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right"/>
        <w:ind w:right="220"/>
        <w:spacing w:after="0"/>
        <w:tabs>
          <w:tab w:leader="none" w:pos="1140" w:val="left"/>
        </w:tabs>
        <w:rPr>
          <w:sz w:val="20"/>
          <w:szCs w:val="20"/>
          <w:color w:val="auto"/>
        </w:rPr>
      </w:pPr>
      <w:r>
        <w:rPr>
          <w:rFonts w:ascii="Arial" w:cs="Arial" w:eastAsia="Arial" w:hAnsi="Arial"/>
          <w:sz w:val="14"/>
          <w:szCs w:val="14"/>
          <w:b w:val="1"/>
          <w:bCs w:val="1"/>
          <w:color w:val="auto"/>
        </w:rPr>
        <w:t>March 31, 2019</w:t>
      </w:r>
      <w:r>
        <w:rPr>
          <w:sz w:val="20"/>
          <w:szCs w:val="20"/>
          <w:color w:val="auto"/>
        </w:rPr>
        <w:tab/>
      </w:r>
      <w:r>
        <w:rPr>
          <w:rFonts w:ascii="Arial" w:cs="Arial" w:eastAsia="Arial" w:hAnsi="Arial"/>
          <w:sz w:val="12"/>
          <w:szCs w:val="12"/>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7900" w:val="left"/>
        </w:tabs>
        <w:rPr>
          <w:sz w:val="20"/>
          <w:szCs w:val="20"/>
          <w:color w:val="auto"/>
        </w:rPr>
      </w:pPr>
      <w:r>
        <w:rPr>
          <w:rFonts w:ascii="Arial" w:cs="Arial" w:eastAsia="Arial" w:hAnsi="Arial"/>
          <w:sz w:val="18"/>
          <w:szCs w:val="18"/>
          <w:color w:val="auto"/>
        </w:rPr>
        <w:t>Cash and cash equivalents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receivable, net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Right-of-use lease asset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Internal use software development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TOTAL ASSETS</w:t>
      </w:r>
      <w:r>
        <w:rPr>
          <w:sz w:val="20"/>
          <w:szCs w:val="20"/>
          <w:color w:val="auto"/>
        </w:rPr>
        <w:tab/>
      </w:r>
      <w:r>
        <w:rPr>
          <w:rFonts w:ascii="Arial" w:cs="Arial" w:eastAsia="Arial" w:hAnsi="Arial"/>
          <w:sz w:val="17"/>
          <w:szCs w:val="17"/>
          <w:color w:val="auto"/>
        </w:rPr>
        <w: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280"/>
        <w:spacing w:after="0"/>
        <w:tabs>
          <w:tab w:leader="none" w:pos="7900" w:val="left"/>
        </w:tabs>
        <w:rPr>
          <w:sz w:val="20"/>
          <w:szCs w:val="20"/>
          <w:color w:val="auto"/>
        </w:rPr>
      </w:pPr>
      <w:r>
        <w:rPr>
          <w:rFonts w:ascii="Arial" w:cs="Arial" w:eastAsia="Arial" w:hAnsi="Arial"/>
          <w:sz w:val="18"/>
          <w:szCs w:val="18"/>
          <w:color w:val="auto"/>
        </w:rPr>
        <w:t>Accounts payable and accrued expenses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Lease liabilities, current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liabilities, non-current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 (Note 10)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260" w:right="280" w:hanging="215"/>
        <w:spacing w:after="0" w:line="277" w:lineRule="auto"/>
        <w:rPr>
          <w:sz w:val="20"/>
          <w:szCs w:val="20"/>
          <w:color w:val="auto"/>
        </w:rPr>
      </w:pPr>
      <w:r>
        <w:rPr>
          <w:rFonts w:ascii="Arial" w:cs="Arial" w:eastAsia="Arial" w:hAnsi="Arial"/>
          <w:sz w:val="18"/>
          <w:szCs w:val="18"/>
          <w:color w:val="auto"/>
        </w:rPr>
        <w:t>Preferred stock, $0.00001 par value, 10,000 shares authorized at March 31, 2019 and December 31, 2018; 0 shares issued and outstanding at March 31, 2019 and December 31, 2018</w:t>
      </w:r>
    </w:p>
    <w:p>
      <w:pPr>
        <w:spacing w:after="0" w:line="8" w:lineRule="exact"/>
        <w:rPr>
          <w:sz w:val="20"/>
          <w:szCs w:val="20"/>
          <w:color w:val="auto"/>
        </w:rPr>
      </w:pPr>
    </w:p>
    <w:p>
      <w:pPr>
        <w:ind w:left="260" w:right="220" w:hanging="215"/>
        <w:spacing w:after="0" w:line="317" w:lineRule="auto"/>
        <w:rPr>
          <w:sz w:val="20"/>
          <w:szCs w:val="20"/>
          <w:color w:val="auto"/>
        </w:rPr>
      </w:pPr>
      <w:r>
        <w:rPr>
          <w:rFonts w:ascii="Arial" w:cs="Arial" w:eastAsia="Arial" w:hAnsi="Arial"/>
          <w:sz w:val="16"/>
          <w:szCs w:val="16"/>
          <w:color w:val="auto"/>
        </w:rPr>
        <w:t>Common stock, $0.00001 par value; 500,000 shares authorized at March 31, 2019 and December 31, 2018; 51,765 and 51,159 shares issued and outstanding at March 31, 2019 and December 31,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80,714</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80,452</w:t>
            </w:r>
          </w:p>
        </w:tc>
      </w:tr>
      <w:tr>
        <w:trPr>
          <w:trHeight w:val="284"/>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7,524</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155,888</w:t>
            </w: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205,683</w:t>
            </w:r>
          </w:p>
        </w:tc>
      </w:tr>
      <w:tr>
        <w:trPr>
          <w:trHeight w:val="277"/>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7,448</w:t>
            </w: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6,882</w:t>
            </w:r>
          </w:p>
        </w:tc>
      </w:tr>
      <w:tr>
        <w:trPr>
          <w:trHeight w:val="24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244,050</w:t>
            </w:r>
          </w:p>
        </w:tc>
        <w:tc>
          <w:tcPr>
            <w:tcW w:w="5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300,541</w:t>
            </w:r>
          </w:p>
        </w:tc>
      </w:tr>
      <w:tr>
        <w:trPr>
          <w:trHeight w:val="284"/>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28,307</w:t>
            </w:r>
          </w:p>
        </w:tc>
        <w:tc>
          <w:tcPr>
            <w:tcW w:w="50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33,487</w:t>
            </w:r>
          </w:p>
        </w:tc>
      </w:tr>
      <w:tr>
        <w:trPr>
          <w:trHeight w:val="257"/>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12,801</w:t>
            </w:r>
          </w:p>
        </w:tc>
        <w:tc>
          <w:tcPr>
            <w:tcW w:w="5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14,790</w:t>
            </w:r>
          </w:p>
        </w:tc>
        <w:tc>
          <w:tcPr>
            <w:tcW w:w="50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14,570</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9,382</w:t>
            </w: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10,174</w:t>
            </w:r>
          </w:p>
        </w:tc>
      </w:tr>
      <w:tr>
        <w:trPr>
          <w:trHeight w:val="277"/>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2,067</w:t>
            </w: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1,240</w:t>
            </w:r>
          </w:p>
        </w:tc>
      </w:tr>
      <w:tr>
        <w:trPr>
          <w:trHeight w:val="24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311,397</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360,012</w:t>
            </w:r>
          </w:p>
        </w:tc>
      </w:tr>
      <w:tr>
        <w:trPr>
          <w:trHeight w:val="27"/>
        </w:trPr>
        <w:tc>
          <w:tcPr>
            <w:tcW w:w="9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64"/>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187,891</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239,678</w:t>
            </w:r>
          </w:p>
        </w:tc>
      </w:tr>
      <w:tr>
        <w:trPr>
          <w:trHeight w:val="284"/>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6,928</w:t>
            </w:r>
          </w:p>
        </w:tc>
        <w:tc>
          <w:tcPr>
            <w:tcW w:w="50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673</w:t>
            </w: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1,304</w:t>
            </w:r>
          </w:p>
        </w:tc>
      </w:tr>
      <w:tr>
        <w:trPr>
          <w:trHeight w:val="24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195,492</w:t>
            </w:r>
          </w:p>
        </w:tc>
        <w:tc>
          <w:tcPr>
            <w:tcW w:w="5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240,982</w:t>
            </w:r>
          </w:p>
        </w:tc>
      </w:tr>
      <w:tr>
        <w:trPr>
          <w:trHeight w:val="284"/>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7,235</w:t>
            </w:r>
          </w:p>
        </w:tc>
        <w:tc>
          <w:tcPr>
            <w:tcW w:w="50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179</w:t>
            </w: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1,017</w:t>
            </w:r>
          </w:p>
        </w:tc>
      </w:tr>
      <w:tr>
        <w:trPr>
          <w:trHeight w:val="24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202,906</w:t>
            </w:r>
          </w:p>
        </w:tc>
        <w:tc>
          <w:tcPr>
            <w:tcW w:w="5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241,999</w:t>
            </w:r>
          </w:p>
        </w:tc>
      </w:tr>
      <w:tr>
        <w:trPr>
          <w:trHeight w:val="27"/>
        </w:trPr>
        <w:tc>
          <w:tcPr>
            <w:tcW w:w="9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006"/>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50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436,807</w:t>
            </w: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433,877</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(165)</w:t>
            </w: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(259)</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w w:val="88"/>
              </w:rPr>
              <w:t>(328,152)</w:t>
            </w: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(315,606)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8890</wp:posOffset>
            </wp:positionV>
            <wp:extent cx="22383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-1663065</wp:posOffset>
            </wp:positionV>
            <wp:extent cx="10890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-3052445</wp:posOffset>
            </wp:positionV>
            <wp:extent cx="10890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8080" w:space="720"/>
            <w:col w:w="26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5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108,491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118,013</w:t>
            </w:r>
          </w:p>
        </w:tc>
      </w:tr>
      <w:tr>
        <w:trPr>
          <w:trHeight w:val="27"/>
        </w:trPr>
        <w:tc>
          <w:tcPr>
            <w:tcW w:w="79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311,397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360,012</w:t>
            </w:r>
          </w:p>
        </w:tc>
      </w:tr>
      <w:tr>
        <w:trPr>
          <w:trHeight w:val="20"/>
        </w:trPr>
        <w:tc>
          <w:tcPr>
            <w:tcW w:w="7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2019</w:t>
            </w:r>
          </w:p>
        </w:tc>
        <w:tc>
          <w:tcPr>
            <w:tcW w:w="280" w:type="dxa"/>
            <w:vAlign w:val="bottom"/>
          </w:tcPr>
          <w:p>
            <w:pPr>
              <w:spacing w:after="0"/>
              <w:rPr>
                <w:sz w:val="22"/>
                <w:szCs w:val="22"/>
                <w:color w:val="auto"/>
              </w:rPr>
            </w:pPr>
          </w:p>
        </w:tc>
        <w:tc>
          <w:tcPr>
            <w:tcW w:w="1540" w:type="dxa"/>
            <w:vAlign w:val="bottom"/>
          </w:tcPr>
          <w:p>
            <w:pPr>
              <w:jc w:val="right"/>
              <w:ind w:right="351"/>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24,876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14,783</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10,592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12,257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10,494</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10,280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12,544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Restructuring and other exit costs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45,704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52,544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 loss, net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(27,741)</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(27,816)</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Net loss per share:</w:t>
            </w: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used to compute net loss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51,577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49,692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111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2019</w:t>
            </w:r>
          </w:p>
        </w:tc>
        <w:tc>
          <w:tcPr>
            <w:tcW w:w="280" w:type="dxa"/>
            <w:vAlign w:val="bottom"/>
          </w:tcPr>
          <w:p>
            <w:pPr>
              <w:spacing w:after="0"/>
              <w:rPr>
                <w:sz w:val="22"/>
                <w:szCs w:val="22"/>
                <w:color w:val="auto"/>
              </w:rPr>
            </w:pPr>
          </w:p>
        </w:tc>
        <w:tc>
          <w:tcPr>
            <w:tcW w:w="1540" w:type="dxa"/>
            <w:vAlign w:val="bottom"/>
          </w:tcPr>
          <w:p>
            <w:pPr>
              <w:jc w:val="right"/>
              <w:ind w:right="353"/>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Unrealized gain (loss) on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214</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(27,612)</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7"/>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3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tcBorders>
              <w:bottom w:val="single" w:sz="8" w:color="auto"/>
            </w:tcBorders>
            <w:gridSpan w:val="7"/>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100" w:type="dxa"/>
            <w:vAlign w:val="bottom"/>
          </w:tcPr>
          <w:p>
            <w:pPr>
              <w:jc w:val="center"/>
              <w:ind w:right="102"/>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Income (Loss)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50,239</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418,354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(253,784)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164,611</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Exercise of common stock options</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Issuance of common stock related to RSU vesting</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Shares withheld related to net share settlement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4,689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4,689</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Other comprehensive income</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204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(27,816)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(27,816)</w:t>
            </w:r>
          </w:p>
        </w:tc>
        <w:tc>
          <w:tcPr>
            <w:tcW w:w="0" w:type="dxa"/>
            <w:vAlign w:val="bottom"/>
          </w:tcPr>
          <w:p>
            <w:pPr>
              <w:spacing w:after="0"/>
              <w:rPr>
                <w:sz w:val="1"/>
                <w:szCs w:val="1"/>
                <w:color w:val="auto"/>
              </w:rPr>
            </w:pPr>
          </w:p>
        </w:tc>
      </w:tr>
      <w:tr>
        <w:trPr>
          <w:trHeight w:val="25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Balance at March 31, 2018</w:t>
            </w:r>
          </w:p>
        </w:tc>
        <w:tc>
          <w:tcPr>
            <w:tcW w:w="10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50,280</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gridSpan w:val="2"/>
          </w:tcPr>
          <w:p>
            <w:pPr>
              <w:ind w:left="64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423,009</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245</w:t>
            </w:r>
          </w:p>
        </w:tc>
        <w:tc>
          <w:tcPr>
            <w:tcW w:w="1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(281,600)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141,654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0" w:type="dxa"/>
            <w:vAlign w:val="bottom"/>
            <w:gridSpan w:val="6"/>
            <w:vMerge w:val="restart"/>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vMerge w:val="restart"/>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3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Shares</w:t>
            </w:r>
          </w:p>
        </w:tc>
        <w:tc>
          <w:tcPr>
            <w:tcW w:w="18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1260" w:type="dxa"/>
            <w:vAlign w:val="bottom"/>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100" w:type="dxa"/>
            <w:vAlign w:val="bottom"/>
          </w:tcPr>
          <w:p>
            <w:pPr>
              <w:jc w:val="center"/>
              <w:ind w:right="102"/>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41"/>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51,159</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433,877</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(315,606)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118,013</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Exercise of common stock options</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251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Restricted stock awards, net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Issuance of common stock related to RSU vesting</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1,171</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Shares withheld related to net share settlement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4,514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4,514</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comprehensive income</w:t>
            </w: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(12,546)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(12,546)</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March 31, 2019</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51,765</w:t>
            </w:r>
          </w:p>
        </w:tc>
        <w:tc>
          <w:tcPr>
            <w:tcW w:w="18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436,807</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(328,152)</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108,491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3"/>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22"/>
                <w:szCs w:val="22"/>
                <w:color w:val="auto"/>
              </w:rPr>
            </w:pPr>
          </w:p>
        </w:tc>
        <w:tc>
          <w:tcPr>
            <w:tcW w:w="1280" w:type="dxa"/>
            <w:vAlign w:val="bottom"/>
          </w:tcPr>
          <w:p>
            <w:pPr>
              <w:jc w:val="right"/>
              <w:ind w:right="171"/>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disposal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of available-for-sale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Unrealized foreign currency (gains) losses,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28,259</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(23,158)</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Capitalized internal use software development costs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available-for-sale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Maturities of available-for-sale securities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22,600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Taxes paid related to net share settlement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w w:val="97"/>
              </w:rPr>
              <w:t>EFFECT OF EXCHANGE RATE CHANGES ON CASH, CASH EQUIVALENTS AND RESTRICTED CASH</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 Beginning of period</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80,452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76,642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80,714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67,516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SUPPLEMENTAL DISCLOSURES OF OTHER CASH FLOW INFORMATION:</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assets financed by accounts payable and accrued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Capitalized stock-based compensation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Summary of Significant Accounting Policies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Rubicon Project, Inc., or Rubicon Project (the "Company"), was formed on April 20, 2007 in Delaware and began operations in April 2007. The Company is headquartered in Los Angeles, California.</w:t>
      </w:r>
    </w:p>
    <w:p>
      <w:pPr>
        <w:spacing w:after="0" w:line="35"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The Company provides a technology solution to automate the purchase and sale of digital advertising inventory for buyers and sellers. The Company's platform features applications and services for digital advertising sellers, including websites, mobile applications and other digital media properties, and their representatives, to sell their digital advertising inventory; applications and services for buyers, including advertisers, agencies, agency trading desks, and demand side platforms, or DSPs, to buy digital advertising inventory; and a marketplace over which such transactions are executed. Together, these features power and enhance a comprehensive, transparent, independent advertising marketplace that brings buyers and sellers together and facilitates intelligent decision making and automated transaction execution for the digital advertising inventory managed on the Company's platform. The Company's clients include many of the world's leading publishers of websites and mobile applications and buyers of digital advertising inventory.</w:t>
      </w:r>
    </w:p>
    <w:p>
      <w:pPr>
        <w:spacing w:after="0" w:line="5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Advertising inventory takes different forms, referred to as advertising units, is purchased and sold through different transactional methodologies, and allows advertising content to be presented to consumers through different channels. The Company's solution enables buyers and sellers to purchase and sell:</w:t>
      </w:r>
    </w:p>
    <w:p>
      <w:pPr>
        <w:spacing w:after="0" w:line="1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comprehensive range of advertising units, including display, audio, and video;</w:t>
      </w:r>
    </w:p>
    <w:p>
      <w:pPr>
        <w:spacing w:after="0" w:line="63"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are transacted through real-time bidding, which includes (i) direct sale of premium inventory, which the Company refers to as private marketplace, and (ii) open auction bidding, which the Company refers to as open marketplace; and</w:t>
      </w:r>
    </w:p>
    <w:p>
      <w:pPr>
        <w:spacing w:after="0" w:line="8"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are displayed across digital channels, including mobile web, mobile application, and desktop, as well as across various out-of-home channels, such as digital billboards.</w:t>
      </w:r>
    </w:p>
    <w:p>
      <w:pPr>
        <w:spacing w:after="0" w:line="1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Risks and Uncertainties</w:t>
      </w:r>
    </w:p>
    <w:p>
      <w:pPr>
        <w:spacing w:after="0" w:line="185" w:lineRule="exact"/>
        <w:rPr>
          <w:sz w:val="20"/>
          <w:szCs w:val="20"/>
          <w:color w:val="auto"/>
        </w:rPr>
      </w:pPr>
    </w:p>
    <w:p>
      <w:pPr>
        <w:jc w:val="center"/>
        <w:ind w:right="2100"/>
        <w:spacing w:after="0"/>
        <w:rPr>
          <w:sz w:val="20"/>
          <w:szCs w:val="20"/>
          <w:color w:val="auto"/>
        </w:rPr>
      </w:pPr>
      <w:r>
        <w:rPr>
          <w:rFonts w:ascii="Arial" w:cs="Arial" w:eastAsia="Arial" w:hAnsi="Arial"/>
          <w:sz w:val="18"/>
          <w:szCs w:val="18"/>
          <w:color w:val="auto"/>
        </w:rPr>
        <w:t>The Company has been impacted by rapid changes in the ad tech industry, including demand by ad tech buyers</w:t>
      </w:r>
    </w:p>
    <w:p>
      <w:pPr>
        <w:spacing w:after="0" w:line="23" w:lineRule="exact"/>
        <w:rPr>
          <w:sz w:val="20"/>
          <w:szCs w:val="20"/>
          <w:color w:val="auto"/>
        </w:rPr>
      </w:pPr>
    </w:p>
    <w:p>
      <w:pPr>
        <w:jc w:val="center"/>
        <w:ind w:right="2100"/>
        <w:spacing w:after="0"/>
        <w:rPr>
          <w:sz w:val="20"/>
          <w:szCs w:val="20"/>
          <w:color w:val="auto"/>
        </w:rPr>
      </w:pPr>
      <w:r>
        <w:rPr>
          <w:rFonts w:ascii="Arial" w:cs="Arial" w:eastAsia="Arial" w:hAnsi="Arial"/>
          <w:sz w:val="16"/>
          <w:szCs w:val="16"/>
          <w:color w:val="auto"/>
        </w:rPr>
        <w:t>for more efficiency and lower costs, changes in bidding technologies, and increased competition. In response to these challenges,</w:t>
      </w:r>
    </w:p>
    <w:p>
      <w:pPr>
        <w:spacing w:after="0" w:line="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made changes to its pricing model in 2017, eliminating fees charged to buyers, which significantly reduced its revenue. To offset the decrease in revenue, the Company realigned its cost structure in 2018, including restructuring activities to reduce headcount and related operating costs and capital expenditures. Unless and until the Company is able to compensate for the fee reductions and reduced margins by continuing to increase advertising spend on its platform, or sufficiently reducing costs, it may not be able to grow its business and may continue to operate at a loss, depleting its cash resources and liquidity. If the Company continues to experience significant operating losses in the future, the Company may require additional liquidity to fund its operations.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Summary of Significant Accounting Policies</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United States Generally Accepted Accounting Principles,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months ended March 31, 2019 are not necessarily indicative of the results that may be expected for any future interim period, the year ending December 31, 2019, or for any future year.</w:t>
      </w:r>
    </w:p>
    <w:p>
      <w:pPr>
        <w:spacing w:after="0" w:line="5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condensed consolidated balance sheet at December 31, 2018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2018 included in its 2018 Annual Report on Form 10-K.</w:t>
      </w:r>
    </w:p>
    <w:p>
      <w:pPr>
        <w:spacing w:after="0" w:line="5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adopted Accounting Standards Codification Topic 842 ("ASC 842")—</w:t>
      </w:r>
      <w:r>
        <w:rPr>
          <w:rFonts w:ascii="Arial" w:cs="Arial" w:eastAsia="Arial" w:hAnsi="Arial"/>
          <w:sz w:val="18"/>
          <w:szCs w:val="18"/>
          <w:i w:val="1"/>
          <w:iCs w:val="1"/>
          <w:color w:val="auto"/>
        </w:rPr>
        <w:t>Leases</w:t>
      </w:r>
      <w:r>
        <w:rPr>
          <w:rFonts w:ascii="Arial" w:cs="Arial" w:eastAsia="Arial" w:hAnsi="Arial"/>
          <w:sz w:val="18"/>
          <w:szCs w:val="18"/>
          <w:color w:val="auto"/>
        </w:rPr>
        <w:t xml:space="preserve"> on January 1, 2019 using a modified retrospective approach. The adoption of this standard impacted only the financial statements included as of March 31, 2019 and for the three months ended March 31, 2019. See below for additional information regarding the Company's adoption of ASC 842. Aside from the adoption of ASC 842, there have been no significant changes in the Company's accounting policies from those disclosed in its audited consolidated financial statements and notes thereto for the year ended December 31, 2018 included in its Annual Report on Form 10-K.</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and disclosed financial statements and accompanying footnotes. Actual results could differ materially from these estimates.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Adoption of ASC 842</w:t>
      </w:r>
    </w:p>
    <w:p>
      <w:pPr>
        <w:spacing w:after="0" w:line="18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January 1, 2019, the Company adopted ASC 842, which requires the recognition of the right-of-use assets, or ROU assets, and related lease liabilities on the balance sheet using a modified retrospective approach. The consolidated financial statements related to periods prior to January 1, 2019 were not restated, and continue to be reported under ASC Topic 840—</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which did not require the recognition of operating lease liabilities on the balance sheet. As a result the consolidated financial statements related to periods prior to January 1, 2019 are not entirely comparative with current and future periods. As permitted under ASC 842, the Company elected several practical expedients that permit the Company to not reassess (1) whether existing contracts are or contain a lease, (2) the classification of existing leases, and (3) whether previously capitalized costs continue to qualify as initial indirect costs. In addition, the Company has elected not to recognize short-term leases on our balance sheet, nor separate lease and non-lease components for our data center leases. In addition, we utilized the portfolio approach to group leases with similar characteristics and did not use hindsight to determine lease term.</w:t>
      </w:r>
    </w:p>
    <w:p>
      <w:pPr>
        <w:spacing w:after="0" w:line="11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addition to the leases previously reported under ASC 840, the Company also reviewed its data center agreements to identify non-lease components that should not be included in the lease liability and lease expense under ASC 842. Certain fixed non-lease components of data center leases, primarily fixed minimum power commitments, have been included in the lease liability and ROU asset as the Company has elected the practical expedient for its data centers to not separate the lease and non-lease components; however, variable components have not been included. For identified leases, the Company used its incremental borrowing rate to discount the related future payment obligations as of January 1, 2019 to determine its lease liability as of adoption. As of the adoption date, the Company recognized a lease liability of $15.6 million and a corresponding ROU asset of $14.3 million; there was no equity impact from the adoption. The difference between the lease liability and the ROU asset primarily represents the existing deferred rent liabilities balances before adoption, resulting from historical straight-lining of operating leases, which was effectively reclassified upon adoption to reduce the measurement of the ROU asset.</w:t>
      </w:r>
    </w:p>
    <w:p>
      <w:pPr>
        <w:spacing w:after="0" w:line="292"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The Company records rent expense for operating leases, including leases of office locations, data centers, and equipment, on a straight-line basis over the lease term. The straight-line calculation of rent expense includes rent escalations on certain leases, as well as lease incentives provided by the landlords, including payments for leasehold improvements and rent-free periods. The Company begins recognition of rent expense on the commencement date, which is generally the date that the asset is made available for use. The lease liability is included in lease liabilities, current and lease liabilities, non-current within the condensed consolidated balance sheet, which are reduced as lease related payments are made. The ROU asset is amortized on a periodic basis over the expected term of the lease. See Note 11 for additional information.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Under the Jumpstart Our Business Startups Act, or the JOBS Act, the Company meets the definition of an emerging growth company. The Company has irrevocably elected to opt out of the extended transition period for complying with new or revised accounting standards pursuant to Section 107(b) of the JOBS Act.</w:t>
      </w:r>
    </w:p>
    <w:p>
      <w:pPr>
        <w:spacing w:after="0" w:line="4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March 2019, the Financial Accounting Standards Board issued ASU 2019-01—</w:t>
      </w:r>
      <w:r>
        <w:rPr>
          <w:rFonts w:ascii="Arial" w:cs="Arial" w:eastAsia="Arial" w:hAnsi="Arial"/>
          <w:sz w:val="17"/>
          <w:szCs w:val="17"/>
          <w:i w:val="1"/>
          <w:iCs w:val="1"/>
          <w:color w:val="auto"/>
        </w:rPr>
        <w:t>Leases (Topic 842): Codification Improvements</w:t>
      </w:r>
      <w:r>
        <w:rPr>
          <w:rFonts w:ascii="Arial" w:cs="Arial" w:eastAsia="Arial" w:hAnsi="Arial"/>
          <w:sz w:val="17"/>
          <w:szCs w:val="17"/>
          <w:color w:val="auto"/>
        </w:rPr>
        <w:t xml:space="preserve"> ("ASU 2019-01"), which clarifies certain topics around lease guidance. One of the provisions of ASU 2019-01 pertains to the Company as it updates existing guidance by explicitly allowing an exception to transition disclosures typically required, while adopting ASC 842. Under this guidance, entities that have adopted ASC 842 are not required to provide identical disclosures for the comparative previous year period in the year of adoption. ASU 2019-01 is required to be adopted concurrently with the adoption of ASC 842, and as such, the Company adopted ASU 2019-01 during the first quarter of 2019.</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2—Net Income (Loss) Per Share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basic and diluted net loss per share:</w:t>
      </w:r>
    </w:p>
    <w:p>
      <w:pPr>
        <w:spacing w:after="0" w:line="185"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37465</wp:posOffset>
            </wp:positionV>
            <wp:extent cx="23837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2019</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7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8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EPS:</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30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(27,816)</w:t>
            </w: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51,635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50,248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Weighted-average unvested restricted stock</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used to compute net loss per share</w:t>
            </w:r>
          </w:p>
        </w:tc>
        <w:tc>
          <w:tcPr>
            <w:tcW w:w="2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51,577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49,692</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weighted-average shares have been excluded from the calculation of diluted net loss per share attributable to common stockholders for each period presented because they are anti-dilutive:</w:t>
      </w:r>
    </w:p>
    <w:p>
      <w:pPr>
        <w:spacing w:after="0" w:line="130"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37465</wp:posOffset>
            </wp:positionV>
            <wp:extent cx="23837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3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March 31, 2019</w:t>
            </w: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March 31, 2018</w:t>
            </w:r>
          </w:p>
        </w:tc>
      </w:tr>
      <w:tr>
        <w:trPr>
          <w:trHeight w:val="250"/>
        </w:trPr>
        <w:tc>
          <w:tcPr>
            <w:tcW w:w="7660" w:type="dxa"/>
            <w:vAlign w:val="bottom"/>
          </w:tcPr>
          <w:p>
            <w:pPr>
              <w:spacing w:after="0"/>
              <w:rPr>
                <w:sz w:val="21"/>
                <w:szCs w:val="21"/>
                <w:color w:val="auto"/>
              </w:rPr>
            </w:pPr>
          </w:p>
        </w:tc>
        <w:tc>
          <w:tcPr>
            <w:tcW w:w="2360" w:type="dxa"/>
            <w:vAlign w:val="bottom"/>
            <w:gridSpan w:val="3"/>
          </w:tcPr>
          <w:p>
            <w:pPr>
              <w:ind w:left="1460"/>
              <w:spacing w:after="0"/>
              <w:rPr>
                <w:sz w:val="20"/>
                <w:szCs w:val="20"/>
                <w:color w:val="auto"/>
              </w:rPr>
            </w:pPr>
            <w:r>
              <w:rPr>
                <w:rFonts w:ascii="Arial" w:cs="Arial" w:eastAsia="Arial" w:hAnsi="Arial"/>
                <w:sz w:val="14"/>
                <w:szCs w:val="14"/>
                <w:b w:val="1"/>
                <w:bCs w:val="1"/>
                <w:color w:val="auto"/>
                <w:w w:val="91"/>
              </w:rPr>
              <w:t>(in thousands)</w:t>
            </w:r>
          </w:p>
        </w:tc>
        <w:tc>
          <w:tcPr>
            <w:tcW w:w="140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Unvested restricted stock awards</w:t>
            </w:r>
          </w:p>
        </w:tc>
        <w:tc>
          <w:tcPr>
            <w:tcW w:w="1840" w:type="dxa"/>
            <w:vAlign w:val="bottom"/>
          </w:tcPr>
          <w:p>
            <w:pPr>
              <w:jc w:val="right"/>
              <w:ind w:right="35"/>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186</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ESPP</w:t>
            </w:r>
          </w:p>
        </w:tc>
        <w:tc>
          <w:tcPr>
            <w:tcW w:w="1840" w:type="dxa"/>
            <w:vAlign w:val="bottom"/>
          </w:tcPr>
          <w:p>
            <w:pPr>
              <w:jc w:val="right"/>
              <w:ind w:right="35"/>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62</w:t>
            </w:r>
          </w:p>
        </w:tc>
      </w:tr>
      <w:tr>
        <w:trPr>
          <w:trHeight w:val="27"/>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shares excluded from net loss per share</w:t>
            </w:r>
          </w:p>
        </w:tc>
        <w:tc>
          <w:tcPr>
            <w:tcW w:w="1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3,331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1,654</w:t>
            </w:r>
          </w:p>
        </w:tc>
      </w:tr>
      <w:tr>
        <w:trPr>
          <w:trHeight w:val="20"/>
        </w:trPr>
        <w:tc>
          <w:tcPr>
            <w:tcW w:w="76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generates revenue from transactions where it provides a platform for the purchase and sale of digital advertising inventory. The Company’s advertising automation solution is a marketplace for sellers of digital advertising inventory (providers of websites, mobile applications and other digital media properties, and their representatives) and buyers of digital advertising inventory (including advertisers, agencies, agency trading desks, and demand-side platforms). This solution incorporates proprietary machine-learning algorithms, sophisticated data processing, high-volume storage, detailed analytics capabilities, and a distributed infrastructure. Together, these features form the basis for the Company’s automated advertising solution that brings buyers and sellers together and facilitates intelligent decision-making and automated transaction execution for the digital advertising inventory managed on the Company's platform. Digital advertising inventory is created when consumers access sellers’ content. Sellers provide digital advertising inventory to the Company’s platform in the form of advertising requests, or ad requests. When the Company receives ad requests from sellers, it sends bid requests to buyers, which enable buyers to bid on sellers’ digital advertising inventory. Winning bids can create advertising, or paid impressions, for the seller to present to the consumer.</w:t>
      </w:r>
    </w:p>
    <w:p>
      <w:pPr>
        <w:spacing w:after="0" w:line="97"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The total volume of spending between buyers and sellers on the Company’s platform is referred to as advertising spend. The Company keeps a percentage of that advertising spend as a fee, and remits the remainder to the seller. The fee that the Company retains from the gross advertising spend on its platform is recognized as revenue. The fee earned on each transaction is based on the pre-existing agreement between the Company and the seller and the clearing price of the winning bid. The Company recognizes revenue upon fulfillment of its performance obligation to a client, which occurs at the point in time an ad renders and is counted as a paid impression, subject to an underlying agreement existing with the client and a fixed or determinable transaction price. Performance obligations for all transactions are satisfied, and the corresponding revenue is recognized, at a distinct point in time when an ad renders. The Company does not have arrangements with multiple performance obligations. The Company considers the following when determining if a contract exists under which the performance obligations have been satisfied: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97"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color w:val="auto"/>
        </w:rPr>
        <w:t>The Company has determined that it does not act as the principal in the purchase and sale of digital advertising inventory because it does not have control of the digital advertising inventory and does not set prices agreed upon within the auction marketplace, and therefore reports revenue on a net basis.</w:t>
      </w:r>
    </w:p>
    <w:p>
      <w:pPr>
        <w:spacing w:after="0" w:line="4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Payment terms are specified in agreements between the Company and the buyers and sellers on its exchange platform. The Company generally bills buyers at the end of each month for the full purchase price of impressions filled in that month. The</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by channel for the three months ended March 31, 2019 and 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4"/>
                <w:szCs w:val="14"/>
                <w:b w:val="1"/>
                <w:bCs w:val="1"/>
                <w:color w:val="auto"/>
                <w:w w:val="93"/>
              </w:rPr>
              <w:t>Three Months Ended</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46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March 31, 2019</w:t>
            </w: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March 31, 2018</w:t>
            </w:r>
          </w:p>
        </w:tc>
        <w:tc>
          <w:tcPr>
            <w:tcW w:w="820" w:type="dxa"/>
            <w:vAlign w:val="bottom"/>
            <w:tcBorders>
              <w:bottom w:val="single" w:sz="8" w:color="auto"/>
            </w:tcBorders>
          </w:tcPr>
          <w:p>
            <w:pPr>
              <w:spacing w:after="0"/>
              <w:rPr>
                <w:sz w:val="22"/>
                <w:szCs w:val="22"/>
                <w:color w:val="auto"/>
              </w:rPr>
            </w:pPr>
          </w:p>
        </w:tc>
      </w:tr>
      <w:tr>
        <w:trPr>
          <w:trHeight w:val="250"/>
        </w:trPr>
        <w:tc>
          <w:tcPr>
            <w:tcW w:w="4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720" w:type="dxa"/>
            <w:vAlign w:val="bottom"/>
            <w:gridSpan w:val="6"/>
          </w:tcPr>
          <w:p>
            <w:pPr>
              <w:jc w:val="center"/>
              <w:ind w:right="1420"/>
              <w:spacing w:after="0"/>
              <w:rPr>
                <w:sz w:val="20"/>
                <w:szCs w:val="20"/>
                <w:color w:val="auto"/>
              </w:rPr>
            </w:pPr>
            <w:r>
              <w:rPr>
                <w:rFonts w:ascii="Arial" w:cs="Arial" w:eastAsia="Arial" w:hAnsi="Arial"/>
                <w:sz w:val="14"/>
                <w:szCs w:val="14"/>
                <w:b w:val="1"/>
                <w:bCs w:val="1"/>
                <w:color w:val="auto"/>
                <w:w w:val="89"/>
              </w:rPr>
              <w:t>(in thousands, except percentages)</w:t>
            </w:r>
          </w:p>
        </w:tc>
        <w:tc>
          <w:tcPr>
            <w:tcW w:w="820" w:type="dxa"/>
            <w:vAlign w:val="bottom"/>
          </w:tcPr>
          <w:p>
            <w:pPr>
              <w:spacing w:after="0"/>
              <w:rPr>
                <w:sz w:val="21"/>
                <w:szCs w:val="21"/>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Channel:</w:t>
            </w: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Desktop</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15,221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14,309</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4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Mobile</w:t>
            </w: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17,195</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10,567</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32,416</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24,876</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geographic location, based on the location of the Company's sellers:</w:t>
      </w:r>
    </w:p>
    <w:p>
      <w:pPr>
        <w:spacing w:after="0" w:line="230"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p>
      <w:pPr>
        <w:ind w:left="8280"/>
        <w:spacing w:after="0"/>
        <w:tabs>
          <w:tab w:leader="none" w:pos="10080" w:val="left"/>
        </w:tabs>
        <w:rPr>
          <w:sz w:val="20"/>
          <w:szCs w:val="20"/>
          <w:color w:val="auto"/>
        </w:rPr>
      </w:pPr>
      <w:r>
        <w:rPr>
          <w:rFonts w:ascii="Arial" w:cs="Arial" w:eastAsia="Arial" w:hAnsi="Arial"/>
          <w:sz w:val="14"/>
          <w:szCs w:val="14"/>
          <w:b w:val="1"/>
          <w:bCs w:val="1"/>
          <w:color w:val="auto"/>
        </w:rPr>
        <w:t>March 31, 2019</w:t>
      </w:r>
      <w:r>
        <w:rPr>
          <w:sz w:val="20"/>
          <w:szCs w:val="20"/>
          <w:color w:val="auto"/>
        </w:rPr>
        <w:tab/>
      </w:r>
      <w:r>
        <w:rPr>
          <w:rFonts w:ascii="Arial" w:cs="Arial" w:eastAsia="Arial" w:hAnsi="Arial"/>
          <w:sz w:val="13"/>
          <w:szCs w:val="13"/>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9"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21,486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15,504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6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10,930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9,372</w:t>
            </w:r>
          </w:p>
        </w:tc>
      </w:tr>
      <w:tr>
        <w:trPr>
          <w:trHeight w:val="27"/>
        </w:trPr>
        <w:tc>
          <w:tcPr>
            <w:tcW w:w="79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32,416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24,876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8" w:lineRule="exact"/>
        <w:rPr>
          <w:sz w:val="20"/>
          <w:szCs w:val="20"/>
          <w:color w:val="auto"/>
        </w:rPr>
      </w:pPr>
    </w:p>
    <w:p>
      <w:pPr>
        <w:ind w:left="1800" w:right="520" w:hanging="1144"/>
        <w:spacing w:after="0" w:line="277" w:lineRule="auto"/>
        <w:tabs>
          <w:tab w:leader="none" w:pos="1152"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35"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within Level 1 that are observable for the asset or liability, either directly or indirectly.</w:t>
      </w:r>
    </w:p>
    <w:p>
      <w:pPr>
        <w:spacing w:after="0" w:line="101" w:lineRule="exact"/>
        <w:rPr>
          <w:rFonts w:ascii="Arial" w:cs="Arial" w:eastAsia="Arial" w:hAnsi="Arial"/>
          <w:sz w:val="17"/>
          <w:szCs w:val="17"/>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a summary of financial instruments that are measured at fair value on a recurring basis at March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center"/>
              <w:ind w:right="262"/>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2240" w:type="dxa"/>
            <w:vAlign w:val="bottom"/>
            <w:vMerge w:val="restart"/>
          </w:tcPr>
          <w:p>
            <w:pPr>
              <w:jc w:val="center"/>
              <w:ind w:right="464"/>
              <w:spacing w:after="0"/>
              <w:rPr>
                <w:sz w:val="20"/>
                <w:szCs w:val="20"/>
                <w:color w:val="auto"/>
              </w:rPr>
            </w:pPr>
            <w:r>
              <w:rPr>
                <w:rFonts w:ascii="Arial" w:cs="Arial" w:eastAsia="Arial" w:hAnsi="Arial"/>
                <w:sz w:val="14"/>
                <w:szCs w:val="14"/>
                <w:b w:val="1"/>
                <w:bCs w:val="1"/>
                <w:color w:val="auto"/>
                <w:w w:val="93"/>
              </w:rPr>
              <w:t>Significant Other</w:t>
            </w:r>
          </w:p>
        </w:tc>
        <w:tc>
          <w:tcPr>
            <w:tcW w:w="1820" w:type="dxa"/>
            <w:vAlign w:val="bottom"/>
            <w:vMerge w:val="restart"/>
          </w:tcPr>
          <w:p>
            <w:pPr>
              <w:jc w:val="center"/>
              <w:ind w:right="20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80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2240" w:type="dxa"/>
            <w:vAlign w:val="bottom"/>
          </w:tcPr>
          <w:p>
            <w:pPr>
              <w:jc w:val="center"/>
              <w:ind w:right="464"/>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82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center"/>
              <w:ind w:right="424"/>
              <w:spacing w:after="0"/>
              <w:rPr>
                <w:sz w:val="20"/>
                <w:szCs w:val="20"/>
                <w:color w:val="auto"/>
              </w:rPr>
            </w:pPr>
            <w:r>
              <w:rPr>
                <w:rFonts w:ascii="Arial" w:cs="Arial" w:eastAsia="Arial" w:hAnsi="Arial"/>
                <w:sz w:val="14"/>
                <w:szCs w:val="14"/>
                <w:b w:val="1"/>
                <w:bCs w:val="1"/>
                <w:color w:val="auto"/>
                <w:w w:val="94"/>
              </w:rPr>
              <w:t>(Level 2)</w:t>
            </w:r>
          </w:p>
        </w:tc>
        <w:tc>
          <w:tcPr>
            <w:tcW w:w="182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13,301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13,301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   $</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jc w:val="right"/>
              <w:ind w:right="1242"/>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center"/>
              <w:ind w:right="262"/>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192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3"/>
              </w:rPr>
              <w:t>Significant Other</w:t>
            </w:r>
          </w:p>
        </w:tc>
        <w:tc>
          <w:tcPr>
            <w:tcW w:w="320" w:type="dxa"/>
            <w:vAlign w:val="bottom"/>
          </w:tcPr>
          <w:p>
            <w:pPr>
              <w:spacing w:after="0"/>
              <w:rPr>
                <w:sz w:val="14"/>
                <w:szCs w:val="14"/>
                <w:color w:val="auto"/>
              </w:rPr>
            </w:pPr>
          </w:p>
        </w:tc>
        <w:tc>
          <w:tcPr>
            <w:tcW w:w="182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80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192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20" w:type="dxa"/>
            <w:vAlign w:val="bottom"/>
          </w:tcPr>
          <w:p>
            <w:pPr>
              <w:spacing w:after="0"/>
              <w:rPr>
                <w:sz w:val="12"/>
                <w:szCs w:val="12"/>
                <w:color w:val="auto"/>
              </w:rPr>
            </w:pPr>
          </w:p>
        </w:tc>
        <w:tc>
          <w:tcPr>
            <w:tcW w:w="182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4"/>
              </w:rPr>
              <w:t>(Level 2)</w:t>
            </w: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13,692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13,692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8"/>
              </w:rPr>
              <w:t>U.S. Treasury, government and agency debt</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80"/>
              <w:spacing w:after="0"/>
              <w:rPr>
                <w:sz w:val="20"/>
                <w:szCs w:val="20"/>
                <w:color w:val="auto"/>
              </w:rPr>
            </w:pPr>
            <w:r>
              <w:rPr>
                <w:rFonts w:ascii="Arial" w:cs="Arial" w:eastAsia="Arial" w:hAnsi="Arial"/>
                <w:sz w:val="18"/>
                <w:szCs w:val="18"/>
                <w:color w:val="auto"/>
              </w:rPr>
              <w:t>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7,524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2"/>
              <w:spacing w:after="0"/>
              <w:rPr>
                <w:sz w:val="20"/>
                <w:szCs w:val="20"/>
                <w:color w:val="auto"/>
              </w:rPr>
            </w:pPr>
            <w:r>
              <w:rPr>
                <w:rFonts w:ascii="Arial" w:cs="Arial" w:eastAsia="Arial" w:hAnsi="Arial"/>
                <w:sz w:val="18"/>
                <w:szCs w:val="18"/>
                <w:color w:val="auto"/>
              </w:rPr>
              <w:t>7,524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ind w:left="16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At March 31, 2019 and December 31, 2018, cash equivalents of $13.3 million and $13.7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 Corporate debt securities (which are included in marketable securities on the balance sheet) with fair values derived from similar securities rather than based on quoted market prices for identical securities, are classified as Level 2 as well. The fair values of the Company's U.S. treasury, government and agency debt securities are based on quoted market prices and classified as Level 1, and are included within marketable securities.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5—Other Balance Sheet Amounts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in marketable securities as of December 31, 2018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4"/>
                <w:szCs w:val="14"/>
                <w:color w:val="auto"/>
              </w:rPr>
            </w:pPr>
          </w:p>
        </w:tc>
        <w:tc>
          <w:tcPr>
            <w:tcW w:w="86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4"/>
                <w:szCs w:val="14"/>
                <w:color w:val="auto"/>
              </w:rPr>
            </w:pPr>
          </w:p>
        </w:tc>
        <w:tc>
          <w:tcPr>
            <w:tcW w:w="1000" w:type="dxa"/>
            <w:vAlign w:val="bottom"/>
          </w:tcPr>
          <w:p>
            <w:pPr>
              <w:jc w:val="center"/>
              <w:ind w:right="144"/>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4"/>
                <w:szCs w:val="14"/>
                <w:color w:val="auto"/>
              </w:rPr>
            </w:pPr>
          </w:p>
        </w:tc>
        <w:tc>
          <w:tcPr>
            <w:tcW w:w="88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80" w:type="dxa"/>
            <w:vAlign w:val="bottom"/>
          </w:tcPr>
          <w:p>
            <w:pPr>
              <w:spacing w:after="0"/>
              <w:rPr>
                <w:sz w:val="12"/>
                <w:szCs w:val="12"/>
                <w:color w:val="auto"/>
              </w:rPr>
            </w:pPr>
          </w:p>
        </w:tc>
        <w:tc>
          <w:tcPr>
            <w:tcW w:w="100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2"/>
              </w:rPr>
              <w:t>Gains</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80" w:type="dxa"/>
            <w:vAlign w:val="bottom"/>
            <w:gridSpan w:val="2"/>
          </w:tcPr>
          <w:p>
            <w:pPr>
              <w:jc w:val="right"/>
              <w:ind w:right="404"/>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Available-for-sale—short-term:</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U.S. Treasury, government and agency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7,526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4"/>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2"/>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had no available-for-sale securities as of March 31, 2019. For the three months ended March 31, 2019, there were no realized gains (losses) and there were no unrealized holding gains (losses) reclassified out of accumulated other comprehensive loss into the condensed consolidated statements of operations for the sale of available-for-sale investments.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included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80" w:type="dxa"/>
            <w:vAlign w:val="bottom"/>
            <w:gridSpan w:val="4"/>
          </w:tcPr>
          <w:p>
            <w:pPr>
              <w:jc w:val="right"/>
              <w:ind w:right="11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payable—seller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177,519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230,423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payable—trade</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3,122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employee-related payables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6,133</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187,891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239,678</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restricted cash as of March 31, 2019 and December 31,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6—Intangible Assets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as of March 31, 2019 and December 31, 2018 included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16,878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16,878</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Non-compete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 gross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17,588</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amortization—intangible assets:</w:t>
            </w: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Developed technology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accumulated amortization—intangible assets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(7,414)</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Amortization of intangible assets for the three months ended March 31, 2019 and 2018 was $0.8 million for both periods. The estimated remaining amortization expense associated with the Company's intangible assets was as follows as of March 31,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ind w:left="4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2,826</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1,512</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9,382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7—Stock-Based Compensation</w:t>
      </w:r>
    </w:p>
    <w:p>
      <w:pPr>
        <w:spacing w:after="0" w:line="9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Company’s equity incentive plans provide for the grant of equity awards, including non-statutory or incentive stock options, restricted stock awards ("RSAs"), and restricted stock units ("RSUs"), to the Company's employees, officers, directors, and consultants. The Company's board of directors administers the plans. Outstanding options vest based upon continued service at varying rates, but generally over four years from issuance with 25% vesting after one year of service and the remainder vesting monthly thereafter. RSAs and RSUs vest at varying rates, typically approximately 25% vesting after approximately one year of service and the remainder vesting semi-annually thereafter, but with certain retention grants vesting 50% on each of the first and second anniversaries of the grant date. Options, RSAs, and RSUs granted under the plans accelerate under certain circumstances for certain participants upon a change in control, as defined in the governing plan. An aggregate of 4,453,472 shares remained available for future grants at March 31, 2019 under the plans.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three months ended March 31,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8"/>
              </w:rPr>
              <w:t>Shares Under Option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Average 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Contractual Life</w:t>
            </w:r>
          </w:p>
        </w:tc>
        <w:tc>
          <w:tcPr>
            <w:tcW w:w="200" w:type="dxa"/>
            <w:vAlign w:val="bottom"/>
          </w:tcPr>
          <w:p>
            <w:pPr>
              <w:spacing w:after="0"/>
              <w:rPr>
                <w:sz w:val="16"/>
                <w:szCs w:val="16"/>
                <w:color w:val="auto"/>
              </w:rPr>
            </w:pPr>
          </w:p>
        </w:tc>
        <w:tc>
          <w:tcPr>
            <w:tcW w:w="128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3,488</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1,184</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3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12"/>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1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March 31, 2019</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4,523</w:t>
            </w:r>
          </w:p>
        </w:tc>
        <w:tc>
          <w:tcPr>
            <w:tcW w:w="3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7.64 years</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tcPr>
          <w:p>
            <w:pPr>
              <w:jc w:val="right"/>
              <w:ind w:right="21"/>
              <w:spacing w:after="0"/>
              <w:rPr>
                <w:sz w:val="20"/>
                <w:szCs w:val="20"/>
                <w:color w:val="auto"/>
              </w:rPr>
            </w:pPr>
            <w:r>
              <w:rPr>
                <w:rFonts w:ascii="Arial" w:cs="Arial" w:eastAsia="Arial" w:hAnsi="Arial"/>
                <w:sz w:val="18"/>
                <w:szCs w:val="18"/>
                <w:color w:val="auto"/>
              </w:rPr>
              <w:t>6,317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March 31, 2019</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2,285</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6.12 years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The total intrinsic values of options exercised during the three months ended March 31, 2019 was $0.3 million. At March 31, 2019, the Company had unrecognized employee stock-based compensation expense relating to nonvested stock options of approximately $5.8 million, which is expected to be recognized over a weighted-average period of 3.1 years. The weighted-average grant date fair value per share of stock options granted during the three months ended March 31, 2019 was $2.85. Total fair value of options vested during the three months ended March 31, 2019 was $0.5 million.</w:t>
      </w:r>
    </w:p>
    <w:p>
      <w:pPr>
        <w:spacing w:after="0" w:line="11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estimates the fair value of stock options that contain service and/or performance conditions using the Black-Scholes option pricing model. The weighted-average input assumptions used by the Company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tcPr>
          <w:p>
            <w:pPr>
              <w:jc w:val="right"/>
              <w:ind w:right="107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gridSpan w:val="3"/>
          </w:tcPr>
          <w:p>
            <w:pPr>
              <w:ind w:left="280"/>
              <w:spacing w:after="0"/>
              <w:rPr>
                <w:sz w:val="20"/>
                <w:szCs w:val="20"/>
                <w:color w:val="auto"/>
              </w:rPr>
            </w:pPr>
            <w:r>
              <w:rPr>
                <w:rFonts w:ascii="Arial" w:cs="Arial" w:eastAsia="Arial" w:hAnsi="Arial"/>
                <w:sz w:val="14"/>
                <w:szCs w:val="14"/>
                <w:b w:val="1"/>
                <w:bCs w:val="1"/>
                <w:color w:val="auto"/>
              </w:rPr>
              <w:t>March 31, 2019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313"/>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76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20" w:type="dxa"/>
            <w:vAlign w:val="bottom"/>
          </w:tcPr>
          <w:p>
            <w:pPr>
              <w:spacing w:after="0"/>
              <w:rPr>
                <w:sz w:val="21"/>
                <w:szCs w:val="21"/>
                <w:color w:val="auto"/>
              </w:rPr>
            </w:pPr>
          </w:p>
        </w:tc>
        <w:tc>
          <w:tcPr>
            <w:tcW w:w="1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2"/>
        </w:trPr>
        <w:tc>
          <w:tcPr>
            <w:tcW w:w="778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Restricted Stock Awards</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80" w:type="dxa"/>
            <w:vAlign w:val="bottom"/>
          </w:tcPr>
          <w:p>
            <w:pPr>
              <w:ind w:left="660"/>
              <w:spacing w:after="0"/>
              <w:rPr>
                <w:sz w:val="20"/>
                <w:szCs w:val="20"/>
                <w:color w:val="auto"/>
              </w:rPr>
            </w:pPr>
            <w:r>
              <w:rPr>
                <w:rFonts w:ascii="Arial" w:cs="Arial" w:eastAsia="Arial" w:hAnsi="Arial"/>
                <w:sz w:val="18"/>
                <w:szCs w:val="18"/>
                <w:color w:val="auto"/>
              </w:rPr>
              <w:t>A summary of RSA activity for the three months ended March 31, 2019 is as follows:</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 of Shares</w:t>
            </w:r>
          </w:p>
        </w:tc>
        <w:tc>
          <w:tcPr>
            <w:tcW w:w="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Weighted-Average Grant</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gridSpan w:val="3"/>
          </w:tcPr>
          <w:p>
            <w:pPr>
              <w:ind w:left="4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of restricted stock awards outstanding at December 31, 2018</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21"/>
                <w:szCs w:val="21"/>
                <w:color w:val="auto"/>
              </w:rPr>
            </w:pPr>
          </w:p>
        </w:tc>
        <w:tc>
          <w:tcPr>
            <w:tcW w:w="1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8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Vested</w:t>
            </w:r>
          </w:p>
        </w:tc>
        <w:tc>
          <w:tcPr>
            <w:tcW w:w="120" w:type="dxa"/>
            <w:vAlign w:val="bottom"/>
          </w:tcPr>
          <w:p>
            <w:pPr>
              <w:spacing w:after="0"/>
              <w:rPr>
                <w:sz w:val="21"/>
                <w:szCs w:val="21"/>
                <w:color w:val="auto"/>
              </w:rPr>
            </w:pPr>
          </w:p>
        </w:tc>
        <w:tc>
          <w:tcPr>
            <w:tcW w:w="1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shares of restricted stock awards outstanding at March 31, 2019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No RSAs vested during the three months ended March 31, 2019. At March 31, 2019, the Company had unrecognized stock-based compensation expense for RSAs with service conditions of $0.1 million, which is expected to be recognized over a weighted-average period of 0.7 years.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RSU activity for the three months ended March 31, 2019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600" w:type="dxa"/>
            <w:vAlign w:val="bottom"/>
          </w:tcPr>
          <w:p>
            <w:pPr>
              <w:jc w:val="right"/>
              <w:ind w:right="27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outstanding at December 31, 2018</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4,494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Pr>
          <w:p>
            <w:pPr>
              <w:jc w:val="right"/>
              <w:spacing w:after="0"/>
              <w:rPr>
                <w:sz w:val="20"/>
                <w:szCs w:val="20"/>
                <w:color w:val="auto"/>
              </w:rPr>
            </w:pPr>
            <w:r>
              <w:rPr>
                <w:rFonts w:ascii="Arial" w:cs="Arial" w:eastAsia="Arial" w:hAnsi="Arial"/>
                <w:sz w:val="18"/>
                <w:szCs w:val="18"/>
                <w:color w:val="auto"/>
              </w:rPr>
              <w:t>(1,171)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outstanding at March 31, 2019</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9,265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The weighted-average grant date fair value per share of RSUs granted during the three months ended March 31, 2019 was $4.61, which included 1.6 million RSUs that vest 50% annually over 2 years. The aggregate fair value of RSUs that vested during three months ended March 31, 2019 was $4.7 million. At March 31, 2019, the intrinsic value of nonvested RSUs was $56.3 million. At March 31, 2019, the Company had unrecognized stock-based compensation expense relating to nonvested RSUs of approximately $33.7 million, which is expected to be recognized over a weighted-average period of 2.69 years.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37" w:lineRule="exact"/>
        <w:rPr>
          <w:sz w:val="20"/>
          <w:szCs w:val="20"/>
          <w:color w:val="auto"/>
        </w:rPr>
      </w:pPr>
    </w:p>
    <w:p>
      <w:pPr>
        <w:ind w:right="60" w:firstLine="648"/>
        <w:spacing w:after="0" w:line="213" w:lineRule="auto"/>
        <w:rPr>
          <w:sz w:val="20"/>
          <w:szCs w:val="20"/>
          <w:color w:val="auto"/>
        </w:rPr>
      </w:pPr>
      <w:r>
        <w:rPr>
          <w:rFonts w:ascii="Arial" w:cs="Arial" w:eastAsia="Arial" w:hAnsi="Arial"/>
          <w:sz w:val="18"/>
          <w:szCs w:val="18"/>
          <w:color w:val="auto"/>
        </w:rPr>
        <w:t>As of March 31, 2019, the Company has reserved 2,119,240 shares of its common stock for issuance under the ESPP. The ESPP has an evergreen provision pursuant to which the share reserve will automatically increase on January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each year in an amount equal to 1% of the total number of shares of capital stock outstanding on December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the preceding calendar year, although the Company’s board of directors may provide for a lesser increase, or no increase, in any year.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 recorded in the condensed consolidated statements of operations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1,185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2,357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exit costs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4,544</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8—Restructuring and Other Exit Costs</w:t>
      </w:r>
    </w:p>
    <w:p>
      <w:pPr>
        <w:spacing w:after="0" w:line="17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As part of its on-going efforts to control costs and create efficiencies, the Company undertook restructuring events in 2018 to streamline operations, prioritize resources for growth initiatives and increase profitability. Restructuring and other exit costs incurred related to severance and one-time termination benefit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97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9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61"/>
        </w:trPr>
        <w:tc>
          <w:tcPr>
            <w:tcW w:w="10520" w:type="dxa"/>
            <w:vAlign w:val="bottom"/>
            <w:gridSpan w:val="3"/>
          </w:tcPr>
          <w:p>
            <w:pPr>
              <w:ind w:left="660"/>
              <w:spacing w:after="0"/>
              <w:rPr>
                <w:sz w:val="20"/>
                <w:szCs w:val="20"/>
                <w:color w:val="auto"/>
              </w:rPr>
            </w:pPr>
            <w:r>
              <w:rPr>
                <w:rFonts w:ascii="Arial" w:cs="Arial" w:eastAsia="Arial" w:hAnsi="Arial"/>
                <w:sz w:val="18"/>
                <w:szCs w:val="18"/>
                <w:color w:val="auto"/>
                <w:w w:val="94"/>
              </w:rPr>
              <w:t>The following table summarizes restructuring and other exit cost activity for the three months ended March 31, 2018 (in thousands):</w:t>
            </w:r>
          </w:p>
        </w:tc>
        <w:tc>
          <w:tcPr>
            <w:tcW w:w="90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restructuring and other exit costs at January 1, 2018</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720" w:type="dxa"/>
            <w:vAlign w:val="bottom"/>
            <w:gridSpan w:val="2"/>
          </w:tcPr>
          <w:p>
            <w:pPr>
              <w:ind w:left="280"/>
              <w:spacing w:after="0"/>
              <w:rPr>
                <w:sz w:val="20"/>
                <w:szCs w:val="20"/>
                <w:color w:val="auto"/>
              </w:rPr>
            </w:pPr>
            <w:r>
              <w:rPr>
                <w:rFonts w:ascii="Arial" w:cs="Arial" w:eastAsia="Arial" w:hAnsi="Arial"/>
                <w:sz w:val="18"/>
                <w:szCs w:val="18"/>
                <w:color w:val="auto"/>
              </w:rPr>
              <w:t>Restructuring and other exit costs</w:t>
            </w:r>
          </w:p>
        </w:tc>
        <w:tc>
          <w:tcPr>
            <w:tcW w:w="8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2,466</w:t>
            </w:r>
          </w:p>
        </w:tc>
      </w:tr>
      <w:tr>
        <w:trPr>
          <w:trHeight w:val="27"/>
        </w:trPr>
        <w:tc>
          <w:tcPr>
            <w:tcW w:w="12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paid for restructuring and other exit costs</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r>
      <w:tr>
        <w:trPr>
          <w:trHeight w:val="243"/>
        </w:trPr>
        <w:tc>
          <w:tcPr>
            <w:tcW w:w="9720" w:type="dxa"/>
            <w:vAlign w:val="bottom"/>
            <w:gridSpan w:val="2"/>
          </w:tcPr>
          <w:p>
            <w:pPr>
              <w:ind w:left="280"/>
              <w:spacing w:after="0"/>
              <w:rPr>
                <w:sz w:val="20"/>
                <w:szCs w:val="20"/>
                <w:color w:val="auto"/>
              </w:rPr>
            </w:pPr>
            <w:r>
              <w:rPr>
                <w:rFonts w:ascii="Arial" w:cs="Arial" w:eastAsia="Arial" w:hAnsi="Arial"/>
                <w:sz w:val="18"/>
                <w:szCs w:val="18"/>
                <w:color w:val="auto"/>
              </w:rPr>
              <w:t>Non-cash stock-based compensation for restructuring and other exit costs</w:t>
            </w:r>
          </w:p>
        </w:tc>
        <w:tc>
          <w:tcPr>
            <w:tcW w:w="8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1280" w:type="dxa"/>
            <w:vAlign w:val="bottom"/>
            <w:tcBorders>
              <w:bottom w:val="single" w:sz="8" w:color="CCEEFF"/>
            </w:tcBorders>
          </w:tcPr>
          <w:p>
            <w:pPr>
              <w:spacing w:after="0"/>
              <w:rPr>
                <w:sz w:val="2"/>
                <w:szCs w:val="2"/>
                <w:color w:val="auto"/>
              </w:rPr>
            </w:pPr>
          </w:p>
        </w:tc>
        <w:tc>
          <w:tcPr>
            <w:tcW w:w="8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restructuring and other exit costs at March 31, 2018</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r>
      <w:tr>
        <w:trPr>
          <w:trHeight w:val="20"/>
        </w:trPr>
        <w:tc>
          <w:tcPr>
            <w:tcW w:w="128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As of December 31, 2018, the Company had $0.1 million accrued restructuring and other exit costs remaining. No restructuring and other exit costs were incurred during the three months ended March 31, 2019, and all remaining accrued costs associated with the 2018 restructuring events were paid in the first quarter of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17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nondeductible stock option expenses, and changes in the Company's valuation allowance.</w:t>
      </w:r>
    </w:p>
    <w:p>
      <w:pPr>
        <w:spacing w:after="0" w:line="4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Company recorded an income tax benefit of $0.7 million for the three months ended March 31, 2019, and income tax expense of $0.1 million for the three months ended March 31, 2018. The tax provision for the three months ended March 31, 2019 is primarily the result of the release of a foreign valuation allowance resulting from a change to a cost plus arrangement for a foreign subsidiary, the domestic valuation allowance, and the tax liability associated with the foreign subsidiaries.</w:t>
      </w:r>
    </w:p>
    <w:p>
      <w:pPr>
        <w:spacing w:after="0" w:line="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December 22, 2017, the U.S. government enacted the Tax Cuts and Jobs Act (the “Tax Act”). The Tax Act includes significant changes to the U.S. corporate income tax system including a federal corporate rate reduction from 34% to 21%. For additional information and a discussion of the impact of the Tax Act on the Company, refer to Note 15 of the "Notes to Consolidated Financial Statements" within our Annual Report on Form 10-K for December 31, 2018.</w:t>
      </w:r>
    </w:p>
    <w:p>
      <w:pPr>
        <w:spacing w:after="0" w:line="22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Due to uncertainty as to the realization of benefits from the Company's domestic and certain international deferred tax assets, including net operating loss carryforwards and research and development tax credits, the Company has a full valuation allowance reserved against such assets. The Company intends to continue to maintain a full valuation allowance on the deferred tax assets until there is sufficient evidence to support the reversal of all or some portion of these allowances.</w:t>
      </w:r>
    </w:p>
    <w:p>
      <w:pPr>
        <w:spacing w:after="0" w:line="5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There were no material changes to the Company's unrecognized tax benefits in the three months ended March 31, 2019, and the Company does not expect to have any significant changes to unrecognized tax benefits through the end of the fiscal year. Because of the Company's history of tax losses, all years remain open to tax audit.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has commitments for cloud-based services, which resulted in expenses of $2.3 million and $1.9 million for the three months ended March 31, 2019 and 2018, respectively. As of March 31, 2019 and December 31, 2018, the Company had $2.4 million and $2.9 million, respectively, of letters of credit associated with office leases available for borrowing, on which there were no outstanding borrowings as of either date. The Company also has operating lease agreements, discussed in more detail in Note 11.</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Guarantees and Indemnification</w:t>
      </w:r>
    </w:p>
    <w:p>
      <w:pPr>
        <w:spacing w:after="0" w:line="9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Company’s agreements with sellers, buyers, and other third parties typically obligate it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08"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their status or service as directors, officers, or employees. No material demands have been made upon the Company to provide indemnification under such agreements and there are no claims that the Company is aware of that could have a material effect on the Company’s condensed consolidated financial statements.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Company’s status as a public company. Such routine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March 31, 2019. However, based on management’s knowledge as of March 31, 2019, management believes that the final resolution of these matters known at such date, individually and in the aggregate, will not have a material adverse effect upon the Company’s condensed consolidated financial position, results of operations or cash flows.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9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11—Lease Obligations</w:t>
      </w:r>
    </w:p>
    <w:p>
      <w:pPr>
        <w:spacing w:after="0" w:line="18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adopted ASC 842 as of January 1, 2019. As part of the implementation, the Company recognized its lease liabilities, including the current and non-current portions, within its condensed consolidated balance sheet as of the adoption date, which represents the present value of the Company’s obligation related to the estimated future lease payments. The Company also recognized a right-of-use asset, or ROU asset, which represents the right to use the leased asset over the period of the lease. The ROU asset was calculated as the lease liability less any asset or liability balances that existed at the time of adoption.</w:t>
      </w:r>
    </w:p>
    <w:p>
      <w:pPr>
        <w:spacing w:after="0" w:line="10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lease term is generally specified in the lease agreement, however certain agreements provide for lease term extensions or early termination options. To determine the period for the estimated future lease payments, the Company evaluates whether it is reasonably certain that it will exercise the option at the commencement date and periodically thereafter. Certain data center lease agreements include one year extension options or month-to-month extension options, and one or more of these extensions have been assumed for each lease that the Company believes to be an integral part of our business in the near term. The lease terms of the Company’s operating leases generally range from one year to five years, and the weighted average remaining lease term is 2.4 years as of March 31, 2019.</w:t>
      </w:r>
    </w:p>
    <w:p>
      <w:pPr>
        <w:spacing w:after="0" w:line="11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To determine the estimated future lease payments, the Company reviews each of its lease agreements to identify the various payment components. For real estate and equipment leases, the Company includes only the actual lease components in its determination of future lease payments, and for its data center leases, includes both the fixed lease and non-lease components in the estimated future lease payments. This typically includes a fixed minimum power commitment that is included in the data center agreements, but it does not include any variable or usage-based additional charges. Once the estimated future lease payments are determined, the Company uses a discount rate to calculate the present value of the future lease payments. As of March 31, 2019, a weighted average discount rate of 5.30% has been applied to the remaining lease payments to calculate the lease liabilities included within the condensed consolidated balance sheet. This represents the incremental borrowing rate the Company would be subject to on borrowings from its available revolving debt agreement (See Note 12).</w:t>
      </w:r>
    </w:p>
    <w:p>
      <w:pPr>
        <w:spacing w:after="0" w:line="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the three months ended March 31, 2019, the Company recognized $1.8 million of lease expense under ASC 842, which includes operating lease expenses associated with leases included in the lease liability and ROU asset on the condensed consolidated balance sheet. In addition, the Company recognized $0.2 million of lease expense related to short-term leases that are not included in the ROU asset or lease liability balances. For the three months ended March 31, 2018, the Company recognized rental expenses of $3.3 million under ASC 840, which included expenses related to short-term leases, and also included certain non-lease components including variable capacity related expenses at the data centers. The Company also received rental income of $0.1 million and $0.2 million for real estate leases for which it subleases the property to a third party during the three months ended March 31, 2019 and 2018, respectively.</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maturity of the Company's lease liabilities were as follows (in thousands):</w:t>
      </w:r>
    </w:p>
    <w:p>
      <w:pPr>
        <w:spacing w:after="0" w:line="239"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9420" w:type="dxa"/>
            <w:vAlign w:val="bottom"/>
          </w:tcPr>
          <w:p>
            <w:pPr>
              <w:ind w:left="20"/>
              <w:spacing w:after="0"/>
              <w:rPr>
                <w:sz w:val="20"/>
                <w:szCs w:val="20"/>
                <w:color w:val="auto"/>
              </w:rPr>
            </w:pPr>
            <w:r>
              <w:rPr>
                <w:rFonts w:ascii="Arial" w:cs="Arial" w:eastAsia="Arial" w:hAnsi="Arial"/>
                <w:sz w:val="16"/>
                <w:szCs w:val="16"/>
                <w:b w:val="1"/>
                <w:bCs w:val="1"/>
                <w:color w:val="auto"/>
              </w:rPr>
              <w:t>Fiscal Year</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9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2019</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5,728</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6,150</w:t>
            </w:r>
          </w:p>
        </w:tc>
      </w:tr>
      <w:tr>
        <w:trPr>
          <w:trHeight w:val="27"/>
        </w:trPr>
        <w:tc>
          <w:tcPr>
            <w:tcW w:w="9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2,452</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513</w:t>
            </w:r>
          </w:p>
        </w:tc>
      </w:tr>
      <w:tr>
        <w:trPr>
          <w:trHeight w:val="27"/>
        </w:trPr>
        <w:tc>
          <w:tcPr>
            <w:tcW w:w="9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4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lease payments (undiscounted)</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15,057</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(894)</w:t>
            </w:r>
          </w:p>
        </w:tc>
      </w:tr>
      <w:tr>
        <w:trPr>
          <w:trHeight w:val="27"/>
        </w:trPr>
        <w:tc>
          <w:tcPr>
            <w:tcW w:w="94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9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Lease liabilities—total (discounted)</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14,163</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to the leases included in these condensed consolidated financial statements, the Company entered into lease agreements for office locations in New York, Boston, and San Francisco during the first quarter of 2019 that are undergoing tenant improvements or general construction activity by the landlord, and therefore, these lease agreements had not yet commenced as of March 31, 2019. The Company anticipates the recognition of approximately $12 million additional lease liabilities related to the New York, Boston, and San Francisco leases when the properties are made available to the Company for use, which is expected to occur in the second and third quarters of 2019.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12—Debt</w:t>
      </w:r>
    </w:p>
    <w:p>
      <w:pPr>
        <w:spacing w:after="0" w:line="1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September 2018, the Company amended and restated its loan and security agreement with Silicon Valley Bank (the "Loan Agreement"). The Loan Agreement provides a senior secured revolving credit facility of up to $40.0 million with a maturity date of September 26, 2020. The amount available for borrowing as of March 31, 2019 is $30.0 million due to a $10.0 million reserve that will be released if the Company maintains positive Adjusted EBITDA for any trailing twelve-month period. The Company incurred $0.1 million of debt issuance fees that were capitalized and are being amortized over the term of the Loan Agreement.</w:t>
      </w:r>
    </w:p>
    <w:p>
      <w:pPr>
        <w:spacing w:after="0" w:line="14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An unused revolver fee in the amount of 0.15% per annum of the average unused portion of the revolver line is charged and is payable monthly in arrears. The Company may elect for advances to bear interest calculated by reference to prime or LIBOR. If the Company elects LIBOR, amounts outstanding under the amended credit facility bear interest at a rate per annum equal to (a) LIBOR plus 2.50% if a streamline period applies or (b) LIBOR plus 4.00% if a streamline period does not apply. If the Company elects prime, advances bear interest at a rate of (a) prime plus 0.50% if a streamline period applies or (b) prime plus 2.00% if a streamline period does not apply. A streamline period is any period during which an event of default does not exist and the Company's Adjusted Quick Ratio (as defined in the Loan Agreement) is at least 1.05 for each day in the preceding month.</w:t>
      </w:r>
    </w:p>
    <w:p>
      <w:pPr>
        <w:spacing w:after="0" w:line="13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Loan Agreement is collateralized by security interests in substantially all of the Company's assets. Subject to certain exceptions, the Loan Agreement restricts the Company's ability to, among other things, pay dividends, sell assets, make changes to the nature of the business, engage in mergers or acquisitions, incur, assume or permit to exist, additional indebtedness and guarantees, create or permit to exist, liens, make distributions or redeem or repurchase capital stock, or make other investments, engage in transactions with affiliates, make payments with respect to subordinated debt, and enter into certain transactions without the consent of the financial institution. If a streamline period is not in effect, the Company is required to maintain a lockbox arrangement where clients payments received in the lockbox will immediately reduce the amounts outstanding on the credit facility.</w:t>
      </w:r>
    </w:p>
    <w:p>
      <w:pPr>
        <w:spacing w:after="0" w:line="13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Loan Agreement requires the Company to comply with financial covenants, including a minimum Adjusted Quick Ratio and the achievement of certain Adjusted EBITDA targets. On a monthly basis, or quarterly if there were no advances outstanding during the calendar quarter, the Company is required to maintain a minimum Adjusted Quick Ratio of: (i) 1.00 if the trailing six month Adjusted EBITDA is $0 or less, or (ii) 0.90 if the trailing six month Adjusted EBITDA is greater than $0. If the Company’s Adjusted Quick Ratio is 1.05 or greater, a streamline period applies. As of March 31, 2019, the Company's Adjusted Quick Ratio was 1.21, which is in compliance with its covenant requirement and is higher than the minimum Adjusted Quick Ratio required to qualify for a streamline period. The Company must also maintain the following trailing twelve month Adjusted EBITDA targets as of the end of each quarter as follows: (1) September 30, 2018 through June 30, 2019 Adjusted EBITDA must be within 20% of the Adjusted EBITDA projections that were delivered to Silicon Valley Bank; (2) September 30, 2019 Adjusted EBITDA of $1 or greater; and (3) December 31, 2019 and thereafter, Adjusted EBITDA of $5.0 million or greater. As of March 31, 2019, the Company was in compliance with the Adjusted EBITDA covenant.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Loan Agreement also includes customary representations and warranties, affirmative covenants, and events of default, including events of default upon a change of control and material adverse change (as defined in the Loan Agreement). Following an event of default, SVB would be entitled to, among other things, accelerate payment of amounts due under the credit facility and exercise all rights of a secured creditor.</w:t>
      </w:r>
    </w:p>
    <w:p>
      <w:pPr>
        <w:spacing w:after="0" w:line="1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March 31, 2019, there were no amounts outstanding under the Loan Agreement. Future availability under the credit facility is dependent on several factors including the available borrowing base and compliance with future covenant requirements.</w:t>
      </w:r>
    </w:p>
    <w:p>
      <w:pPr>
        <w:spacing w:after="0" w:line="200" w:lineRule="exact"/>
        <w:rPr>
          <w:sz w:val="20"/>
          <w:szCs w:val="20"/>
          <w:color w:val="auto"/>
        </w:rPr>
      </w:pPr>
    </w:p>
    <w:p>
      <w:pPr>
        <w:spacing w:after="0" w:line="3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125" w:right="4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our anticipated financial performance, including, without limitation, revenue, advertising spend, non-GAAP loss per share, profitability, net income (loss), Adjusted EBITDA, earnings per share, and cash flow; strategic objectives, including focus on header bidding, mobile, video, seller tools, and private marketplace opportunities; investments in our business; development of our technology; introduction of new offerings; the impact of our traffic shaping technology on our business; the effects of our cost reduction initiatives; scope and duration of client relationships; the fees we may charge in the future; business mix and expansion of our mobile, video and private marketplace offerings; sales growth; client utilization of our offerings; our competitive differentiation; our market share and leadership position in the industry; market conditions, trends, and opportunities; user reach; certain statements regarding future operational performance measures including ad requests, fill rate, paid impressions, average CPM, take rate, and advertising spend; benefits from supply path optimization; and factors that could affect these and other aspects of our business.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These risks include, but are not limited to:</w:t>
      </w:r>
    </w:p>
    <w:p>
      <w:pPr>
        <w:spacing w:after="0" w:line="4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grow and to manage our growth effectively;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innovative new technologies and remain a market leader;</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increase our business with them;</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loss of, or reduction in spending by, buyers;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large sources of advertising demand and aggregators of advertising inventory;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and grow a supply of advertising inventory from sellers and to fill the increased inventory;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on the advertising market and our business from difficult economic conditions or uncertainty;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freedom of buyers and sellers to direct their spending and inventory to competing sources of inventory and demand;</w:t>
      </w:r>
    </w:p>
    <w:p>
      <w:pPr>
        <w:spacing w:after="0" w:line="90" w:lineRule="exact"/>
        <w:rPr>
          <w:rFonts w:ascii="Arial" w:cs="Arial" w:eastAsia="Arial" w:hAnsi="Arial"/>
          <w:sz w:val="18"/>
          <w:szCs w:val="18"/>
          <w:i w:val="1"/>
          <w:iCs w:val="1"/>
          <w:color w:val="auto"/>
        </w:rPr>
      </w:pPr>
    </w:p>
    <w:p>
      <w:pPr>
        <w:ind w:left="660" w:right="360" w:hanging="328"/>
        <w:spacing w:after="0" w:line="27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use our solution to purchase and sell higher value advertising and to expand the use of our solution by buyers and sellers utilizing evolving digital media platforms;</w:t>
      </w:r>
    </w:p>
    <w:p>
      <w:pPr>
        <w:spacing w:after="0" w:line="35" w:lineRule="exact"/>
        <w:rPr>
          <w:rFonts w:ascii="Arial" w:cs="Arial" w:eastAsia="Arial" w:hAnsi="Arial"/>
          <w:sz w:val="18"/>
          <w:szCs w:val="18"/>
          <w:i w:val="1"/>
          <w:iCs w:val="1"/>
          <w:color w:val="auto"/>
        </w:rPr>
      </w:pPr>
    </w:p>
    <w:p>
      <w:pPr>
        <w:ind w:left="660" w:right="100" w:hanging="328"/>
        <w:spacing w:after="0" w:line="264"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introduce new offerings and bring them to market in a timely manner, and otherwise adapt in response to client demands and industry trends, including shifts in digital advertising growth from desktop to mobile channels and from display to video formats and the introduction and market acceptance of new seller tools;</w:t>
      </w:r>
    </w:p>
    <w:p>
      <w:pPr>
        <w:spacing w:after="0" w:line="46"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increased prevalence of header bidding and its effect on our competitive position;</w:t>
      </w:r>
    </w:p>
    <w:p>
      <w:pPr>
        <w:spacing w:after="0" w:line="90" w:lineRule="exact"/>
        <w:rPr>
          <w:rFonts w:ascii="Arial" w:cs="Arial" w:eastAsia="Arial" w:hAnsi="Arial"/>
          <w:sz w:val="18"/>
          <w:szCs w:val="18"/>
          <w:i w:val="1"/>
          <w:iCs w:val="1"/>
          <w:color w:val="auto"/>
        </w:rPr>
      </w:pPr>
    </w:p>
    <w:p>
      <w:pPr>
        <w:ind w:left="660" w:right="280" w:hanging="328"/>
        <w:spacing w:after="0" w:line="27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of our estimates and expectations associated with new offerings, including header bidding, private marketplace, mobile, video, seller tools, and traffic shaping;</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lower fees and take rate and the need to grow through advertising spend increases rather than fee increases;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compensate for a reduced take rate by increasing the volume and/or value of transactions on our platform and increasing our fill rate;</w:t>
      </w:r>
    </w:p>
    <w:p>
      <w:pPr>
        <w:spacing w:after="0" w:line="113" w:lineRule="exact"/>
        <w:rPr>
          <w:rFonts w:ascii="Arial" w:cs="Arial" w:eastAsia="Arial" w:hAnsi="Arial"/>
          <w:sz w:val="16"/>
          <w:szCs w:val="16"/>
          <w:i w:val="1"/>
          <w:iCs w:val="1"/>
          <w:color w:val="auto"/>
        </w:rPr>
      </w:pPr>
    </w:p>
    <w:p>
      <w:pPr>
        <w:ind w:left="660" w:hanging="328"/>
        <w:spacing w:after="0" w:line="27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the depletion of our cash resources as we incur additional investments in technology required to support the increased volume of transactions on our exchange and development of new offerings;</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support our growth objectives with reduced resources from our cost reduction initiatives;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additional capital if needed and/or renew our working capital line of credit;</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limited operating history and history of losses;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expand into new geographic markets;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effectively to shifts in digital advertising;</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prevalence of ad-blocking or cookie-blocking technologies;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slowing growth rate of desktop display advertising;</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growing percentage of online and mobile advertising spending captured by owned and operated sites (such as Facebook, Google, and Amazon);</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20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including loss of market share, of increased competition in our market and increasing concentration of advertising spending, including mobile spending, in a small number of very large competitors;</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consolidation in the ad tech industry;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acts of competitors and other third parties that can adversely affect our business;</w:t>
      </w:r>
    </w:p>
    <w:p>
      <w:pPr>
        <w:spacing w:after="0" w:line="90" w:lineRule="exact"/>
        <w:rPr>
          <w:rFonts w:ascii="Arial" w:cs="Arial" w:eastAsia="Arial" w:hAnsi="Arial"/>
          <w:sz w:val="18"/>
          <w:szCs w:val="18"/>
          <w:i w:val="1"/>
          <w:iCs w:val="1"/>
          <w:color w:val="auto"/>
        </w:rPr>
      </w:pPr>
    </w:p>
    <w:p>
      <w:pPr>
        <w:ind w:left="660" w:right="54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differentiate our offerings and compete effectively in a market trending increasingly toward commodification, transparency, and disintermediation;</w:t>
      </w:r>
    </w:p>
    <w:p>
      <w:pPr>
        <w:spacing w:after="0" w:line="35" w:lineRule="exact"/>
        <w:rPr>
          <w:rFonts w:ascii="Arial" w:cs="Arial" w:eastAsia="Arial" w:hAnsi="Arial"/>
          <w:sz w:val="18"/>
          <w:szCs w:val="18"/>
          <w:i w:val="1"/>
          <w:iCs w:val="1"/>
          <w:color w:val="auto"/>
        </w:rPr>
      </w:pPr>
    </w:p>
    <w:p>
      <w:pPr>
        <w:ind w:left="660" w:right="56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requests for discounts, fee concessions or revisions, rebates, refunds, favorable payment terms and greater levels of pricing transparency and specificity;</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adverse effects of malicious activity such as fraudulent inventory and malware;</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seasonal trends on our results of operations;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90" w:lineRule="exact"/>
        <w:rPr>
          <w:rFonts w:ascii="Arial" w:cs="Arial" w:eastAsia="Arial" w:hAnsi="Arial"/>
          <w:sz w:val="18"/>
          <w:szCs w:val="18"/>
          <w:i w:val="1"/>
          <w:iCs w:val="1"/>
          <w:color w:val="auto"/>
        </w:rPr>
      </w:pPr>
    </w:p>
    <w:p>
      <w:pPr>
        <w:ind w:left="660" w:right="74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identify future acquisitions of or investments in complementary companies or technologies and our ability to consummate the acquisitions and integrate such companies or technologies; and</w:t>
      </w:r>
    </w:p>
    <w:p>
      <w:pPr>
        <w:spacing w:after="0" w:line="35" w:lineRule="exact"/>
        <w:rPr>
          <w:rFonts w:ascii="Arial" w:cs="Arial" w:eastAsia="Arial" w:hAnsi="Arial"/>
          <w:sz w:val="18"/>
          <w:szCs w:val="18"/>
          <w:i w:val="1"/>
          <w:iCs w:val="1"/>
          <w:color w:val="auto"/>
        </w:rPr>
      </w:pPr>
    </w:p>
    <w:p>
      <w:pPr>
        <w:ind w:left="660" w:right="22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and the effect on our business of evolving legal standards and regulations, particularly concerning data protection and consumer privacy and evolving labor standards.</w:t>
      </w:r>
    </w:p>
    <w:p>
      <w:pPr>
        <w:spacing w:after="0" w:line="13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2018 and subsequent Quarterly Reports on Form 10-Q.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13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14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our unaudited condensed consolidated financial statements and notes thereto appearing elsewhere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We provide a technology solution to automate the purchase and sale of digital advertising inventory for buyers and sellers. Our platform features applications and services for digital advertising inventory sellers, including websites, mobile applications, other digital media properties, and their representatives, to sell their digital advertising inventory; applications and services for buyers, including advertisers, agencies, agency trading desks, and demand side platforms, or DSPs, to buy digital advertising inventory; and a marketplace over which such transactions are executed. Together, these features power and enhance a comprehensive, transparent, independent advertising marketplace that brings buyers and sellers together and facilitates intelligent decision making and automated transaction execution for the digital advertising inventory we manage on our platform. Our clients include many of the world’s leading publishers of websites and mobile applications and buyers of digital advertising inventory.</w:t>
      </w:r>
    </w:p>
    <w:p>
      <w:pPr>
        <w:spacing w:after="0" w:line="13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Advertising inventory takes different forms, referred to as advertising units, is purchased and sold through different transactional methodologies, and allows advertising content to be presented to consumers through different channels. Our solution enables buyers and sellers to purchase and sell:</w:t>
      </w:r>
    </w:p>
    <w:p>
      <w:pPr>
        <w:spacing w:after="0" w:line="1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comprehensive range of advertising units, including display, audio, and video;</w:t>
      </w:r>
    </w:p>
    <w:p>
      <w:pPr>
        <w:spacing w:after="0" w:line="23"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are transacted through real-time bidding, which includes (i) direct sale of premium inventory, which we refer to as private marketplace ("PMP"), and (ii) open auction bidding, which we refer to as open marketplace ("OMP"); and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are displayed across digital channels, including mobile web, mobile application, and desktop, as well as across various out-of-home channels, such as digital billboards.</w:t>
      </w:r>
    </w:p>
    <w:p>
      <w:pPr>
        <w:spacing w:after="0" w:line="13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generate revenue from transactions where we provide a platform for the purchase and sale of digital advertising inventory.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volume of paid impressions measured as a percentage of ad requests is referred to as fill rate. The price that buyers pay for each thousand paid impressions purchased is measured in units referred to as CPM.</w:t>
      </w:r>
    </w:p>
    <w:p>
      <w:pPr>
        <w:spacing w:after="0" w:line="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between the Company and the seller and the clearing price of the winning bid. We also refer to revenue divided by advertising spend as our take rate.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and Trends in Our Business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 Opportunities</w:t>
      </w:r>
    </w:p>
    <w:p>
      <w:pPr>
        <w:spacing w:after="0" w:line="18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programmatic digital advertising market continues to experience growth. In September 2018, MAGNA estimated that the global programmatic market (excluding search and social) will grow from $34 billion in 2018 to $60 billion by 2022, which represents a 15% compound annual growth rate over that period. Another important trend in the digital advertising industry is the continued expansion of automated buying and selling of advertising inventory through new and developing channels, including mobile, which has market growth rates exceeding those of the desktop channel and is a critical area of operational focus for us. According to MAGNA estimates, mobile advertising was an $18 billion global market in 2018 that is expected to increase to $43 billion by 2022, producing a compound annual growth rate of 24%.</w:t>
      </w:r>
    </w:p>
    <w:p>
      <w:pPr>
        <w:spacing w:after="0" w:line="13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Consistent with industry trends, our mobile business is growing faster than desktop. Our mobile revenue increased $6.6 million, or 63%, for the three months ended March 31, 2019, compared to the three months ended March 31, 2018, while our desktop revenue increased 6% during the same period. Our mobile business consists of two components, mobile web and mobile applications. Initially our mobile business was built upon mobile web, which is more similar to our desktop business and subject to similar market pressures as discussed below, and as a result has experienced lower growth in recent periods. Our mobile application business has shown growth rates in excess of industry projections. Revenue from mobile applications is now more than half of our mobile business.</w:t>
      </w:r>
    </w:p>
    <w:p>
      <w:pPr>
        <w:spacing w:after="0" w:line="153"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enable an omni-channel approach to expand automatic buying and selling of advertising to all forms of inventory through various channels and have observed growth trends in emerging formats like video and audio. According to MAGNA estimates, video advertising was $17 billion in 2018 and is projected to increase to $45 billion in 2022, with a compound annual growth rate of 27%. We expect video to be a meaningful driver of our future growth with a longer-term opportunity in connected television, or CTV, advertising as more linear TV budgets shift to programmatic.</w:t>
      </w:r>
    </w:p>
    <w:p>
      <w:pPr>
        <w:spacing w:after="0" w:line="127" w:lineRule="exact"/>
        <w:rPr>
          <w:sz w:val="20"/>
          <w:szCs w:val="20"/>
          <w:color w:val="auto"/>
        </w:rPr>
      </w:pPr>
    </w:p>
    <w:p>
      <w:pPr>
        <w:ind w:right="460" w:firstLine="648"/>
        <w:spacing w:after="0" w:line="258" w:lineRule="auto"/>
        <w:rPr>
          <w:sz w:val="20"/>
          <w:szCs w:val="20"/>
          <w:color w:val="auto"/>
        </w:rPr>
      </w:pPr>
      <w:r>
        <w:rPr>
          <w:rFonts w:ascii="Arial" w:cs="Arial" w:eastAsia="Arial" w:hAnsi="Arial"/>
          <w:sz w:val="18"/>
          <w:szCs w:val="18"/>
          <w:color w:val="auto"/>
        </w:rPr>
        <w:t>The growth of automated buying and selling of advertising is also expanding into geographic markets outside of the United States, and in some markets, the adoption rate of programmatic digital advertising is greater than in the United States. We</w:t>
      </w:r>
    </w:p>
    <w:p>
      <w:pPr>
        <w:spacing w:after="0" w:line="1" w:lineRule="exact"/>
        <w:rPr>
          <w:sz w:val="20"/>
          <w:szCs w:val="20"/>
          <w:color w:val="auto"/>
        </w:rPr>
      </w:pPr>
    </w:p>
    <w:p>
      <w:pPr>
        <w:ind w:right="2100"/>
        <w:spacing w:after="0" w:line="281" w:lineRule="auto"/>
        <w:rPr>
          <w:sz w:val="20"/>
          <w:szCs w:val="20"/>
          <w:color w:val="auto"/>
        </w:rPr>
      </w:pPr>
      <w:r>
        <w:rPr>
          <w:rFonts w:ascii="Arial" w:cs="Arial" w:eastAsia="Arial" w:hAnsi="Arial"/>
          <w:sz w:val="16"/>
          <w:szCs w:val="16"/>
          <w:color w:val="auto"/>
        </w:rPr>
        <w:t>attribute advertising spend to the geographic location of the seller on whose inventory the advertising spend was directed. Our markets outside of the United States are more heavily built upon desktop display advertising than they are on mobile, and as such are subject to the same factors impacting our desktop business as described below. In addition, as programmatic advertising has grown in markets outside of the United States, we have seen more competitors enter those markets aggressively and gain market</w:t>
      </w:r>
    </w:p>
    <w:p>
      <w:pPr>
        <w:spacing w:after="0" w:line="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share. Another factor impacting our business is that a large share of the growth in digital advertising spending worldwide is being captured by owned and operated sites, such as Facebook, Google, and increasingly Amazon.</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Macro Trends Impacting Our Business</w:t>
      </w:r>
    </w:p>
    <w:p>
      <w:pPr>
        <w:spacing w:after="0" w:line="9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These market factors present long-term growth opportunities; however, in the near term, the industry-wide shift from desktop to mobile advertising has had an adverse impact on our business. In recent years, we have seen an industry-wide slowdown in the growth rate for traditional desktop advertising, and the growth rate for this portion of the market is expected to flatten in future years. According to MAGNA, programmatic desktop advertising is expected to grow at a 1% compound annual growth rate over the 2018-2022 period. This results from the market shift to mobile channels noted above. These trends are having a significant effect on our overall growth rate, because desktop advertising continues to be a significant part of our core business, representing 47% of revenue in the first quarter of 2019. As noted above, our revenue from desktop increased 6% during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three months ended March 31, 2019 compared to the three months ended March 31, 2018, while our mobile revenue increased 63% during the same period.</w:t>
      </w:r>
    </w:p>
    <w:p>
      <w:pPr>
        <w:spacing w:after="0" w:line="6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Header bidding increased competition for ad inventory by exposing impressions simultaneously to multiple sources of demand in a competitive auction. Header bidding now represents over 80% of our revenue, and we need to increase the fill rate in header bidding auctions. Header bidding is going through an additional technical evolution from the client side, which involves the browser running the auction, to a server-side solution, in which a server runs the auction and offers the potential for improved performance and speed. We believe that our investments in our client-side header bidding solution, as well as server-side header bidding, have the potential to improve our competitiveness in all markets in future periods. However, we must continue to address certain technical and operational challenges, as described under "Risk Factors" in our Annual Report on Form 10-K for the year ended December 31, 2018, in order to realize our header bidding solution's full potential.</w:t>
      </w:r>
    </w:p>
    <w:p>
      <w:pPr>
        <w:spacing w:after="0" w:line="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While the rise of header bidding increased revenue for sellers, it also created new challenges. Managing multiple exchanges on the page is technically complex, and in the early days of header this complexity was exacerbated by the lack of independent technology standards. In 2017, we began to address these issues through our support of Prebid, an open source framework for header bidding that is now widely implemented for its flexibility and transparency. Despite Prebid’s adoption by a number of the world’s largest sellers, deploying and customizing it still requires dedicated technical resources. We are developing tools that make using Prebid far easier for sellers and allows them to more effectively monetize their inventory. We believe that adoption of these tools will further strengthen our relationship with sellers and contribute to our future revenue growth.</w:t>
      </w:r>
    </w:p>
    <w:p>
      <w:pPr>
        <w:spacing w:after="0" w:line="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an effort to capture more inventory for our buyers and deliver better monetization to our sellers, and to provide better transparency and predictability to all our clients, we made first price our default auction dynamic for header bidding transactions in 2018. This means that the first price or highest bid in our auction wins and that first price is passed to the downstream auction. To assist buyers in increasing advertising campaign returns and performance through the utilization of first price auction dynamics, we built and implemented an optional feature at no additional cost, which we call Estimated Market Rate ("EMR"). This feature uses algorithms that monitor existing market conditions against our dataset of auction outcomes to look for opportunities to reduce the amount of the bid that we pass through to the downstream auction on behalf of our winning bidder, while maintaining high fill rates. This is intended to help buyers bid on digital advertising inventory consistent with market values while preserving demand and budget for sellers on our platform. In addition to increasing the rate at which buyers win in our auctions, and the monetization that winning provides to sellers, our first price auction dynamic and EMR solution have contributed to higher CPMs, or cost per ad unit, for our header bidding inventory.</w:t>
      </w:r>
    </w:p>
    <w:p>
      <w:pPr>
        <w:spacing w:after="0" w:line="7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Supply Path Optimization, or SPO, refers to efforts by buyers to consolidate the number of vendors they work with to find the most effective and cost-efficient paths to procure media. This practice emerged in 2018 and continues to gain momentum in 2019. SPO is important to buyers because it can increase the proportion of their advertising that is ultimately spent on working media, with the goal of increasing return on their advertising spending, and can help them gain efficiencies by reducing the number of vendors they work with in a complex ecosystem. There are a number of criteria that buyers use to evaluate supply partners, including transparency, cost, quality of inventory, privacy standards, brand safety, and fraudulent traffic prevention policies. We believe we are well positioned to benefit from supply path optimization in the long run as a result of our broad inventory supply, buyer tools such as traffic shaping and EMR, which reduce the overall cost of working with us, our transparency, and our brand safety measures.</w:t>
      </w:r>
    </w:p>
    <w:p>
      <w:pPr>
        <w:spacing w:after="0" w:line="59"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We began to see some pressure on CPMs in 2018 that have continued in the first quarter of 2019 and have somewhat dampened our advertising spend growth. We believe that CPM increases for publishers in 2017 and early 2018 were driven by header bidding and the move to first price auctions, but that buyers have adapted to the new bidding environment and have improved their pricing algorithms, which are now lowering overall CPMs. This dynamic may further impact our growth trends if we cannot continue to increase our win rates and ultimately drive more volume across our exchange. In addition, CPMs may decline further as a result of privacy initiatives, such as Apple’s Intelligence Tracking Prevention ("ITP"), that drive a higher mix of contextual versus behavioral impressions being sold. We believe that better pricing has helped advertising campaigns' return on investment and is driving significant increases in the volume of paid impressions, but it has dampened advertising spend and corresponding revenue growth. Industry dynamics are challenging due to market and competitive pressures and make it difficult to predict the near-term effect of our growth initiatives. While we anticipate long-term benefits from these initiatives, unless we are able to continue to increase advertising spend on our platform, through higher transaction volumes or higher transaction values or both, our revenue growth may be limited.</w:t>
      </w:r>
    </w:p>
    <w:p>
      <w:pPr>
        <w:spacing w:after="0" w:line="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Ad tech exchange intermediaries like us have experienced market demands for greater transparency and reduced costs from all participants. The fees that we charge, or take rate, have been reduced significantly over the last several years. While we were able to increase take rates slightly over the course of 2018, we do not expect significant further increases in take rates.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take rate can be impacted by the type of advertising spend transacted on our platform, OMP or PMP, which carry different rates. OMP fees are higher than PMP, and our overall take rate could change depending on the mix. In addition, any discounts we negotiate with brands or agencies to consolidate spend in exchange for lower seller fees may also impact the average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rate we are able to charge. If pressure for reduced costs continue, or if mix changes unfavorably, our revenue growth may be negatively impacted if we are not able to offset the related take rate reductions through increasing the volume of total advertising spend transacted on our platform.</w:t>
      </w:r>
    </w:p>
    <w:p>
      <w:pPr>
        <w:spacing w:after="0" w:line="1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Revenue from our traditional desktop display business has slowed to the single digits and lower industry growth rates in desktop will make growth of desktop revenue more challenging unless we are able to grow market share through SPO. Our strategic focus is on growth areas—including mobile, video, PMPs, new seller tools and header bidding—that are expected to represent a majority of our revenue in future periods. However, despite our progress in mobile, our traditional desktop display business is expected to continue to represent a significant part of our revenue in the near term. Therefore, the mix of our desktop display business will continue to have a significant effect on our growth until our advertising spend mix has shifted more fully to growth areas.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 Reduction Initiatives</w:t>
      </w:r>
    </w:p>
    <w:p>
      <w:pPr>
        <w:spacing w:after="0" w:line="17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addition to strategic decisions made to reduce costs paid by our clients on our platform while growing revenue through transaction volume, we have also focused on the cost structure of our business to enable us to compete more effectively. We must operate efficiently to relieve the pressure on our margins and cash resources that has resulted from our price reductions undertaken in 2017, and to compensate for the ongoing investments in technology and data processing capabilities required to support the increased volume of transactions that our growth plans require. As part of these efforts, during the first quarter of 2018 we undertook measures to reduce headcount by approximately 100 people, or 19% of our workforce, and to reduce other operating costs. Our actions included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 We are continuously evaluating our costs and pursuing additional cost-control and efficiency opportunities, including increased automation, across all aspects of the Company. However, we anticipate significant increases in ad request volume in 2019, and are developing internal tools to manage the volume increases and investing in software architectural improvements, filtering, and cloud services to accelerate innovation and further enable efficiencies.</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Uncertainty Resulting from Privacy Regulations</w:t>
      </w:r>
    </w:p>
    <w:p>
      <w:pPr>
        <w:spacing w:after="0" w:line="18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to the already enacted European General Data Protection Regulation, or GDPR, there are a number of new privacy regulations that are expected to come into effect in 2020. Last year California passed the California Consumer Privacy Act, which imposes new obligations on businesses that handle the personal information of California residents. The obligations imposed on Rubicon Project remain unclear due to ambiguities in the drafting. The ambiguities and resulting impact on our business will need to be resolved over time. In addition, other privacy bills have been introduced at both the state and federal level. Certain international territories are also imposing new or expanded privacy obligations, including Brazil. In the coming years, we expect further consumer privacy regulation worldwide.</w:t>
      </w:r>
    </w:p>
    <w:p>
      <w:pPr>
        <w:spacing w:after="0" w:line="5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In Europe, data protection authorities have started to clarify certain requirements under the GDPR, but uncertainty remains. Until prevailing compliance practices standardize, the impact of the GDPR on our business and, consequently, our European revenue could fluctuate from quarter to quarter.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9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report our financial results as one operating segment. Our consolidated operating results, together with non-GAAP financial measures, are regularly reviewed by our chief operating decision maker, principally to make decisions about how we allocate our resources and to measure our consolidated operating performance.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generate revenue from the purchase and sale of digital advertising inventory through our marketplace. We recognize revenue upon the fulfillment of our contractual obligations in connection with a completed transaction, subject to satisfying all other revenue recognition criteria. Our revenue recognition policies are discussed in more detail within Note 3 of the accompanying Notes to the Condensed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our expenses into the following categories:</w:t>
      </w:r>
    </w:p>
    <w:p>
      <w:pPr>
        <w:spacing w:after="0" w:line="9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Our cost of revenue consists primarily of data center costs, bandwidth costs, depreciation and maintenance expense of hardware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supporting our revenue-producing platform, amortization of software costs for the development of our revenue-producing platform, amortization expense associated with acquired developed technologies, personnel costs, facilities-related costs, and cloud computing costs. Personnel costs included in cost of revenue include salaries, bonuses, stock-based compensation, and employee benefit costs,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54" w:lineRule="exact"/>
        <w:rPr>
          <w:sz w:val="20"/>
          <w:szCs w:val="20"/>
          <w:color w:val="auto"/>
        </w:rPr>
      </w:pPr>
    </w:p>
    <w:p>
      <w:pPr>
        <w:ind w:right="360" w:firstLine="648"/>
        <w:spacing w:after="0" w:line="255"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Our sales and marketing expenses consist primarily of personnel costs, including stock-based compensation and the sales</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paid to our sales organization, as well as marketing expenses such as brand marketing, travel expenses, trade shows and marketing materials, professional services, and amortization expense associated with client relationships and backlog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Technology and Development</w:t>
      </w:r>
      <w:r>
        <w:rPr>
          <w:rFonts w:ascii="Arial" w:cs="Arial" w:eastAsia="Arial" w:hAnsi="Arial"/>
          <w:sz w:val="17"/>
          <w:szCs w:val="17"/>
          <w:color w:val="auto"/>
        </w:rPr>
        <w:t>. Our technology and development expenses consist primarily of personnel costs, including stock-based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bonuses, as well as professional services associated with the ongoing development and maintenance of our solution, and to a lesser extent, facilities-related costs and depreciation and amortization, including amortization expense associated with acquired intangible assets from our business acquisitions that are related to technology and development functions. These expenses include costs incurred in the development, implementation, and maintenance of internal use software, including our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condensed consolidated balance sheet.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4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Our general and administrative expenses consist primarily of personnel costs, including stock-based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associated with our executive, finance, legal, human resources, compliance, and other administrative personnel, as well as accounting and legal professional services fees, facilities-related costs and depreciation 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w:t>
      </w:r>
    </w:p>
    <w:p>
      <w:pPr>
        <w:spacing w:after="0" w:line="5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Restructuring and Other Exit Costs. </w:t>
      </w:r>
      <w:r>
        <w:rPr>
          <w:rFonts w:ascii="Arial" w:cs="Arial" w:eastAsia="Arial" w:hAnsi="Arial"/>
          <w:sz w:val="18"/>
          <w:szCs w:val="18"/>
          <w:color w:val="auto"/>
        </w:rPr>
        <w:t>Our restructuring and other exit costs consist primarily of employee termination costs, including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charges.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consists of interest earned on our cash equivalents and marketable securities. Interest expense is</w:t>
      </w:r>
      <w:r>
        <w:rPr>
          <w:rFonts w:ascii="Arial" w:cs="Arial" w:eastAsia="Arial" w:hAnsi="Arial"/>
          <w:sz w:val="18"/>
          <w:szCs w:val="18"/>
          <w:i w:val="1"/>
          <w:iCs w:val="1"/>
          <w:color w:val="auto"/>
        </w:rPr>
        <w:t xml:space="preserve"> </w:t>
      </w:r>
      <w:r>
        <w:rPr>
          <w:rFonts w:ascii="Arial" w:cs="Arial" w:eastAsia="Arial" w:hAnsi="Arial"/>
          <w:sz w:val="18"/>
          <w:szCs w:val="18"/>
          <w:color w:val="auto"/>
        </w:rPr>
        <w:t>mainly related to our credit facility and was insignificant for the three months ended March 31, 2019 and 2018.</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consists primarily of rental income from commercial office space we hold under lease and have sublet to other tenants.</w:t>
      </w:r>
    </w:p>
    <w:p>
      <w:pPr>
        <w:spacing w:after="0" w:line="11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Foreign Currency Exchange (Gain) Loss, Net</w:t>
      </w:r>
      <w:r>
        <w:rPr>
          <w:rFonts w:ascii="Arial" w:cs="Arial" w:eastAsia="Arial" w:hAnsi="Arial"/>
          <w:sz w:val="18"/>
          <w:szCs w:val="18"/>
          <w:color w:val="auto"/>
        </w:rPr>
        <w:t>. Foreign currency exchange (gain) loss, net consists primarily of gains and losses on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We have foreign currency exposure related to our accounts receivable and accounts payable that are denominated in currencies other than the U.S. Dollar, principally the British Pound and the Euro.</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9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Provision (benefit) for income taxes consists of federal, state, and foreign income taxes and is primarily the result of the release of a foreign valuation allowance resulting from a change to a cost-plus arrangement for a foreign subsidiary, the domestic valuation allowance, and the tax liability associated with foreign subsidiaries. Due to uncertainty as to the realization of benefits from the predominant portion of our domestic and international net deferred tax assets, including net operating loss carryforwards and research and development tax credits, we have a full valuation allowance reserved against such net deferred tax assets. We intend to continue to maintain a full valuation allowance on our deferred tax assets until there is sufficient evidence to support the</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5"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reversal of all or some portion of these allowances. Release of the valuation allowance would result in the recognition of certain net deferred tax assets and a decrease to income tax expense or recognition of a benefit for the period the release is recorded. However, the exact timing and amount of the valuation allowance release are subject to change on the basis of the level of profitability that we are able to achieve.</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condensed consolidated results of operations: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0" w:type="dxa"/>
            <w:vAlign w:val="bottom"/>
            <w:vMerge w:val="restart"/>
          </w:tcPr>
          <w:p>
            <w:pPr>
              <w:jc w:val="right"/>
              <w:ind w:right="3"/>
              <w:spacing w:after="0"/>
              <w:rPr>
                <w:sz w:val="20"/>
                <w:szCs w:val="20"/>
                <w:color w:val="auto"/>
              </w:rPr>
            </w:pPr>
            <w:r>
              <w:rPr>
                <w:rFonts w:ascii="Arial" w:cs="Arial" w:eastAsia="Arial" w:hAnsi="Arial"/>
                <w:sz w:val="14"/>
                <w:szCs w:val="14"/>
                <w:b w:val="1"/>
                <w:bCs w:val="1"/>
                <w:color w:val="auto"/>
                <w:w w:val="93"/>
              </w:rPr>
              <w:t>Favorable/(Unfavorable)</w:t>
            </w:r>
          </w:p>
        </w:tc>
        <w:tc>
          <w:tcPr>
            <w:tcW w:w="0" w:type="dxa"/>
            <w:vAlign w:val="bottom"/>
          </w:tcPr>
          <w:p>
            <w:pPr>
              <w:spacing w:after="0"/>
              <w:rPr>
                <w:sz w:val="1"/>
                <w:szCs w:val="1"/>
                <w:color w:val="auto"/>
              </w:rPr>
            </w:pPr>
          </w:p>
        </w:tc>
      </w:tr>
      <w:tr>
        <w:trPr>
          <w:trHeight w:val="81"/>
        </w:trPr>
        <w:tc>
          <w:tcPr>
            <w:tcW w:w="6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Pr>
          <w:p>
            <w:pPr>
              <w:spacing w:after="0"/>
              <w:rPr>
                <w:sz w:val="7"/>
                <w:szCs w:val="7"/>
                <w:color w:val="auto"/>
              </w:rPr>
            </w:pPr>
          </w:p>
        </w:tc>
        <w:tc>
          <w:tcPr>
            <w:tcW w:w="14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700" w:type="dxa"/>
            <w:vAlign w:val="bottom"/>
            <w:gridSpan w:val="2"/>
          </w:tcPr>
          <w:p>
            <w:pPr>
              <w:jc w:val="right"/>
              <w:ind w:right="64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62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3240" w:type="dxa"/>
            <w:vAlign w:val="bottom"/>
            <w:tcBorders>
              <w:top w:val="single" w:sz="8" w:color="auto"/>
            </w:tcBorders>
            <w:gridSpan w:val="4"/>
          </w:tcPr>
          <w:p>
            <w:pPr>
              <w:jc w:val="right"/>
              <w:ind w:right="12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32,416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24,876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6"/>
                <w:szCs w:val="16"/>
                <w:color w:val="auto"/>
              </w:rPr>
              <w:t xml:space="preserve">Expenses </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15,116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14,783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624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10,592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12,257</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33"/>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Technology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9,716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10,494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37"/>
        </w:trPr>
        <w:tc>
          <w:tcPr>
            <w:tcW w:w="624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10,280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12,544</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33"/>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7"/>
        </w:trPr>
        <w:tc>
          <w:tcPr>
            <w:tcW w:w="6240" w:type="dxa"/>
            <w:vAlign w:val="bottom"/>
          </w:tcPr>
          <w:p>
            <w:pPr>
              <w:ind w:left="40"/>
              <w:spacing w:after="0"/>
              <w:rPr>
                <w:sz w:val="20"/>
                <w:szCs w:val="20"/>
                <w:color w:val="auto"/>
              </w:rPr>
            </w:pPr>
            <w:r>
              <w:rPr>
                <w:rFonts w:ascii="Arial" w:cs="Arial" w:eastAsia="Arial" w:hAnsi="Arial"/>
                <w:sz w:val="16"/>
                <w:szCs w:val="16"/>
                <w:color w:val="auto"/>
              </w:rPr>
              <w:t>Total expenses</w:t>
            </w: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45,704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52,544</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33"/>
        </w:trPr>
        <w:tc>
          <w:tcPr>
            <w:tcW w:w="6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(13,288)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(27,668)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37"/>
        </w:trPr>
        <w:tc>
          <w:tcPr>
            <w:tcW w:w="6240" w:type="dxa"/>
            <w:vAlign w:val="bottom"/>
          </w:tcPr>
          <w:p>
            <w:pPr>
              <w:ind w:left="380"/>
              <w:spacing w:after="0"/>
              <w:rPr>
                <w:sz w:val="20"/>
                <w:szCs w:val="20"/>
                <w:color w:val="auto"/>
              </w:rPr>
            </w:pPr>
            <w:r>
              <w:rPr>
                <w:rFonts w:ascii="Arial" w:cs="Arial" w:eastAsia="Arial" w:hAnsi="Arial"/>
                <w:sz w:val="16"/>
                <w:szCs w:val="16"/>
                <w:color w:val="auto"/>
              </w:rPr>
              <w:t>Other (income) expense, net</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600" w:type="dxa"/>
            <w:vAlign w:val="bottom"/>
          </w:tcPr>
          <w:p>
            <w:pPr>
              <w:jc w:val="right"/>
              <w:ind w:right="143"/>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6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(13,254)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(27,741)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37"/>
        </w:trPr>
        <w:tc>
          <w:tcPr>
            <w:tcW w:w="6240" w:type="dxa"/>
            <w:vAlign w:val="bottom"/>
          </w:tcPr>
          <w:p>
            <w:pPr>
              <w:ind w:left="380"/>
              <w:spacing w:after="0"/>
              <w:rPr>
                <w:sz w:val="20"/>
                <w:szCs w:val="20"/>
                <w:color w:val="auto"/>
              </w:rPr>
            </w:pPr>
            <w:r>
              <w:rPr>
                <w:rFonts w:ascii="Arial" w:cs="Arial" w:eastAsia="Arial" w:hAnsi="Arial"/>
                <w:sz w:val="16"/>
                <w:szCs w:val="16"/>
                <w:color w:val="auto"/>
              </w:rPr>
              <w:t>Provision (benefit) for income taxes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600" w:type="dxa"/>
            <w:vAlign w:val="bottom"/>
          </w:tcPr>
          <w:p>
            <w:pPr>
              <w:jc w:val="right"/>
              <w:ind w:right="143"/>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6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(27,816)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Stock-based compensation expense included in our expenses was as follows:</w:t>
      </w:r>
    </w:p>
    <w:p>
      <w:pPr>
        <w:spacing w:after="0" w:line="303"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Cost of revenue</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Sales and marketing</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Technology and development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General and administrative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Restructuring and other exit costs</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stock-based compensation expense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March 31, 2018</w:t>
            </w:r>
          </w:p>
        </w:tc>
      </w:tr>
      <w:tr>
        <w:trPr>
          <w:trHeight w:val="244"/>
        </w:trPr>
        <w:tc>
          <w:tcPr>
            <w:tcW w:w="240" w:type="dxa"/>
            <w:vAlign w:val="bottom"/>
          </w:tcPr>
          <w:p>
            <w:pPr>
              <w:spacing w:after="0"/>
              <w:rPr>
                <w:sz w:val="21"/>
                <w:szCs w:val="21"/>
                <w:color w:val="auto"/>
              </w:rPr>
            </w:pPr>
          </w:p>
        </w:tc>
        <w:tc>
          <w:tcPr>
            <w:tcW w:w="3280" w:type="dxa"/>
            <w:vAlign w:val="bottom"/>
            <w:gridSpan w:val="4"/>
          </w:tcPr>
          <w:p>
            <w:pPr>
              <w:jc w:val="right"/>
              <w:ind w:right="1240"/>
              <w:spacing w:after="0"/>
              <w:rPr>
                <w:sz w:val="20"/>
                <w:szCs w:val="20"/>
                <w:color w:val="auto"/>
              </w:rPr>
            </w:pPr>
            <w:r>
              <w:rPr>
                <w:rFonts w:ascii="Arial" w:cs="Arial" w:eastAsia="Arial" w:hAnsi="Arial"/>
                <w:sz w:val="14"/>
                <w:szCs w:val="14"/>
                <w:b w:val="1"/>
                <w:bCs w:val="1"/>
                <w:color w:val="auto"/>
              </w:rPr>
              <w:t>(in thousands)</w:t>
            </w:r>
          </w:p>
        </w:tc>
      </w:tr>
      <w:tr>
        <w:trPr>
          <w:trHeight w:val="249"/>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107</w:t>
            </w:r>
          </w:p>
        </w:tc>
      </w:tr>
      <w:tr>
        <w:trPr>
          <w:trHeight w:val="270"/>
        </w:trPr>
        <w:tc>
          <w:tcPr>
            <w:tcW w:w="240" w:type="dxa"/>
            <w:vAlign w:val="bottom"/>
          </w:tcPr>
          <w:p>
            <w:pPr>
              <w:spacing w:after="0"/>
              <w:rPr>
                <w:sz w:val="23"/>
                <w:szCs w:val="23"/>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1,345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1,185</w:t>
            </w:r>
          </w:p>
        </w:tc>
      </w:tr>
      <w:tr>
        <w:trPr>
          <w:trHeight w:val="270"/>
        </w:trPr>
        <w:tc>
          <w:tcPr>
            <w:tcW w:w="240" w:type="dxa"/>
            <w:vAlign w:val="bottom"/>
          </w:tcPr>
          <w:p>
            <w:pPr>
              <w:spacing w:after="0"/>
              <w:rPr>
                <w:sz w:val="23"/>
                <w:szCs w:val="23"/>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1,059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849</w:t>
            </w:r>
          </w:p>
        </w:tc>
      </w:tr>
      <w:tr>
        <w:trPr>
          <w:trHeight w:val="270"/>
        </w:trPr>
        <w:tc>
          <w:tcPr>
            <w:tcW w:w="240" w:type="dxa"/>
            <w:vAlign w:val="bottom"/>
          </w:tcPr>
          <w:p>
            <w:pPr>
              <w:spacing w:after="0"/>
              <w:rPr>
                <w:sz w:val="23"/>
                <w:szCs w:val="23"/>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1,873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2,357</w:t>
            </w:r>
          </w:p>
        </w:tc>
      </w:tr>
      <w:tr>
        <w:trPr>
          <w:trHeight w:val="270"/>
        </w:trPr>
        <w:tc>
          <w:tcPr>
            <w:tcW w:w="240" w:type="dxa"/>
            <w:vAlign w:val="bottom"/>
          </w:tcPr>
          <w:p>
            <w:pPr>
              <w:spacing w:after="0"/>
              <w:rPr>
                <w:sz w:val="23"/>
                <w:szCs w:val="23"/>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46</w:t>
            </w:r>
          </w:p>
        </w:tc>
      </w:tr>
      <w:tr>
        <w:trPr>
          <w:trHeight w:val="33"/>
        </w:trPr>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4,369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4,544</w:t>
            </w:r>
          </w:p>
        </w:tc>
      </w:tr>
      <w:tr>
        <w:trPr>
          <w:trHeight w:val="33"/>
        </w:trPr>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-1054100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-711200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-368300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520"/>
          </w:cols>
          <w:pgMar w:left="240" w:top="125" w:right="239" w:bottom="1440" w:gutter="0" w:footer="0" w:header="0"/>
          <w:type w:val="continuous"/>
        </w:sectPr>
      </w:pPr>
    </w:p>
    <w:p>
      <w:pPr>
        <w:spacing w:after="0" w:line="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(2) Depreciation and amortization expense included in our expenses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4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8,045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8,161</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20"/>
                <w:szCs w:val="20"/>
                <w:color w:val="auto"/>
              </w:rPr>
            </w:pP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163</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Technology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20"/>
                <w:szCs w:val="20"/>
                <w:color w:val="auto"/>
              </w:rPr>
            </w:pP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145</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depreciation and amortization expense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8,640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8,710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our condensed consolidated results of operations for the specified periods as a percentage of our revenue for those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3720" w:type="dxa"/>
            <w:vAlign w:val="bottom"/>
            <w:tcBorders>
              <w:bottom w:val="single" w:sz="8" w:color="auto"/>
            </w:tcBorders>
            <w:gridSpan w:val="3"/>
          </w:tcPr>
          <w:p>
            <w:pPr>
              <w:jc w:val="right"/>
              <w:ind w:right="111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700" w:type="dxa"/>
            <w:vAlign w:val="bottom"/>
          </w:tcPr>
          <w:p>
            <w:pPr>
              <w:spacing w:after="0"/>
              <w:rPr>
                <w:sz w:val="22"/>
                <w:szCs w:val="22"/>
                <w:color w:val="auto"/>
              </w:rPr>
            </w:pPr>
          </w:p>
        </w:tc>
        <w:tc>
          <w:tcPr>
            <w:tcW w:w="1920" w:type="dxa"/>
            <w:vAlign w:val="bottom"/>
            <w:gridSpan w:val="2"/>
          </w:tcPr>
          <w:p>
            <w:pPr>
              <w:ind w:left="420"/>
              <w:spacing w:after="0"/>
              <w:rPr>
                <w:sz w:val="20"/>
                <w:szCs w:val="20"/>
                <w:color w:val="auto"/>
              </w:rPr>
            </w:pPr>
            <w:r>
              <w:rPr>
                <w:rFonts w:ascii="Arial" w:cs="Arial" w:eastAsia="Arial" w:hAnsi="Arial"/>
                <w:sz w:val="14"/>
                <w:szCs w:val="14"/>
                <w:b w:val="1"/>
                <w:bCs w:val="1"/>
                <w:color w:val="auto"/>
              </w:rPr>
              <w:t>March 31, 2019</w:t>
            </w:r>
          </w:p>
        </w:tc>
        <w:tc>
          <w:tcPr>
            <w:tcW w:w="1800" w:type="dxa"/>
            <w:vAlign w:val="bottom"/>
          </w:tcPr>
          <w:p>
            <w:pPr>
              <w:jc w:val="right"/>
              <w:ind w:right="331"/>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77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7700" w:type="dxa"/>
            <w:vAlign w:val="bottom"/>
          </w:tcPr>
          <w:p>
            <w:pPr>
              <w:ind w:left="500"/>
              <w:spacing w:after="0"/>
              <w:rPr>
                <w:sz w:val="20"/>
                <w:szCs w:val="20"/>
                <w:color w:val="auto"/>
              </w:rPr>
            </w:pPr>
            <w:r>
              <w:rPr>
                <w:rFonts w:ascii="Arial" w:cs="Arial" w:eastAsia="Arial" w:hAnsi="Arial"/>
                <w:sz w:val="18"/>
                <w:szCs w:val="18"/>
                <w:color w:val="auto"/>
              </w:rPr>
              <w:t>Cost of revenue</w:t>
            </w:r>
          </w:p>
        </w:tc>
        <w:tc>
          <w:tcPr>
            <w:tcW w:w="1800" w:type="dxa"/>
            <w:vAlign w:val="bottom"/>
          </w:tcPr>
          <w:p>
            <w:pPr>
              <w:jc w:val="right"/>
              <w:ind w:right="15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60</w:t>
            </w:r>
          </w:p>
        </w:tc>
      </w:tr>
      <w:tr>
        <w:trPr>
          <w:trHeight w:val="27"/>
        </w:trPr>
        <w:tc>
          <w:tcPr>
            <w:tcW w:w="7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49</w:t>
            </w:r>
          </w:p>
        </w:tc>
      </w:tr>
      <w:tr>
        <w:trPr>
          <w:trHeight w:val="243"/>
        </w:trPr>
        <w:tc>
          <w:tcPr>
            <w:tcW w:w="7700" w:type="dxa"/>
            <w:vAlign w:val="bottom"/>
          </w:tcPr>
          <w:p>
            <w:pPr>
              <w:ind w:left="500"/>
              <w:spacing w:after="0"/>
              <w:rPr>
                <w:sz w:val="20"/>
                <w:szCs w:val="20"/>
                <w:color w:val="auto"/>
              </w:rPr>
            </w:pPr>
            <w:r>
              <w:rPr>
                <w:rFonts w:ascii="Arial" w:cs="Arial" w:eastAsia="Arial" w:hAnsi="Arial"/>
                <w:sz w:val="18"/>
                <w:szCs w:val="18"/>
                <w:color w:val="auto"/>
              </w:rPr>
              <w:t>Technology and development</w:t>
            </w:r>
          </w:p>
        </w:tc>
        <w:tc>
          <w:tcPr>
            <w:tcW w:w="1800" w:type="dxa"/>
            <w:vAlign w:val="bottom"/>
          </w:tcPr>
          <w:p>
            <w:pPr>
              <w:jc w:val="right"/>
              <w:ind w:right="15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42</w:t>
            </w:r>
          </w:p>
        </w:tc>
      </w:tr>
      <w:tr>
        <w:trPr>
          <w:trHeight w:val="27"/>
        </w:trPr>
        <w:tc>
          <w:tcPr>
            <w:tcW w:w="7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50</w:t>
            </w:r>
          </w:p>
        </w:tc>
      </w:tr>
      <w:tr>
        <w:trPr>
          <w:trHeight w:val="243"/>
        </w:trPr>
        <w:tc>
          <w:tcPr>
            <w:tcW w:w="7700" w:type="dxa"/>
            <w:vAlign w:val="bottom"/>
          </w:tcPr>
          <w:p>
            <w:pPr>
              <w:ind w:left="500"/>
              <w:spacing w:after="0"/>
              <w:rPr>
                <w:sz w:val="20"/>
                <w:szCs w:val="20"/>
                <w:color w:val="auto"/>
              </w:rPr>
            </w:pPr>
            <w:r>
              <w:rPr>
                <w:rFonts w:ascii="Arial" w:cs="Arial" w:eastAsia="Arial" w:hAnsi="Arial"/>
                <w:sz w:val="18"/>
                <w:szCs w:val="18"/>
                <w:color w:val="auto"/>
              </w:rPr>
              <w:t>Restructuring and other exit costs</w:t>
            </w: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10</w:t>
            </w:r>
          </w:p>
        </w:tc>
      </w:tr>
      <w:tr>
        <w:trPr>
          <w:trHeight w:val="27"/>
        </w:trPr>
        <w:tc>
          <w:tcPr>
            <w:tcW w:w="77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expenses</w:t>
            </w:r>
          </w:p>
        </w:tc>
        <w:tc>
          <w:tcPr>
            <w:tcW w:w="1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211</w:t>
            </w:r>
          </w:p>
        </w:tc>
      </w:tr>
      <w:tr>
        <w:trPr>
          <w:trHeight w:val="237"/>
        </w:trPr>
        <w:tc>
          <w:tcPr>
            <w:tcW w:w="7700" w:type="dxa"/>
            <w:vAlign w:val="bottom"/>
          </w:tcPr>
          <w:p>
            <w:pPr>
              <w:ind w:left="280"/>
              <w:spacing w:after="0"/>
              <w:rPr>
                <w:sz w:val="20"/>
                <w:szCs w:val="20"/>
                <w:color w:val="auto"/>
              </w:rPr>
            </w:pPr>
            <w:r>
              <w:rPr>
                <w:rFonts w:ascii="Arial" w:cs="Arial" w:eastAsia="Arial" w:hAnsi="Arial"/>
                <w:sz w:val="18"/>
                <w:szCs w:val="18"/>
                <w:color w:val="auto"/>
              </w:rPr>
              <w:t>Loss from operations</w:t>
            </w:r>
          </w:p>
        </w:tc>
        <w:tc>
          <w:tcPr>
            <w:tcW w:w="18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(111)</w:t>
            </w:r>
          </w:p>
        </w:tc>
      </w:tr>
      <w:tr>
        <w:trPr>
          <w:trHeight w:val="27"/>
        </w:trPr>
        <w:tc>
          <w:tcPr>
            <w:tcW w:w="7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(income) expense, net</w:t>
            </w:r>
          </w:p>
        </w:tc>
        <w:tc>
          <w:tcPr>
            <w:tcW w:w="19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r>
      <w:tr>
        <w:trPr>
          <w:trHeight w:val="237"/>
        </w:trPr>
        <w:tc>
          <w:tcPr>
            <w:tcW w:w="7700" w:type="dxa"/>
            <w:vAlign w:val="bottom"/>
          </w:tcPr>
          <w:p>
            <w:pPr>
              <w:ind w:left="280"/>
              <w:spacing w:after="0"/>
              <w:rPr>
                <w:sz w:val="20"/>
                <w:szCs w:val="20"/>
                <w:color w:val="auto"/>
              </w:rPr>
            </w:pPr>
            <w:r>
              <w:rPr>
                <w:rFonts w:ascii="Arial" w:cs="Arial" w:eastAsia="Arial" w:hAnsi="Arial"/>
                <w:sz w:val="18"/>
                <w:szCs w:val="18"/>
                <w:color w:val="auto"/>
              </w:rPr>
              <w:t>Loss before income taxes</w:t>
            </w:r>
          </w:p>
        </w:tc>
        <w:tc>
          <w:tcPr>
            <w:tcW w:w="18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(112)</w:t>
            </w:r>
          </w:p>
        </w:tc>
      </w:tr>
      <w:tr>
        <w:trPr>
          <w:trHeight w:val="27"/>
        </w:trPr>
        <w:tc>
          <w:tcPr>
            <w:tcW w:w="7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(benefit) for income taxes</w:t>
            </w:r>
          </w:p>
        </w:tc>
        <w:tc>
          <w:tcPr>
            <w:tcW w:w="1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77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7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2019 and 2018</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440" w:firstLine="648"/>
        <w:spacing w:after="0" w:line="334" w:lineRule="auto"/>
        <w:rPr>
          <w:sz w:val="20"/>
          <w:szCs w:val="20"/>
          <w:color w:val="auto"/>
        </w:rPr>
      </w:pPr>
      <w:r>
        <w:rPr>
          <w:rFonts w:ascii="Arial" w:cs="Arial" w:eastAsia="Arial" w:hAnsi="Arial"/>
          <w:sz w:val="16"/>
          <w:szCs w:val="16"/>
          <w:color w:val="auto"/>
        </w:rPr>
        <w:t>Revenue increased $7.5 million, or 30%, for the three months ended March 31, 2019 compared to the three months ended March 31, 2018. The increase was driven by increases in both advertising spend transacted on our platform and take rate, or the fee we earn on advertising spend.</w:t>
      </w:r>
    </w:p>
    <w:p>
      <w:pPr>
        <w:spacing w:after="0" w:line="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Revenue is impacted by shifts in the mix of advertising spend by transaction type and channel, changes in the fees we charge for our services, and other factors such as changes in the market, our execution of the business, and competition. In addition, an increase in PMP transactions as a percentage of the transactions on our platform could also result in reduced revenue, if not offset by increased volume, because PMP transactions can carry lower fees than OMP transactions. As highlighted previously, in late 2018, we began to see some pressure on desktop CPMs, which has now carried over to mobile CPMs, as a result of buyer pricing tools and the impact from privacy initiatives, such as Apple’s ITP, that drive a higher mix of contextual versus behavioral impressions being sold. We believe that better pricing has helped advertising campaigns' return on investment and is driving significant increases in paid</w:t>
      </w:r>
    </w:p>
    <w:p>
      <w:pPr>
        <w:spacing w:after="0" w:line="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impressions. Industry dynamics are challenging due to market and competitive pressures and make it difficult to predict the near-term effect of our growth initiatives. While we anticipate long-term benefits from these initiatives, unless we are able to continue to increase advertising spend on our platform, through higher transaction volumes or higher transaction values or both, our revenue growth may be limited. We expect revenue to be higher in absolute dollars in 2019 compared to 2018 and to increase above first quarter revenue in the upcoming quarters.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Cost of revenue increased by $0.3 million, or 2%, for the three months ended March 31, 2019 compared to the three months ended March 31, 2018. The increase was due to an increase in serving costs, which were partially offset by decreases in personnel costs and related expenses as a result of our cost reduction measures taken in the first quarter of 2018.</w:t>
      </w:r>
    </w:p>
    <w:p>
      <w:pPr>
        <w:spacing w:after="0" w:line="14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expect cost of revenue to be higher in absolute dollars in 2019 compared to 2018, and to increase in upcoming quarters, as a result of increased spending on data centers, serving costs, cloud computing costs, and technology to process the greater volumes of data and transactions we will need to grow revenue.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 We are expanding select data center operations to cloud service providers to accelerate innovation and gain efficiencies, and we expect an increase in cost of revenue expenses as a result.</w:t>
      </w: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Sales and marketing expenses decreased $1.7 million, or 14%, for the three months ended March 31, 2019 compared to the three months ended March 31, 2018, primarily due to a decrease of $0.7 million in sales and marketing personnel costs as a</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result of our 2018 cost control initiatives. Sales and marketing expenses for the first quarter of 2019 also decreased due to a difference in timing of certain events that occurred in the first quarter of the prior year.</w:t>
      </w:r>
    </w:p>
    <w:p>
      <w:pPr>
        <w:spacing w:after="0" w:line="130"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We expect sales and marketing expenses to remain at similar levels in 2019 compared to 2018, and to increase slightly in upcoming quarters above the first quarter level, as we continue to benefit from cost reductions that were achieved in the second half of 2018, as described below. Sales and marketing expense may fluctuate quarter to quarter and period to period, on an absolute dollar basis and as a percentage of revenue, based on revenue levels, the timing of our investments and seasonality in our industry and business.</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71" w:lineRule="exact"/>
        <w:rPr>
          <w:sz w:val="20"/>
          <w:szCs w:val="20"/>
          <w:color w:val="auto"/>
        </w:rPr>
      </w:pPr>
    </w:p>
    <w:p>
      <w:pPr>
        <w:jc w:val="both"/>
        <w:ind w:right="120" w:firstLine="648"/>
        <w:spacing w:after="0" w:line="308" w:lineRule="auto"/>
        <w:rPr>
          <w:sz w:val="20"/>
          <w:szCs w:val="20"/>
          <w:color w:val="auto"/>
        </w:rPr>
      </w:pPr>
      <w:r>
        <w:rPr>
          <w:rFonts w:ascii="Arial" w:cs="Arial" w:eastAsia="Arial" w:hAnsi="Arial"/>
          <w:sz w:val="17"/>
          <w:szCs w:val="17"/>
          <w:color w:val="auto"/>
        </w:rPr>
        <w:t>Technology and development expenses decreased by $0.8 million, or 7%, for the three months ended March 31, 2019 compared to the three months ended March 31, 2018, primarily due to a decrease of $0.6 million in personnel costs as a result of our 2018 cost control initiatives.</w:t>
      </w:r>
    </w:p>
    <w:p>
      <w:pPr>
        <w:spacing w:after="0" w:line="10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expect technology and development expense to increase in 2019 compared to 2018, and to increase above the level experienced this quarter in upcoming quarters as we make a limited number of strategic headcount additions to focus on the engineering aspect of our new developments, including tools for our sellers. 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these investments, the timing and the rate of the amortization of capitalized projects and the timing and amounts of future capitalized internal use software development costs.</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General and administrative expenses decreased by $2.3 million, or 18%, for the three months ended March 31, 2019 compared to the three months ended March 31, 2018. The decrease is primarily due to a decrease of $2.0 million in personnel costs as a result of our 2018 cost control initiatives.</w:t>
      </w:r>
    </w:p>
    <w:p>
      <w:pPr>
        <w:spacing w:after="0" w:line="8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expect general and administrative expenses to decrease in 2019 compared to 2018, and to generally remain at similar levels in upcoming quarters compared to the first quarter of 2019, as we continue to benefit from the reduced cost levels that were achieved in the second half of 2018, as described below. General and administrative expenses may fluctuate from quarter to quarter and period to period based on the timing and amounts of our investments and related expenditures in our general and administrative functions as they vary in scope and scale over periods. Such fluctuations may not be directly proportional to changes in revenue.</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and Other Exit Costs</w:t>
      </w:r>
    </w:p>
    <w:p>
      <w:pPr>
        <w:spacing w:after="0" w:line="9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For the three months ended March 31, 2018, we incurred restructuring and other exit costs of $2.5 million for severance and other one-time employee termination benefits related to headcount reductions that were made in the first quarter of 2018 (see also Note 8). There were no restructuring and other exit costs incurred during the three months ended March 31, 2019, and all remaining accrued costs associated with the 2018 restructuring events were paid in the first quarter of 2019.</w:t>
      </w:r>
    </w:p>
    <w:p>
      <w:pPr>
        <w:spacing w:after="0" w:line="14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part of our on-going evaluation of efficiency and implementation of cost-control measures, during the first quarter of 2018 we undertook measures to reduce headcount by approximately 100 people, or 19% of our workforce, and to reduce other operating costs. Our actions included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4"/>
              </w:rPr>
              <w:t>March 31, 2018</w:t>
            </w:r>
          </w:p>
        </w:tc>
      </w:tr>
      <w:tr>
        <w:trPr>
          <w:trHeight w:val="249"/>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21"/>
                <w:szCs w:val="2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Foreign exchange loss, net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554</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73</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Foreign exchange loss, net is impacted by movements in exchange rates, primarily the British Pound and the Euro relative to the U.S. Dollar, and the amount of foreign currency-denominated receivables and payables, which are impacted by our billings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960"/>
        <w:spacing w:after="0" w:line="308" w:lineRule="auto"/>
        <w:rPr>
          <w:sz w:val="20"/>
          <w:szCs w:val="20"/>
          <w:color w:val="auto"/>
        </w:rPr>
      </w:pPr>
      <w:r>
        <w:rPr>
          <w:rFonts w:ascii="Arial" w:cs="Arial" w:eastAsia="Arial" w:hAnsi="Arial"/>
          <w:sz w:val="17"/>
          <w:szCs w:val="17"/>
          <w:color w:val="auto"/>
        </w:rPr>
        <w:t>to buyers and payments to sellers. The foreign currency gain, net during the three months ended March 31, 2019 was primarily attributable to the strengthening of the U.S. Dollar in relation to the Euro and the British Pound for foreign currency denominated transactions.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9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recorded an income tax benefit of $0.7 million for the three months ended March 31, 2019 and income tax expense of $0.1 million for the three months ended March 31, 2018. The tax provision for the three months ended March 31, 2019 is primarily the result of the release of a foreign valuation allowance resulting from a change to a cost-plus arrangement for a foreign subsidiary, the domestic valuation allowance, and the tax liability associated with foreign subsidiaries.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principal sources of liquidity are our cash and cash equivalents, marketable securities, cash generated from operations, and our credit facility with Silicon Valley Bank ("SVB"). At March 31, 2019, we had cash and cash equivalents of $80.7 million, of which $17.5 million was held in foreign currency cash accounts. Our cash and marketable securities balances are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w:t>
      </w:r>
    </w:p>
    <w:p>
      <w:pPr>
        <w:spacing w:after="0" w:line="3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September 2018, we amended and restated our loan and security agreement with SVB (the "Loan Agreement"). The Loan Agreement provides a senior secured revolving credit facility of up to $40.0 million with a maturity date of September 26, 2020. Pursuant to the Loan Agreement, we are required to comply with financial covenants. While we are currently in compliance with these covenants, this could change in the future depending on our operating results.</w:t>
      </w:r>
    </w:p>
    <w:p>
      <w:pPr>
        <w:spacing w:after="0" w:line="5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At March 31, 2019, we had no amounts outstanding under our Loan Agreement with SVB. Future availability under the credit facility is dependent on several factors including the available borrowing base and compliance with future covenant requirements. See Note 12 of "Notes to Condensed Consolidated Financial Statements" for additional information regarding the Loan Agreement.</w:t>
      </w:r>
    </w:p>
    <w:p>
      <w:pPr>
        <w:spacing w:after="0" w:line="4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believe our existing cash and cash equivalents and investment balances will be sufficient to meet our working capital requirements for at least the next twelve months from the issuance of our financial statements. However, there are multiple factors that could impact our cash balances in the future. For example, we typically collect from buyers in advance of payments to sellers, and our collection and payment cycle can vary from period to period depending upon various circumstances, including seasonality. Some buyers have been demanding longer terms to pay us later and some sellers have been demanding shorter terms to collect from us earlier. We may not have the leverage to resist these demands given the competitive nature of our business. If this continues, more of our cash will be required to fund our payment cycle and therefore not available for other uses. Some buyers have also began experiencing financial difficulty and have been forced into filing for bankruptcy protection, and we may be forced to pay sellers even if we are unable to collect from buyers. Our future capital requirements and the adequacy of available funds will depend on many factors, including those set forth in Part II, Item 1A: "Risk Factors" of our Annual Report on Form 10-K for the year ended December 31, 2018 and in Part II, Item 1A of our subsequent Quarterly Reports on Form 10-Q.</w:t>
      </w:r>
    </w:p>
    <w:p>
      <w:pPr>
        <w:spacing w:after="0" w:line="12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ability to renew our existing credit facility, which matures in September 2020, or to enter into a new credit facility to replace or supplement the existing facility may be limited due to various factors, including the status of our business, global credit market conditions, and perceptions of our business or industry by sources of financing. In particular, it may be difficult to renew or replace our existing credit facility if we are not able to produce, or demonstrate a path to produce, positive cash flow. In addition, even if credit is available, lenders may seek more restrictive covenants and higher interest rates that may reduce our borrowing capacity, increase our costs, and reduce our operating flexibility.</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5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used in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flows provided by investing activities</w:t>
            </w:r>
          </w:p>
        </w:tc>
        <w:tc>
          <w:tcPr>
            <w:tcW w:w="240" w:type="dxa"/>
            <w:vAlign w:val="bottom"/>
          </w:tcPr>
          <w:p>
            <w:pPr>
              <w:spacing w:after="0"/>
              <w:rPr>
                <w:sz w:val="21"/>
                <w:szCs w:val="21"/>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5,260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550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240" w:type="dxa"/>
            <w:vAlign w:val="bottom"/>
          </w:tcPr>
          <w:p>
            <w:pPr>
              <w:spacing w:after="0"/>
              <w:rPr>
                <w:sz w:val="21"/>
                <w:szCs w:val="21"/>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122</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(9,126)</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cash flows from operating activities are primarily driven by revenues generated from advertising activity, offset by the cash costs of operations, and significantly influenced by increases or decreases in receipts from buyers and related payments to sellers. Our future cash flows will be diminished if we cannot increase our revenue levels and manage costs appropriately. Cash flows from operating activities have been further affected by changes in our working capital, particularly changes in accounts receivable and accounts payable. The timing of cash receipts from buyers and payments to sellers can significantly impact our cash flows from operating activities for any period presented.</w:t>
      </w:r>
    </w:p>
    <w:p>
      <w:pPr>
        <w:spacing w:after="0" w:line="5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the three months ended March 31, 2019, net cash used in operating activities was $3.5 million compared to $9.8 million for the three months ended March 31, 2018. Our operating activities included our net losses of $12.5 million and $27.8 million for the three months ended March 31, 2019 and 2018, respectively, which were offset by non-cash adjustments of $12.9 million and $13.5 million, respectively. In the first quarter of 2019, net changes in our working capital increased cash used in operating activities by $3.8 million. Net cash used in operating activities for the first quarter of 2018 was slightly offset by a net increase in our working capital of $4.5 million. The net changes in working capital for both periods are primarily due to the timing of cash receipts from buyers and the timing of payments to sellers.</w:t>
      </w:r>
    </w:p>
    <w:p>
      <w:pPr>
        <w:spacing w:after="0" w:line="72" w:lineRule="exact"/>
        <w:rPr>
          <w:sz w:val="20"/>
          <w:szCs w:val="20"/>
          <w:color w:val="auto"/>
        </w:rPr>
      </w:pPr>
    </w:p>
    <w:p>
      <w:pPr>
        <w:ind w:left="660" w:right="900"/>
        <w:spacing w:after="0" w:line="399" w:lineRule="auto"/>
        <w:rPr>
          <w:sz w:val="20"/>
          <w:szCs w:val="20"/>
          <w:color w:val="auto"/>
        </w:rPr>
      </w:pPr>
      <w:r>
        <w:rPr>
          <w:rFonts w:ascii="Arial" w:cs="Arial" w:eastAsia="Arial" w:hAnsi="Arial"/>
          <w:sz w:val="18"/>
          <w:szCs w:val="18"/>
          <w:color w:val="auto"/>
        </w:rPr>
        <w:t xml:space="preserve">We believe that cash flows from operations will continue to be negatively impacted by our ongoing net losses and working capital needs. </w:t>
      </w:r>
      <w:r>
        <w:rPr>
          <w:rFonts w:ascii="Arial" w:cs="Arial" w:eastAsia="Arial" w:hAnsi="Arial"/>
          <w:sz w:val="18"/>
          <w:szCs w:val="18"/>
          <w:b w:val="1"/>
          <w:bCs w:val="1"/>
          <w:i w:val="1"/>
          <w:iCs w:val="1"/>
          <w:color w:val="auto"/>
        </w:rPr>
        <w:t>Investing Activities</w:t>
      </w:r>
    </w:p>
    <w:p>
      <w:pPr>
        <w:spacing w:after="0" w:line="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primary investing activities have consisted of investments in, and maturities of, available-for-sale securities, acquisitions of businesses, purchases of property and equipment, and capital expenditures to develop our internal use software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 As we execute on our strategy to be a high volume, low cost advertising exchange, we are developing solutions to manage the growth of our digital advertising inventory volume more efficiently. As the business continues to grow, we expect our investment in property and equipment to slightly increase compared to 2018. We anticipate investment in internal use software development to remain relatively consistent with past years' investment levels as we continue to innovate new solutions on our platform. Investments in, and maturities of, available-for-sale securities and acquisitions of businesses vary from period-to-period.</w:t>
      </w:r>
    </w:p>
    <w:p>
      <w:pPr>
        <w:spacing w:after="0" w:line="31" w:lineRule="exact"/>
        <w:rPr>
          <w:sz w:val="20"/>
          <w:szCs w:val="20"/>
          <w:color w:val="auto"/>
        </w:rPr>
      </w:pPr>
    </w:p>
    <w:p>
      <w:pPr>
        <w:jc w:val="both"/>
        <w:ind w:right="200" w:firstLine="648"/>
        <w:spacing w:after="0" w:line="302" w:lineRule="auto"/>
        <w:rPr>
          <w:sz w:val="20"/>
          <w:szCs w:val="20"/>
          <w:color w:val="auto"/>
        </w:rPr>
      </w:pPr>
      <w:r>
        <w:rPr>
          <w:rFonts w:ascii="Arial" w:cs="Arial" w:eastAsia="Arial" w:hAnsi="Arial"/>
          <w:sz w:val="16"/>
          <w:szCs w:val="16"/>
          <w:color w:val="auto"/>
        </w:rPr>
        <w:t>During the three months ended March 31, 2019 and 2018, our investing activities provided net cash of $5.3 million and $0.6 million, respectively. For the three months ended March 31, 2019 and 2018, we had net maturities of investments in available-for-sale securities of $7.5 million and $3.4 million, respectively. These cash inflows were offset by purchases of property and equipment of $0.1 million and $0.2 million during the three months ended March 31, 2019 and 2018, respectively, and investments in our internally developed software of $2.1 million and $2.6 million, respectively.</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financing activities consisted of transactions related to the issuance of our common stock under our equity plans.</w:t>
      </w:r>
    </w:p>
    <w:p>
      <w:pPr>
        <w:spacing w:after="0" w:line="9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For the three months ended March 31, 2019 and 2018, we used net cash of $1.6 million and $34.0 thousand, respectively, for financing activities. Cash outflows from financing activities for the three months ended March 31, 2019 and 2018 included payments of $1.8 million and $40.0 thousand, respectively, for income tax deposits paid in respect of vesting of stock-based compensation awards that were reimbursed by the award recipients through surrender of shares.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March 31, 2019 other than the short-term operating leases and the indemnification agreements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9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principal commitments consist of leases for our various office facilities, including our corporate headquarters in Los Angeles, California, and operating lease agreements including data centers that expire at various times through 2024. At March 31, 2019, expected future commitments relating to operating leases associated with leases included in the lease liability and ROU asset on the condensed consolidated balance sheet were $15.1 million. See Note 11 of "Notes to Condensed Consolidated Financial Statements" for our lease commitment for each of the next five years and thereafter. In certain cases, the terms of the lease agreements provide for rental payments on a graduated basis. We received rental income from subleases totaling $0.1 million for the three months ended March 31, 2019.</w:t>
      </w:r>
    </w:p>
    <w:p>
      <w:pPr>
        <w:spacing w:after="0" w:line="5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There were no significant changes to our unrecognized tax benefits in the three months ended March 31, 2019 and we do not expect to have any significant changes to unrecognized tax benefits through December 31, 2019.</w:t>
      </w:r>
    </w:p>
    <w:p>
      <w:pPr>
        <w:spacing w:after="0" w:line="3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March 31,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3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believe that the following assumptions and estimates have the greatest potential impact on our condensed consolidated financial statements: (i) the determination of revenue recognition as net versus gross in our revenue arrangements, (ii) internal-use software development costs, (iii) intangible asset impairment analysis, (iv) assumptions used in the valuation models to determine the fair value of stock options and stock-based compensation expense, (v) the assumptions used in the valuation of acquired assets and liabilities in business combinations, and (vi) income taxes, including the realization of tax assets and estimates of tax liabilities. There have been no significant changes in our accounting policies from those disclosed in our audited consolidated financial statements and notes thereto for the year ended December 31, 2018 included in our Annual Report on Form 10-K.</w:t>
      </w:r>
    </w:p>
    <w:p>
      <w:pPr>
        <w:spacing w:after="0" w:line="30" w:lineRule="exact"/>
        <w:rPr>
          <w:sz w:val="20"/>
          <w:szCs w:val="20"/>
          <w:color w:val="auto"/>
        </w:rPr>
      </w:pPr>
    </w:p>
    <w:p>
      <w:pPr>
        <w:ind w:left="660" w:right="420"/>
        <w:spacing w:after="0" w:line="399" w:lineRule="auto"/>
        <w:rPr>
          <w:sz w:val="20"/>
          <w:szCs w:val="20"/>
          <w:color w:val="auto"/>
        </w:rPr>
      </w:pPr>
      <w:r>
        <w:rPr>
          <w:rFonts w:ascii="Arial" w:cs="Arial" w:eastAsia="Arial" w:hAnsi="Arial"/>
          <w:sz w:val="18"/>
          <w:szCs w:val="18"/>
          <w:color w:val="auto"/>
        </w:rPr>
        <w:t xml:space="preserve">Our revenue recognition policy is further described below, which is consistent with the policy included in our Annual Report referenced above. </w:t>
      </w:r>
      <w:r>
        <w:rPr>
          <w:rFonts w:ascii="Arial" w:cs="Arial" w:eastAsia="Arial" w:hAnsi="Arial"/>
          <w:sz w:val="18"/>
          <w:szCs w:val="18"/>
          <w:b w:val="1"/>
          <w:bCs w:val="1"/>
          <w:i w:val="1"/>
          <w:iCs w:val="1"/>
          <w:color w:val="auto"/>
        </w:rPr>
        <w:t>Revenue Recognition</w:t>
      </w:r>
    </w:p>
    <w:p>
      <w:pPr>
        <w:spacing w:after="0" w:line="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generate revenue from transactions where we provide a platform for the purchase and sale of digital advertising inventory. Our advertising automation solution is a marketplace that includes sellers of inventory (providers of websites, mobile applications and other digital media properties, and their representatives) and buyers of inventory (including advertisers, agencies, agency trading desks, and demand-side platforms). This solution incorporates proprietary machine-learning algorithms, sophisticated data processing, high-volume storage, detailed analytics capabilities, and a distributed infrastructure. Together, these features form the basis for our automated advertising solution that brings buyers and sellers together and facilitates intelligent decision-making and automated transaction execution for the digital advertising inventory managed on our platform.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we have with the seller and the clearing price of the winning bid. We recognize revenue upon fulfillment of our performance obligation to a client, which occurs at the point in time an ad renders and is counted as a paid impression, subject to a contract existing with the client and a fixed or determinable transaction price. Performance obligations for all transactions are satisfied, and the corresponding revenue is recognized, at a distinct point in time; we have no arrangements with multiple performance obligations. We consider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8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have determined that we do not act as the principal in the purchase and sale of digital advertising inventory because we are not the primary obligor and do not set prices agreed upon within the auction marketplace, and therefore we report revenue on a net basis.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required for smaller reporting companies.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March 31, 2019, our disclosure controls and procedures were effective at the reasonable assurance level.</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March 31, 2019 that have materially affected, or are reasonably likely to materially affect, our internal control over financial reporting.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90"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March 31, 2019. However, based on our knowledge as of March 31, 2019,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Investing in our common stock involves a high degree of risk. We describe risks associated with our business in Part I, Item 1A of our Annual Report on Form 10-K for the year ended December 31, 2018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 There are no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660" w:right="7680" w:hanging="4"/>
        <w:spacing w:after="0" w:line="371" w:lineRule="auto"/>
        <w:tabs>
          <w:tab w:leader="none" w:pos="91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Recent Sales of Unregistered Securities </w:t>
      </w:r>
      <w:r>
        <w:rPr>
          <w:rFonts w:ascii="Arial" w:cs="Arial" w:eastAsia="Arial" w:hAnsi="Arial"/>
          <w:sz w:val="18"/>
          <w:szCs w:val="18"/>
          <w:color w:val="auto"/>
        </w:rPr>
        <w:t>None.</w:t>
      </w:r>
    </w:p>
    <w:p>
      <w:pPr>
        <w:spacing w:after="0" w:line="48" w:lineRule="exact"/>
        <w:rPr>
          <w:rFonts w:ascii="Arial" w:cs="Arial" w:eastAsia="Arial" w:hAnsi="Arial"/>
          <w:sz w:val="18"/>
          <w:szCs w:val="18"/>
          <w:i w:val="1"/>
          <w:iCs w:val="1"/>
          <w:color w:val="auto"/>
        </w:rPr>
      </w:pPr>
    </w:p>
    <w:p>
      <w:pPr>
        <w:ind w:left="920" w:hanging="264"/>
        <w:spacing w:after="0"/>
        <w:tabs>
          <w:tab w:leader="none" w:pos="9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Use of Proceeds</w:t>
      </w:r>
    </w:p>
    <w:p>
      <w:pPr>
        <w:spacing w:after="0" w:line="9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Our initial public offering of common stock was effected through a Registration Statement on Form S-1 (File No. 333-193739), which was declared effective on April 1, 2014. There has been no material change in the planned use of proceeds from our initial public offering as described in our final prospectus filed with the SEC pursuant to Rule 424(b) of the Securities Act and other periodic reports previously filed with the SEC.</w:t>
      </w:r>
    </w:p>
    <w:p>
      <w:pPr>
        <w:spacing w:after="0" w:line="125" w:lineRule="exact"/>
        <w:rPr>
          <w:sz w:val="20"/>
          <w:szCs w:val="20"/>
          <w:color w:val="auto"/>
        </w:rPr>
      </w:pPr>
    </w:p>
    <w:p>
      <w:pPr>
        <w:ind w:left="660" w:right="5220" w:hanging="4"/>
        <w:spacing w:after="0" w:line="387" w:lineRule="auto"/>
        <w:tabs>
          <w:tab w:leader="none" w:pos="905"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Purchases of Equity Securities by the Company and Affiliated Purchasers </w:t>
      </w:r>
      <w:r>
        <w:rPr>
          <w:rFonts w:ascii="Arial" w:cs="Arial" w:eastAsia="Arial" w:hAnsi="Arial"/>
          <w:sz w:val="16"/>
          <w:szCs w:val="16"/>
          <w:color w:val="auto"/>
        </w:rPr>
        <w:t>We currently have no publicly announced repurchase plan or program.</w:t>
      </w:r>
    </w:p>
    <w:p>
      <w:pPr>
        <w:spacing w:after="0" w:line="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Upon vesting of most restricted stock units or stock awards, we are required to deposit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repurchases during the quarter ended March 31, 2019 were as follows (in thousands, except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Number of Shares</w:t>
            </w:r>
          </w:p>
        </w:tc>
        <w:tc>
          <w:tcPr>
            <w:tcW w:w="180" w:type="dxa"/>
            <w:vAlign w:val="bottom"/>
          </w:tcPr>
          <w:p>
            <w:pPr>
              <w:spacing w:after="0"/>
              <w:rPr>
                <w:sz w:val="14"/>
                <w:szCs w:val="14"/>
                <w:color w:val="auto"/>
              </w:rPr>
            </w:pPr>
          </w:p>
        </w:tc>
        <w:tc>
          <w:tcPr>
            <w:tcW w:w="176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Dollar Value that May Yet be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Period</w:t>
            </w:r>
          </w:p>
        </w:tc>
        <w:tc>
          <w:tcPr>
            <w:tcW w:w="140" w:type="dxa"/>
            <w:vAlign w:val="bottom"/>
            <w:vMerge w:val="restart"/>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Average Price Paid per Share</w:t>
            </w:r>
          </w:p>
        </w:tc>
        <w:tc>
          <w:tcPr>
            <w:tcW w:w="100" w:type="dxa"/>
            <w:vAlign w:val="bottom"/>
            <w:vMerge w:val="restart"/>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as Part of a</w:t>
            </w:r>
          </w:p>
        </w:tc>
        <w:tc>
          <w:tcPr>
            <w:tcW w:w="180" w:type="dxa"/>
            <w:vAlign w:val="bottom"/>
          </w:tcPr>
          <w:p>
            <w:pPr>
              <w:spacing w:after="0"/>
              <w:rPr>
                <w:sz w:val="12"/>
                <w:szCs w:val="12"/>
                <w:color w:val="auto"/>
              </w:rPr>
            </w:pPr>
          </w:p>
        </w:tc>
        <w:tc>
          <w:tcPr>
            <w:tcW w:w="17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Purchased</w:t>
            </w:r>
          </w:p>
        </w:tc>
        <w:tc>
          <w:tcPr>
            <w:tcW w:w="14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Publicly Announced Program</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 2019</w:t>
            </w:r>
          </w:p>
        </w:tc>
        <w:tc>
          <w:tcPr>
            <w:tcW w:w="1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February 1 – February 28, 2019</w:t>
            </w: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 2019</w:t>
            </w:r>
          </w:p>
        </w:tc>
        <w:tc>
          <w:tcPr>
            <w:tcW w:w="2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ind w:right="1450"/>
              <w:spacing w:after="0"/>
              <w:rPr>
                <w:sz w:val="20"/>
                <w:szCs w:val="20"/>
                <w:color w:val="auto"/>
              </w:rPr>
            </w:pPr>
            <w:r>
              <w:rPr>
                <w:rFonts w:ascii="Arial" w:cs="Arial" w:eastAsia="Arial" w:hAnsi="Arial"/>
                <w:sz w:val="18"/>
                <w:szCs w:val="18"/>
                <w:color w:val="auto"/>
                <w:w w:val="99"/>
              </w:rPr>
              <w:t>33</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750"/>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w w:val="95"/>
              </w:rPr>
              <w:t>Item 6. Exhibits</w:t>
            </w:r>
          </w:p>
        </w:tc>
        <w:tc>
          <w:tcPr>
            <w:tcW w:w="1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2420" w:type="dxa"/>
            <w:vAlign w:val="bottom"/>
            <w:gridSpan w:val="3"/>
          </w:tcPr>
          <w:p>
            <w:pPr>
              <w:ind w:left="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4"/>
                <w:szCs w:val="24"/>
                <w:color w:val="auto"/>
              </w:rPr>
            </w:pPr>
          </w:p>
        </w:tc>
        <w:tc>
          <w:tcPr>
            <w:tcW w:w="8960" w:type="dxa"/>
            <w:vAlign w:val="bottom"/>
            <w:gridSpan w:val="10"/>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358"/>
        </w:trPr>
        <w:tc>
          <w:tcPr>
            <w:tcW w:w="1280" w:type="dxa"/>
            <w:vAlign w:val="bottom"/>
          </w:tcPr>
          <w:p>
            <w:pPr>
              <w:ind w:left="40"/>
              <w:spacing w:after="0"/>
              <w:rPr>
                <w:sz w:val="20"/>
                <w:szCs w:val="20"/>
                <w:color w:val="auto"/>
              </w:rPr>
            </w:pPr>
            <w:r>
              <w:rPr>
                <w:rFonts w:ascii="Arial" w:cs="Arial" w:eastAsia="Arial" w:hAnsi="Arial"/>
                <w:sz w:val="18"/>
                <w:szCs w:val="18"/>
                <w:color w:val="auto"/>
              </w:rPr>
              <w:t>3.1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0" w:type="dxa"/>
            <w:vAlign w:val="bottom"/>
            <w:tcBorders>
              <w:bottom w:val="single" w:sz="8" w:color="0000FF"/>
            </w:tcBorders>
            <w:gridSpan w:val="8"/>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Sixth Amended and Restated Certificate of Incorporation of the Registrant (incorporated by reference to Exhibit 3.1 to the</w:t>
              </w:r>
            </w:hyperlink>
          </w:p>
        </w:tc>
        <w:tc>
          <w:tcPr>
            <w:tcW w:w="16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gridSpan w:val="10"/>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Registrant's Quarterly Report on Form 10-Q filed with the Commission on May 15, 2014).</w:t>
              </w:r>
            </w:hyperlink>
          </w:p>
        </w:tc>
      </w:tr>
      <w:tr>
        <w:trPr>
          <w:trHeight w:val="20"/>
        </w:trPr>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3.2</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20" w:type="dxa"/>
            <w:vAlign w:val="bottom"/>
            <w:tcBorders>
              <w:bottom w:val="single" w:sz="8" w:color="0000FF"/>
            </w:tcBorders>
            <w:gridSpan w:val="5"/>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Amended and Restated Bylaws of the Registrant (incorporated by reference to Exhibit 3.1 to the Registrant's Current</w:t>
              </w:r>
            </w:hyperlink>
          </w:p>
        </w:tc>
        <w:tc>
          <w:tcPr>
            <w:tcW w:w="540" w:type="dxa"/>
            <w:vAlign w:val="bottom"/>
            <w:gridSpan w:val="5"/>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35">
              <w:r>
                <w:rPr>
                  <w:rFonts w:ascii="Arial" w:cs="Arial" w:eastAsia="Arial" w:hAnsi="Arial"/>
                  <w:sz w:val="18"/>
                  <w:szCs w:val="18"/>
                  <w:color w:val="0000FF"/>
                  <w:w w:val="93"/>
                </w:rPr>
                <w:t>Report on Form 8-K filed with the Commission on April 8, 2016).</w:t>
              </w:r>
            </w:hyperlink>
          </w:p>
        </w:tc>
        <w:tc>
          <w:tcPr>
            <w:tcW w:w="4180" w:type="dxa"/>
            <w:vAlign w:val="bottom"/>
            <w:gridSpan w:val="8"/>
          </w:tcPr>
          <w:p>
            <w:pPr>
              <w:spacing w:after="0"/>
              <w:rPr>
                <w:sz w:val="17"/>
                <w:szCs w:val="17"/>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60" w:type="dxa"/>
            <w:vAlign w:val="bottom"/>
            <w:gridSpan w:val="10"/>
          </w:tcPr>
          <w:p>
            <w:pPr>
              <w:spacing w:after="0"/>
              <w:rPr>
                <w:rFonts w:ascii="Arial" w:cs="Arial" w:eastAsia="Arial" w:hAnsi="Arial"/>
                <w:sz w:val="18"/>
                <w:szCs w:val="18"/>
                <w:color w:val="0000FF"/>
                <w:w w:val="92"/>
              </w:rPr>
            </w:pPr>
            <w:hyperlink w:anchor="page36">
              <w:r>
                <w:rPr>
                  <w:rFonts w:ascii="Arial" w:cs="Arial" w:eastAsia="Arial" w:hAnsi="Arial"/>
                  <w:sz w:val="18"/>
                  <w:szCs w:val="18"/>
                  <w:color w:val="0000FF"/>
                  <w:w w:val="92"/>
                </w:rPr>
                <w:t>Certification of Principal Executive Officer Pursuant to Exchange Act Rules 13a-14(a) and 15d-14(a), as adopted pursuant</w:t>
              </w:r>
            </w:hyperlink>
          </w:p>
        </w:tc>
      </w:tr>
      <w:tr>
        <w:trPr>
          <w:trHeight w:val="196"/>
        </w:trPr>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to Section 302 of the Sarbanes-Oxley Act of 2002.</w:t>
              </w:r>
            </w:hyperlink>
          </w:p>
        </w:tc>
        <w:tc>
          <w:tcPr>
            <w:tcW w:w="14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78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Certification of Principal Financial Officer Pursuant to Exchange Act Rules 13a-14(a) and 15d-14(a), as adopted pursuant</w:t>
              </w:r>
            </w:hyperlink>
          </w:p>
        </w:tc>
        <w:tc>
          <w:tcPr>
            <w:tcW w:w="180" w:type="dxa"/>
            <w:vAlign w:val="bottom"/>
            <w:gridSpan w:val="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gridSpan w:val="10"/>
          </w:tcPr>
          <w:p>
            <w:pPr>
              <w:spacing w:after="0" w:line="196" w:lineRule="exact"/>
              <w:rPr>
                <w:rFonts w:ascii="Arial" w:cs="Arial" w:eastAsia="Arial" w:hAnsi="Arial"/>
                <w:sz w:val="18"/>
                <w:szCs w:val="18"/>
                <w:color w:val="0000FF"/>
              </w:rPr>
            </w:pPr>
            <w:hyperlink w:anchor="page37">
              <w:r>
                <w:rPr>
                  <w:rFonts w:ascii="Arial" w:cs="Arial" w:eastAsia="Arial" w:hAnsi="Arial"/>
                  <w:sz w:val="18"/>
                  <w:szCs w:val="18"/>
                  <w:color w:val="0000FF"/>
                </w:rPr>
                <w:t>to Section 302 of the Sarbanes-Oxley Act of 2002.</w:t>
              </w:r>
            </w:hyperlink>
          </w:p>
        </w:tc>
      </w:tr>
      <w:tr>
        <w:trPr>
          <w:trHeight w:val="20"/>
        </w:trPr>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50"/>
        </w:trPr>
        <w:tc>
          <w:tcPr>
            <w:tcW w:w="1280" w:type="dxa"/>
            <w:vAlign w:val="bottom"/>
          </w:tcPr>
          <w:p>
            <w:pPr>
              <w:ind w:left="40"/>
              <w:spacing w:after="0" w:line="250" w:lineRule="exact"/>
              <w:rPr>
                <w:sz w:val="20"/>
                <w:szCs w:val="20"/>
                <w:color w:val="auto"/>
              </w:rPr>
            </w:pPr>
            <w:r>
              <w:rPr>
                <w:rFonts w:ascii="Arial" w:cs="Arial" w:eastAsia="Arial" w:hAnsi="Arial"/>
                <w:sz w:val="18"/>
                <w:szCs w:val="18"/>
                <w:color w:val="auto"/>
              </w:rPr>
              <w:t>32*</w:t>
            </w:r>
            <w:r>
              <w:rPr>
                <w:rFonts w:ascii="Arial" w:cs="Arial" w:eastAsia="Arial" w:hAnsi="Arial"/>
                <w:sz w:val="25"/>
                <w:szCs w:val="25"/>
                <w:color w:val="auto"/>
                <w:vertAlign w:val="superscript"/>
              </w:rPr>
              <w:t>(1)</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52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Certification of the Principal Executive Officer and Principal Financial Officer Pursuant to 18 U.S.C. Section 1350, as</w:t>
              </w:r>
            </w:hyperlink>
          </w:p>
        </w:tc>
        <w:tc>
          <w:tcPr>
            <w:tcW w:w="440" w:type="dxa"/>
            <w:vAlign w:val="bottom"/>
            <w:gridSpan w:val="4"/>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gridSpan w:val="10"/>
          </w:tcPr>
          <w:p>
            <w:pPr>
              <w:spacing w:after="0" w:line="196" w:lineRule="exact"/>
              <w:rPr>
                <w:rFonts w:ascii="Arial" w:cs="Arial" w:eastAsia="Arial" w:hAnsi="Arial"/>
                <w:sz w:val="18"/>
                <w:szCs w:val="18"/>
                <w:color w:val="0000FF"/>
              </w:rPr>
            </w:pPr>
            <w:hyperlink w:anchor="page38">
              <w:r>
                <w:rPr>
                  <w:rFonts w:ascii="Arial" w:cs="Arial" w:eastAsia="Arial" w:hAnsi="Arial"/>
                  <w:sz w:val="18"/>
                  <w:szCs w:val="18"/>
                  <w:color w:val="0000FF"/>
                </w:rPr>
                <w:t>adopted pursuant to Section 906 of the Sarbanes-Oxley Act of 2002.</w:t>
              </w:r>
            </w:hyperlink>
          </w:p>
        </w:tc>
      </w:tr>
      <w:tr>
        <w:trPr>
          <w:trHeight w:val="20"/>
        </w:trPr>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3"/>
            <w:shd w:val="clear" w:color="auto" w:fill="0000FF"/>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r>
      <w:tr>
        <w:trPr>
          <w:trHeight w:val="276"/>
        </w:trPr>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w w:val="97"/>
              </w:rPr>
              <w:t>Instance Document- the instance document does not appear in the Interactive Data File because its XBRL tags are</w:t>
            </w:r>
          </w:p>
        </w:tc>
      </w:tr>
      <w:tr>
        <w:trPr>
          <w:trHeight w:val="23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101.ins *</w:t>
            </w:r>
          </w:p>
        </w:tc>
        <w:tc>
          <w:tcPr>
            <w:tcW w:w="20" w:type="dxa"/>
            <w:vAlign w:val="bottom"/>
          </w:tcPr>
          <w:p>
            <w:pPr>
              <w:spacing w:after="0"/>
              <w:rPr>
                <w:sz w:val="20"/>
                <w:szCs w:val="20"/>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101.sch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Schema Linkbase Document</w:t>
            </w:r>
          </w:p>
        </w:tc>
      </w:tr>
      <w:tr>
        <w:trPr>
          <w:trHeight w:val="27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101.cal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101.def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Definition Linkbase Document</w:t>
            </w:r>
          </w:p>
        </w:tc>
      </w:tr>
      <w:tr>
        <w:trPr>
          <w:trHeight w:val="27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101.lab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101.pre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ind w:left="500" w:right="60" w:hanging="492"/>
        <w:spacing w:after="0" w:line="232" w:lineRule="auto"/>
        <w:tabs>
          <w:tab w:leader="none" w:pos="50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The Rubicon Project, Inc. under the Securities Act of 1933, as amended (the "Securities Act"), or the Exchange Act, whether made before or after the date hereof, regardless of any general incorporation language in such filing.</w:t>
      </w:r>
    </w:p>
    <w:p>
      <w:pPr>
        <w:sectPr>
          <w:pgSz w:w="11900" w:h="16838" w:orient="portrait"/>
          <w:cols w:equalWidth="0" w:num="1">
            <w:col w:w="11400"/>
          </w:cols>
          <w:pgMar w:left="240" w:top="108"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RUBICON PROJECT,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567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Day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May 1, 2019</w:t>
      </w:r>
    </w:p>
    <w:p>
      <w:pPr>
        <w:sectPr>
          <w:pgSz w:w="11900" w:h="16838" w:orient="portrait"/>
          <w:cols w:equalWidth="0" w:num="1">
            <w:col w:w="10940"/>
          </w:cols>
          <w:pgMar w:left="240" w:top="125" w:right="71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Michael Barrett, certify that:</w:t>
      </w:r>
    </w:p>
    <w:p>
      <w:pPr>
        <w:spacing w:after="0" w:line="234"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25" w:lineRule="exact"/>
        <w:rPr>
          <w:rFonts w:ascii="Arial" w:cs="Arial" w:eastAsia="Arial" w:hAnsi="Arial"/>
          <w:sz w:val="18"/>
          <w:szCs w:val="18"/>
          <w:color w:val="auto"/>
        </w:rPr>
      </w:pPr>
    </w:p>
    <w:p>
      <w:pPr>
        <w:ind w:left="1300" w:right="240" w:hanging="644"/>
        <w:spacing w:after="0" w:line="355"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1300" w:right="40" w:hanging="644"/>
        <w:spacing w:after="0" w:line="281"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8"/>
          <w:szCs w:val="18"/>
          <w:color w:val="auto"/>
        </w:rPr>
      </w:pPr>
    </w:p>
    <w:p>
      <w:pPr>
        <w:ind w:left="1300" w:hanging="644"/>
        <w:spacing w:after="0" w:line="27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800" w:right="440" w:hanging="495"/>
        <w:spacing w:after="0" w:line="261" w:lineRule="auto"/>
        <w:tabs>
          <w:tab w:leader="none" w:pos="18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6"/>
          <w:szCs w:val="16"/>
          <w:color w:val="auto"/>
        </w:rPr>
      </w:pPr>
    </w:p>
    <w:p>
      <w:pPr>
        <w:ind w:left="1800" w:right="160" w:hanging="495"/>
        <w:spacing w:after="0" w:line="261" w:lineRule="auto"/>
        <w:tabs>
          <w:tab w:leader="none" w:pos="18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6"/>
          <w:szCs w:val="16"/>
          <w:color w:val="auto"/>
        </w:rPr>
      </w:pPr>
    </w:p>
    <w:p>
      <w:pPr>
        <w:ind w:left="1800" w:hanging="495"/>
        <w:spacing w:after="0" w:line="275" w:lineRule="auto"/>
        <w:tabs>
          <w:tab w:leader="none" w:pos="18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6"/>
          <w:szCs w:val="16"/>
          <w:color w:val="auto"/>
        </w:rPr>
      </w:pPr>
    </w:p>
    <w:p>
      <w:pPr>
        <w:ind w:left="1800" w:right="40" w:hanging="495"/>
        <w:spacing w:after="0" w:line="261" w:lineRule="auto"/>
        <w:tabs>
          <w:tab w:leader="none" w:pos="18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6"/>
          <w:szCs w:val="16"/>
          <w:color w:val="auto"/>
        </w:rPr>
      </w:pPr>
    </w:p>
    <w:p>
      <w:pPr>
        <w:ind w:left="1300" w:right="420" w:hanging="644"/>
        <w:spacing w:after="0" w:line="315"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1800" w:right="340" w:hanging="495"/>
        <w:spacing w:after="0" w:line="275" w:lineRule="auto"/>
        <w:tabs>
          <w:tab w:leader="none" w:pos="18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6"/>
          <w:szCs w:val="16"/>
          <w:color w:val="auto"/>
        </w:rPr>
      </w:pPr>
    </w:p>
    <w:p>
      <w:pPr>
        <w:ind w:left="1800" w:right="300" w:hanging="455"/>
        <w:spacing w:after="0" w:line="275" w:lineRule="auto"/>
        <w:tabs>
          <w:tab w:leader="none" w:pos="1800" w:val="left"/>
        </w:tabs>
        <w:numPr>
          <w:ilvl w:val="2"/>
          <w:numId w:val="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2" w:lineRule="exact"/>
        <w:rPr>
          <w:sz w:val="20"/>
          <w:szCs w:val="20"/>
          <w:color w:val="auto"/>
        </w:rPr>
      </w:pPr>
    </w:p>
    <w:p>
      <w:pPr>
        <w:ind w:left="4020"/>
        <w:spacing w:after="0"/>
        <w:tabs>
          <w:tab w:leader="none" w:pos="678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43815</wp:posOffset>
            </wp:positionV>
            <wp:extent cx="22555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07"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Michael Barrett</w:t>
      </w:r>
    </w:p>
    <w:p>
      <w:pPr>
        <w:spacing w:after="0" w:line="22"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1120"/>
        <w:spacing w:after="0"/>
        <w:tabs>
          <w:tab w:leader="none" w:pos="7340" w:val="left"/>
        </w:tabs>
        <w:rPr>
          <w:sz w:val="20"/>
          <w:szCs w:val="20"/>
          <w:color w:val="auto"/>
        </w:rPr>
      </w:pPr>
      <w:r>
        <w:rPr>
          <w:rFonts w:ascii="Arial" w:cs="Arial" w:eastAsia="Arial" w:hAnsi="Arial"/>
          <w:sz w:val="16"/>
          <w:szCs w:val="16"/>
          <w:color w:val="auto"/>
        </w:rPr>
        <w:t>Date May 1, 2019</w:t>
      </w:r>
      <w:r>
        <w:rPr>
          <w:sz w:val="20"/>
          <w:szCs w:val="20"/>
          <w:color w:val="auto"/>
        </w:rPr>
        <w:tab/>
      </w:r>
      <w:r>
        <w:rPr>
          <w:rFonts w:ascii="Arial" w:cs="Arial" w:eastAsia="Arial" w:hAnsi="Arial"/>
          <w:sz w:val="15"/>
          <w:szCs w:val="15"/>
          <w:color w:val="auto"/>
        </w:rPr>
        <w:t>(Principal Executive Officer)</w:t>
      </w:r>
    </w:p>
    <w:p>
      <w:pPr>
        <w:sectPr>
          <w:pgSz w:w="11900" w:h="16838" w:orient="portrait"/>
          <w:cols w:equalWidth="0" w:num="1">
            <w:col w:w="11420"/>
          </w:cols>
          <w:pgMar w:left="240" w:top="58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3"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David Day, certify that:</w:t>
      </w:r>
    </w:p>
    <w:p>
      <w:pPr>
        <w:spacing w:after="0" w:line="261" w:lineRule="exact"/>
        <w:rPr>
          <w:sz w:val="20"/>
          <w:szCs w:val="20"/>
          <w:color w:val="auto"/>
        </w:rPr>
      </w:pPr>
    </w:p>
    <w:p>
      <w:pPr>
        <w:ind w:left="1100" w:hanging="622"/>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52" w:lineRule="exact"/>
        <w:rPr>
          <w:rFonts w:ascii="Arial" w:cs="Arial" w:eastAsia="Arial" w:hAnsi="Arial"/>
          <w:sz w:val="18"/>
          <w:szCs w:val="18"/>
          <w:color w:val="auto"/>
        </w:rPr>
      </w:pPr>
    </w:p>
    <w:p>
      <w:pPr>
        <w:ind w:left="960" w:right="240" w:hanging="482"/>
        <w:spacing w:after="0" w:line="355"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960" w:right="40" w:hanging="482"/>
        <w:spacing w:after="0" w:line="281"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8"/>
          <w:szCs w:val="18"/>
          <w:color w:val="auto"/>
        </w:rPr>
      </w:pPr>
    </w:p>
    <w:p>
      <w:pPr>
        <w:ind w:left="960" w:hanging="482"/>
        <w:spacing w:after="0" w:line="279"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620" w:right="280" w:hanging="493"/>
        <w:spacing w:after="0" w:line="279"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620" w:right="560" w:hanging="493"/>
        <w:spacing w:after="0" w:line="279"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jc w:val="both"/>
        <w:ind w:left="1620" w:right="720" w:hanging="493"/>
        <w:spacing w:after="0" w:line="355" w:lineRule="auto"/>
        <w:tabs>
          <w:tab w:leader="none" w:pos="1620" w:val="left"/>
        </w:tabs>
        <w:numPr>
          <w:ilvl w:val="1"/>
          <w:numId w:val="12"/>
        </w:numPr>
        <w:rPr>
          <w:rFonts w:ascii="Arial" w:cs="Arial" w:eastAsia="Arial" w:hAnsi="Arial"/>
          <w:sz w:val="16"/>
          <w:szCs w:val="16"/>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620" w:right="20" w:hanging="493"/>
        <w:spacing w:after="0" w:line="279"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960" w:right="420" w:hanging="482"/>
        <w:spacing w:after="0" w:line="310" w:lineRule="auto"/>
        <w:tabs>
          <w:tab w:leader="none" w:pos="9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5"/>
          <w:szCs w:val="15"/>
          <w:color w:val="auto"/>
        </w:rPr>
      </w:pPr>
    </w:p>
    <w:p>
      <w:pPr>
        <w:ind w:left="1620" w:right="180" w:hanging="331"/>
        <w:spacing w:after="0" w:line="281" w:lineRule="auto"/>
        <w:tabs>
          <w:tab w:leader="none" w:pos="1620" w:val="left"/>
        </w:tabs>
        <w:numPr>
          <w:ilvl w:val="2"/>
          <w:numId w:val="12"/>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8"/>
          <w:szCs w:val="18"/>
          <w:color w:val="auto"/>
        </w:rPr>
      </w:pPr>
    </w:p>
    <w:p>
      <w:pPr>
        <w:ind w:left="1620" w:right="140" w:hanging="331"/>
        <w:spacing w:after="0" w:line="281" w:lineRule="auto"/>
        <w:tabs>
          <w:tab w:leader="none" w:pos="1620" w:val="left"/>
        </w:tabs>
        <w:numPr>
          <w:ilvl w:val="2"/>
          <w:numId w:val="12"/>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1" w:lineRule="exact"/>
        <w:rPr>
          <w:sz w:val="20"/>
          <w:szCs w:val="20"/>
          <w:color w:val="auto"/>
        </w:rPr>
      </w:pPr>
    </w:p>
    <w:tbl>
      <w:tblPr>
        <w:tblLayout w:type="fixed"/>
        <w:tblInd w:w="780" w:type="dxa"/>
        <w:tblCellMar>
          <w:top w:w="0" w:type="dxa"/>
          <w:left w:w="0" w:type="dxa"/>
          <w:bottom w:w="0" w:type="dxa"/>
          <w:right w:w="0" w:type="dxa"/>
        </w:tblCellMar>
      </w:tblPr>
      <w:tr>
        <w:trPr>
          <w:trHeight w:val="206"/>
        </w:trPr>
        <w:tc>
          <w:tcPr>
            <w:tcW w:w="5660" w:type="dxa"/>
            <w:vAlign w:val="bottom"/>
          </w:tcPr>
          <w:p>
            <w:pPr>
              <w:ind w:left="2900"/>
              <w:spacing w:after="0"/>
              <w:rPr>
                <w:sz w:val="20"/>
                <w:szCs w:val="20"/>
                <w:color w:val="auto"/>
              </w:rPr>
            </w:pPr>
            <w:r>
              <w:rPr>
                <w:rFonts w:ascii="Arial" w:cs="Arial" w:eastAsia="Arial" w:hAnsi="Arial"/>
                <w:sz w:val="16"/>
                <w:szCs w:val="16"/>
                <w:color w:val="auto"/>
              </w:rPr>
              <w:t>Signature:</w:t>
            </w:r>
          </w:p>
        </w:tc>
        <w:tc>
          <w:tcPr>
            <w:tcW w:w="3540" w:type="dxa"/>
            <w:vAlign w:val="bottom"/>
          </w:tcPr>
          <w:p>
            <w:pPr>
              <w:ind w:left="20"/>
              <w:spacing w:after="0"/>
              <w:rPr>
                <w:sz w:val="20"/>
                <w:szCs w:val="20"/>
                <w:color w:val="auto"/>
              </w:rPr>
            </w:pPr>
            <w:r>
              <w:rPr>
                <w:rFonts w:ascii="Arial" w:cs="Arial" w:eastAsia="Arial" w:hAnsi="Arial"/>
                <w:sz w:val="16"/>
                <w:szCs w:val="16"/>
                <w:color w:val="auto"/>
              </w:rPr>
              <w:t>/s/ David Day</w:t>
            </w:r>
          </w:p>
        </w:tc>
      </w:tr>
      <w:tr>
        <w:trPr>
          <w:trHeight w:val="47"/>
        </w:trPr>
        <w:tc>
          <w:tcPr>
            <w:tcW w:w="566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r>
      <w:tr>
        <w:trPr>
          <w:trHeight w:val="240"/>
        </w:trPr>
        <w:tc>
          <w:tcPr>
            <w:tcW w:w="5660" w:type="dxa"/>
            <w:vAlign w:val="bottom"/>
          </w:tcPr>
          <w:p>
            <w:pPr>
              <w:spacing w:after="0"/>
              <w:rPr>
                <w:sz w:val="20"/>
                <w:szCs w:val="20"/>
                <w:color w:val="auto"/>
              </w:rPr>
            </w:pPr>
          </w:p>
        </w:tc>
        <w:tc>
          <w:tcPr>
            <w:tcW w:w="3540" w:type="dxa"/>
            <w:vAlign w:val="bottom"/>
          </w:tcPr>
          <w:p>
            <w:pPr>
              <w:ind w:left="760"/>
              <w:spacing w:after="0"/>
              <w:rPr>
                <w:sz w:val="20"/>
                <w:szCs w:val="20"/>
                <w:color w:val="auto"/>
              </w:rPr>
            </w:pPr>
            <w:r>
              <w:rPr>
                <w:rFonts w:ascii="Arial" w:cs="Arial" w:eastAsia="Arial" w:hAnsi="Arial"/>
                <w:sz w:val="16"/>
                <w:szCs w:val="16"/>
                <w:color w:val="auto"/>
              </w:rPr>
              <w:t>David Day</w:t>
            </w:r>
          </w:p>
        </w:tc>
      </w:tr>
      <w:tr>
        <w:trPr>
          <w:trHeight w:val="203"/>
        </w:trPr>
        <w:tc>
          <w:tcPr>
            <w:tcW w:w="5660" w:type="dxa"/>
            <w:vAlign w:val="bottom"/>
          </w:tcPr>
          <w:p>
            <w:pPr>
              <w:spacing w:after="0"/>
              <w:rPr>
                <w:sz w:val="17"/>
                <w:szCs w:val="17"/>
                <w:color w:val="auto"/>
              </w:rPr>
            </w:pPr>
          </w:p>
        </w:tc>
        <w:tc>
          <w:tcPr>
            <w:tcW w:w="3540" w:type="dxa"/>
            <w:vAlign w:val="bottom"/>
          </w:tcPr>
          <w:p>
            <w:pPr>
              <w:ind w:left="760"/>
              <w:spacing w:after="0"/>
              <w:rPr>
                <w:sz w:val="20"/>
                <w:szCs w:val="20"/>
                <w:color w:val="auto"/>
              </w:rPr>
            </w:pPr>
            <w:r>
              <w:rPr>
                <w:rFonts w:ascii="Arial" w:cs="Arial" w:eastAsia="Arial" w:hAnsi="Arial"/>
                <w:sz w:val="16"/>
                <w:szCs w:val="16"/>
                <w:color w:val="auto"/>
              </w:rPr>
              <w:t>Chief Financial Officer</w:t>
            </w:r>
          </w:p>
        </w:tc>
      </w:tr>
      <w:tr>
        <w:trPr>
          <w:trHeight w:val="233"/>
        </w:trPr>
        <w:tc>
          <w:tcPr>
            <w:tcW w:w="5660" w:type="dxa"/>
            <w:vAlign w:val="bottom"/>
          </w:tcPr>
          <w:p>
            <w:pPr>
              <w:spacing w:after="0"/>
              <w:rPr>
                <w:sz w:val="20"/>
                <w:szCs w:val="20"/>
                <w:color w:val="auto"/>
              </w:rPr>
            </w:pPr>
            <w:r>
              <w:rPr>
                <w:rFonts w:ascii="Arial" w:cs="Arial" w:eastAsia="Arial" w:hAnsi="Arial"/>
                <w:sz w:val="16"/>
                <w:szCs w:val="16"/>
                <w:color w:val="auto"/>
              </w:rPr>
              <w:t>Date May 1, 2019</w:t>
            </w:r>
          </w:p>
        </w:tc>
        <w:tc>
          <w:tcPr>
            <w:tcW w:w="3540" w:type="dxa"/>
            <w:vAlign w:val="bottom"/>
          </w:tcPr>
          <w:p>
            <w:pPr>
              <w:ind w:left="760"/>
              <w:spacing w:after="0"/>
              <w:rPr>
                <w:sz w:val="20"/>
                <w:szCs w:val="20"/>
                <w:color w:val="auto"/>
              </w:rPr>
            </w:pPr>
            <w:r>
              <w:rPr>
                <w:rFonts w:ascii="Arial" w:cs="Arial" w:eastAsia="Arial" w:hAnsi="Arial"/>
                <w:sz w:val="16"/>
                <w:szCs w:val="16"/>
                <w:color w:val="auto"/>
              </w:rPr>
              <w:t>(Principal Financial Officer)</w:t>
            </w:r>
          </w:p>
        </w:tc>
      </w:tr>
    </w:tbl>
    <w:p>
      <w:pPr>
        <w:sectPr>
          <w:pgSz w:w="11900" w:h="16838" w:orient="portrait"/>
          <w:cols w:equalWidth="0" w:num="1">
            <w:col w:w="11080"/>
          </w:cols>
          <w:pgMar w:left="580" w:top="58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32</w:t>
      </w:r>
    </w:p>
    <w:p>
      <w:pPr>
        <w:spacing w:after="0" w:line="397" w:lineRule="exact"/>
        <w:rPr>
          <w:sz w:val="20"/>
          <w:szCs w:val="20"/>
          <w:color w:val="auto"/>
        </w:rPr>
      </w:pPr>
    </w:p>
    <w:p>
      <w:pPr>
        <w:jc w:val="center"/>
        <w:ind w:left="980" w:right="100"/>
        <w:spacing w:after="0" w:line="386" w:lineRule="auto"/>
        <w:rPr>
          <w:sz w:val="20"/>
          <w:szCs w:val="20"/>
          <w:color w:val="auto"/>
        </w:rPr>
      </w:pPr>
      <w:r>
        <w:rPr>
          <w:rFonts w:ascii="Arial" w:cs="Arial" w:eastAsia="Arial" w:hAnsi="Arial"/>
          <w:sz w:val="16"/>
          <w:szCs w:val="16"/>
          <w:b w:val="1"/>
          <w:bCs w:val="1"/>
          <w:color w:val="auto"/>
        </w:rPr>
        <w:t>CERTIFICATIONS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374" w:lineRule="exact"/>
        <w:rPr>
          <w:sz w:val="20"/>
          <w:szCs w:val="20"/>
          <w:color w:val="auto"/>
        </w:rPr>
      </w:pPr>
    </w:p>
    <w:p>
      <w:pPr>
        <w:jc w:val="both"/>
        <w:ind w:right="360"/>
        <w:spacing w:after="0" w:line="366" w:lineRule="auto"/>
        <w:rPr>
          <w:sz w:val="20"/>
          <w:szCs w:val="20"/>
          <w:color w:val="auto"/>
        </w:rPr>
      </w:pPr>
      <w:r>
        <w:rPr>
          <w:rFonts w:ascii="Arial" w:cs="Arial" w:eastAsia="Arial" w:hAnsi="Arial"/>
          <w:sz w:val="16"/>
          <w:szCs w:val="16"/>
          <w:color w:val="auto"/>
        </w:rPr>
        <w:t>Pursuant to Section 906 of the Sarbanes-Oxley Act of 2002 (18 U.S.C. 1350), Michael Barrett, President and Chief Executive Officer (Principal Executive Officer) of The Rubicon Project, Inc. (the "Company"), and David Day, Chief Financial Officer (Principal Financial Officer) of the Company, each hereby certifies that, to the best of his knowledge:</w:t>
      </w:r>
    </w:p>
    <w:p>
      <w:pPr>
        <w:spacing w:after="0" w:line="293" w:lineRule="exact"/>
        <w:rPr>
          <w:sz w:val="20"/>
          <w:szCs w:val="20"/>
          <w:color w:val="auto"/>
        </w:rPr>
      </w:pPr>
    </w:p>
    <w:p>
      <w:pPr>
        <w:ind w:left="660" w:right="20" w:hanging="328"/>
        <w:spacing w:after="0" w:line="40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Our Quarterly Report on Form 10-Q for the quarter ended March 31, 2019, to which this certification is attached as Exhibit 32 (the "Report"), fully complies with the requirements of Section 13(a) or 15(d) of the Securities Exchange Act of 1934; and</w:t>
      </w:r>
    </w:p>
    <w:p>
      <w:pPr>
        <w:spacing w:after="0" w:line="27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Date May 1, 2019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43815</wp:posOffset>
            </wp:positionV>
            <wp:extent cx="23241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7"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Michael Barrett</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43815</wp:posOffset>
            </wp:positionV>
            <wp:extent cx="23241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7"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David Day</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Chief Financial Officer</w:t>
      </w:r>
    </w:p>
    <w:p>
      <w:pPr>
        <w:spacing w:after="0" w:line="4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332" w:lineRule="exact"/>
        <w:rPr>
          <w:sz w:val="20"/>
          <w:szCs w:val="20"/>
          <w:color w:val="auto"/>
        </w:rPr>
      </w:pPr>
    </w:p>
    <w:p>
      <w:pPr>
        <w:ind w:right="360"/>
        <w:spacing w:after="0" w:line="423" w:lineRule="auto"/>
        <w:rPr>
          <w:sz w:val="20"/>
          <w:szCs w:val="20"/>
          <w:color w:val="auto"/>
        </w:rPr>
      </w:pPr>
      <w:r>
        <w:rPr>
          <w:rFonts w:ascii="Arial" w:cs="Arial" w:eastAsia="Arial" w:hAnsi="Arial"/>
          <w:sz w:val="15"/>
          <w:szCs w:val="15"/>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1420"/>
      </w:cols>
      <w:pgMar w:left="240" w:top="6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310"/>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1">
    <w:nsid w:val="140E0F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34" Type="http://schemas.openxmlformats.org/officeDocument/2006/relationships/hyperlink" Target="http://www.sec.gov/Archives/edgar/data/1595974/000159597414000004/rubi20140331exhibit31.htm" TargetMode="External"/><Relationship Id="rId35" Type="http://schemas.openxmlformats.org/officeDocument/2006/relationships/hyperlink" Target="http://www.sec.gov/Archives/edgar/data/1595974/000162828016014095/ex31amendedandrestated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2019-12-28T13:24:33Z</dcterms:created>
  <dcterms:modified xsi:type="dcterms:W3CDTF">2019-12-28T13:24:33Z</dcterms:modified>
</cp:coreProperties>
</file>