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6994525" cy="4947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947920"/>
                    </a:xfrm>
                    <a:prstGeom prst="rect">
                      <a:avLst/>
                    </a:prstGeom>
                    <a:noFill/>
                  </pic:spPr>
                </pic:pic>
              </a:graphicData>
            </a:graphic>
          </wp:anchor>
        </w:drawing>
      </w:r>
    </w:p>
    <w:p>
      <w:pPr>
        <w:spacing w:after="0" w:line="1230"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Buonasera David</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MAGNITE, INC.</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 BROADWAY, 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MAGNITE,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MGNI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01/09/2026</w:t>
      </w:r>
    </w:p>
    <w:p>
      <w:pPr>
        <w:spacing w:after="0" w:line="20" w:lineRule="exact"/>
        <w:rPr>
          <w:sz w:val="24"/>
          <w:szCs w:val="24"/>
          <w:color w:val="auto"/>
        </w:rPr>
      </w:pPr>
      <w:r>
        <w:rPr>
          <w:sz w:val="24"/>
          <w:szCs w:val="24"/>
          <w:color w:val="auto"/>
        </w:rPr>
        <w:br w:type="column"/>
      </w:r>
    </w:p>
    <w:p>
      <w:pPr>
        <w:ind w:left="-9" w:right="660" w:firstLine="9"/>
        <w:spacing w:after="0" w:line="255"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391"/>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89" w:lineRule="exact"/>
        <w:rPr>
          <w:sz w:val="24"/>
          <w:szCs w:val="24"/>
          <w:color w:val="auto"/>
        </w:rPr>
      </w:pPr>
    </w:p>
    <w:p>
      <w:pPr>
        <w:sectPr>
          <w:pgSz w:w="11900" w:h="16838" w:orient="portrait"/>
          <w:cols w:equalWidth="0" w:num="3">
            <w:col w:w="3180" w:space="720"/>
            <w:col w:w="3109" w:space="720"/>
            <w:col w:w="3351"/>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370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NY</w:t>
            </w:r>
          </w:p>
        </w:tc>
        <w:tc>
          <w:tcPr>
            <w:tcW w:w="880" w:type="dxa"/>
            <w:vAlign w:val="bottom"/>
          </w:tcPr>
          <w:p>
            <w:pPr>
              <w:spacing w:after="0"/>
              <w:rPr>
                <w:sz w:val="10"/>
                <w:szCs w:val="10"/>
                <w:color w:val="auto"/>
              </w:rPr>
            </w:pPr>
          </w:p>
        </w:tc>
        <w:tc>
          <w:tcPr>
            <w:tcW w:w="1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10001</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6"/>
                <w:szCs w:val="6"/>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5"/>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4"/>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2"/>
          </w:tcPr>
          <w:p>
            <w:pPr>
              <w:ind w:left="82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3"/>
          </w:tcPr>
          <w:p>
            <w:pPr>
              <w:ind w:left="820"/>
              <w:spacing w:after="0" w:line="128"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01/09/2026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22,935</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line="307"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331,562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01/09/2026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12,330</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16.17</w:t>
            </w: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319,232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60" w:type="dxa"/>
            <w:vAlign w:val="bottom"/>
            <w:gridSpan w:val="1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5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Price of</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88"/>
              </w:rPr>
              <w:t>Security</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280" w:type="dxa"/>
            <w:vAlign w:val="bottom"/>
          </w:tcPr>
          <w:p>
            <w:pPr>
              <w:spacing w:after="0"/>
              <w:rPr>
                <w:sz w:val="20"/>
                <w:szCs w:val="20"/>
                <w:color w:val="auto"/>
              </w:rPr>
            </w:pPr>
          </w:p>
        </w:tc>
        <w:tc>
          <w:tcPr>
            <w:tcW w:w="88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01/09/2026</w:t>
            </w: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0"/>
                <w:szCs w:val="20"/>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22,935</w:t>
            </w: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jc w:val="right"/>
              <w:ind w:right="257"/>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8"/>
              </w:rPr>
              <w:t>22,935</w:t>
            </w:r>
          </w:p>
        </w:tc>
        <w:tc>
          <w:tcPr>
            <w:tcW w:w="40" w:type="dxa"/>
            <w:vAlign w:val="bottom"/>
          </w:tcPr>
          <w:p>
            <w:pPr>
              <w:spacing w:after="0"/>
              <w:rPr>
                <w:sz w:val="20"/>
                <w:szCs w:val="20"/>
                <w:color w:val="auto"/>
              </w:rPr>
            </w:pPr>
          </w:p>
        </w:tc>
        <w:tc>
          <w:tcPr>
            <w:tcW w:w="700" w:type="dxa"/>
            <w:vAlign w:val="bottom"/>
            <w:gridSpan w:val="2"/>
          </w:tcPr>
          <w:p>
            <w:pPr>
              <w:ind w:left="180"/>
              <w:spacing w:after="0" w:line="230" w:lineRule="exact"/>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5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5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-1904365</wp:posOffset>
            </wp:positionV>
            <wp:extent cx="29210" cy="1910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100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Equity grant under the Company's Amended and Restated 2014 Equity Incentive Plan.</w:t>
      </w:r>
    </w:p>
    <w:p>
      <w:pPr>
        <w:spacing w:after="0" w:line="42" w:lineRule="exact"/>
        <w:rPr>
          <w:rFonts w:ascii="Times New Roman" w:cs="Times New Roman" w:eastAsia="Times New Roman" w:hAnsi="Times New Roman"/>
          <w:sz w:val="13"/>
          <w:szCs w:val="13"/>
          <w:color w:val="008000"/>
        </w:rPr>
      </w:pPr>
    </w:p>
    <w:p>
      <w:pPr>
        <w:ind w:left="40" w:right="20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non-discretionary forfeiture of shares on behalf of the Reporting Person pursuant to an arrangement mandated by the Issuer to cover the tax withholding obligations associated with the vesting of the performance stock units ("PSUs") being reported herein.</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PSU represents a contingent right to receive, on vesting, one share of the Issuer's common stock, subject to Issuer performance as more specifically described in Footnote 4 herein.</w:t>
      </w:r>
    </w:p>
    <w:p>
      <w:pPr>
        <w:spacing w:after="0" w:line="42" w:lineRule="exact"/>
        <w:rPr>
          <w:rFonts w:ascii="Times New Roman" w:cs="Times New Roman" w:eastAsia="Times New Roman" w:hAnsi="Times New Roman"/>
          <w:sz w:val="13"/>
          <w:szCs w:val="13"/>
          <w:color w:val="008000"/>
        </w:rPr>
      </w:pPr>
    </w:p>
    <w:p>
      <w:pPr>
        <w:jc w:val="both"/>
        <w:ind w:left="40" w:right="220" w:firstLine="1"/>
        <w:spacing w:after="0" w:line="236"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Vesting of the PSU was determined based on the Issuer's total stockholder return ("TSR") for the three-year period beginning on January 1, 2023 relative to the TSRs of the companies in the Russell 2000 index over that period. The number of PSUs reported in column 5 on the Form 4 filed with the Securities and Exchange Commission on March 2, 2023 reflected the target number of PSUs initially subject to the award. The award was eligible to vest as to 0% to 150% of the target number of PSUs. On January 9, 2026, the Compensation Committee of the Issuer's Board of Directors determined that, based on 126.35% achievement, the Reporting Person actually vested 22,935 shares.</w:t>
      </w:r>
    </w:p>
    <w:p>
      <w:pPr>
        <w:spacing w:after="0" w:line="5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Aaron Saltz, attorney-in-fact 01/12/2026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1878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8330" cy="8255"/>
                    </a:xfrm>
                    <a:prstGeom prst="rect">
                      <a:avLst/>
                    </a:prstGeom>
                    <a:noFill/>
                  </pic:spPr>
                </pic:pic>
              </a:graphicData>
            </a:graphic>
          </wp:anchor>
        </w:drawing>
      </w:r>
    </w:p>
    <w:p>
      <w:pPr>
        <w:spacing w:after="0" w:line="4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966857" TargetMode="External"/><Relationship Id="rId14" Type="http://schemas.openxmlformats.org/officeDocument/2006/relationships/hyperlink" Target="http://www.sec.gov/cgi-bin/browse-edgar?action=getcompany&amp;CIK=00015959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2026-01-12T15:35:15Z</dcterms:created>
  <dcterms:modified xsi:type="dcterms:W3CDTF">2026-01-12T15:35:15Z</dcterms:modified>
</cp:coreProperties>
</file>