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329" w:lineRule="exact"/>
        <w:rPr>
          <w:sz w:val="24"/>
          <w:szCs w:val="24"/>
          <w:color w:val="auto"/>
        </w:rPr>
      </w:pPr>
    </w:p>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jc w:val="center"/>
        <w:ind w:left="29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left="29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left="29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ind w:left="4880"/>
        <w:spacing w:after="0"/>
        <w:rPr>
          <w:sz w:val="20"/>
          <w:szCs w:val="20"/>
          <w:color w:val="auto"/>
        </w:rPr>
      </w:pPr>
      <w:r>
        <w:rPr>
          <w:rFonts w:ascii="Arial" w:cs="Arial" w:eastAsia="Arial" w:hAnsi="Arial"/>
          <w:sz w:val="23"/>
          <w:szCs w:val="23"/>
          <w:b w:val="1"/>
          <w:bCs w:val="1"/>
          <w:color w:val="auto"/>
        </w:rPr>
        <w:t>FORM 10-K/A</w:t>
      </w:r>
    </w:p>
    <w:p>
      <w:pPr>
        <w:spacing w:after="0" w:line="40"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2"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(Mark One)</w:t>
      </w:r>
    </w:p>
    <w:p>
      <w:pPr>
        <w:spacing w:after="0" w:line="6" w:lineRule="exact"/>
        <w:rPr>
          <w:sz w:val="24"/>
          <w:szCs w:val="24"/>
          <w:color w:val="auto"/>
        </w:rPr>
      </w:pPr>
    </w:p>
    <w:p>
      <w:pPr>
        <w:ind w:left="4180" w:right="320" w:hanging="4064"/>
        <w:spacing w:after="0" w:line="336" w:lineRule="auto"/>
        <w:tabs>
          <w:tab w:leader="none" w:pos="548"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2020</w:t>
      </w:r>
    </w:p>
    <w:p>
      <w:pPr>
        <w:ind w:left="550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OR</w:t>
      </w:r>
    </w:p>
    <w:p>
      <w:pPr>
        <w:spacing w:after="0" w:line="71" w:lineRule="exact"/>
        <w:rPr>
          <w:sz w:val="24"/>
          <w:szCs w:val="24"/>
          <w:color w:val="auto"/>
        </w:rPr>
      </w:pPr>
    </w:p>
    <w:p>
      <w:pPr>
        <w:ind w:left="3520" w:hanging="3404"/>
        <w:spacing w:after="0" w:line="338" w:lineRule="auto"/>
        <w:tabs>
          <w:tab w:leader="none" w:pos="547"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_____________ to _____________</w:t>
      </w:r>
    </w:p>
    <w:p>
      <w:pPr>
        <w:ind w:left="442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Commission File Number: 001-36384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132715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9" w:lineRule="exact"/>
        <w:rPr>
          <w:sz w:val="24"/>
          <w:szCs w:val="24"/>
          <w:color w:val="auto"/>
        </w:rPr>
      </w:pPr>
    </w:p>
    <w:p>
      <w:pPr>
        <w:jc w:val="center"/>
        <w:ind w:left="2920"/>
        <w:spacing w:after="0"/>
        <w:rPr>
          <w:sz w:val="20"/>
          <w:szCs w:val="20"/>
          <w:color w:val="auto"/>
        </w:rPr>
      </w:pPr>
      <w:r>
        <w:rPr>
          <w:rFonts w:ascii="Arial" w:cs="Arial" w:eastAsia="Arial" w:hAnsi="Arial"/>
          <w:sz w:val="32"/>
          <w:szCs w:val="32"/>
          <w:b w:val="1"/>
          <w:bCs w:val="1"/>
          <w:color w:val="auto"/>
        </w:rPr>
        <w:t>MAGNITE, INC.</w:t>
      </w:r>
    </w:p>
    <w:p>
      <w:pPr>
        <w:spacing w:after="0" w:line="42"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p>
      <w:pPr>
        <w:jc w:val="center"/>
        <w:ind w:right="4360"/>
        <w:spacing w:after="0"/>
        <w:rPr>
          <w:sz w:val="20"/>
          <w:szCs w:val="20"/>
          <w:color w:val="auto"/>
        </w:rPr>
      </w:pPr>
      <w:r>
        <w:rPr>
          <w:rFonts w:ascii="Arial" w:cs="Arial" w:eastAsia="Arial" w:hAnsi="Arial"/>
          <w:sz w:val="15"/>
          <w:szCs w:val="15"/>
          <w:b w:val="1"/>
          <w:bCs w:val="1"/>
          <w:color w:val="auto"/>
        </w:rPr>
        <w:t>Delaware</w:t>
      </w:r>
    </w:p>
    <w:p>
      <w:pPr>
        <w:ind w:left="1200"/>
        <w:spacing w:after="0" w:line="220"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20-8881738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12" w:lineRule="exact"/>
        <w:rPr>
          <w:sz w:val="24"/>
          <w:szCs w:val="24"/>
          <w:color w:val="auto"/>
        </w:rPr>
      </w:pPr>
    </w:p>
    <w:p>
      <w:pPr>
        <w:sectPr>
          <w:pgSz w:w="11900" w:h="16838" w:orient="portrait"/>
          <w:cols w:equalWidth="0" w:num="2">
            <w:col w:w="8340" w:space="540"/>
            <w:col w:w="2260"/>
          </w:cols>
          <w:pgMar w:left="320" w:top="230" w:right="439" w:bottom="1440" w:gutter="0" w:footer="0" w:header="0"/>
          <w:type w:val="continuous"/>
        </w:sectPr>
      </w:pPr>
    </w:p>
    <w:p>
      <w:pPr>
        <w:jc w:val="center"/>
        <w:ind w:right="-339"/>
        <w:spacing w:after="0"/>
        <w:rPr>
          <w:sz w:val="20"/>
          <w:szCs w:val="20"/>
          <w:color w:val="auto"/>
        </w:rPr>
      </w:pPr>
      <w:r>
        <w:rPr>
          <w:rFonts w:ascii="Arial" w:cs="Arial" w:eastAsia="Arial" w:hAnsi="Arial"/>
          <w:sz w:val="16"/>
          <w:szCs w:val="16"/>
          <w:b w:val="1"/>
          <w:bCs w:val="1"/>
          <w:color w:val="auto"/>
        </w:rPr>
        <w:t>6080 Center Drive, 4th Floor</w:t>
      </w:r>
    </w:p>
    <w:p>
      <w:pPr>
        <w:spacing w:after="0" w:line="26"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Los Angeles, CA 90045</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310 207-0272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73025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vMerge w:val="restart"/>
          </w:tcPr>
          <w:p>
            <w:pPr>
              <w:jc w:val="center"/>
              <w:ind w:left="124"/>
              <w:spacing w:after="0"/>
              <w:rPr>
                <w:sz w:val="20"/>
                <w:szCs w:val="20"/>
                <w:color w:val="auto"/>
              </w:rPr>
            </w:pPr>
            <w:r>
              <w:rPr>
                <w:rFonts w:ascii="Arial" w:cs="Arial" w:eastAsia="Arial" w:hAnsi="Arial"/>
                <w:sz w:val="14"/>
                <w:szCs w:val="14"/>
                <w:b w:val="1"/>
                <w:bCs w:val="1"/>
                <w:color w:val="auto"/>
                <w:w w:val="89"/>
              </w:rPr>
              <w:t>Title of each class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Trading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20" w:type="dxa"/>
            <w:vAlign w:val="bottom"/>
          </w:tcPr>
          <w:p>
            <w:pPr>
              <w:jc w:val="center"/>
              <w:ind w:right="344"/>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8"/>
              </w:rPr>
              <w:t>Symbol(s)</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jc w:val="center"/>
              <w:ind w:right="344"/>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10"/>
        </w:trPr>
        <w:tc>
          <w:tcPr>
            <w:tcW w:w="3520" w:type="dxa"/>
            <w:vAlign w:val="bottom"/>
          </w:tcPr>
          <w:p>
            <w:pPr>
              <w:jc w:val="center"/>
              <w:ind w:left="144"/>
              <w:spacing w:after="0"/>
              <w:rPr>
                <w:sz w:val="20"/>
                <w:szCs w:val="20"/>
                <w:color w:val="auto"/>
              </w:rPr>
            </w:pPr>
            <w:r>
              <w:rPr>
                <w:rFonts w:ascii="Arial" w:cs="Arial" w:eastAsia="Arial" w:hAnsi="Arial"/>
                <w:sz w:val="16"/>
                <w:szCs w:val="16"/>
                <w:b w:val="1"/>
                <w:bCs w:val="1"/>
                <w:color w:val="auto"/>
                <w:w w:val="90"/>
              </w:rPr>
              <w:t>Common stock, par value $0.00001 per 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MGNI</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20" w:type="dxa"/>
            <w:vAlign w:val="bottom"/>
          </w:tcPr>
          <w:p>
            <w:pPr>
              <w:jc w:val="center"/>
              <w:ind w:right="344"/>
              <w:spacing w:after="0"/>
              <w:rPr>
                <w:sz w:val="20"/>
                <w:szCs w:val="20"/>
                <w:color w:val="auto"/>
              </w:rPr>
            </w:pPr>
            <w:r>
              <w:rPr>
                <w:rFonts w:ascii="Arial" w:cs="Arial" w:eastAsia="Arial" w:hAnsi="Arial"/>
                <w:sz w:val="16"/>
                <w:szCs w:val="16"/>
                <w:b w:val="1"/>
                <w:bCs w:val="1"/>
                <w:color w:val="auto"/>
                <w:w w:val="91"/>
              </w:rPr>
              <w:t>Nasdaq Global Select Market</w:t>
            </w:r>
          </w:p>
        </w:tc>
        <w:tc>
          <w:tcPr>
            <w:tcW w:w="0" w:type="dxa"/>
            <w:vAlign w:val="bottom"/>
          </w:tcPr>
          <w:p>
            <w:pPr>
              <w:spacing w:after="0"/>
              <w:rPr>
                <w:sz w:val="1"/>
                <w:szCs w:val="1"/>
                <w:color w:val="auto"/>
              </w:rPr>
            </w:pPr>
          </w:p>
        </w:tc>
      </w:tr>
      <w:tr>
        <w:trPr>
          <w:trHeight w:val="218"/>
        </w:trPr>
        <w:tc>
          <w:tcPr>
            <w:tcW w:w="3520" w:type="dxa"/>
            <w:vAlign w:val="bottom"/>
          </w:tcPr>
          <w:p>
            <w:pPr>
              <w:spacing w:after="0"/>
              <w:rPr>
                <w:sz w:val="18"/>
                <w:szCs w:val="18"/>
                <w:color w:val="auto"/>
              </w:rPr>
            </w:pPr>
          </w:p>
        </w:tc>
        <w:tc>
          <w:tcPr>
            <w:tcW w:w="4380" w:type="dxa"/>
            <w:vAlign w:val="bottom"/>
            <w:gridSpan w:val="8"/>
          </w:tcPr>
          <w:p>
            <w:pPr>
              <w:jc w:val="center"/>
              <w:ind w:right="400"/>
              <w:spacing w:after="0"/>
              <w:rPr>
                <w:sz w:val="20"/>
                <w:szCs w:val="20"/>
                <w:color w:val="auto"/>
              </w:rPr>
            </w:pPr>
            <w:r>
              <w:rPr>
                <w:rFonts w:ascii="Arial" w:cs="Arial" w:eastAsia="Arial" w:hAnsi="Arial"/>
                <w:sz w:val="15"/>
                <w:szCs w:val="15"/>
                <w:b w:val="1"/>
                <w:bCs w:val="1"/>
                <w:color w:val="auto"/>
                <w:w w:val="90"/>
              </w:rPr>
              <w:t>Securities registered pursuant to Section 12(g) of the Act:</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8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90"/>
              </w:rPr>
              <w:t>None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340" w:type="dxa"/>
            <w:vAlign w:val="bottom"/>
            <w:gridSpan w:val="4"/>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vMerge w:val="restart"/>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tc>
        <w:tc>
          <w:tcPr>
            <w:tcW w:w="3120" w:type="dxa"/>
            <w:vAlign w:val="bottom"/>
            <w:vMerge w:val="restart"/>
          </w:tcPr>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r>
        <w:trPr>
          <w:trHeight w:val="271"/>
        </w:trPr>
        <w:tc>
          <w:tcPr>
            <w:tcW w:w="7320" w:type="dxa"/>
            <w:vAlign w:val="bottom"/>
            <w:gridSpan w:val="6"/>
          </w:tcPr>
          <w:p>
            <w:pPr>
              <w:spacing w:after="0"/>
              <w:rPr>
                <w:sz w:val="20"/>
                <w:szCs w:val="20"/>
                <w:color w:val="auto"/>
              </w:rPr>
            </w:pPr>
            <w:r>
              <w:rPr>
                <w:rFonts w:ascii="Arial" w:cs="Arial" w:eastAsia="Arial" w:hAnsi="Arial"/>
                <w:sz w:val="15"/>
                <w:szCs w:val="15"/>
                <w:color w:val="auto"/>
                <w:w w:val="94"/>
              </w:rPr>
              <w:t>Indicate by check mark if the registrant is a well-known seasoned issuer, as defined in Rule 405 of the Securities Act.</w:t>
            </w:r>
          </w:p>
        </w:tc>
        <w:tc>
          <w:tcPr>
            <w:tcW w:w="580" w:type="dxa"/>
            <w:vAlign w:val="bottom"/>
            <w:gridSpan w:val="3"/>
            <w:vMerge w:val="continue"/>
          </w:tcPr>
          <w:p>
            <w:pPr>
              <w:spacing w:after="0"/>
              <w:rPr>
                <w:sz w:val="23"/>
                <w:szCs w:val="23"/>
                <w:color w:val="auto"/>
              </w:rPr>
            </w:pPr>
          </w:p>
        </w:tc>
        <w:tc>
          <w:tcPr>
            <w:tcW w:w="3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gridSpan w:val="6"/>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60" w:type="dxa"/>
            <w:vAlign w:val="bottom"/>
          </w:tcPr>
          <w:p>
            <w:pPr>
              <w:spacing w:after="0"/>
              <w:rPr>
                <w:sz w:val="23"/>
                <w:szCs w:val="23"/>
                <w:color w:val="auto"/>
              </w:rPr>
            </w:pPr>
          </w:p>
        </w:tc>
        <w:tc>
          <w:tcPr>
            <w:tcW w:w="520" w:type="dxa"/>
            <w:vAlign w:val="bottom"/>
            <w:gridSpan w:val="2"/>
          </w:tcPr>
          <w:p>
            <w:pPr>
              <w:ind w:left="80"/>
              <w:spacing w:after="0" w:line="173" w:lineRule="exact"/>
              <w:rPr>
                <w:sz w:val="20"/>
                <w:szCs w:val="20"/>
                <w:color w:val="auto"/>
              </w:rPr>
            </w:pPr>
            <w:r>
              <w:rPr>
                <w:rFonts w:ascii="MS PGothic" w:cs="MS PGothic" w:eastAsia="MS PGothic" w:hAnsi="MS PGothic"/>
                <w:sz w:val="15"/>
                <w:szCs w:val="15"/>
                <w:color w:val="auto"/>
                <w:w w:val="93"/>
              </w:rPr>
              <w:t>☐</w:t>
            </w:r>
            <w:r>
              <w:rPr>
                <w:rFonts w:ascii="Arial" w:cs="Arial" w:eastAsia="Arial" w:hAnsi="Arial"/>
                <w:sz w:val="15"/>
                <w:szCs w:val="15"/>
                <w:color w:val="auto"/>
                <w:w w:val="93"/>
              </w:rPr>
              <w:t xml:space="preserve"> Yes</w:t>
            </w:r>
          </w:p>
        </w:tc>
        <w:tc>
          <w:tcPr>
            <w:tcW w:w="3120" w:type="dxa"/>
            <w:vAlign w:val="bottom"/>
          </w:tcPr>
          <w:p>
            <w:pPr>
              <w:ind w:left="1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0" w:right="1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33" w:lineRule="exact"/>
        <w:rPr>
          <w:sz w:val="24"/>
          <w:szCs w:val="24"/>
          <w:color w:val="auto"/>
        </w:rPr>
      </w:pPr>
    </w:p>
    <w:p>
      <w:pPr>
        <w:ind w:left="120"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47"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3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3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2" w:lineRule="exact"/>
        <w:rPr>
          <w:sz w:val="24"/>
          <w:szCs w:val="24"/>
          <w:color w:val="auto"/>
        </w:rPr>
      </w:pPr>
    </w:p>
    <w:p>
      <w:pPr>
        <w:ind w:left="120" w:right="4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3" w:lineRule="exact"/>
        <w:rPr>
          <w:sz w:val="24"/>
          <w:szCs w:val="24"/>
          <w:color w:val="auto"/>
        </w:rPr>
      </w:pPr>
    </w:p>
    <w:p>
      <w:pPr>
        <w:ind w:left="120" w:right="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1" w:lineRule="exact"/>
        <w:rPr>
          <w:sz w:val="24"/>
          <w:szCs w:val="24"/>
          <w:color w:val="auto"/>
        </w:rPr>
      </w:pPr>
    </w:p>
    <w:p>
      <w:pPr>
        <w:ind w:left="120"/>
        <w:spacing w:after="0" w:line="173" w:lineRule="exact"/>
        <w:tabs>
          <w:tab w:leader="none" w:pos="6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00" w:lineRule="exact"/>
        <w:rPr>
          <w:sz w:val="24"/>
          <w:szCs w:val="24"/>
          <w:color w:val="auto"/>
        </w:rPr>
      </w:pPr>
    </w:p>
    <w:p>
      <w:pPr>
        <w:ind w:left="120" w:right="440"/>
        <w:spacing w:after="0" w:line="255" w:lineRule="auto"/>
        <w:rPr>
          <w:sz w:val="20"/>
          <w:szCs w:val="20"/>
          <w:color w:val="auto"/>
        </w:rPr>
      </w:pPr>
      <w:r>
        <w:rPr>
          <w:rFonts w:ascii="Arial" w:cs="Arial" w:eastAsia="Arial" w:hAnsi="Arial"/>
          <w:sz w:val="15"/>
          <w:szCs w:val="15"/>
          <w:color w:val="auto"/>
        </w:rPr>
        <w:t>As of June 30, 2020, the aggregate market value of shares held by non-affiliates of the registrant (based on the closing sales price of such shares on the Nasdaq Global Select Market on June 30, 2020) was approximately $646.3 million.</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61" w:lineRule="exact"/>
        <w:rPr>
          <w:sz w:val="24"/>
          <w:szCs w:val="24"/>
          <w:color w:val="auto"/>
        </w:rPr>
      </w:pPr>
    </w:p>
    <w:tbl>
      <w:tblPr>
        <w:tblLayout w:type="fixed"/>
        <w:tblInd w:w="120" w:type="dxa"/>
        <w:tblCellMar>
          <w:top w:w="0" w:type="dxa"/>
          <w:left w:w="0" w:type="dxa"/>
          <w:bottom w:w="0" w:type="dxa"/>
          <w:right w:w="0" w:type="dxa"/>
        </w:tblCellMar>
      </w:tblPr>
      <w:tr>
        <w:trPr>
          <w:trHeight w:val="192"/>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10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as of February 19, 2021</w:t>
            </w:r>
          </w:p>
        </w:tc>
      </w:tr>
      <w:tr>
        <w:trPr>
          <w:trHeight w:val="210"/>
        </w:trPr>
        <w:tc>
          <w:tcPr>
            <w:tcW w:w="556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$0.00001 par value</w:t>
            </w:r>
          </w:p>
        </w:tc>
        <w:tc>
          <w:tcPr>
            <w:tcW w:w="100" w:type="dxa"/>
            <w:vAlign w:val="bottom"/>
          </w:tcPr>
          <w:p>
            <w:pPr>
              <w:spacing w:after="0"/>
              <w:rPr>
                <w:sz w:val="18"/>
                <w:szCs w:val="18"/>
                <w:color w:val="auto"/>
              </w:rPr>
            </w:pPr>
          </w:p>
        </w:tc>
        <w:tc>
          <w:tcPr>
            <w:tcW w:w="5360" w:type="dxa"/>
            <w:vAlign w:val="bottom"/>
          </w:tcPr>
          <w:p>
            <w:pPr>
              <w:jc w:val="right"/>
              <w:ind w:right="2204"/>
              <w:spacing w:after="0"/>
              <w:rPr>
                <w:sz w:val="20"/>
                <w:szCs w:val="20"/>
                <w:color w:val="auto"/>
              </w:rPr>
            </w:pPr>
            <w:r>
              <w:rPr>
                <w:rFonts w:ascii="Arial" w:cs="Arial" w:eastAsia="Arial" w:hAnsi="Arial"/>
                <w:sz w:val="16"/>
                <w:szCs w:val="16"/>
                <w:b w:val="1"/>
                <w:bCs w:val="1"/>
                <w:color w:val="auto"/>
              </w:rPr>
              <w:t>115,570,100</w:t>
            </w:r>
          </w:p>
        </w:tc>
      </w:tr>
    </w:tbl>
    <w:p>
      <w:pPr>
        <w:spacing w:after="0" w:line="5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5"/>
          <w:szCs w:val="15"/>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164465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On February 25, 2021, Magnite, Inc. (the “Company”) filed its Annual Report on Form 10-K for the fiscal year ended December 31, 2020 (the “Original Form 10-K”). This Amendment No. 1 (the “Amendment”) amends Part III, Items 10 through 14 of the Original Form 10-K to include information previously omitted from the Original Form 10-K in reliance on General Instruction G(3) to Form 10-K. As a result of an administrative calendar oversight, the Company did not file a proxy statement involving the election of directors or an amendment to the Original Form 10-K before April 30, 2021, as required by the instructions. Accordingly, Part III of the Original Form 10-K is hereby amended as set forth below.</w:t>
      </w:r>
    </w:p>
    <w:p>
      <w:pPr>
        <w:spacing w:after="0" w:line="16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addition, as required by Rule 12b-15 under the Securities Exchange Act of 1934, as amended (the “Exchange Act”), new certifications by our principal executive officer and principal financial officer are filed as exhibits to this Amendment under Item 15 of Part IV hereof, which has been restated in its entirety.</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Except as stated herein, this Amendment does not reflect events occurring after the filing of the Original Form 10-K with the Securities and Exchange Commission on February 25, 2021 and no attempt has been made in this Amendment to modify or update other disclosures as presented in the Original Form 10-K.</w:t>
      </w:r>
    </w:p>
    <w:p>
      <w:pPr>
        <w:sectPr>
          <w:pgSz w:w="11900" w:h="16838" w:orient="portrait"/>
          <w:cols w:equalWidth="0" w:num="1">
            <w:col w:w="11120"/>
          </w:cols>
          <w:pgMar w:left="320" w:top="486"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MAGNITE,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600" w:type="dxa"/>
            <w:vAlign w:val="bottom"/>
            <w:gridSpan w:val="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III</w:t>
              </w:r>
            </w:hyperlink>
          </w:p>
        </w:tc>
        <w:tc>
          <w:tcPr>
            <w:tcW w:w="8740" w:type="dxa"/>
            <w:vAlign w:val="bottom"/>
            <w:gridSpan w:val="8"/>
            <w:vMerge w:val="restart"/>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79"/>
        </w:trPr>
        <w:tc>
          <w:tcPr>
            <w:tcW w:w="600" w:type="dxa"/>
            <w:vAlign w:val="bottom"/>
            <w:tcBorders>
              <w:bottom w:val="single" w:sz="8" w:color="0000EE"/>
            </w:tcBorders>
            <w:gridSpan w:val="2"/>
            <w:vMerge w:val="continue"/>
          </w:tcPr>
          <w:p>
            <w:pPr>
              <w:spacing w:after="0"/>
              <w:rPr>
                <w:sz w:val="15"/>
                <w:szCs w:val="15"/>
                <w:color w:val="auto"/>
              </w:rPr>
            </w:pPr>
          </w:p>
        </w:tc>
        <w:tc>
          <w:tcPr>
            <w:tcW w:w="8740" w:type="dxa"/>
            <w:vAlign w:val="bottom"/>
            <w:gridSpan w:val="8"/>
            <w:vMerge w:val="continue"/>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34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Item 10.  </w:t>
            </w:r>
            <w:hyperlink w:anchor="page4">
              <w:r>
                <w:rPr>
                  <w:rFonts w:ascii="Arial" w:cs="Arial" w:eastAsia="Arial" w:hAnsi="Arial"/>
                  <w:sz w:val="18"/>
                  <w:szCs w:val="18"/>
                  <w:color w:val="0000EE"/>
                </w:rPr>
                <w:t>Directors, Executive Officers and Corporate Governance</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4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Item 11.  </w:t>
            </w:r>
            <w:hyperlink w:anchor="page9">
              <w:r>
                <w:rPr>
                  <w:rFonts w:ascii="Arial" w:cs="Arial" w:eastAsia="Arial" w:hAnsi="Arial"/>
                  <w:sz w:val="18"/>
                  <w:szCs w:val="18"/>
                  <w:color w:val="0000EE"/>
                </w:rPr>
                <w:t>Executive Compensation</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4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Item 12.  </w:t>
            </w:r>
            <w:hyperlink w:anchor="page34">
              <w:r>
                <w:rPr>
                  <w:rFonts w:ascii="Arial" w:cs="Arial" w:eastAsia="Arial" w:hAnsi="Arial"/>
                  <w:sz w:val="18"/>
                  <w:szCs w:val="18"/>
                  <w:color w:val="0000EE"/>
                </w:rPr>
                <w:t>Security Ownership of Certain Beneficial Owners and Management and Related Stockholder Matters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4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Item 13.  </w:t>
            </w:r>
            <w:hyperlink w:anchor="page38">
              <w:r>
                <w:rPr>
                  <w:rFonts w:ascii="Arial" w:cs="Arial" w:eastAsia="Arial" w:hAnsi="Arial"/>
                  <w:sz w:val="18"/>
                  <w:szCs w:val="18"/>
                  <w:color w:val="0000EE"/>
                </w:rPr>
                <w:t>Certain Relationships and Related Transactions, and Director Independence</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4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Item 14.  </w:t>
            </w:r>
            <w:hyperlink w:anchor="page39">
              <w:r>
                <w:rPr>
                  <w:rFonts w:ascii="Arial" w:cs="Arial" w:eastAsia="Arial" w:hAnsi="Arial"/>
                  <w:sz w:val="18"/>
                  <w:szCs w:val="18"/>
                  <w:color w:val="0000EE"/>
                </w:rPr>
                <w:t>Principal Accountant Fees and Services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IV</w:t>
              </w:r>
            </w:hyperlink>
          </w:p>
        </w:tc>
        <w:tc>
          <w:tcPr>
            <w:tcW w:w="2820" w:type="dxa"/>
            <w:vAlign w:val="bottom"/>
            <w:tcBorders>
              <w:top w:val="single" w:sz="8" w:color="0000EE"/>
            </w:tcBorders>
            <w:gridSpan w:val="2"/>
          </w:tcPr>
          <w:p>
            <w:pPr>
              <w:spacing w:after="0"/>
              <w:rPr>
                <w:sz w:val="24"/>
                <w:szCs w:val="24"/>
                <w:color w:val="auto"/>
              </w:rPr>
            </w:pPr>
          </w:p>
        </w:tc>
        <w:tc>
          <w:tcPr>
            <w:tcW w:w="5740" w:type="dxa"/>
            <w:vAlign w:val="bottom"/>
            <w:gridSpan w:val="5"/>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34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Item 15.  </w:t>
            </w:r>
            <w:hyperlink w:anchor="page40">
              <w:r>
                <w:rPr>
                  <w:rFonts w:ascii="Arial" w:cs="Arial" w:eastAsia="Arial" w:hAnsi="Arial"/>
                  <w:sz w:val="18"/>
                  <w:szCs w:val="18"/>
                  <w:color w:val="0000EE"/>
                </w:rPr>
                <w:t>Exhibits, Financial Statement Schedules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gridSpan w:val="3"/>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570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Signatures</w:t>
              </w:r>
            </w:hyperlink>
          </w:p>
        </w:tc>
        <w:tc>
          <w:tcPr>
            <w:tcW w:w="8560" w:type="dxa"/>
            <w:vAlign w:val="bottom"/>
            <w:gridSpan w:val="7"/>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120" w:right="460" w:firstLine="440"/>
        <w:spacing w:after="0" w:line="286" w:lineRule="auto"/>
        <w:rPr>
          <w:sz w:val="20"/>
          <w:szCs w:val="20"/>
          <w:color w:val="auto"/>
        </w:rPr>
      </w:pPr>
      <w:r>
        <w:rPr>
          <w:rFonts w:ascii="Arial" w:cs="Arial" w:eastAsia="Arial" w:hAnsi="Arial"/>
          <w:sz w:val="17"/>
          <w:szCs w:val="17"/>
          <w:color w:val="auto"/>
        </w:rPr>
        <w:t>The table below lists the nine members of our board of directors and their committee assignments. A summary of the background for each nominee and continuing director is set forth after the table. These background summaries include the specific experience, qualifications, attributes, and/or skills that contributed to our board’s conclusion that the person should serve as a director of the company.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Committee Assignments</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Member</w:t>
            </w:r>
          </w:p>
        </w:tc>
        <w:tc>
          <w:tcPr>
            <w:tcW w:w="0" w:type="dxa"/>
            <w:vAlign w:val="bottom"/>
          </w:tcPr>
          <w:p>
            <w:pPr>
              <w:spacing w:after="0"/>
              <w:rPr>
                <w:sz w:val="1"/>
                <w:szCs w:val="1"/>
                <w:color w:val="auto"/>
              </w:rPr>
            </w:pPr>
          </w:p>
        </w:tc>
      </w:tr>
      <w:tr>
        <w:trPr>
          <w:trHeight w:val="11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Age</w:t>
            </w:r>
            <w:r>
              <w:rPr>
                <w:rFonts w:ascii="Arial" w:cs="Arial" w:eastAsia="Arial" w:hAnsi="Arial"/>
                <w:sz w:val="10"/>
                <w:szCs w:val="10"/>
                <w:b w:val="1"/>
                <w:bCs w:val="1"/>
                <w:color w:val="auto"/>
                <w:w w:val="92"/>
              </w:rPr>
              <w:t>(1)</w:t>
            </w:r>
          </w:p>
        </w:tc>
        <w:tc>
          <w:tcPr>
            <w:tcW w:w="312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Position</w:t>
            </w:r>
          </w:p>
        </w:tc>
        <w:tc>
          <w:tcPr>
            <w:tcW w:w="4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Audit</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Compensation</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Nominating &amp;</w:t>
            </w:r>
          </w:p>
        </w:tc>
        <w:tc>
          <w:tcPr>
            <w:tcW w:w="2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1"/>
              </w:rPr>
              <w:t>Governance</w:t>
            </w:r>
          </w:p>
        </w:tc>
        <w:tc>
          <w:tcPr>
            <w:tcW w:w="10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Paul Caine</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Chairman of the Board</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April 2020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Michael G. Barrett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3120" w:type="dxa"/>
            <w:vAlign w:val="bottom"/>
            <w:gridSpan w:val="2"/>
          </w:tcPr>
          <w:p>
            <w:pPr>
              <w:spacing w:after="0"/>
              <w:rPr>
                <w:sz w:val="20"/>
                <w:szCs w:val="20"/>
                <w:color w:val="auto"/>
              </w:rPr>
            </w:pPr>
            <w:r>
              <w:rPr>
                <w:rFonts w:ascii="Arial" w:cs="Arial" w:eastAsia="Arial" w:hAnsi="Arial"/>
                <w:sz w:val="18"/>
                <w:szCs w:val="18"/>
                <w:color w:val="auto"/>
              </w:rPr>
              <w:t>CEO and Director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March 2017</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Frankenberg</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Director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2014</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Sarah P. Harden</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3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July 2019</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Knopper</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Chair</w:t>
            </w: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2020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Rachel Lam</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3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jc w:val="center"/>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X</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April 2020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Rossman</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X</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2020</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Robert F. Spillane</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3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60" w:type="dxa"/>
            <w:vAlign w:val="bottom"/>
          </w:tcPr>
          <w:p>
            <w:pPr>
              <w:jc w:val="center"/>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Chair</w:t>
            </w:r>
          </w:p>
        </w:tc>
        <w:tc>
          <w:tcPr>
            <w:tcW w:w="1080" w:type="dxa"/>
            <w:vAlign w:val="bottom"/>
          </w:tcPr>
          <w:p>
            <w:pPr>
              <w:jc w:val="center"/>
              <w:spacing w:after="0"/>
              <w:rPr>
                <w:sz w:val="20"/>
                <w:szCs w:val="20"/>
                <w:color w:val="auto"/>
              </w:rPr>
            </w:pPr>
            <w:r>
              <w:rPr>
                <w:rFonts w:ascii="Arial" w:cs="Arial" w:eastAsia="Arial" w:hAnsi="Arial"/>
                <w:sz w:val="18"/>
                <w:szCs w:val="18"/>
                <w:color w:val="auto"/>
                <w:w w:val="98"/>
              </w:rPr>
              <w:t>April 2014</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L. Troe</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2014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May 4, 2021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 – Class I</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b w:val="1"/>
          <w:bCs w:val="1"/>
          <w:i w:val="1"/>
          <w:iCs w:val="1"/>
          <w:color w:val="auto"/>
        </w:rPr>
        <w:t xml:space="preserve">Robert J. Frankenberg </w:t>
      </w:r>
      <w:r>
        <w:rPr>
          <w:rFonts w:ascii="Arial" w:cs="Arial" w:eastAsia="Arial" w:hAnsi="Arial"/>
          <w:sz w:val="16"/>
          <w:szCs w:val="16"/>
          <w:color w:val="auto"/>
        </w:rPr>
        <w:t>joined our board of directors in connection with our initial public offering in April 2014. Mr. Frankenberg has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NetVentures, a management consulting and investment firm focused on the high-tech industry, since 1996. He served on the board of directors of public company Nuance Communications from March 2000 to June 2018. He previously served as a member of the boards of directors of public companies Polycom from October 2013 to September 2016, Wave Systems from December 2011 to June 2015 and National Semiconductor until October 2011. He also serves on the board of Veracity Networks, the Sundance Institute and Western Governor’s University (WGU) Development. Prior to its sale in 2004, Mr. Frankenberg chaired Kinzan, a leading provider of Internet services platforms. Mr. Frankenberg was the chairman, president, and CEO of Encanto Networks from June 1997 to July 2000 when the company’s major business was sold to Avaya. Encanto was a leading provider of eBusiness software and services to small business. From April 1994 to August 1996, Mr. Frankenberg was the Chairman/CEO of Novell, a networking software company. Prior to Novell, Mr. Frankenberg was the Vice President &amp; Group General Manager of Hewlett-Packard’s Personal Information Products Group, responsible for HP’s personal computer, server, networking, office software, calculator, and consumer product lines. Mr. Frankenberg joined Hewlett-Packard in 1969 as a manufacturing technician, later became a design engineer, software designer, project manager, engineering and marketing executive, and general manager. He became a corporate vice president in 1990 and general manager of the Personal Information Products Group in 1991. He served in the US Air Force from 1965 to 1969. Mr. Frankenberg previously served on various other boards, including for America OnLine (AOL), and holds several computer design patents. He brings to the board a deep knowledge of software, computer networks and systems, business operations, the technology industry, and public company governance and board service.</w:t>
      </w:r>
    </w:p>
    <w:p>
      <w:pPr>
        <w:spacing w:after="0" w:line="16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Sarah P. Harden </w:t>
      </w:r>
      <w:r>
        <w:rPr>
          <w:rFonts w:ascii="Arial" w:cs="Arial" w:eastAsia="Arial" w:hAnsi="Arial"/>
          <w:sz w:val="17"/>
          <w:szCs w:val="17"/>
          <w:color w:val="auto"/>
        </w:rPr>
        <w:t>joined our board of directors in July 2019. Ms. Harden brings more than two decades of experience in digital media,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entertainment and direct-to-consumer video to the Company’s Board. Since January 2018, Ms. Harden has served as the Chief Executive Officer of Reese Witherspoon’s media company Hello Sunshine. Prior to that, Ms. Harden held executive-level positions at Otter Media/The Chernin Group from 2013 to 2018, including President and Executive Vice President. Ms. Harden previously served as board member of privately held ESPN-Star Sports, Star China Media and The Moby Group and as a board director overseeing successful acquisitions and exits of private portfolio companies including Crunchyroll, Fullscreen, Roosterteeth, McBeard, Stagebloc and minority-invested company DLVR. Ms. Harden received her MBA from Harvard Business School and graduated with honors with a B.A. in international relations from The University of Melbourne. Ms. Harden brings to the board extensive experience leading and growing digital video, media and entertainment companies.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James Rossman </w:t>
      </w:r>
      <w:r>
        <w:rPr>
          <w:rFonts w:ascii="Arial" w:cs="Arial" w:eastAsia="Arial" w:hAnsi="Arial"/>
          <w:sz w:val="18"/>
          <w:szCs w:val="18"/>
          <w:color w:val="auto"/>
        </w:rPr>
        <w:t>has been a member of our board of directors since April 2020. He previously served as a member of Telaria’s board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until April 2020, and served as Chairman of Telaria’s board from August 2012 to May 2013. Mr. Rossman currently serves as an Operating Partner at Silver Lake. From November 2012 to April 2018, he served as Special Advisor to General Atlantic, a global growth equity firm. From April 2009 to June 2012, he served in various roles at AKQA Inc., a digital services company, including President and Chief Operating Officer. From April 2001 to March 2009, Mr. Rossman served in several roles at Digitas, Inc., an integrated advertising agency and a member of the Publicis Groupe, S.A. (as of 2007), including as Chief Operating Officer. Mr. Rossman received a B.A. in economics from Trinity College and an M.M.M. from the Kellogg School of Management at Northwestern University. Mr. Rossman brings significant experience in operating and managing media agencies and advertising technology companies.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Incumbent Directors – Class II</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Michael G. Barrett </w:t>
      </w:r>
      <w:r>
        <w:rPr>
          <w:rFonts w:ascii="Arial" w:cs="Arial" w:eastAsia="Arial" w:hAnsi="Arial"/>
          <w:sz w:val="18"/>
          <w:szCs w:val="18"/>
          <w:color w:val="auto"/>
        </w:rPr>
        <w:t>has been a member of our board of directors and has served as our Chief Executive Officer since March 2017. Mr. Barret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served as our President since March 2017, except for the period from April 2020 to June 2020. Mr. Barrett has served as the President of Ichabod Farm Ventures LLC, an investment company that he founded, since December 2012. From January 2014 to December 2015, he served as President and Chief Executive Officer of Millennial Media, Inc. From July 2012 to December 2012, Mr. Barrett served as Global Chief Revenue Officer and Executive Vice President at Yahoo! Inc. Prior to Yahoo!, from January 2012 to July 2012, Mr. Barrett served as Director at Google Inc., where he led the integration efforts following Google’s acquisition of AdMeld Inc., a global supply side platform solution for premium publishers. Mr. Barrett previously served as Chief Executive Officer at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AdMeld from November 2008 to December 2011. Mr. Barrett also held senior positions at AOL, Fox Interactive Media and Disney Online. Mr. Barrett served on the board of directors of Media Math, a demand-side platform, from January 2013 to April 2020. Mr. Barrett brings to the board extensive experience in digital advertising and advertising technology, as well as significant executive management expertise.</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Rachel Lam </w:t>
      </w:r>
      <w:r>
        <w:rPr>
          <w:rFonts w:ascii="Arial" w:cs="Arial" w:eastAsia="Arial" w:hAnsi="Arial"/>
          <w:sz w:val="17"/>
          <w:szCs w:val="17"/>
          <w:color w:val="auto"/>
        </w:rPr>
        <w:t>has been a member of our board of directors since April 2020. She previously served as a member of Telaria’s board since May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Lam is the Co-Founder and Managing Partner of Imagination Capital, an early stage venture capital firm founded in 2017. From 2003 to 2017, Ms. Lam served as Group Managing Director of the Time Warner Investments Group, the strategic investing arm of Time Warner Inc. She managed Time Warner’s investments in numerous digital media companies, and served on the board of directors of privately held Maker Studios and Bluefin Labs prior to their sales to the Walt Disney Company and Twitter, respectively. Ms. Lam currently serves on the board of directors of The Center for Reproductive Rights. Ms. Lam received a B.S. in industrial engineering and operations research from U.C. Berkeley and an M.B.A. from Harvard Business School. Ms. Lam brings to the board extensive experience investing in early and late stage digital media and technology companies, as well experience in banking and mergers and acquisitions.</w:t>
      </w:r>
    </w:p>
    <w:p>
      <w:pPr>
        <w:spacing w:after="0" w:line="17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Robert F. Spillane </w:t>
      </w:r>
      <w:r>
        <w:rPr>
          <w:rFonts w:ascii="Arial" w:cs="Arial" w:eastAsia="Arial" w:hAnsi="Arial"/>
          <w:sz w:val="16"/>
          <w:szCs w:val="16"/>
          <w:color w:val="auto"/>
        </w:rPr>
        <w:t>joined our board of directors in connection with our initial public offering in April 2014. From 1998 to 2017, Mr. Spillane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Managing Principal at DigaComm, L.L.C., a private investment firm that leads early-stage venture capital transactions, primarily involving companies in technology and digital media. Mr. Spillane was formerly a Principal and President and CEO of the investment group DM Holdings, Inc., which was formed in 1991 to acquire Donnelley Marketing, Inc. from The Dun and Bradstreet Corporation. Donnelley Marketing was a leading direct marketing and information services company. Mr. Spillane served as President and CEO, and on the board of directors of Donnelley Marketing, Inc. Prior to joining DM Holdings, Mr. Spillane was the Executive Vice President of Diamandis Communications, Inc., then a leading consumer magazine publisher, formed in 1987 in a leveraged buyout of CBS Magazines from CBS Inc., and also served as a member of the Diamandis board of directors from 1987 to 1990. Prior to Diamandis, Mr. Spillane held various executive positions with CBS, Inc., including Senior Vice President Group Publisher, Vice President of Circulation, Vice President General Manager of the CBS Special Interest Magazine Group, and Vice President Sales and Marketing of Fawcett Books. His ten-year career at CBS culminated in service from 1985 to 1987 as Senior Vice President, Publishing of CBS Magazines. In that capacity, he was directly responsible for 10 magazines. From 1972 to 1977, Mr. Spillane held various positions with Chesebrough Ponds, Inc. Mr. Spillane also served on the board of directors of TVSM, Inc., a private media company, from 1992-1998. Mr. Spillane brings to the board expertise in the publishing and advertising businesses, as well as significant experience with operations and mergers and acquisitions.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Incumbent Directors – Class III</w:t>
      </w:r>
    </w:p>
    <w:p>
      <w:pPr>
        <w:spacing w:after="0" w:line="121"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b w:val="1"/>
          <w:bCs w:val="1"/>
          <w:i w:val="1"/>
          <w:iCs w:val="1"/>
          <w:color w:val="auto"/>
        </w:rPr>
        <w:t xml:space="preserve">Paul Caine </w:t>
      </w:r>
      <w:r>
        <w:rPr>
          <w:rFonts w:ascii="Arial" w:cs="Arial" w:eastAsia="Arial" w:hAnsi="Arial"/>
          <w:sz w:val="16"/>
          <w:szCs w:val="16"/>
          <w:color w:val="auto"/>
        </w:rPr>
        <w:t>has been a member and Chairman of our board of directors since April 2020. He previously served as the non-executive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Telaria from January 1, 2020 until April 2020 and as a member of Telaria’s board of directors from June 2014 until April 2020. He served as Telaria’s executive Chairman from July 2017 to December 31, 2019 and Telaria’s Interim Chief Executive Officer from February 2017 to July 2017 and as the non-executive Chairman of the Board from July 2016 to February 2017. Mr. Caine has served as President, On Location at Endeavor Group Holdings, Inc. since January 2020. Mr. Caine has served as the Chairman and Executive Director of the Board of Engine Group, a global marketing company, since January 2018, and as CEO and Founder of PC Ventures, LLC, an investment and advisory firm since August 2017. Mr. Caine served as the Chief Global Revenue Officer for Bloomberg Media from June 2014 to July 2016. From April 2013 to January 2014 he served as Chief Executive Officer and a member of the board of directors of WestwoodOne, Inc., the largest independent national audio media company in the U.S. From 1989 to 2013,</w:t>
      </w:r>
    </w:p>
    <w:p>
      <w:pPr>
        <w:spacing w:after="0" w:line="1" w:lineRule="exact"/>
        <w:rPr>
          <w:sz w:val="20"/>
          <w:szCs w:val="20"/>
          <w:color w:val="auto"/>
        </w:rPr>
      </w:pPr>
    </w:p>
    <w:p>
      <w:pPr>
        <w:ind w:left="120" w:right="160"/>
        <w:spacing w:after="0" w:line="252" w:lineRule="auto"/>
        <w:rPr>
          <w:sz w:val="20"/>
          <w:szCs w:val="20"/>
          <w:color w:val="auto"/>
        </w:rPr>
      </w:pPr>
      <w:r>
        <w:rPr>
          <w:rFonts w:ascii="Arial" w:cs="Arial" w:eastAsia="Arial" w:hAnsi="Arial"/>
          <w:sz w:val="18"/>
          <w:szCs w:val="18"/>
          <w:color w:val="auto"/>
        </w:rPr>
        <w:t>Mr. Caine served in various capacities at Time Inc., including Executive Vice President, Chief Revenue Officer and Group President Time Inc. from January 2011 until April 2013, Executive Vice President, President and Group Publisher, Style &amp; Entertainment Group from January 2010 to January 2011, and President, Style &amp; Entertainment Group from January 2008 to January 2010. From 2007 to 2011, Mr. Caine served on the board of directors of Nexcen Brands, Inc., a strategic brand management company with a focus on retail franchising, where he served as a member of the audit and governance committees. Mr. Caine received a B.A. in Telecommunications with a minor in Business from Indiana University. Mr. Caine brings to the board expertise in branding and multi-media advertising sales and marketing, as well extensive experience serving on the boards of directors of public and private companies.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Doug Knopper </w:t>
      </w:r>
      <w:r>
        <w:rPr>
          <w:rFonts w:ascii="Arial" w:cs="Arial" w:eastAsia="Arial" w:hAnsi="Arial"/>
          <w:sz w:val="17"/>
          <w:szCs w:val="17"/>
          <w:color w:val="auto"/>
        </w:rPr>
        <w:t>has been a member of our board of directors since April 2020. He previously served as a member of Telaria’s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October 2018 until April 2020. Mr. Knopper is the Co-Founder of FreeWheel Media, Inc. and served as its Co-Chief Executive Officer from February 2007 to September 2017. FreeWheel, which was acquired by Comcast in 2014, provides a technology platform for the management and monetization of digital television advertising. Prior to founding FreeWheel, Mr. Knopper served as the Chief Executive Officer of BitPass Inc. from 2005 to 2007 and as Senior Vice President/General Manager of DoubleClick Inc. from 2000 to 2005. Mr. Knopper received a B.A. from the University of Michigan and an M.B.A from Georgetown University. Mr. Knopper brings to the board deep expertise and business relationships in digital video advertising and CTV, as well as experience founding, building and leading advertising technology companies.</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Lisa L. Troe </w:t>
      </w:r>
      <w:r>
        <w:rPr>
          <w:rFonts w:ascii="Arial" w:cs="Arial" w:eastAsia="Arial" w:hAnsi="Arial"/>
          <w:sz w:val="16"/>
          <w:szCs w:val="16"/>
          <w:color w:val="auto"/>
        </w:rPr>
        <w:t>has been a member of our board of directors since February 2014. She is a Senior Managing Director of Athena Advisors LLC,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advisory firm she co-founded in 2014. From 2005 through 2013, Ms. Troe was a Senior Managing Director at FTI Consulting, Inc. (NYSE: FCN), a global business advisory firm. From 1995 through 2005, Ms. Troe served on the staff of the U.S. Securities and Exchange Commission’s Pacific regional office, including seven years as an Enforcement Branch Chief and six years as the Regional Chief Enforcement Accountant. Ms. Troe is a director of Stem, Inc. (NYSE: STEM), a technology driven provider of energy storage systems management services that employs a proprietary AI-enabled software platform to optimize the value of energy savings by automatically switching between battery power, onsite generation and grid power. Ms. Troe is a director of HireRight GIS Group Holdings LLC, which provides employers with global background screening and other workforce solutions. Ms. Troe has served as a director on private company boards in multiple industries and as an independent member of a special litigation committee of a public gaming industry manufacturing company. Ms. Troe’s career includes accounting positions in public and private companies and with a Big Four public accounting firm. She is a National Association of Corporate Directors Board Leadership Fellow, CERT certified in cybersecurity by SEI of Carnegie Mellon University, a member of NACD and other professional organizations, and a CPA. Ms. Troe brings to the board an extensive background in public company governance and oversight, enterprise risk management, and public company accounting, financial reporting and disclosure. She has diverse experience with a wide range of industries, allowing her to bring additional perspective to our board.</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certain information regarding our executive officers as of May 4, 2021.</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160" w:type="dxa"/>
            <w:vAlign w:val="bottom"/>
          </w:tcPr>
          <w:p>
            <w:pPr>
              <w:ind w:left="3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r>
      <w:tr>
        <w:trPr>
          <w:trHeight w:val="196"/>
        </w:trPr>
        <w:tc>
          <w:tcPr>
            <w:tcW w:w="3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G. Barrett</w:t>
            </w: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David L. Day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Katie Evans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2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Shawna Hughes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Accounting Officer and Chief People Officer</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Joseph Prusz</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Chief Revenue Officer</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Saltz</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Adam Soroca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Head of Global Buyer Team</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Michael G. Barrett. </w:t>
      </w:r>
      <w:r>
        <w:rPr>
          <w:rFonts w:ascii="Arial" w:cs="Arial" w:eastAsia="Arial" w:hAnsi="Arial"/>
          <w:sz w:val="18"/>
          <w:szCs w:val="18"/>
          <w:color w:val="auto"/>
        </w:rPr>
        <w:t>See above for Mr. Barrett’s biography.</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David L. Day </w:t>
      </w:r>
      <w:r>
        <w:rPr>
          <w:rFonts w:ascii="Arial" w:cs="Arial" w:eastAsia="Arial" w:hAnsi="Arial"/>
          <w:sz w:val="17"/>
          <w:szCs w:val="17"/>
          <w:color w:val="auto"/>
        </w:rPr>
        <w:t>has served as our Chief Financial Officer since May 2016 and served as our Chief Accounting Officer from March 2013 to August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From May 2011 to March 2013, Mr. Day served as the Chief Accounting Officer at ReachLocal, Inc., a public company servicing small and medium-sized businesses as their digital ad agency. Prior to that, Mr. Day provided finance and accounting-related consulting services to technology and telecommunications companies and was co-founder of SignJammer Corporation, a start-up in the out-of-home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advertising market, from 2008 to 2011. His career also includes experience as Vice President of Finance for Spot Runner, a technology-based ad agency for small and medium-sized business, Senior Vice President of Finance for Yahoo! Search Marketing, Senior Vice President of Finance and Corporate Controller of Overture, and public accounting experience with PricewaterhouseCoopers and Arthur Andersen.</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Thomas Kershaw </w:t>
      </w:r>
      <w:r>
        <w:rPr>
          <w:rFonts w:ascii="Arial" w:cs="Arial" w:eastAsia="Arial" w:hAnsi="Arial"/>
          <w:sz w:val="18"/>
          <w:szCs w:val="18"/>
          <w:color w:val="auto"/>
        </w:rPr>
        <w:t>has served as our Chief Technology Officer since October 2016. Previously, Mr. Kershaw served as Director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of Google from March 2013 to October 2016, and Senior Vice President and General Manager of the Iconectiv business unit of Ericsson, a communications technology company, from March 2008 to March 2013. Mr. Kershaw has also held executive positions at VeriSign, Clarent Corporation and Unisys, and was Chief Technical Officer of SS8 Networks.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Aaron Saltz </w:t>
      </w:r>
      <w:r>
        <w:rPr>
          <w:rFonts w:ascii="Arial" w:cs="Arial" w:eastAsia="Arial" w:hAnsi="Arial"/>
          <w:sz w:val="18"/>
          <w:szCs w:val="18"/>
          <w:color w:val="auto"/>
        </w:rPr>
        <w:t>has served as our General Counsel and Corporate Secretary since April 1, 2020. Previously, Mr. Saltz served as General Counsel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Telaria from November 2015 to April 2020 and as Vice President, Associate General Counsel from January 2013 to October 2015. Prior to Telaria, Mr. Saltz worked as an attorney in the mergers &amp; acquisitions department of Skadden, Arps, Slate, Meagher &amp; Flom LLP from 2005 to 2013. Mr. Saltz holds a B.A. from Cornell University and a J.D. from the Harvard Law School.</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Katie Evans </w:t>
      </w:r>
      <w:r>
        <w:rPr>
          <w:rFonts w:ascii="Arial" w:cs="Arial" w:eastAsia="Arial" w:hAnsi="Arial"/>
          <w:sz w:val="18"/>
          <w:szCs w:val="18"/>
          <w:color w:val="auto"/>
        </w:rPr>
        <w:t>has served as our Chief Operating Officer since September 2020. From April 1, 2020 through August 2020, Ms. Evans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General Manager, CTV. Previously, she served as Senior Vice President and Chief Operating Officer of Telaria from March 2017 to April 2020 and as Senior Vice President, Strategy &amp; Operations, from November 2015 to March 2017. Ms. Evans holds a B.S. in Business Administration from the University of Richmond.</w:t>
      </w:r>
    </w:p>
    <w:p>
      <w:pPr>
        <w:spacing w:after="0" w:line="18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Joseph Prusz </w:t>
      </w:r>
      <w:r>
        <w:rPr>
          <w:rFonts w:ascii="Arial" w:cs="Arial" w:eastAsia="Arial" w:hAnsi="Arial"/>
          <w:sz w:val="17"/>
          <w:szCs w:val="17"/>
          <w:color w:val="auto"/>
        </w:rPr>
        <w:t>has served as our Chief Revenue Officer since December 2017 and is responsible for maintaining and growing our revenue stream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across all formats, channels, and inventory types. Prior to that, since joining the company in September 2008, Mr. Prusz had various roles of increasing responsibility in our sales department, including leading the Americas region and serving as Head of Mobile.</w:t>
      </w:r>
    </w:p>
    <w:p>
      <w:pPr>
        <w:spacing w:after="0" w:line="16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Adam Soroca </w:t>
      </w:r>
      <w:r>
        <w:rPr>
          <w:rFonts w:ascii="Arial" w:cs="Arial" w:eastAsia="Arial" w:hAnsi="Arial"/>
          <w:sz w:val="16"/>
          <w:szCs w:val="16"/>
          <w:color w:val="auto"/>
        </w:rPr>
        <w:t>has served as our Head of Global Buyer Team since our acquisition of nToggle, Inc. in July 2017. Mr. Soroca co-founded nToggle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2014 and served as its Chief Executive Officer and a member of the board of directors until nToggle’s sale to the company. Prior to founding nToggle, Mr. Soroca was the chief product officer at Millennial Media (via acquisition of Jumptap) from November 2013 to July 2014, where he oversaw the global product and operations teams. Prior to Millennial Media, from June 2005 to November 2013, Mr. Soroca was the chief product officer and a founding leadership team member at Jumptap, the leading mobile programmatic and audience platform. Mr. Soroca serves as an advisor at CoachUp, Inc., viisights and Chalk Digital. He pioneered bringing both audience data (DMP) and programmatic capabilities (DSP) to the mobile industry. He is a digital advertising entrepreneur and inventor, holding over 90 awarded patents spanning mobile advertising and search techniques.</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Shawna Hughes </w:t>
      </w:r>
      <w:r>
        <w:rPr>
          <w:rFonts w:ascii="Arial" w:cs="Arial" w:eastAsia="Arial" w:hAnsi="Arial"/>
          <w:sz w:val="16"/>
          <w:szCs w:val="16"/>
          <w:color w:val="auto"/>
        </w:rPr>
        <w:t>has served as our Chief Accounting Officer since June 2020 and as our Chief People Officer since January 2021. From July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closing of the Company’s merger with Telaria in April 2020 she served as Head of Global Human Resources. From 2015 to 2018, she served as Vice President of People Operations. Prior to joining the Company, from June 2007 to November 2015, Ms. Hughes served in the roles of Senior Director of International Accounting, Director of Revenue Accounting, and Director of Diversity and Inclusion at Concur Technologies, Inc.</w:t>
      </w:r>
    </w:p>
    <w:p>
      <w:pPr>
        <w:spacing w:after="0" w:line="1"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Ms. Hughes holds a Bachelor of Science in International Business from George Fox University and a Master of Accounting from the University of Notre Dame and is a Certified Public Accountant.</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Section 16(a) of the Exchange Act requires our directors, executive officers, and persons who beneficially own more than ten percent of our common stock to file reports on Forms 3, 4 and 5 with the SEC concerning their ownership of, and transactions in, our common stock.</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 our knowledge, based solely on our review of the copies of such reports furnished to us and on the representations of the reporting persons, all of these reports were timely filed for the fiscal year ended December 31, 2020, except that: (i) a report on Form 4 for Blima Tuller, our former Chief Accounting Officer, relating to a restricted stock unit grant made on February 1, 2020 was filed late on February 20, 2020, and (ii) reports on Form 4 for each of our non-management directors relating to annual restricted stock unit grants made on July 8, 2020 were filed late on July 16, 2020.</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Our board of directors has adopted a Code of Business Conduct and Ethics that applies to each of our directors, officers and employees. The full text of our Code of Business Conduct and Ethics is posted on the “Corporate Governance” section of our Investor Relations website at </w:t>
      </w:r>
      <w:r>
        <w:rPr>
          <w:rFonts w:ascii="Arial" w:cs="Arial" w:eastAsia="Arial" w:hAnsi="Arial"/>
          <w:sz w:val="17"/>
          <w:szCs w:val="17"/>
          <w:u w:val="single" w:color="auto"/>
          <w:color w:val="auto"/>
        </w:rPr>
        <w:t>http://investor.magnite.com</w:t>
      </w:r>
      <w:r>
        <w:rPr>
          <w:rFonts w:ascii="Arial" w:cs="Arial" w:eastAsia="Arial" w:hAnsi="Arial"/>
          <w:sz w:val="17"/>
          <w:szCs w:val="17"/>
          <w:color w:val="auto"/>
        </w:rPr>
        <w:t>. We intend to post any amendment to our Code of Business Conduct and Ethics, and any waivers of the Code for directors and executive officers, on the same website to the extent required by rules adopted by the SEC and Nasdaq.</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There are no material changes to the procedures by which security holders may recommend nominees to the Company’s board of directors.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audit committee is responsible for, among other things, providing assistance to the board of directors in fulfilling its oversight responsibilities regarding the integrity of our financial statements, our compliance with applicable legal and regulatory requirements, the integrity of our financial reporting processes, including our systems of internal accounting and financial controls, the performance of our internal audit function and our independent registered public accounting firm, and our financial policy matters. The audit committee approves the services performed by our independent registered public accounting firm and reviews their reports regarding our accounting practices and systems of internal control over financial reporting, as applicable. The audit committee also oversees the audit efforts and confirms the independence of our independent registered public accounting firm. Our board of directors has determined that each member of our audit committee satisfies the financial literacy requirements of the SEC and Nasdaq, and that each of Ms. Troe, Ms. Lam, Mr. Rossman and Mr. Spillane qualifies as an “audit committee financial expert,” as defined in the SEC rules.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Each member of our board of directors who is not employed by us or any of our subsidiaries, referred to as a non-employee director, is compensated for service on our board through a combination of annual cash retainers and equity awards. For purposes of our director compensation program, a non-employee director is a member of our board who is not, and has not been within the previous 180 days, either an employee of ours or any of our subsidiaries or a consultant performing material services to us or any of our subsidiaries. In order to align the interests of non-employee directors and stockholders, equity awards constitute a majority of total director compensation.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86"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Directors are reimbursed for travel, food, lodging and other expenses directly related to their activities as directors, such as attendance at board or committee meetings. Directors are also entitled to the protection provided by their indemnification agreements and the indemnification provisions in our certificate of incorporation and bylaws, and they receive coverage under a director and officer insurance policy that we maintain.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Market Assessment</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early 2020, in connection with the merger with Telaria, the compensation committee engaged Semler Brossy to perform a comprehensive review of non-employee director pay to ensure the programs were competitive and reflective of the larger, combined company going forward. Following the close of the merger in April 2020, the following changes were made: the membership cash retainer was increased to $50,000 (from $30,000) and the Chairman retainer for Mr. Caine’s role as non-employee Chairman was established at an additional $50,000 for his leadership role.</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Annual Cash Fees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2020, directors received annual cash retainer fees as described in the table below for board and committee service. The fees are paid in four equal quarterly advance installments and prorated for any partial year of board service.</w:t>
      </w:r>
    </w:p>
    <w:p>
      <w:pPr>
        <w:spacing w:after="0" w:line="179"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94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w w:val="93"/>
              </w:rPr>
              <w:t xml:space="preserve">Retainer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6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Board Member</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75"/>
              </w:rPr>
              <w:t>(1)</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20,000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9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12,500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Nominating &amp; Governance Committee Chair</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7,500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9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10,000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5,000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&amp; Governance Committee Member</w:t>
            </w:r>
          </w:p>
        </w:tc>
        <w:tc>
          <w:tcPr>
            <w:tcW w:w="9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3,500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Board Chairman</w:t>
            </w:r>
          </w:p>
        </w:tc>
        <w:tc>
          <w:tcPr>
            <w:tcW w:w="940" w:type="dxa"/>
            <w:vAlign w:val="bottom"/>
            <w:gridSpan w:val="2"/>
          </w:tcPr>
          <w:p>
            <w:pPr>
              <w:jc w:val="right"/>
              <w:ind w:right="137"/>
              <w:spacing w:after="0"/>
              <w:rPr>
                <w:sz w:val="20"/>
                <w:szCs w:val="20"/>
                <w:color w:val="auto"/>
              </w:rPr>
            </w:pPr>
            <w:r>
              <w:rPr>
                <w:rFonts w:ascii="Arial" w:cs="Arial" w:eastAsia="Arial" w:hAnsi="Arial"/>
                <w:sz w:val="18"/>
                <w:szCs w:val="18"/>
                <w:color w:val="auto"/>
              </w:rPr>
              <w:t>50,000</w:t>
            </w: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Director</w:t>
            </w:r>
          </w:p>
        </w:tc>
        <w:tc>
          <w:tcPr>
            <w:tcW w:w="94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15,000</w:t>
            </w:r>
          </w:p>
        </w:tc>
      </w:tr>
    </w:tbl>
    <w:p>
      <w:pPr>
        <w:spacing w:after="0" w:line="229"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noted above, effective April 1, 2020, the board member cash retainer was increased to $50,000.</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Equity compensation for non-employee directors consists of (i) an initial equity award with a calculated value of $375,000 for each newly-elected or appointed non-employee director, and (ii) annual awards with a calculated value of $125,000. For 2020, equity awards for directors consisted solely of restricted stock units covering a number of shares determined by dividing the calculated value of the award by the closing price of a share of our common stock on the grant date.</w:t>
      </w:r>
    </w:p>
    <w:p>
      <w:pPr>
        <w:spacing w:after="0" w:line="18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initial equity award is granted on the date of appointment to the board or attainment of non-employee director status, unless the board or compensation committee specified another issuance date. Annual equity awards are issued on the date of each annual meeting or the date of attainment of non-employee director status. If no intervening annual meeting has been held, annual equity awards will be granted on a date specified by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compensation committee that is at least 30 calendar days after the first anniversary of the prior year’s annual meeting. The first annual award for non-employee directors who join the board at any time other than the date of an annual meeting is subject to proration for the partial year of service ending on the date of the next annual meeting.</w:t>
      </w:r>
    </w:p>
    <w:p>
      <w:pPr>
        <w:spacing w:after="0" w:line="18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Initial equity awards vest, subject to continued board service, in three equal annual increments, on the first, second, and third anniversaries of the date of commencement of board service or attainment of non-employee director status or, if earlier, upon (but effective immediately prior to) the occurrence of a change in control of Magnite. Annual equity awards vest, subject to continued board service, on the first anniversary of the date of grant or, if earlier, upon the occurrence of either (1) a change in control of Magnite (effective immediately prior thereto) or (2) the first regular annual meeting occurring in the year immediately following the year in which such annual equity awards were granted. In addition, if a non-employee director ceases board service for any reason other than removal for cause before vesting in full of equity awards, then the director’s awards vest with respect to a pro-rata portion of the underlying shares (up to but not exceeding the number of unvested shares remaining subject to such awards) determined based upon the period of board service. Vesting of equity awards will cease, and unvested equity awards will lapse, upon a recipient’s removal for cause from board service.</w:t>
      </w:r>
    </w:p>
    <w:p>
      <w:pPr>
        <w:spacing w:after="0" w:line="3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Director Equity Retention Guidelines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equity retention guidelines implemented by the board in April 2016, each director is required to accumulate within five years from the later of the date the guidelines were implemented and the date of commencement of service for a new director, and thereafter to retain for the duration of board service, an amount of equity equal to five times the director’s base board cash compensation. Equity that counts toward the ownership requirement includes: (1) shares owned outright by the director or beneficially owned by the director by virtue of being held by a member of the director’s immediate family members residing in the same household or in a trust for the benefit of the director or his or her immediate family residing in the same household; (2) shares held in qualified plans or IRAs; (3) vested shares (or vested restricted stock units) deemed to be held in non-qualified plans; (4) the in-the-money portion of vested stock options (but not unvested stock options); and (5) unvested time-based restricted shares (or restricted stock units). Until the minimum level of company equity is achieved, a director is prohibited from selling or otherwise transferring beneficial ownership of more than one-half of: (a) the vested after-tax shares of our common stock obtained as a result of the vesting of any restricted stock or restricted stock unit award made after implementation of the equity retention guidelines; or (b) the shares of our common stock subject to the vested portion of any stock option award made after implementation of the equity retention guidelines, net of any shares surrendered or sold to cover exercise price and/or income tax resulting from the exercise.</w:t>
      </w:r>
    </w:p>
    <w:p>
      <w:pPr>
        <w:spacing w:after="0" w:line="28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following table sets forth all compensation provided to our non-employee directors for 2020. The compensation for Mr. Barrett, our Chief Executive Officer, is described in the “Executive Compensation” section below. Mr. Barrett did not receive any compensation for his services as a director in 2020. In April 2020, the compensation committee approved a temporary 30% base salary reduction for the Board Cash Retainer in response to COVID-19 and the associated reduction in our workforce and cost-cutting initiatives. The Board Cash Retainers were reinstated in October 2020.</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w:t>
            </w:r>
          </w:p>
        </w:tc>
        <w:tc>
          <w:tcPr>
            <w:tcW w:w="180" w:type="dxa"/>
            <w:vAlign w:val="bottom"/>
          </w:tcPr>
          <w:p>
            <w:pPr>
              <w:spacing w:after="0"/>
              <w:rPr>
                <w:sz w:val="14"/>
                <w:szCs w:val="14"/>
                <w:color w:val="auto"/>
              </w:rPr>
            </w:pPr>
          </w:p>
        </w:tc>
        <w:tc>
          <w:tcPr>
            <w:tcW w:w="11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9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Option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Paid in</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1200" w:type="dxa"/>
            <w:vAlign w:val="bottom"/>
            <w:gridSpan w:val="3"/>
          </w:tcPr>
          <w:p>
            <w:pPr>
              <w:ind w:left="80"/>
              <w:spacing w:after="0" w:line="125" w:lineRule="exact"/>
              <w:rPr>
                <w:sz w:val="20"/>
                <w:szCs w:val="20"/>
                <w:color w:val="auto"/>
              </w:rPr>
            </w:pPr>
            <w:r>
              <w:rPr>
                <w:rFonts w:ascii="Arial" w:cs="Arial" w:eastAsia="Arial" w:hAnsi="Arial"/>
                <w:sz w:val="14"/>
                <w:szCs w:val="14"/>
                <w:b w:val="1"/>
                <w:bCs w:val="1"/>
                <w:color w:val="auto"/>
              </w:rPr>
              <w:t>Cash ($)</w:t>
            </w:r>
            <w:r>
              <w:rPr>
                <w:rFonts w:ascii="Arial" w:cs="Arial" w:eastAsia="Arial" w:hAnsi="Arial"/>
                <w:sz w:val="10"/>
                <w:szCs w:val="10"/>
                <w:b w:val="1"/>
                <w:bCs w:val="1"/>
                <w:color w:val="auto"/>
              </w:rPr>
              <w:t>(1)</w:t>
            </w:r>
          </w:p>
        </w:tc>
        <w:tc>
          <w:tcPr>
            <w:tcW w:w="1320" w:type="dxa"/>
            <w:vAlign w:val="bottom"/>
            <w:gridSpan w:val="3"/>
          </w:tcPr>
          <w:p>
            <w:pPr>
              <w:ind w:left="20"/>
              <w:spacing w:after="0" w:line="125" w:lineRule="exact"/>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w:t>
            </w:r>
            <w:r>
              <w:rPr>
                <w:rFonts w:ascii="Arial" w:cs="Arial" w:eastAsia="Arial" w:hAnsi="Arial"/>
                <w:sz w:val="10"/>
                <w:szCs w:val="10"/>
                <w:b w:val="1"/>
                <w:bCs w:val="1"/>
                <w:color w:val="auto"/>
              </w:rPr>
              <w:t>(2)(3)</w:t>
            </w:r>
          </w:p>
        </w:tc>
        <w:tc>
          <w:tcPr>
            <w:tcW w:w="920" w:type="dxa"/>
            <w:vAlign w:val="bottom"/>
          </w:tcPr>
          <w:p>
            <w:pPr>
              <w:spacing w:after="0" w:line="125" w:lineRule="exact"/>
              <w:rPr>
                <w:sz w:val="20"/>
                <w:szCs w:val="20"/>
                <w:color w:val="auto"/>
              </w:rPr>
            </w:pPr>
            <w:r>
              <w:rPr>
                <w:rFonts w:ascii="Arial" w:cs="Arial" w:eastAsia="Arial" w:hAnsi="Arial"/>
                <w:sz w:val="14"/>
                <w:szCs w:val="14"/>
                <w:b w:val="1"/>
                <w:bCs w:val="1"/>
                <w:color w:val="auto"/>
                <w:w w:val="93"/>
              </w:rPr>
              <w:t xml:space="preserve">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0"/>
                <w:szCs w:val="10"/>
                <w:b w:val="1"/>
                <w:bCs w:val="1"/>
                <w:color w:val="auto"/>
                <w:w w:val="93"/>
              </w:rPr>
              <w:t>(2)(4)</w:t>
            </w:r>
          </w:p>
        </w:tc>
        <w:tc>
          <w:tcPr>
            <w:tcW w:w="4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Frank Addante</w:t>
            </w:r>
            <w:r>
              <w:rPr>
                <w:rFonts w:ascii="Arial" w:cs="Arial" w:eastAsia="Arial" w:hAnsi="Arial"/>
                <w:sz w:val="22"/>
                <w:szCs w:val="22"/>
                <w:color w:val="auto"/>
                <w:vertAlign w:val="superscript"/>
              </w:rPr>
              <w:t>(5)</w:t>
            </w:r>
          </w:p>
        </w:tc>
        <w:tc>
          <w:tcPr>
            <w:tcW w:w="2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Arial" w:cs="Arial" w:eastAsia="Arial" w:hAnsi="Arial"/>
                <w:sz w:val="18"/>
                <w:szCs w:val="18"/>
                <w:color w:val="auto"/>
              </w:rPr>
              <w:t>Paul Caine</w:t>
            </w:r>
            <w:r>
              <w:rPr>
                <w:rFonts w:ascii="Arial" w:cs="Arial" w:eastAsia="Arial" w:hAnsi="Arial"/>
                <w:sz w:val="25"/>
                <w:szCs w:val="25"/>
                <w:color w:val="auto"/>
                <w:vertAlign w:val="superscript"/>
              </w:rPr>
              <w:t>(6)</w:t>
            </w:r>
          </w:p>
        </w:tc>
        <w:tc>
          <w:tcPr>
            <w:tcW w:w="264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85,000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$210,000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Lewis W. Coleman</w:t>
            </w:r>
            <w:r>
              <w:rPr>
                <w:rFonts w:ascii="Arial" w:cs="Arial" w:eastAsia="Arial" w:hAnsi="Arial"/>
                <w:sz w:val="25"/>
                <w:szCs w:val="25"/>
                <w:color w:val="auto"/>
                <w:vertAlign w:val="superscript"/>
              </w:rPr>
              <w:t>(7)</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Robert Frankenberg</w:t>
            </w:r>
          </w:p>
        </w:tc>
        <w:tc>
          <w:tcPr>
            <w:tcW w:w="264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59,500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$184,500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P. Harden</w:t>
            </w:r>
          </w:p>
        </w:tc>
        <w:tc>
          <w:tcPr>
            <w:tcW w:w="264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46,750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$171,750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Arial" w:cs="Arial" w:eastAsia="Arial" w:hAnsi="Arial"/>
                <w:sz w:val="18"/>
                <w:szCs w:val="18"/>
                <w:color w:val="auto"/>
              </w:rPr>
              <w:t>Doug Knopper</w:t>
            </w:r>
            <w:r>
              <w:rPr>
                <w:rFonts w:ascii="Arial" w:cs="Arial" w:eastAsia="Arial" w:hAnsi="Arial"/>
                <w:sz w:val="25"/>
                <w:szCs w:val="25"/>
                <w:color w:val="auto"/>
                <w:vertAlign w:val="superscript"/>
              </w:rPr>
              <w:t>(6)</w:t>
            </w:r>
          </w:p>
        </w:tc>
        <w:tc>
          <w:tcPr>
            <w:tcW w:w="264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56,100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$181,100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Rachel Lam</w:t>
            </w:r>
            <w:r>
              <w:rPr>
                <w:rFonts w:ascii="Arial" w:cs="Arial" w:eastAsia="Arial" w:hAnsi="Arial"/>
                <w:sz w:val="25"/>
                <w:szCs w:val="25"/>
                <w:color w:val="auto"/>
                <w:vertAlign w:val="superscript"/>
              </w:rPr>
              <w:t>(6)</w:t>
            </w:r>
          </w:p>
        </w:tc>
        <w:tc>
          <w:tcPr>
            <w:tcW w:w="264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53,975</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$178,975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line="216" w:lineRule="exact"/>
              <w:rPr>
                <w:sz w:val="20"/>
                <w:szCs w:val="20"/>
                <w:color w:val="auto"/>
              </w:rPr>
            </w:pPr>
            <w:r>
              <w:rPr>
                <w:rFonts w:ascii="Arial" w:cs="Arial" w:eastAsia="Arial" w:hAnsi="Arial"/>
                <w:sz w:val="18"/>
                <w:szCs w:val="18"/>
                <w:color w:val="auto"/>
              </w:rPr>
              <w:t>James Rossman</w:t>
            </w:r>
            <w:r>
              <w:rPr>
                <w:rFonts w:ascii="Arial" w:cs="Arial" w:eastAsia="Arial" w:hAnsi="Arial"/>
                <w:sz w:val="25"/>
                <w:szCs w:val="25"/>
                <w:color w:val="auto"/>
                <w:vertAlign w:val="superscript"/>
              </w:rPr>
              <w:t>(6)</w:t>
            </w:r>
          </w:p>
        </w:tc>
        <w:tc>
          <w:tcPr>
            <w:tcW w:w="264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55,250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$180,250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F. Spillane</w:t>
            </w:r>
          </w:p>
        </w:tc>
        <w:tc>
          <w:tcPr>
            <w:tcW w:w="264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57,375</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$182,375</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Lisa L. Troe</w:t>
            </w:r>
          </w:p>
        </w:tc>
        <w:tc>
          <w:tcPr>
            <w:tcW w:w="264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62,475</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125,000</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$187,475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20" w:hanging="424"/>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annual board retainer and fees for service as Chairman, a committee chair, committee member, or Lead Director, as the case may be. See the narrative disclosure above for a description of such fees.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8"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accordance with the rules of the SEC, these amounts represent the aggregate grant date fair value of the stock awards and option awards granted to the non-employee directors during the fiscal year computed in accordance with ASC 718. Our equity awards valuation approach and related underlying assumptions for awards granted in 2020 are described in Note 2 “Organization and Summary of Significant Accounting Policies— Stock-Based Compensation” and Note 13 “Stock-Based Compensation” to the Consolidated Financial Statements in our Annual Report on Form 10-K. The reported amounts do not necessarily reflect the value that may be realized by the non-employee director with respect to the awards, which will depend on future changes in stock value and may be more or less than the amount shown.</w:t>
      </w:r>
    </w:p>
    <w:p>
      <w:pPr>
        <w:ind w:left="540" w:right="260" w:hanging="424"/>
        <w:spacing w:after="0" w:line="30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Stock awards consist of an annual award of 18,436 restricted stock units granted on July 8, 2020 to each director serving on our board at such time, with an aggregate grant date fair market value as described in footnote 2 of $125,000. As of December 31, 2020, the aggregate number of shares of our common stock covered by unvested stock awards held by each of our non-employee directors was as follows: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Frank Addante</w:t>
            </w:r>
          </w:p>
        </w:tc>
        <w:tc>
          <w:tcPr>
            <w:tcW w:w="3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Paul Caine</w:t>
            </w:r>
          </w:p>
        </w:tc>
        <w:tc>
          <w:tcPr>
            <w:tcW w:w="3200" w:type="dxa"/>
            <w:vAlign w:val="bottom"/>
          </w:tcPr>
          <w:p>
            <w:pPr>
              <w:jc w:val="right"/>
              <w:spacing w:after="0"/>
              <w:rPr>
                <w:sz w:val="20"/>
                <w:szCs w:val="20"/>
                <w:color w:val="auto"/>
              </w:rPr>
            </w:pPr>
            <w:r>
              <w:rPr>
                <w:rFonts w:ascii="Arial" w:cs="Arial" w:eastAsia="Arial" w:hAnsi="Arial"/>
                <w:sz w:val="18"/>
                <w:szCs w:val="18"/>
                <w:color w:val="auto"/>
              </w:rPr>
              <w:t>18,436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Lewis W. Coleman</w:t>
            </w:r>
          </w:p>
        </w:tc>
        <w:tc>
          <w:tcPr>
            <w:tcW w:w="3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Robert J. Frankenberg</w:t>
            </w:r>
          </w:p>
        </w:tc>
        <w:tc>
          <w:tcPr>
            <w:tcW w:w="3200" w:type="dxa"/>
            <w:vAlign w:val="bottom"/>
          </w:tcPr>
          <w:p>
            <w:pPr>
              <w:jc w:val="right"/>
              <w:spacing w:after="0"/>
              <w:rPr>
                <w:sz w:val="20"/>
                <w:szCs w:val="20"/>
                <w:color w:val="auto"/>
              </w:rPr>
            </w:pPr>
            <w:r>
              <w:rPr>
                <w:rFonts w:ascii="Arial" w:cs="Arial" w:eastAsia="Arial" w:hAnsi="Arial"/>
                <w:sz w:val="18"/>
                <w:szCs w:val="18"/>
                <w:color w:val="auto"/>
              </w:rPr>
              <w:t>18,436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Sarah P. Harden</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Doug Knopper</w:t>
            </w:r>
          </w:p>
        </w:tc>
        <w:tc>
          <w:tcPr>
            <w:tcW w:w="3200" w:type="dxa"/>
            <w:vAlign w:val="bottom"/>
          </w:tcPr>
          <w:p>
            <w:pPr>
              <w:jc w:val="right"/>
              <w:spacing w:after="0"/>
              <w:rPr>
                <w:sz w:val="20"/>
                <w:szCs w:val="20"/>
                <w:color w:val="auto"/>
              </w:rPr>
            </w:pPr>
            <w:r>
              <w:rPr>
                <w:rFonts w:ascii="Arial" w:cs="Arial" w:eastAsia="Arial" w:hAnsi="Arial"/>
                <w:sz w:val="18"/>
                <w:szCs w:val="18"/>
                <w:color w:val="auto"/>
              </w:rPr>
              <w:t>18,436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Rachel Lam</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Robert F. Spillane</w:t>
            </w:r>
          </w:p>
        </w:tc>
        <w:tc>
          <w:tcPr>
            <w:tcW w:w="3200" w:type="dxa"/>
            <w:vAlign w:val="bottom"/>
          </w:tcPr>
          <w:p>
            <w:pPr>
              <w:jc w:val="right"/>
              <w:spacing w:after="0"/>
              <w:rPr>
                <w:sz w:val="20"/>
                <w:szCs w:val="20"/>
                <w:color w:val="auto"/>
              </w:rPr>
            </w:pPr>
            <w:r>
              <w:rPr>
                <w:rFonts w:ascii="Arial" w:cs="Arial" w:eastAsia="Arial" w:hAnsi="Arial"/>
                <w:sz w:val="18"/>
                <w:szCs w:val="18"/>
                <w:color w:val="auto"/>
              </w:rPr>
              <w:t>18,436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Lisa L. Troe</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18,436</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James Rossman</w:t>
            </w:r>
          </w:p>
        </w:tc>
        <w:tc>
          <w:tcPr>
            <w:tcW w:w="3200" w:type="dxa"/>
            <w:vAlign w:val="bottom"/>
          </w:tcPr>
          <w:p>
            <w:pPr>
              <w:jc w:val="right"/>
              <w:spacing w:after="0"/>
              <w:rPr>
                <w:sz w:val="20"/>
                <w:szCs w:val="20"/>
                <w:color w:val="auto"/>
              </w:rPr>
            </w:pPr>
            <w:r>
              <w:rPr>
                <w:rFonts w:ascii="Arial" w:cs="Arial" w:eastAsia="Arial" w:hAnsi="Arial"/>
                <w:sz w:val="18"/>
                <w:szCs w:val="18"/>
                <w:color w:val="auto"/>
              </w:rPr>
              <w:t>18,436</w:t>
            </w:r>
          </w:p>
        </w:tc>
      </w:tr>
    </w:tbl>
    <w:p>
      <w:pPr>
        <w:spacing w:after="0" w:line="214" w:lineRule="exact"/>
        <w:rPr>
          <w:sz w:val="20"/>
          <w:szCs w:val="20"/>
          <w:color w:val="auto"/>
        </w:rPr>
      </w:pPr>
    </w:p>
    <w:p>
      <w:pPr>
        <w:ind w:left="540" w:right="460" w:hanging="424"/>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2020, the aggregate number of shares of our common stock covered by stock options held by each of our non-employee directors was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Frank Addante</w:t>
            </w:r>
          </w:p>
        </w:tc>
        <w:tc>
          <w:tcPr>
            <w:tcW w:w="32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Paul Caine</w:t>
            </w:r>
          </w:p>
        </w:tc>
        <w:tc>
          <w:tcPr>
            <w:tcW w:w="3200" w:type="dxa"/>
            <w:vAlign w:val="bottom"/>
          </w:tcPr>
          <w:p>
            <w:pPr>
              <w:ind w:left="28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Lewis W. Coleman</w:t>
            </w:r>
          </w:p>
        </w:tc>
        <w:tc>
          <w:tcPr>
            <w:tcW w:w="32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Robert J. Frankenberg</w:t>
            </w:r>
          </w:p>
        </w:tc>
        <w:tc>
          <w:tcPr>
            <w:tcW w:w="3200" w:type="dxa"/>
            <w:vAlign w:val="bottom"/>
          </w:tcPr>
          <w:p>
            <w:pPr>
              <w:ind w:left="2660"/>
              <w:spacing w:after="0"/>
              <w:rPr>
                <w:sz w:val="20"/>
                <w:szCs w:val="20"/>
                <w:color w:val="auto"/>
              </w:rPr>
            </w:pPr>
            <w:r>
              <w:rPr>
                <w:rFonts w:ascii="Arial" w:cs="Arial" w:eastAsia="Arial" w:hAnsi="Arial"/>
                <w:sz w:val="18"/>
                <w:szCs w:val="18"/>
                <w:color w:val="auto"/>
                <w:w w:val="94"/>
              </w:rPr>
              <w:t>86,500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Sarah P. Harden</w:t>
            </w:r>
          </w:p>
        </w:tc>
        <w:tc>
          <w:tcPr>
            <w:tcW w:w="32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Doug Knopper</w:t>
            </w:r>
          </w:p>
        </w:tc>
        <w:tc>
          <w:tcPr>
            <w:tcW w:w="3200" w:type="dxa"/>
            <w:vAlign w:val="bottom"/>
          </w:tcPr>
          <w:p>
            <w:pPr>
              <w:ind w:left="28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Rachel Lam</w:t>
            </w:r>
          </w:p>
        </w:tc>
        <w:tc>
          <w:tcPr>
            <w:tcW w:w="320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Robert F. Spillane</w:t>
            </w:r>
          </w:p>
        </w:tc>
        <w:tc>
          <w:tcPr>
            <w:tcW w:w="3200" w:type="dxa"/>
            <w:vAlign w:val="bottom"/>
          </w:tcPr>
          <w:p>
            <w:pPr>
              <w:ind w:left="2660"/>
              <w:spacing w:after="0"/>
              <w:rPr>
                <w:sz w:val="20"/>
                <w:szCs w:val="20"/>
                <w:color w:val="auto"/>
              </w:rPr>
            </w:pPr>
            <w:r>
              <w:rPr>
                <w:rFonts w:ascii="Arial" w:cs="Arial" w:eastAsia="Arial" w:hAnsi="Arial"/>
                <w:sz w:val="18"/>
                <w:szCs w:val="18"/>
                <w:color w:val="auto"/>
                <w:w w:val="94"/>
              </w:rPr>
              <w:t>86,500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Lisa L. Troe</w:t>
            </w:r>
          </w:p>
        </w:tc>
        <w:tc>
          <w:tcPr>
            <w:tcW w:w="3200" w:type="dxa"/>
            <w:vAlign w:val="bottom"/>
            <w:shd w:val="clear" w:color="auto" w:fill="CCEEFF"/>
          </w:tcPr>
          <w:p>
            <w:pPr>
              <w:ind w:left="2660"/>
              <w:spacing w:after="0"/>
              <w:rPr>
                <w:sz w:val="20"/>
                <w:szCs w:val="20"/>
                <w:color w:val="auto"/>
              </w:rPr>
            </w:pPr>
            <w:r>
              <w:rPr>
                <w:rFonts w:ascii="Arial" w:cs="Arial" w:eastAsia="Arial" w:hAnsi="Arial"/>
                <w:sz w:val="18"/>
                <w:szCs w:val="18"/>
                <w:color w:val="auto"/>
                <w:w w:val="94"/>
              </w:rPr>
              <w:t>86,500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James Rossman</w:t>
            </w:r>
          </w:p>
        </w:tc>
        <w:tc>
          <w:tcPr>
            <w:tcW w:w="3200" w:type="dxa"/>
            <w:vAlign w:val="bottom"/>
          </w:tcPr>
          <w:p>
            <w:pPr>
              <w:ind w:left="2660"/>
              <w:spacing w:after="0"/>
              <w:rPr>
                <w:sz w:val="20"/>
                <w:szCs w:val="20"/>
                <w:color w:val="auto"/>
              </w:rPr>
            </w:pPr>
            <w:r>
              <w:rPr>
                <w:rFonts w:ascii="Arial" w:cs="Arial" w:eastAsia="Arial" w:hAnsi="Arial"/>
                <w:sz w:val="18"/>
                <w:szCs w:val="18"/>
                <w:color w:val="auto"/>
                <w:w w:val="94"/>
              </w:rPr>
              <w:t>36,066</w:t>
            </w:r>
          </w:p>
        </w:tc>
      </w:tr>
    </w:tbl>
    <w:p>
      <w:pPr>
        <w:spacing w:after="0" w:line="214"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Addante resigned from the Board effective April 1, 2020, at the closing of the Telaria Merger.</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Lam and Messrs. Caine, Knopper and Rossman were appointed to the Board effective April 1, 2020, at the closing of the Telaria Merger.</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Coleman resigned from the Board effective April 1, 2020, at the closing of the Telaria Merger.</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Ms. Harden and Messrs. Knopper, Rossman, Frankenberg, Coleman and Spillane served on the company’s compensation committee during the last completed fiscal year. At the closing of our merger with Telaria on April 1, 2020, Mr. Knopper and Mr. Rossman were appointed to the board of directors and commenced service on the compensation committee, Mr. Spillane ceased serving as a member of the compensation committee and Mr. Coleman resigned as a member of the board of directors and member of the compensation committee. None of the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members of the compensation committee is or has at any time been an officer or employee of the company. There are no interlocking relationships (and there were no such interlocking relationships during 2020) between our board of directors, executive officers or the compensation committee, on the one hand, and the board of directors, executive officers or the compensation committee of any other company, on the other hand.</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Compensation Discussion and Analysis describes the compensation arrangements we had for 2020 with our “named executive officers,” as determined under the rules of the SEC and identified in the summary compensation table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8480" w:type="dxa"/>
            <w:vAlign w:val="bottom"/>
            <w:tcBorders>
              <w:bottom w:val="single" w:sz="8" w:color="auto"/>
            </w:tcBorders>
          </w:tcPr>
          <w:p>
            <w:pPr>
              <w:spacing w:after="0" w:line="20" w:lineRule="exact"/>
              <w:rPr>
                <w:sz w:val="1"/>
                <w:szCs w:val="1"/>
                <w:color w:val="auto"/>
              </w:rPr>
            </w:pPr>
          </w:p>
        </w:tc>
      </w:tr>
      <w:tr>
        <w:trPr>
          <w:trHeight w:val="197"/>
        </w:trPr>
        <w:tc>
          <w:tcPr>
            <w:tcW w:w="2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G. Barrett</w:t>
            </w: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President and Chief Executive Officer</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David L. Day</w:t>
            </w:r>
          </w:p>
        </w:tc>
        <w:tc>
          <w:tcPr>
            <w:tcW w:w="8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Katie Evans</w:t>
            </w:r>
          </w:p>
        </w:tc>
        <w:tc>
          <w:tcPr>
            <w:tcW w:w="84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L. Soroca</w:t>
            </w: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Head of Global Buyer Team</w:t>
            </w:r>
          </w:p>
        </w:tc>
      </w:tr>
    </w:tbl>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Financial and Business Highlights. </w:t>
      </w:r>
      <w:r>
        <w:rPr>
          <w:rFonts w:ascii="Arial" w:cs="Arial" w:eastAsia="Arial" w:hAnsi="Arial"/>
          <w:sz w:val="18"/>
          <w:szCs w:val="18"/>
          <w:color w:val="auto"/>
        </w:rPr>
        <w:t>In 2020</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continued to demonstrate strong financial and strategic operational performance, building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work in re-calibrating and accelerating the business over the past several years. Notable results include:</w:t>
      </w:r>
    </w:p>
    <w:p>
      <w:pPr>
        <w:spacing w:after="0" w:line="7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 by over +40% to $221.6M (compared to $156.4M in 2019);</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Improved our profitability and expanded our margins, including a significant increase in our adjusted EBITDA to $43.1M (compared to an adjusted EBITDA of $25.7M in 2019) (see page 54 of our Annual Report on the Original Form 10-K for a reconciliation of net income (loss) to adjusted EBITDA);</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merger with Telaria (closed on April 1, 2020), a leading provider of CTV technology; and</w:t>
      </w:r>
    </w:p>
    <w:p>
      <w:pPr>
        <w:spacing w:after="0" w:line="130"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acquisition of SpotX, Inc. (closed on April 30, 2020), a leading platform shaping CTV and video advertising globally. Following the Telaria Merger and SpotX acquisition, we believe that we are the world’s largest independent omni-channel sell-side advertising platform,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Compensation Highlights. </w:t>
      </w:r>
      <w:r>
        <w:rPr>
          <w:rFonts w:ascii="Arial" w:cs="Arial" w:eastAsia="Arial" w:hAnsi="Arial"/>
          <w:sz w:val="18"/>
          <w:szCs w:val="18"/>
          <w:color w:val="auto"/>
        </w:rPr>
        <w:t>Our compensation programs are designed to support creation of stockholder value while maintaining our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 and retain personnel. For 2020, the compensation committee took the following actions:</w:t>
      </w:r>
    </w:p>
    <w:p>
      <w:pPr>
        <w:spacing w:after="0" w:line="76" w:lineRule="exact"/>
        <w:rPr>
          <w:sz w:val="20"/>
          <w:szCs w:val="20"/>
          <w:color w:val="auto"/>
        </w:rPr>
      </w:pPr>
    </w:p>
    <w:p>
      <w:pPr>
        <w:ind w:left="1080" w:right="62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Approved increases to base salary or target cash incentive opportunities for named executive officers to reflect the larger scope and responsibilities after the closing of the Telaria transaction and to provide better internal parity;</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Approved annual long-term incentive grant values that were closer to competitive market levels of the larger combined company and awarded an additional retention-focused equity grant to Ms. Evans shortly following the closing of the Telaria transaction to recognize the criticality of her role in our success going forward;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86"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2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Implemented a performance-based equity program for the CEO’s grant in 2020 based on three-year relative total shareholder return (TSR) against the Russell 2000 index; the program requires being above median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to earn target payout and is capped at 100% payout if share price is negative during the performance period;</w:t>
      </w:r>
    </w:p>
    <w:p>
      <w:pPr>
        <w:spacing w:after="0" w:line="108"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Due to the closing of the Telaria transaction in Q2 2020, the compensation committee implemented a bifurcated cash incentive program that included two separate six-month performance periods; this design allowed the compensation committee to establish mid-year goals for the combined company for the second half of the year; the full year cash incentive payouts were slightly below target (approximately 87% of target) driven by a significantly below target first half of the year due to the impact of the COVID-19 pandemic (29.6% of target) and an above target second half of the year (144.4% of target).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CEO Pay and Performance (2017-2020). </w:t>
      </w:r>
      <w:r>
        <w:rPr>
          <w:rFonts w:ascii="Arial" w:cs="Arial" w:eastAsia="Arial" w:hAnsi="Arial"/>
          <w:sz w:val="18"/>
          <w:szCs w:val="18"/>
          <w:color w:val="auto"/>
        </w:rPr>
        <w:t>The compensation committee’s pay actions during Mr. Barrett’s tenure reflect his leadership, deep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experience, and a recognition that he was the right chief executive to lead the company through the successful execution of the business turn-around and leading the next phase of growth</w:t>
      </w:r>
      <w:r>
        <w:rPr>
          <w:rFonts w:ascii="Arial" w:cs="Arial" w:eastAsia="Arial" w:hAnsi="Arial"/>
          <w:sz w:val="18"/>
          <w:szCs w:val="18"/>
          <w:i w:val="1"/>
          <w:iCs w:val="1"/>
          <w:color w:val="auto"/>
        </w:rPr>
        <w:t>.</w:t>
      </w:r>
    </w:p>
    <w:p>
      <w:pPr>
        <w:spacing w:after="0" w:line="89" w:lineRule="exact"/>
        <w:rPr>
          <w:sz w:val="20"/>
          <w:szCs w:val="20"/>
          <w:color w:val="auto"/>
        </w:rPr>
      </w:pPr>
    </w:p>
    <w:p>
      <w:pPr>
        <w:ind w:left="540" w:right="120" w:hanging="424"/>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joining in March 2017, Mr. Barrett has executed several strategic objectives, including removing buy-side fees and embracing open source and transparency, shifting the business towards header bidding, developing Demand Manager for publishers, and completing the merger with Telaria, and more recently acquiring SpotX;</w:t>
      </w:r>
    </w:p>
    <w:p>
      <w:pPr>
        <w:spacing w:after="0" w:line="89"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market’s response to these accomplishments continue to result in significantly outpacing the growth from other ad-tech peers and the Russell 2000; at the end of December 2020, we generated the following annualized returns for stockholders:</w:t>
      </w:r>
    </w:p>
    <w:p>
      <w:pPr>
        <w:spacing w:after="0" w:line="75" w:lineRule="exact"/>
        <w:rPr>
          <w:rFonts w:ascii="Arial" w:cs="Arial" w:eastAsia="Arial" w:hAnsi="Arial"/>
          <w:sz w:val="18"/>
          <w:szCs w:val="18"/>
          <w:color w:val="auto"/>
        </w:rPr>
      </w:pPr>
    </w:p>
    <w:p>
      <w:pPr>
        <w:ind w:left="760" w:hanging="212"/>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+56% (versus +10% for the Russell 2000) from March 2017 (Mr. Barrett’s hire date) through December 31, 2020;</w:t>
      </w:r>
    </w:p>
    <w:p>
      <w:pPr>
        <w:spacing w:after="0" w:line="130" w:lineRule="exact"/>
        <w:rPr>
          <w:rFonts w:ascii="Arial" w:cs="Arial" w:eastAsia="Arial" w:hAnsi="Arial"/>
          <w:sz w:val="18"/>
          <w:szCs w:val="18"/>
          <w:color w:val="auto"/>
        </w:rPr>
      </w:pPr>
    </w:p>
    <w:p>
      <w:pPr>
        <w:ind w:left="760" w:hanging="212"/>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+240% (versus +18% for the Russell 2000) from January 2, 2020 through December 31, 2020</w:t>
      </w:r>
    </w:p>
    <w:p>
      <w:pPr>
        <w:spacing w:after="0" w:line="130" w:lineRule="exact"/>
        <w:rPr>
          <w:rFonts w:ascii="Arial" w:cs="Arial" w:eastAsia="Arial" w:hAnsi="Arial"/>
          <w:sz w:val="18"/>
          <w:szCs w:val="18"/>
          <w:color w:val="auto"/>
        </w:rPr>
      </w:pPr>
    </w:p>
    <w:p>
      <w:pPr>
        <w:ind w:left="540" w:right="280" w:hanging="424"/>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2020, Mr. Barrett’s target pay levels increased to $4.1 million (from $3.7 million in 2019) which is based on Mr. Barrett’s base salary, target cash incentive amount and the grant date fair value of his equity awards to (i) recognize the stellar overall company performance through 2019 under Mr. Barrett’s leadership and (ii) provide a target total pay opportunity more closely in line with competitive market levels after the combination with Telaria and increased scope of Mr. Barrett’s role with a scaled company</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2020 Compensation Actions in Response to COVID-19. </w:t>
      </w:r>
      <w:r>
        <w:rPr>
          <w:rFonts w:ascii="Arial" w:cs="Arial" w:eastAsia="Arial" w:hAnsi="Arial"/>
          <w:sz w:val="18"/>
          <w:szCs w:val="18"/>
          <w:color w:val="auto"/>
        </w:rPr>
        <w:t>In April 2020, the compensation committee approved a temporary 30% 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reduction for the CEO and a temporary 30% Board Cash Retainer reduction for our Board of Directors in response to COVID-19 and the associated reduction in our workforce and cost cutting initiatives. The CEO’s base salary and Board Cash Retainers were reinstated in October 2020 after our business had largely recovered from the initial effects of COVID-19. The compensation committee will continue to monitor and assess the impact of the global pandemic and may take action (if appropriate) to ensure outcomes align with overall performance, shareholder experience, and our underlying compensation philosophy. No other adjustments or modifications were made to the company’s incentive programs as a result of the COVID-19 pandemic.</w:t>
      </w:r>
    </w:p>
    <w:p>
      <w:pPr>
        <w:spacing w:after="0" w:line="19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Consideration of 2020 Say on Pay Vote. </w:t>
      </w:r>
      <w:r>
        <w:rPr>
          <w:rFonts w:ascii="Arial" w:cs="Arial" w:eastAsia="Arial" w:hAnsi="Arial"/>
          <w:sz w:val="18"/>
          <w:szCs w:val="18"/>
          <w:color w:val="auto"/>
        </w:rPr>
        <w:t>At our 2020 annual meeting of stockholders, stockholders showed support for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program, with 91.6% of the votes cast approving the compensation paid to our named executive officers. After considering the results of the fiscal 2020 Say-on-Pay advisory vote, the compensation committee determined that our practices remained appropriate. The Magnite compensation committee values the perspectives of our stockholders and continues to consider the results of Say-on -Pay votes and stockholder feedback when reviewing our executive compensation program.</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b w:val="1"/>
          <w:bCs w:val="1"/>
          <w:i w:val="1"/>
          <w:iCs w:val="1"/>
          <w:color w:val="auto"/>
        </w:rPr>
        <w:t>Executive Compensation Governance</w:t>
      </w:r>
      <w:r>
        <w:rPr>
          <w:rFonts w:ascii="Arial" w:cs="Arial" w:eastAsia="Arial" w:hAnsi="Arial"/>
          <w:sz w:val="18"/>
          <w:szCs w:val="18"/>
          <w:color w:val="auto"/>
        </w:rPr>
        <w:t>. Our executive compensation program includes a number of features intended to reflect best practices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market and help ensure that the program reinforces our stockholders’ interests. These features are described in more detail below in this Compensation Discussion and Analysis and include the following: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u w:val="single" w:color="auto"/>
          <w:color w:val="auto"/>
        </w:rPr>
        <w:t>What We Do:</w:t>
      </w:r>
    </w:p>
    <w:p>
      <w:pPr>
        <w:spacing w:after="0" w:line="19" w:lineRule="exact"/>
        <w:rPr>
          <w:sz w:val="20"/>
          <w:szCs w:val="20"/>
          <w:color w:val="auto"/>
        </w:rPr>
      </w:pPr>
    </w:p>
    <w:p>
      <w:pPr>
        <w:ind w:left="480" w:hanging="364"/>
        <w:spacing w:after="0" w:line="273" w:lineRule="auto"/>
        <w:tabs>
          <w:tab w:leader="none" w:pos="48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Provide a significant portion of CEO pay that is “at-risk” (87% of 2020 target direct compensation was based on financial or share price performance) (with target direct compensation determined based on the CEO’s annual base salary, target cash incentive amount, and the grant date fair value of his equity awards)</w:t>
      </w:r>
    </w:p>
    <w:p>
      <w:pPr>
        <w:spacing w:after="0" w:line="80" w:lineRule="exact"/>
        <w:rPr>
          <w:rFonts w:ascii="MS PGothic" w:cs="MS PGothic" w:eastAsia="MS PGothic" w:hAnsi="MS PGothic"/>
          <w:sz w:val="17"/>
          <w:szCs w:val="17"/>
          <w:color w:val="auto"/>
        </w:rPr>
      </w:pPr>
    </w:p>
    <w:p>
      <w:pPr>
        <w:ind w:left="480" w:right="40" w:hanging="364"/>
        <w:spacing w:after="0" w:line="286" w:lineRule="auto"/>
        <w:tabs>
          <w:tab w:leader="none" w:pos="485" w:val="left"/>
        </w:tabs>
        <w:numPr>
          <w:ilvl w:val="0"/>
          <w:numId w:val="13"/>
        </w:numPr>
        <w:rPr>
          <w:rFonts w:ascii="MS PGothic" w:cs="MS PGothic" w:eastAsia="MS PGothic" w:hAnsi="MS PGothic"/>
          <w:sz w:val="17"/>
          <w:szCs w:val="17"/>
          <w:color w:val="auto"/>
        </w:rPr>
      </w:pPr>
      <w:r>
        <w:rPr>
          <w:rFonts w:ascii="Arial" w:cs="Arial" w:eastAsia="Arial" w:hAnsi="Arial"/>
          <w:sz w:val="17"/>
          <w:szCs w:val="17"/>
          <w:color w:val="auto"/>
        </w:rPr>
        <w:t>Utilize a formulaic incentive structure in our annual incentive program and limit the use of discretion, as well as limit the maximum annual incentive payment to 150% of the target amount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27"/>
        <w:spacing w:after="0"/>
        <w:rPr>
          <w:sz w:val="20"/>
          <w:szCs w:val="20"/>
          <w:color w:val="auto"/>
        </w:rPr>
      </w:pPr>
      <w:r>
        <w:rPr>
          <w:rFonts w:ascii="Arial" w:cs="Arial" w:eastAsia="Arial" w:hAnsi="Arial"/>
          <w:sz w:val="14"/>
          <w:szCs w:val="14"/>
          <w:b w:val="1"/>
          <w:bCs w:val="1"/>
          <w:u w:val="single" w:color="auto"/>
          <w:color w:val="auto"/>
        </w:rPr>
        <w:t>What We Don’t Do:</w:t>
      </w:r>
    </w:p>
    <w:p>
      <w:pPr>
        <w:spacing w:after="0" w:line="25" w:lineRule="exact"/>
        <w:rPr>
          <w:sz w:val="20"/>
          <w:szCs w:val="20"/>
          <w:color w:val="auto"/>
        </w:rPr>
      </w:pPr>
    </w:p>
    <w:p>
      <w:pPr>
        <w:ind w:left="327" w:hanging="327"/>
        <w:spacing w:after="0"/>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single-trigger change in control benefits</w:t>
      </w:r>
    </w:p>
    <w:p>
      <w:pPr>
        <w:spacing w:after="0" w:line="114" w:lineRule="exact"/>
        <w:rPr>
          <w:rFonts w:ascii="Arial" w:cs="Arial" w:eastAsia="Arial" w:hAnsi="Arial"/>
          <w:sz w:val="18"/>
          <w:szCs w:val="18"/>
          <w:color w:val="auto"/>
        </w:rPr>
      </w:pPr>
    </w:p>
    <w:p>
      <w:pPr>
        <w:ind w:left="327" w:hanging="327"/>
        <w:spacing w:after="0"/>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gross-ups for change in control benefits</w:t>
      </w:r>
    </w:p>
    <w:p>
      <w:pPr>
        <w:spacing w:after="0" w:line="130" w:lineRule="exact"/>
        <w:rPr>
          <w:rFonts w:ascii="Arial" w:cs="Arial" w:eastAsia="Arial" w:hAnsi="Arial"/>
          <w:sz w:val="18"/>
          <w:szCs w:val="18"/>
          <w:color w:val="auto"/>
        </w:rPr>
      </w:pPr>
    </w:p>
    <w:p>
      <w:pPr>
        <w:ind w:left="327" w:hanging="327"/>
        <w:spacing w:after="0"/>
        <w:tabs>
          <w:tab w:leader="none" w:pos="327"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discounted stock options or option re-pricings</w:t>
      </w:r>
    </w:p>
    <w:p>
      <w:pPr>
        <w:spacing w:after="0" w:line="153" w:lineRule="exact"/>
        <w:rPr>
          <w:rFonts w:ascii="Arial" w:cs="Arial" w:eastAsia="Arial" w:hAnsi="Arial"/>
          <w:sz w:val="16"/>
          <w:szCs w:val="16"/>
          <w:color w:val="auto"/>
        </w:rPr>
      </w:pPr>
    </w:p>
    <w:p>
      <w:pPr>
        <w:ind w:left="327" w:hanging="327"/>
        <w:spacing w:after="0"/>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excessive perquisites</w:t>
      </w:r>
    </w:p>
    <w:p>
      <w:pPr>
        <w:spacing w:after="0" w:line="130" w:lineRule="exact"/>
        <w:rPr>
          <w:rFonts w:ascii="Arial" w:cs="Arial" w:eastAsia="Arial" w:hAnsi="Arial"/>
          <w:sz w:val="18"/>
          <w:szCs w:val="18"/>
          <w:color w:val="auto"/>
        </w:rPr>
      </w:pPr>
    </w:p>
    <w:p>
      <w:pPr>
        <w:ind w:left="327" w:hanging="327"/>
        <w:spacing w:after="0"/>
        <w:tabs>
          <w:tab w:leader="none" w:pos="3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hedging of our equity securities</w:t>
      </w:r>
    </w:p>
    <w:p>
      <w:pPr>
        <w:spacing w:after="0" w:line="414" w:lineRule="exact"/>
        <w:rPr>
          <w:sz w:val="20"/>
          <w:szCs w:val="20"/>
          <w:color w:val="auto"/>
        </w:rPr>
      </w:pPr>
    </w:p>
    <w:p>
      <w:pPr>
        <w:sectPr>
          <w:pgSz w:w="11900" w:h="16838" w:orient="portrait"/>
          <w:cols w:equalWidth="0" w:num="2">
            <w:col w:w="5620" w:space="233"/>
            <w:col w:w="5267"/>
          </w:cols>
          <w:pgMar w:left="320" w:top="486" w:right="459" w:bottom="1440" w:gutter="0" w:footer="0" w:header="0"/>
          <w:type w:val="continuous"/>
        </w:sectPr>
      </w:pPr>
    </w:p>
    <w:p>
      <w:pPr>
        <w:ind w:left="480" w:right="5700" w:hanging="364"/>
        <w:spacing w:after="0" w:line="277" w:lineRule="auto"/>
        <w:tabs>
          <w:tab w:leader="none" w:pos="485"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Maintain an ownership and holding requirement policy to encourage alignment with stockholders</w:t>
      </w:r>
    </w:p>
    <w:p>
      <w:pPr>
        <w:spacing w:after="0" w:line="75" w:lineRule="exact"/>
        <w:rPr>
          <w:rFonts w:ascii="MS PGothic" w:cs="MS PGothic" w:eastAsia="MS PGothic" w:hAnsi="MS PGothic"/>
          <w:sz w:val="18"/>
          <w:szCs w:val="18"/>
          <w:color w:val="auto"/>
        </w:rPr>
      </w:pPr>
    </w:p>
    <w:p>
      <w:pPr>
        <w:ind w:left="480" w:right="6260" w:hanging="364"/>
        <w:spacing w:after="0" w:line="277" w:lineRule="auto"/>
        <w:tabs>
          <w:tab w:leader="none" w:pos="485"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Incorporate performance-based equity for our CEO based on outperforming the market</w:t>
      </w:r>
    </w:p>
    <w:p>
      <w:pPr>
        <w:spacing w:after="0" w:line="75" w:lineRule="exact"/>
        <w:rPr>
          <w:rFonts w:ascii="MS PGothic" w:cs="MS PGothic" w:eastAsia="MS PGothic" w:hAnsi="MS PGothic"/>
          <w:sz w:val="18"/>
          <w:szCs w:val="18"/>
          <w:color w:val="auto"/>
        </w:rPr>
      </w:pPr>
    </w:p>
    <w:p>
      <w:pPr>
        <w:ind w:left="480" w:right="6060" w:hanging="364"/>
        <w:spacing w:after="0" w:line="339" w:lineRule="auto"/>
        <w:tabs>
          <w:tab w:leader="none" w:pos="485" w:val="left"/>
        </w:tabs>
        <w:numPr>
          <w:ilvl w:val="0"/>
          <w:numId w:val="15"/>
        </w:numPr>
        <w:rPr>
          <w:rFonts w:ascii="MS PGothic" w:cs="MS PGothic" w:eastAsia="MS PGothic" w:hAnsi="MS PGothic"/>
          <w:sz w:val="16"/>
          <w:szCs w:val="16"/>
          <w:color w:val="auto"/>
        </w:rPr>
      </w:pPr>
      <w:r>
        <w:rPr>
          <w:rFonts w:ascii="Arial" w:cs="Arial" w:eastAsia="Arial" w:hAnsi="Arial"/>
          <w:sz w:val="16"/>
          <w:szCs w:val="16"/>
          <w:color w:val="auto"/>
        </w:rPr>
        <w:t>Employ a clawback policy to allow the company to recover any performance-based compensation later proven unearned</w:t>
      </w:r>
    </w:p>
    <w:p>
      <w:pPr>
        <w:spacing w:after="0" w:line="33" w:lineRule="exact"/>
        <w:rPr>
          <w:rFonts w:ascii="MS PGothic" w:cs="MS PGothic" w:eastAsia="MS PGothic" w:hAnsi="MS PGothic"/>
          <w:sz w:val="16"/>
          <w:szCs w:val="16"/>
          <w:color w:val="auto"/>
        </w:rPr>
      </w:pPr>
    </w:p>
    <w:p>
      <w:pPr>
        <w:ind w:left="480" w:right="6240" w:hanging="364"/>
        <w:spacing w:after="0" w:line="277" w:lineRule="auto"/>
        <w:tabs>
          <w:tab w:leader="none" w:pos="485"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consultant to advise the compensation committee</w:t>
      </w:r>
    </w:p>
    <w:p>
      <w:pPr>
        <w:spacing w:after="0" w:line="75" w:lineRule="exact"/>
        <w:rPr>
          <w:rFonts w:ascii="MS PGothic" w:cs="MS PGothic" w:eastAsia="MS PGothic" w:hAnsi="MS PGothic"/>
          <w:sz w:val="18"/>
          <w:szCs w:val="18"/>
          <w:color w:val="auto"/>
        </w:rPr>
      </w:pPr>
    </w:p>
    <w:p>
      <w:pPr>
        <w:ind w:left="480" w:right="5920" w:hanging="364"/>
        <w:spacing w:after="0" w:line="277" w:lineRule="auto"/>
        <w:tabs>
          <w:tab w:leader="none" w:pos="485"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Consider feedback from stockholders as part of the compensation committee’s annual program review</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compensation committee conducts an annual review of our executive compensation program to help ensure that: (1) the program is designed to align the interests of our named executive officers with our stockholders’ interests by rewarding performance that is tied to creating stockholder value; and (2) the program provides a total compensation package for each of our named executive officers that we believe is competitive and necessary to attract and retain talent.</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accomplish these objectives by providing a total compensation package that includes three main components: base salary, annual performance-based cash awards and long-term equity-based awards. We believe that in order to attract and retain top executives, we need to provide them with compensation levels that reward their continued service. Some of the elements, such as base salaries and annual cash awards, are paid out on a short-term or current basis. Other elements, such as equity awards that are subject to multi-year vesting schedules and benefits provided upon certain terminations of employment, are paid out on a long-term basis. We believe this mix of short- and long-term elements allows us to achieve our goals of attracting, retaining and motivating our top executives. We also, in certain cases, provide our named executive officers with certain relocation and other benefits in connection with their joining us.</w:t>
      </w:r>
    </w:p>
    <w:p>
      <w:pPr>
        <w:spacing w:after="0" w:line="195"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structuring executive compensation packages, the compensation committee considers how each component promotes retention and motivates performance. Base salaries, severance and other termination benefits are primarily intended to attract and retain highly qualified executives. These elements of our executive compensation program are generally not dependent on performance. Annual cash bonus opportunities provide further incentives to achieve performance goals specified by the compensation committee and long-term equity awards provide incentives to help create value for our stockholders and continue employment with us through specified vesting dates.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Payment of our annual performance-based cash awards is solely contingent upon the achievement of financial performance metrics. The amount of compensation ultimately received for these awards varies with our annual financial performance, thereby providing additional incentives to achieve short-term or annual goals that we believe will maximize stockholder value over the long term.</w:t>
      </w:r>
    </w:p>
    <w:p>
      <w:pPr>
        <w:spacing w:after="0" w:line="18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believe that by providing a significant portion of our named executive officers’ total compensation package in the form of equity-based awards, we are able to create an incentive to build stockholder value over the long-term and more closely align the interests of our named executive officers to those of our stockholders. Our annual equity awards to the named executive officers for 2020 consisted of performance shares (for the CEO only), stock options and restricted stock unit awards, which generally only vest if the executive remains employed with us through the vesting date.</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compensation committee considers, determines, reviews, and revises all components of each named executive officer’s compensation. It may not delegate that responsibility. The compensation committee also has oversight of and consults with management regarding executive and non-executive employee compensation plans and programs, including administration of our equity incentive plans.</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compensation committee retains an independent executive compensation consultant, Semler Brossy Consulting Group, referred to as Semler Brossy, to provide input, analysis, and consultation about our executive compensation. During 2020, Semler Brossy’s work with the compensation committee included analysis, advice, and recommendations on total compensation philosophy; peer groups and market assessment and analysis; compensation program design, including program goals, components, and metrics; equity usage and allocation; compensation trends in comparable business sectors and in the general marketplace for senior executives; regulatory factors; and the compensation of the chief executive officer and the other named executive officers, including advice on the design of cash-based and equity-based compensation.</w:t>
      </w:r>
    </w:p>
    <w:p>
      <w:pPr>
        <w:spacing w:after="0" w:line="16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Semler Brossy reports directly and solely to the compensation committee and performs compensation consulting services for the compensation committee at its request. Semler Brossy is not engaged to perform services directly for our management. The compensation committee has concluded that no conflict of interest exists with respect to its engagement of Semler Brossy nor are there other factors that would adversely impact Semler Brossy’s independence in advising the compensation committee under applicable SEC and Nasdaq rules. The compensation committee reached this conclusion after considering the following six factors, as well as Semler Brossy’s views regarding its independence and other information the compensation committee deemed relevant: (i) the provision of other services to us by Semler Brossy; (ii) the amount of fees received from us by Semler Brossy, as a percentage of the total revenue of Semler Brossy; (iii) the policies and procedures of Semler Brossy that are designed to prevent conflicts of interest; (iv) any business or personal relationship of the Semler Brossy consultants with a member of the compensation committee; (v) any of our stock owned by the Semler Brossy consultants; and (vi) any business or personal relationship of the Semler Brossy consultants or Semler Brossy with any of our executive officers.</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Executive officers do not propose or seek approval for, or have any decision-making authority with respect to, their own compensation. The chief executive officer makes recommendations to the compensation committee on the base salary, annual incentive cash targets, and equity awards for each named executive officer other than himself, based on his assessment of each executive officer’s performance during the year and other factors, including compensation survey data and input from Semler Brossy.</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Performance reviews for the chief executive officer and other named executive officers include factors that may vary depending on the role of the individual officer, including strategic capability—how well the executive officer identifies and develops relevant business strategies and plans; execution—how well the executive officer executes strategies and plans; and leadership capability—how well the executive officer leads and develops the organization and its people. The compensation committee conducts an annual performance review of the chief executive officer to evaluate the company’s performance, his performance and the performance of the management team and considers this review in determining the chief executive officer’s base salary, annual performance-based cash incentive target, and equity awards.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have engaged in discussions regarding our compensation philosophy with several of our large stockholders, and we intend to engage in further compensation-related discussions from time to time at such stockholders’ request. Additionally, at our 2021 annual meeting, stockholders will have an opportunity to cast an advisory vote to approve the compensation programs of our named executive officers, referred to as the Say-On-Pay Vote.</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Peer Group Compensation Assessment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compensation committee works with Semler Brossy periodically to select a peer group of companies in our industry to assist the committee in making its compensation decisions. Although the compensation committee reviews and discusses the peer company compensation data provided by Semler Brossy to help inform its decision-making process, the compensation committee does not set compensation levels at any specific level or percentile against the peer group data. The peer company data is only one point of information taken into account by the compensation committee in making compensation decisions.</w:t>
      </w:r>
    </w:p>
    <w:p>
      <w:pPr>
        <w:spacing w:after="0" w:line="188" w:lineRule="exact"/>
        <w:rPr>
          <w:sz w:val="20"/>
          <w:szCs w:val="20"/>
          <w:color w:val="auto"/>
        </w:rPr>
      </w:pPr>
    </w:p>
    <w:p>
      <w:pPr>
        <w:jc w:val="both"/>
        <w:ind w:left="120" w:right="240" w:firstLine="440"/>
        <w:spacing w:after="0" w:line="296" w:lineRule="auto"/>
        <w:rPr>
          <w:sz w:val="20"/>
          <w:szCs w:val="20"/>
          <w:color w:val="auto"/>
        </w:rPr>
      </w:pPr>
      <w:r>
        <w:rPr>
          <w:rFonts w:ascii="Arial" w:cs="Arial" w:eastAsia="Arial" w:hAnsi="Arial"/>
          <w:sz w:val="16"/>
          <w:szCs w:val="16"/>
          <w:color w:val="auto"/>
        </w:rPr>
        <w:t>In July 2019, and prior to the announced Telaria transaction, the compensation committee, with assistance from Semler Brossy, reviewed peer group companies and determined that for 2020 several peers were too large and had substantially different market multiples than the legacy Rubicon Project organization at the time. The assessment led to the removal of five companies (AppFolio, Five, Qualys, QuinStreet and Quotient Technology) and the addition of three new companies (Cardlytics, EverQuote and Fluent). The added companies were selected based on several criteria, including being similar in size, favoring companies based in California or New York, and having a reasonably comparable business.</w:t>
      </w:r>
    </w:p>
    <w:p>
      <w:pPr>
        <w:spacing w:after="0" w:line="200" w:lineRule="exact"/>
        <w:rPr>
          <w:sz w:val="20"/>
          <w:szCs w:val="20"/>
          <w:color w:val="auto"/>
        </w:rPr>
      </w:pP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0"/>
              </w:rPr>
              <w:t>Fiscal 2020 Peer Group</w:t>
            </w:r>
          </w:p>
        </w:tc>
        <w:tc>
          <w:tcPr>
            <w:tcW w:w="2520" w:type="dxa"/>
            <w:vAlign w:val="bottom"/>
          </w:tcPr>
          <w:p>
            <w:pPr>
              <w:spacing w:after="0"/>
              <w:rPr>
                <w:sz w:val="20"/>
                <w:szCs w:val="20"/>
                <w:color w:val="auto"/>
              </w:rPr>
            </w:pPr>
          </w:p>
        </w:tc>
      </w:tr>
      <w:tr>
        <w:trPr>
          <w:trHeight w:val="432"/>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3"/>
              </w:rPr>
              <w:t>Cardlytics, Inc.</w:t>
            </w: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Marchex, Inc.</w:t>
            </w:r>
          </w:p>
        </w:tc>
        <w:tc>
          <w:tcPr>
            <w:tcW w:w="2520" w:type="dxa"/>
            <w:vAlign w:val="bottom"/>
          </w:tcPr>
          <w:p>
            <w:pPr>
              <w:jc w:val="center"/>
              <w:ind w:left="850"/>
              <w:spacing w:after="0"/>
              <w:rPr>
                <w:sz w:val="20"/>
                <w:szCs w:val="20"/>
                <w:color w:val="auto"/>
              </w:rPr>
            </w:pPr>
            <w:r>
              <w:rPr>
                <w:rFonts w:ascii="Arial" w:cs="Arial" w:eastAsia="Arial" w:hAnsi="Arial"/>
                <w:sz w:val="18"/>
                <w:szCs w:val="18"/>
                <w:color w:val="auto"/>
                <w:w w:val="89"/>
              </w:rPr>
              <w:t>TechTarget, Inc.</w:t>
            </w:r>
          </w:p>
        </w:tc>
      </w:tr>
      <w:tr>
        <w:trPr>
          <w:trHeight w:val="324"/>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2"/>
              </w:rPr>
              <w:t>ChannelAdvisor Corporation</w:t>
            </w:r>
          </w:p>
        </w:tc>
        <w:tc>
          <w:tcPr>
            <w:tcW w:w="3680" w:type="dxa"/>
            <w:vAlign w:val="bottom"/>
          </w:tcPr>
          <w:p>
            <w:pPr>
              <w:jc w:val="center"/>
              <w:spacing w:after="0"/>
              <w:rPr>
                <w:sz w:val="20"/>
                <w:szCs w:val="20"/>
                <w:color w:val="auto"/>
              </w:rPr>
            </w:pPr>
            <w:r>
              <w:rPr>
                <w:rFonts w:ascii="Arial" w:cs="Arial" w:eastAsia="Arial" w:hAnsi="Arial"/>
                <w:sz w:val="18"/>
                <w:szCs w:val="18"/>
                <w:color w:val="auto"/>
                <w:w w:val="97"/>
              </w:rPr>
              <w:t>MobileIron, Inc.</w:t>
            </w:r>
          </w:p>
        </w:tc>
        <w:tc>
          <w:tcPr>
            <w:tcW w:w="2520" w:type="dxa"/>
            <w:vAlign w:val="bottom"/>
          </w:tcPr>
          <w:p>
            <w:pPr>
              <w:jc w:val="center"/>
              <w:ind w:left="850"/>
              <w:spacing w:after="0"/>
              <w:rPr>
                <w:sz w:val="20"/>
                <w:szCs w:val="20"/>
                <w:color w:val="auto"/>
              </w:rPr>
            </w:pPr>
            <w:r>
              <w:rPr>
                <w:rFonts w:ascii="Arial" w:cs="Arial" w:eastAsia="Arial" w:hAnsi="Arial"/>
                <w:sz w:val="18"/>
                <w:szCs w:val="18"/>
                <w:color w:val="auto"/>
                <w:w w:val="92"/>
              </w:rPr>
              <w:t>Telaria Inc.</w:t>
            </w:r>
          </w:p>
        </w:tc>
      </w:tr>
      <w:tr>
        <w:trPr>
          <w:trHeight w:val="324"/>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4"/>
              </w:rPr>
              <w:t>Digital Turbine, Inc.</w:t>
            </w:r>
          </w:p>
        </w:tc>
        <w:tc>
          <w:tcPr>
            <w:tcW w:w="3680" w:type="dxa"/>
            <w:vAlign w:val="bottom"/>
          </w:tcPr>
          <w:p>
            <w:pPr>
              <w:jc w:val="center"/>
              <w:spacing w:after="0"/>
              <w:rPr>
                <w:sz w:val="20"/>
                <w:szCs w:val="20"/>
                <w:color w:val="auto"/>
              </w:rPr>
            </w:pPr>
            <w:r>
              <w:rPr>
                <w:rFonts w:ascii="Arial" w:cs="Arial" w:eastAsia="Arial" w:hAnsi="Arial"/>
                <w:sz w:val="18"/>
                <w:szCs w:val="18"/>
                <w:color w:val="auto"/>
                <w:w w:val="94"/>
              </w:rPr>
              <w:t>Model N, Inc.</w:t>
            </w:r>
          </w:p>
        </w:tc>
        <w:tc>
          <w:tcPr>
            <w:tcW w:w="2520" w:type="dxa"/>
            <w:vAlign w:val="bottom"/>
          </w:tcPr>
          <w:p>
            <w:pPr>
              <w:jc w:val="center"/>
              <w:ind w:left="870"/>
              <w:spacing w:after="0"/>
              <w:rPr>
                <w:sz w:val="20"/>
                <w:szCs w:val="20"/>
                <w:color w:val="auto"/>
              </w:rPr>
            </w:pPr>
            <w:r>
              <w:rPr>
                <w:rFonts w:ascii="Arial" w:cs="Arial" w:eastAsia="Arial" w:hAnsi="Arial"/>
                <w:sz w:val="18"/>
                <w:szCs w:val="18"/>
                <w:color w:val="auto"/>
                <w:w w:val="89"/>
              </w:rPr>
              <w:t>Telenav, Inc.</w:t>
            </w:r>
          </w:p>
        </w:tc>
      </w:tr>
      <w:tr>
        <w:trPr>
          <w:trHeight w:val="324"/>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1"/>
              </w:rPr>
              <w:t>EverQuote, Inc.</w:t>
            </w: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PROS Holdings, Inc.</w:t>
            </w:r>
          </w:p>
        </w:tc>
        <w:tc>
          <w:tcPr>
            <w:tcW w:w="2520" w:type="dxa"/>
            <w:vAlign w:val="bottom"/>
          </w:tcPr>
          <w:p>
            <w:pPr>
              <w:jc w:val="center"/>
              <w:ind w:left="850"/>
              <w:spacing w:after="0"/>
              <w:rPr>
                <w:sz w:val="20"/>
                <w:szCs w:val="20"/>
                <w:color w:val="auto"/>
              </w:rPr>
            </w:pPr>
            <w:r>
              <w:rPr>
                <w:rFonts w:ascii="Arial" w:cs="Arial" w:eastAsia="Arial" w:hAnsi="Arial"/>
                <w:sz w:val="18"/>
                <w:szCs w:val="18"/>
                <w:color w:val="auto"/>
                <w:w w:val="91"/>
              </w:rPr>
              <w:t>The Trade Desk, Inc..</w:t>
            </w:r>
          </w:p>
        </w:tc>
      </w:tr>
      <w:tr>
        <w:trPr>
          <w:trHeight w:val="324"/>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1"/>
              </w:rPr>
              <w:t>Fluent, Inc..</w:t>
            </w:r>
          </w:p>
        </w:tc>
        <w:tc>
          <w:tcPr>
            <w:tcW w:w="3680" w:type="dxa"/>
            <w:vAlign w:val="bottom"/>
          </w:tcPr>
          <w:p>
            <w:pPr>
              <w:jc w:val="center"/>
              <w:spacing w:after="0"/>
              <w:rPr>
                <w:sz w:val="20"/>
                <w:szCs w:val="20"/>
                <w:color w:val="auto"/>
              </w:rPr>
            </w:pPr>
            <w:r>
              <w:rPr>
                <w:rFonts w:ascii="Arial" w:cs="Arial" w:eastAsia="Arial" w:hAnsi="Arial"/>
                <w:sz w:val="18"/>
                <w:szCs w:val="18"/>
                <w:color w:val="auto"/>
                <w:w w:val="86"/>
              </w:rPr>
              <w:t>SPS Commerce</w:t>
            </w:r>
          </w:p>
        </w:tc>
        <w:tc>
          <w:tcPr>
            <w:tcW w:w="2520" w:type="dxa"/>
            <w:vAlign w:val="bottom"/>
          </w:tcPr>
          <w:p>
            <w:pPr>
              <w:jc w:val="center"/>
              <w:ind w:left="850"/>
              <w:spacing w:after="0"/>
              <w:rPr>
                <w:sz w:val="20"/>
                <w:szCs w:val="20"/>
                <w:color w:val="auto"/>
              </w:rPr>
            </w:pPr>
            <w:r>
              <w:rPr>
                <w:rFonts w:ascii="Arial" w:cs="Arial" w:eastAsia="Arial" w:hAnsi="Arial"/>
                <w:sz w:val="18"/>
                <w:szCs w:val="18"/>
                <w:color w:val="auto"/>
                <w:w w:val="89"/>
              </w:rPr>
              <w:t>TrueCar, Inc.</w:t>
            </w:r>
          </w:p>
        </w:tc>
      </w:tr>
      <w:tr>
        <w:trPr>
          <w:trHeight w:val="324"/>
        </w:trPr>
        <w:tc>
          <w:tcPr>
            <w:tcW w:w="3020" w:type="dxa"/>
            <w:vAlign w:val="bottom"/>
          </w:tcPr>
          <w:p>
            <w:pPr>
              <w:jc w:val="center"/>
              <w:ind w:right="830"/>
              <w:spacing w:after="0"/>
              <w:rPr>
                <w:sz w:val="20"/>
                <w:szCs w:val="20"/>
                <w:color w:val="auto"/>
              </w:rPr>
            </w:pPr>
            <w:r>
              <w:rPr>
                <w:rFonts w:ascii="Arial" w:cs="Arial" w:eastAsia="Arial" w:hAnsi="Arial"/>
                <w:sz w:val="18"/>
                <w:szCs w:val="18"/>
                <w:color w:val="auto"/>
                <w:w w:val="94"/>
              </w:rPr>
              <w:t>Leaf Group Ltd.</w:t>
            </w:r>
          </w:p>
        </w:tc>
        <w:tc>
          <w:tcPr>
            <w:tcW w:w="3680" w:type="dxa"/>
            <w:vAlign w:val="bottom"/>
          </w:tcPr>
          <w:p>
            <w:pPr>
              <w:jc w:val="center"/>
              <w:spacing w:after="0"/>
              <w:rPr>
                <w:sz w:val="20"/>
                <w:szCs w:val="20"/>
                <w:color w:val="auto"/>
              </w:rPr>
            </w:pPr>
            <w:r>
              <w:rPr>
                <w:rFonts w:ascii="Arial" w:cs="Arial" w:eastAsia="Arial" w:hAnsi="Arial"/>
                <w:sz w:val="18"/>
                <w:szCs w:val="18"/>
                <w:color w:val="auto"/>
                <w:w w:val="91"/>
              </w:rPr>
              <w:t>Synacor, Inc.</w:t>
            </w:r>
          </w:p>
        </w:tc>
        <w:tc>
          <w:tcPr>
            <w:tcW w:w="2520" w:type="dxa"/>
            <w:vAlign w:val="bottom"/>
          </w:tcPr>
          <w:p>
            <w:pPr>
              <w:jc w:val="center"/>
              <w:ind w:left="850"/>
              <w:spacing w:after="0"/>
              <w:rPr>
                <w:sz w:val="20"/>
                <w:szCs w:val="20"/>
                <w:color w:val="auto"/>
              </w:rPr>
            </w:pPr>
            <w:r>
              <w:rPr>
                <w:rFonts w:ascii="Arial" w:cs="Arial" w:eastAsia="Arial" w:hAnsi="Arial"/>
                <w:sz w:val="18"/>
                <w:szCs w:val="18"/>
                <w:color w:val="auto"/>
                <w:w w:val="87"/>
              </w:rPr>
              <w:t>Varonis Systems</w:t>
            </w:r>
          </w:p>
        </w:tc>
      </w:tr>
    </w:tbl>
    <w:p>
      <w:pPr>
        <w:spacing w:after="0" w:line="202" w:lineRule="exact"/>
        <w:rPr>
          <w:sz w:val="20"/>
          <w:szCs w:val="20"/>
          <w:color w:val="auto"/>
        </w:rPr>
      </w:pPr>
    </w:p>
    <w:p>
      <w:pPr>
        <w:jc w:val="both"/>
        <w:ind w:left="120" w:right="500" w:firstLine="440"/>
        <w:spacing w:after="0" w:line="286" w:lineRule="auto"/>
        <w:rPr>
          <w:sz w:val="20"/>
          <w:szCs w:val="20"/>
          <w:color w:val="auto"/>
        </w:rPr>
      </w:pPr>
      <w:r>
        <w:rPr>
          <w:rFonts w:ascii="Arial" w:cs="Arial" w:eastAsia="Arial" w:hAnsi="Arial"/>
          <w:sz w:val="17"/>
          <w:szCs w:val="17"/>
          <w:color w:val="auto"/>
        </w:rPr>
        <w:t>In early 2020, and following the announcement of the Telaria transaction, Semler Brossy determined that the peer group (excluding Telaria) continued to remain appropriate when establishing 2020 pay levels due to balanced relative positioning around median on several key metrics and recommended that the committee re-assess the peer group in July 2020 to reflect the go-forward combined company.</w:t>
      </w: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Current Executive Compensation Program Elements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elements of our executive compensation program are:</w:t>
      </w:r>
    </w:p>
    <w:p>
      <w:pPr>
        <w:spacing w:after="0" w:line="13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performance-based cash awards;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equity-based incentive awards;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additional employee benefits.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strive to achieve an appropriate mix between the various elements of our compensation program to meet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our compensation objectives and philosophy; however, we do not apply any rigid allocation formula in setting our named executive officers’ compensation, and we may make adjustments to this approach for various positions after giving due consideration to prevailing circumstances.</w:t>
      </w:r>
    </w:p>
    <w:p>
      <w:pPr>
        <w:spacing w:after="0" w:line="12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As discussed throughout this Compensation Discussion and Analysis, the compensation policies and programs applicable to our named executive officers reflect our emphasis on aligning the interests of our executive officers with our stockholders’ interests in enhancing our value over the long term. Applying this philosophy, a significant portion of overall compensation opportunities offered to our named executive officers is in the form of</w:t>
      </w:r>
    </w:p>
    <w:p>
      <w:pPr>
        <w:spacing w:after="0" w:line="2" w:lineRule="exact"/>
        <w:rPr>
          <w:sz w:val="20"/>
          <w:szCs w:val="20"/>
          <w:color w:val="auto"/>
        </w:rPr>
      </w:pPr>
    </w:p>
    <w:p>
      <w:pPr>
        <w:ind w:left="120" w:right="800" w:hanging="4"/>
        <w:spacing w:after="0" w:line="260"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equity-based compensation with a value directly linked to our stock price and (ii) annual performance-based cash awards contingent upon achievement of measurable financial objectives.</w:t>
      </w:r>
    </w:p>
    <w:p>
      <w:pPr>
        <w:spacing w:after="0" w:line="293"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Base salaries for our named executive officers are designed to be competitive when compared with similarly situated executives within our peer group, and are based on a variety of factors, including level of responsibility, performance, and the recommendations of the chief executive officer for named executive officers other than the chief executive officer. Base salaries are reviewed annually or at the time of promotion or other changes in responsibilities. In determining whether to award base salary increases, the compensation committee considers our overall business outlook, our budget, the executive’s individual performance, historical compensation, market compensation levels for comparable positions, internal pay equity, and other factors, including any retention concerns.</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After consideration of the data from the peer group described above and the other factors described in the preceding paragraph, the compensation committee increased incumbent named executive officers’ base salaries in March 2020 which are described in the table below. Mr. Kershaw received a +17.6% increase to reflect the increased scale of his role and responsibility for the combined go-forward entity and Mr. Soroca received a +15.4% increase based on market positioning and a desire to achieve better internal pay equity amongst other peers.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90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ind w:left="540"/>
              <w:spacing w:after="0"/>
              <w:rPr>
                <w:sz w:val="20"/>
                <w:szCs w:val="20"/>
                <w:color w:val="auto"/>
              </w:rPr>
            </w:pPr>
            <w:r>
              <w:rPr>
                <w:rFonts w:ascii="Arial" w:cs="Arial" w:eastAsia="Arial" w:hAnsi="Arial"/>
                <w:sz w:val="14"/>
                <w:szCs w:val="14"/>
                <w:b w:val="1"/>
                <w:bCs w:val="1"/>
                <w:color w:val="auto"/>
                <w:w w:val="94"/>
              </w:rPr>
              <w:t>2019 Annual</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 Annual</w:t>
            </w:r>
          </w:p>
        </w:tc>
        <w:tc>
          <w:tcPr>
            <w:tcW w:w="1640" w:type="dxa"/>
            <w:vAlign w:val="bottom"/>
            <w:gridSpan w:val="2"/>
          </w:tcPr>
          <w:p>
            <w:pPr>
              <w:ind w:left="600"/>
              <w:spacing w:after="0"/>
              <w:rPr>
                <w:sz w:val="20"/>
                <w:szCs w:val="20"/>
                <w:color w:val="auto"/>
              </w:rPr>
            </w:pPr>
            <w:r>
              <w:rPr>
                <w:rFonts w:ascii="Arial" w:cs="Arial" w:eastAsia="Arial" w:hAnsi="Arial"/>
                <w:sz w:val="14"/>
                <w:szCs w:val="14"/>
                <w:b w:val="1"/>
                <w:bCs w:val="1"/>
                <w:color w:val="auto"/>
                <w:w w:val="90"/>
              </w:rPr>
              <w:t>Percent Increase</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Base Salary</w:t>
            </w:r>
          </w:p>
        </w:tc>
        <w:tc>
          <w:tcPr>
            <w:tcW w:w="6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Base Salary</w:t>
            </w:r>
          </w:p>
        </w:tc>
        <w:tc>
          <w:tcPr>
            <w:tcW w:w="1640" w:type="dxa"/>
            <w:vAlign w:val="bottom"/>
            <w:gridSpan w:val="2"/>
          </w:tcPr>
          <w:p>
            <w:pPr>
              <w:jc w:val="center"/>
              <w:ind w:left="5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Barrett</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515,000</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550,000</w:t>
            </w:r>
          </w:p>
        </w:tc>
        <w:tc>
          <w:tcPr>
            <w:tcW w:w="6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David Day</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430,000</w:t>
            </w:r>
          </w:p>
        </w:tc>
        <w:tc>
          <w:tcPr>
            <w:tcW w:w="1640" w:type="dxa"/>
            <w:vAlign w:val="bottom"/>
            <w:gridSpan w:val="2"/>
          </w:tcPr>
          <w:p>
            <w:pPr>
              <w:jc w:val="center"/>
              <w:ind w:left="496"/>
              <w:spacing w:after="0"/>
              <w:rPr>
                <w:sz w:val="20"/>
                <w:szCs w:val="20"/>
                <w:color w:val="auto"/>
              </w:rPr>
            </w:pPr>
            <w:r>
              <w:rPr>
                <w:rFonts w:ascii="Arial" w:cs="Arial" w:eastAsia="Arial" w:hAnsi="Arial"/>
                <w:sz w:val="18"/>
                <w:szCs w:val="18"/>
                <w:color w:val="auto"/>
                <w:w w:val="92"/>
              </w:rPr>
              <w:t>7.5%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500,000</w:t>
            </w:r>
          </w:p>
        </w:tc>
        <w:tc>
          <w:tcPr>
            <w:tcW w:w="1640" w:type="dxa"/>
            <w:vAlign w:val="bottom"/>
            <w:gridSpan w:val="2"/>
            <w:shd w:val="clear" w:color="auto" w:fill="CCEEFF"/>
          </w:tcPr>
          <w:p>
            <w:pPr>
              <w:jc w:val="center"/>
              <w:ind w:left="496"/>
              <w:spacing w:after="0"/>
              <w:rPr>
                <w:sz w:val="20"/>
                <w:szCs w:val="20"/>
                <w:color w:val="auto"/>
              </w:rPr>
            </w:pPr>
            <w:r>
              <w:rPr>
                <w:rFonts w:ascii="Arial" w:cs="Arial" w:eastAsia="Arial" w:hAnsi="Arial"/>
                <w:sz w:val="18"/>
                <w:szCs w:val="18"/>
                <w:color w:val="auto"/>
                <w:w w:val="90"/>
              </w:rPr>
              <w:t>17.6%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Katie Evans</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400,000</w:t>
            </w:r>
          </w:p>
        </w:tc>
        <w:tc>
          <w:tcPr>
            <w:tcW w:w="1640" w:type="dxa"/>
            <w:vAlign w:val="bottom"/>
            <w:gridSpan w:val="2"/>
          </w:tcPr>
          <w:p>
            <w:pPr>
              <w:jc w:val="center"/>
              <w:ind w:left="496"/>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Adam Soroca</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325,000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375,000</w:t>
            </w:r>
          </w:p>
        </w:tc>
        <w:tc>
          <w:tcPr>
            <w:tcW w:w="1640" w:type="dxa"/>
            <w:vAlign w:val="bottom"/>
            <w:gridSpan w:val="2"/>
            <w:shd w:val="clear" w:color="auto" w:fill="CCEEFF"/>
          </w:tcPr>
          <w:p>
            <w:pPr>
              <w:jc w:val="center"/>
              <w:ind w:left="496"/>
              <w:spacing w:after="0"/>
              <w:rPr>
                <w:sz w:val="20"/>
                <w:szCs w:val="20"/>
                <w:color w:val="auto"/>
              </w:rPr>
            </w:pPr>
            <w:r>
              <w:rPr>
                <w:rFonts w:ascii="Arial" w:cs="Arial" w:eastAsia="Arial" w:hAnsi="Arial"/>
                <w:sz w:val="18"/>
                <w:szCs w:val="18"/>
                <w:color w:val="auto"/>
                <w:w w:val="90"/>
              </w:rPr>
              <w:t>15.4%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Annual Performance-Based Cash Awards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named executive officers are eligible to receive cash incentive payments under our Executive Cash Incentive Plan, referred to as the Executive Bonus Plan, which is administered by our compensation committee. The amount of cash incentive payments under the Executive Bonus Plan is determined based upon the achievement of pre-established corporate financial objectives that the compensation committee believed were challenging yet achievable.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For 2020, given that the Telaria Merger occurred in Q2 2020, and considering challenges setting goals during initial integration, the compensation committee approved a bifurcated structure for the 2020 Executive Bonus Plan with independent goals set for each of the first half of the fiscal year (“1H20”) and second half of the fiscal year (“2H20”). The first half of 2020, 1H20, was measured from January to June of 2020. The named executive officers were measured against legacy Rubicon Project 1H20 targets (or legacy Telaria 1H2020 targets for Ms. Evans), with the first half bonus payout based on H1 results. The second half of 2020, 2H20, was measured from July to December 2020 with goals set in July 2020 based on combined company results. The company did not make any adjustments to the cash incentive program or outcomes due to COVID-19 but did consider the impact of COVID-19 when establishing goals for the 2H20.</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486"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In March 2020, the compensation committee approved modest increases to target annual bonuses for Mr. Day and Mr. Kershaw in order to better internally align members of the senior leadership team. The increases to target annual bonuses, effective April 1, 2020, were as follows:</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2"/>
              </w:rPr>
              <w:t>2019 Annual</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2020 Annual</w:t>
            </w:r>
          </w:p>
        </w:tc>
        <w:tc>
          <w:tcPr>
            <w:tcW w:w="0" w:type="dxa"/>
            <w:vAlign w:val="bottom"/>
          </w:tcPr>
          <w:p>
            <w:pPr>
              <w:spacing w:after="0"/>
              <w:rPr>
                <w:sz w:val="1"/>
                <w:szCs w:val="1"/>
                <w:color w:val="auto"/>
              </w:rPr>
            </w:pPr>
          </w:p>
        </w:tc>
      </w:tr>
      <w:tr>
        <w:trPr>
          <w:trHeight w:val="148"/>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vMerge w:val="restart"/>
          </w:tcPr>
          <w:p>
            <w:pPr>
              <w:spacing w:after="0"/>
              <w:rPr>
                <w:sz w:val="12"/>
                <w:szCs w:val="12"/>
                <w:color w:val="auto"/>
              </w:rPr>
            </w:pPr>
          </w:p>
        </w:tc>
        <w:tc>
          <w:tcPr>
            <w:tcW w:w="20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Target</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 of Base Salary</w:t>
            </w:r>
          </w:p>
        </w:tc>
        <w:tc>
          <w:tcPr>
            <w:tcW w:w="9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 of Base Salary</w:t>
            </w:r>
          </w:p>
        </w:tc>
        <w:tc>
          <w:tcPr>
            <w:tcW w:w="0" w:type="dxa"/>
            <w:vAlign w:val="bottom"/>
          </w:tcPr>
          <w:p>
            <w:pPr>
              <w:spacing w:after="0"/>
              <w:rPr>
                <w:sz w:val="1"/>
                <w:szCs w:val="1"/>
                <w:color w:val="auto"/>
              </w:rPr>
            </w:pPr>
          </w:p>
        </w:tc>
      </w:tr>
      <w:tr>
        <w:trPr>
          <w:trHeight w:val="20"/>
        </w:trPr>
        <w:tc>
          <w:tcPr>
            <w:tcW w:w="420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Michael Barrett</w:t>
            </w:r>
          </w:p>
        </w:tc>
        <w:tc>
          <w:tcPr>
            <w:tcW w:w="840" w:type="dxa"/>
            <w:vAlign w:val="bottom"/>
            <w:vMerge w:val="continue"/>
            <w:shd w:val="clear" w:color="auto" w:fill="CCEEFF"/>
          </w:tcPr>
          <w:p>
            <w:pPr>
              <w:spacing w:after="0"/>
              <w:rPr>
                <w:sz w:val="18"/>
                <w:szCs w:val="18"/>
                <w:color w:val="auto"/>
              </w:rPr>
            </w:pP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2060" w:type="dxa"/>
            <w:vAlign w:val="bottom"/>
            <w:gridSpan w:val="2"/>
          </w:tcPr>
          <w:p>
            <w:pPr>
              <w:jc w:val="right"/>
              <w:ind w:right="840"/>
              <w:spacing w:after="0"/>
              <w:rPr>
                <w:sz w:val="20"/>
                <w:szCs w:val="20"/>
                <w:color w:val="auto"/>
              </w:rPr>
            </w:pPr>
            <w:r>
              <w:rPr>
                <w:rFonts w:ascii="Arial" w:cs="Arial" w:eastAsia="Arial" w:hAnsi="Arial"/>
                <w:sz w:val="18"/>
                <w:szCs w:val="18"/>
                <w:color w:val="auto"/>
              </w:rPr>
              <w:t>65%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Katie Evans</w:t>
            </w:r>
          </w:p>
        </w:tc>
        <w:tc>
          <w:tcPr>
            <w:tcW w:w="2060" w:type="dxa"/>
            <w:vAlign w:val="bottom"/>
            <w:gridSpan w:val="2"/>
          </w:tcPr>
          <w:p>
            <w:pPr>
              <w:jc w:val="right"/>
              <w:ind w:right="840"/>
              <w:spacing w:after="0"/>
              <w:rPr>
                <w:sz w:val="20"/>
                <w:szCs w:val="20"/>
                <w:color w:val="auto"/>
              </w:rPr>
            </w:pPr>
            <w:r>
              <w:rPr>
                <w:rFonts w:ascii="Arial" w:cs="Arial" w:eastAsia="Arial" w:hAnsi="Arial"/>
                <w:sz w:val="18"/>
                <w:szCs w:val="18"/>
                <w:color w:val="auto"/>
              </w:rPr>
              <w:t>75%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Soroca</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1H20 legacy Rubicon Project performance was measured against two financial goals: revenue and adjusted EBITDA less capital expenditures, referred to as capex, with each goal given equal weight. 2H20 Magnite performance was measured against three financial goals: revenue (weighted 35%), CTV revenue (weighted 15%) and adjusted EBITDA less capex (weighted 50%). The compensation committee chose these financial metrics because they represent objectively determinable financial targets and focused the company on goals important to Magnite’s success after the transaction. For a description of how we calculate adjusted EBITDA, see the “Non-GAAP Financial Measures” section of the Management Discussion and Analysis of Financial Condition and Results of Operations in Part II, Item 7 of the company’s Annual Report on Form 10-K. The compensation committee retains the discretion to reduce, but not increase, the amount of any bonus otherwise payable to our executive officers based on such factors as it deems appropriate.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1H20 Annual Bonus Targets and Payout</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July 2020, the compensation committee determined that for the first half of 2020, legacy Rubicon Project achieved revenue of $65.6 million and Adjusted EBITDA less capex of ($0.68 million), resulting in a weighted payout percentage of 29.61% of each named executive officers’ target annual bonuses for 1H20 (other than Ms. Evans),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rPr>
              <w:t>Metric</w:t>
            </w: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4"/>
                <w:szCs w:val="14"/>
                <w:color w:val="auto"/>
              </w:rPr>
            </w:pPr>
          </w:p>
        </w:tc>
        <w:tc>
          <w:tcPr>
            <w:tcW w:w="8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3"/>
              </w:rPr>
              <w:t>Target</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jc w:val="center"/>
              <w:ind w:left="119"/>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auto"/>
                <w:w w:val="94"/>
              </w:rPr>
              <w:t>1H 2020</w:t>
            </w:r>
          </w:p>
        </w:tc>
        <w:tc>
          <w:tcPr>
            <w:tcW w:w="0" w:type="dxa"/>
            <w:vAlign w:val="bottom"/>
          </w:tcPr>
          <w:p>
            <w:pPr>
              <w:spacing w:after="0"/>
              <w:rPr>
                <w:sz w:val="1"/>
                <w:szCs w:val="1"/>
                <w:color w:val="auto"/>
              </w:rPr>
            </w:pPr>
          </w:p>
        </w:tc>
      </w:tr>
      <w:tr>
        <w:trPr>
          <w:trHeight w:val="148"/>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Goal</w:t>
            </w:r>
          </w:p>
        </w:tc>
        <w:tc>
          <w:tcPr>
            <w:tcW w:w="15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60" w:type="dxa"/>
            <w:vAlign w:val="bottom"/>
            <w:gridSpan w:val="3"/>
          </w:tcPr>
          <w:p>
            <w:pPr>
              <w:jc w:val="center"/>
              <w:ind w:left="348"/>
              <w:spacing w:after="0" w:line="149" w:lineRule="exact"/>
              <w:rPr>
                <w:sz w:val="20"/>
                <w:szCs w:val="20"/>
                <w:color w:val="auto"/>
              </w:rPr>
            </w:pPr>
            <w:r>
              <w:rPr>
                <w:rFonts w:ascii="Arial" w:cs="Arial" w:eastAsia="Arial" w:hAnsi="Arial"/>
                <w:sz w:val="14"/>
                <w:szCs w:val="14"/>
                <w:b w:val="1"/>
                <w:bCs w:val="1"/>
                <w:color w:val="auto"/>
                <w:w w:val="98"/>
              </w:rPr>
              <w:t>(100%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2"/>
          </w:tcPr>
          <w:p>
            <w:pPr>
              <w:jc w:val="right"/>
              <w:ind w:right="370"/>
              <w:spacing w:after="0" w:line="125" w:lineRule="exact"/>
              <w:rPr>
                <w:sz w:val="20"/>
                <w:szCs w:val="20"/>
                <w:color w:val="auto"/>
              </w:rPr>
            </w:pPr>
            <w:r>
              <w:rPr>
                <w:rFonts w:ascii="Arial" w:cs="Arial" w:eastAsia="Arial" w:hAnsi="Arial"/>
                <w:sz w:val="14"/>
                <w:szCs w:val="14"/>
                <w:b w:val="1"/>
                <w:bCs w:val="1"/>
                <w:color w:val="auto"/>
                <w:w w:val="89"/>
              </w:rPr>
              <w:t>Weight</w:t>
            </w:r>
          </w:p>
        </w:tc>
        <w:tc>
          <w:tcPr>
            <w:tcW w:w="110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6"/>
              </w:rPr>
              <w:t>(50% payout)</w:t>
            </w:r>
          </w:p>
        </w:tc>
        <w:tc>
          <w:tcPr>
            <w:tcW w:w="260" w:type="dxa"/>
            <w:vAlign w:val="bottom"/>
          </w:tcPr>
          <w:p>
            <w:pPr>
              <w:spacing w:after="0"/>
              <w:rPr>
                <w:sz w:val="12"/>
                <w:szCs w:val="12"/>
                <w:color w:val="auto"/>
              </w:rPr>
            </w:pPr>
          </w:p>
        </w:tc>
        <w:tc>
          <w:tcPr>
            <w:tcW w:w="800" w:type="dxa"/>
            <w:vAlign w:val="bottom"/>
            <w:gridSpan w:val="2"/>
          </w:tcPr>
          <w:p>
            <w:pPr>
              <w:jc w:val="center"/>
              <w:ind w:left="79"/>
              <w:spacing w:after="0" w:line="125" w:lineRule="exact"/>
              <w:rPr>
                <w:sz w:val="20"/>
                <w:szCs w:val="20"/>
                <w:color w:val="auto"/>
              </w:rPr>
            </w:pPr>
            <w:r>
              <w:rPr>
                <w:rFonts w:ascii="Arial" w:cs="Arial" w:eastAsia="Arial" w:hAnsi="Arial"/>
                <w:sz w:val="14"/>
                <w:szCs w:val="14"/>
                <w:b w:val="1"/>
                <w:bCs w:val="1"/>
                <w:color w:val="auto"/>
                <w:w w:val="94"/>
              </w:rPr>
              <w:t>payout)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6"/>
              </w:rPr>
              <w:t>(150% payout)</w:t>
            </w:r>
          </w:p>
        </w:tc>
        <w:tc>
          <w:tcPr>
            <w:tcW w:w="280" w:type="dxa"/>
            <w:vAlign w:val="bottom"/>
          </w:tcPr>
          <w:p>
            <w:pPr>
              <w:spacing w:after="0"/>
              <w:rPr>
                <w:sz w:val="12"/>
                <w:szCs w:val="12"/>
                <w:color w:val="auto"/>
              </w:rPr>
            </w:pPr>
          </w:p>
        </w:tc>
        <w:tc>
          <w:tcPr>
            <w:tcW w:w="118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3"/>
              </w:rPr>
              <w:t>Actual Result</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5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87"/>
              </w:rPr>
              <w:t>%</w:t>
            </w:r>
          </w:p>
        </w:tc>
        <w:tc>
          <w:tcPr>
            <w:tcW w:w="1100" w:type="dxa"/>
            <w:vAlign w:val="bottom"/>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$62.2 million</w:t>
            </w:r>
          </w:p>
        </w:tc>
        <w:tc>
          <w:tcPr>
            <w:tcW w:w="2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96"/>
              </w:rPr>
              <w:t>$82.9 million</w:t>
            </w:r>
          </w:p>
        </w:tc>
        <w:tc>
          <w:tcPr>
            <w:tcW w:w="2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$103.6 million</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$65.6 million</w:t>
            </w:r>
          </w:p>
        </w:tc>
        <w:tc>
          <w:tcPr>
            <w:tcW w:w="0" w:type="dxa"/>
            <w:vAlign w:val="bottom"/>
          </w:tcPr>
          <w:p>
            <w:pPr>
              <w:spacing w:after="0"/>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(59.22%payout)</w:t>
            </w:r>
          </w:p>
        </w:tc>
        <w:tc>
          <w:tcPr>
            <w:tcW w:w="0" w:type="dxa"/>
            <w:vAlign w:val="bottom"/>
          </w:tcPr>
          <w:p>
            <w:pPr>
              <w:spacing w:after="0"/>
              <w:rPr>
                <w:sz w:val="1"/>
                <w:szCs w:val="1"/>
                <w:color w:val="auto"/>
              </w:rPr>
            </w:pPr>
          </w:p>
        </w:tc>
      </w:tr>
      <w:tr>
        <w:trPr>
          <w:trHeight w:val="202"/>
        </w:trPr>
        <w:tc>
          <w:tcPr>
            <w:tcW w:w="346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92"/>
              </w:rPr>
              <w:t>Adjusted EBITDA less Capital Expenditures</w:t>
            </w:r>
          </w:p>
        </w:tc>
        <w:tc>
          <w:tcPr>
            <w:tcW w:w="2440" w:type="dxa"/>
            <w:vAlign w:val="bottom"/>
            <w:gridSpan w:val="3"/>
          </w:tcPr>
          <w:p>
            <w:pPr>
              <w:jc w:val="right"/>
              <w:ind w:right="210"/>
              <w:spacing w:after="0" w:line="201" w:lineRule="exact"/>
              <w:rPr>
                <w:sz w:val="20"/>
                <w:szCs w:val="20"/>
                <w:color w:val="auto"/>
              </w:rPr>
            </w:pPr>
            <w:r>
              <w:rPr>
                <w:rFonts w:ascii="Arial" w:cs="Arial" w:eastAsia="Arial" w:hAnsi="Arial"/>
                <w:sz w:val="18"/>
                <w:szCs w:val="18"/>
                <w:color w:val="auto"/>
              </w:rPr>
              <w:t>50%</w:t>
            </w:r>
          </w:p>
        </w:tc>
        <w:tc>
          <w:tcPr>
            <w:tcW w:w="11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5"/>
              </w:rPr>
              <w:t>($6.39 million)</w:t>
            </w:r>
          </w:p>
        </w:tc>
        <w:tc>
          <w:tcPr>
            <w:tcW w:w="260" w:type="dxa"/>
            <w:vAlign w:val="bottom"/>
          </w:tcPr>
          <w:p>
            <w:pPr>
              <w:spacing w:after="0"/>
              <w:rPr>
                <w:sz w:val="17"/>
                <w:szCs w:val="17"/>
                <w:color w:val="auto"/>
              </w:rPr>
            </w:pPr>
          </w:p>
        </w:tc>
        <w:tc>
          <w:tcPr>
            <w:tcW w:w="98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6"/>
              </w:rPr>
              <w:t>$0.5 million</w:t>
            </w:r>
          </w:p>
        </w:tc>
        <w:tc>
          <w:tcPr>
            <w:tcW w:w="260" w:type="dxa"/>
            <w:vAlign w:val="bottom"/>
          </w:tcPr>
          <w:p>
            <w:pPr>
              <w:spacing w:after="0"/>
              <w:rPr>
                <w:sz w:val="17"/>
                <w:szCs w:val="17"/>
                <w:color w:val="auto"/>
              </w:rPr>
            </w:pPr>
          </w:p>
        </w:tc>
        <w:tc>
          <w:tcPr>
            <w:tcW w:w="10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5"/>
              </w:rPr>
              <w:t>$14.88 million</w:t>
            </w:r>
          </w:p>
        </w:tc>
        <w:tc>
          <w:tcPr>
            <w:tcW w:w="280" w:type="dxa"/>
            <w:vAlign w:val="bottom"/>
          </w:tcPr>
          <w:p>
            <w:pPr>
              <w:spacing w:after="0"/>
              <w:rPr>
                <w:sz w:val="17"/>
                <w:szCs w:val="17"/>
                <w:color w:val="auto"/>
              </w:rPr>
            </w:pPr>
          </w:p>
        </w:tc>
        <w:tc>
          <w:tcPr>
            <w:tcW w:w="11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5"/>
              </w:rPr>
              <w:t>($0.68 million)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2"/>
              </w:rPr>
              <w:t>(0% payout)</w:t>
            </w:r>
          </w:p>
        </w:tc>
        <w:tc>
          <w:tcPr>
            <w:tcW w:w="0" w:type="dxa"/>
            <w:vAlign w:val="bottom"/>
          </w:tcPr>
          <w:p>
            <w:pPr>
              <w:spacing w:after="0"/>
              <w:rPr>
                <w:sz w:val="1"/>
                <w:szCs w:val="1"/>
                <w:color w:val="auto"/>
              </w:rPr>
            </w:pPr>
          </w:p>
        </w:tc>
      </w:tr>
      <w:tr>
        <w:trPr>
          <w:trHeight w:val="382"/>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1H20</w:t>
            </w:r>
          </w:p>
        </w:tc>
        <w:tc>
          <w:tcPr>
            <w:tcW w:w="1320" w:type="dxa"/>
            <w:vAlign w:val="bottom"/>
            <w:gridSpan w:val="4"/>
            <w:vMerge w:val="restart"/>
          </w:tcPr>
          <w:p>
            <w:pPr>
              <w:jc w:val="center"/>
              <w:ind w:right="540"/>
              <w:spacing w:after="0"/>
              <w:rPr>
                <w:sz w:val="20"/>
                <w:szCs w:val="20"/>
                <w:color w:val="auto"/>
              </w:rPr>
            </w:pPr>
            <w:r>
              <w:rPr>
                <w:rFonts w:ascii="Arial" w:cs="Arial" w:eastAsia="Arial" w:hAnsi="Arial"/>
                <w:sz w:val="14"/>
                <w:szCs w:val="14"/>
                <w:b w:val="1"/>
                <w:bCs w:val="1"/>
                <w:color w:val="auto"/>
                <w:w w:val="91"/>
              </w:rPr>
              <w:t>1H 20 Bonus</w:t>
            </w:r>
          </w:p>
        </w:tc>
        <w:tc>
          <w:tcPr>
            <w:tcW w:w="16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1H20</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440" w:type="dxa"/>
            <w:vAlign w:val="bottom"/>
            <w:gridSpan w:val="3"/>
            <w:vMerge w:val="restart"/>
          </w:tcPr>
          <w:p>
            <w:pPr>
              <w:jc w:val="right"/>
              <w:ind w:right="1950"/>
              <w:spacing w:after="0"/>
              <w:rPr>
                <w:sz w:val="20"/>
                <w:szCs w:val="20"/>
                <w:color w:val="auto"/>
              </w:rPr>
            </w:pPr>
            <w:r>
              <w:rPr>
                <w:rFonts w:ascii="Arial" w:cs="Arial" w:eastAsia="Arial" w:hAnsi="Arial"/>
                <w:sz w:val="14"/>
                <w:szCs w:val="14"/>
                <w:b w:val="1"/>
                <w:bCs w:val="1"/>
                <w:color w:val="auto"/>
                <w:w w:val="99"/>
              </w:rPr>
              <w:t>Name</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Bonus</w:t>
            </w:r>
          </w:p>
        </w:tc>
        <w:tc>
          <w:tcPr>
            <w:tcW w:w="1320" w:type="dxa"/>
            <w:vAlign w:val="bottom"/>
            <w:gridSpan w:val="4"/>
            <w:vMerge w:val="continue"/>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3"/>
              </w:rPr>
              <w:t>Target</w:t>
            </w:r>
          </w:p>
        </w:tc>
        <w:tc>
          <w:tcPr>
            <w:tcW w:w="4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 Earned</w:t>
            </w:r>
          </w:p>
        </w:tc>
        <w:tc>
          <w:tcPr>
            <w:tcW w:w="520" w:type="dxa"/>
            <w:vAlign w:val="bottom"/>
          </w:tcPr>
          <w:p>
            <w:pPr>
              <w:spacing w:after="0"/>
              <w:rPr>
                <w:sz w:val="14"/>
                <w:szCs w:val="14"/>
                <w:color w:val="auto"/>
              </w:rPr>
            </w:pPr>
          </w:p>
        </w:tc>
        <w:tc>
          <w:tcPr>
            <w:tcW w:w="1640" w:type="dxa"/>
            <w:vAlign w:val="bottom"/>
            <w:gridSpan w:val="4"/>
          </w:tcPr>
          <w:p>
            <w:pPr>
              <w:jc w:val="right"/>
              <w:ind w:right="868"/>
              <w:spacing w:after="0"/>
              <w:rPr>
                <w:sz w:val="20"/>
                <w:szCs w:val="20"/>
                <w:color w:val="auto"/>
              </w:rPr>
            </w:pPr>
            <w:r>
              <w:rPr>
                <w:rFonts w:ascii="Arial" w:cs="Arial" w:eastAsia="Arial" w:hAnsi="Arial"/>
                <w:sz w:val="14"/>
                <w:szCs w:val="14"/>
                <w:b w:val="1"/>
                <w:bCs w:val="1"/>
                <w:color w:val="auto"/>
                <w:w w:val="88"/>
              </w:rPr>
              <w:t>Bonus Paid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8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Barrett</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$266,250</w:t>
            </w:r>
          </w:p>
        </w:tc>
        <w:tc>
          <w:tcPr>
            <w:tcW w:w="48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78,837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$140,250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29.61%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41,528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46,266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Katie Evans</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29.61%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44,415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Soroca</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$121,875</w:t>
            </w: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36,087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Ms. Evans did not earn incentive compensation for H120 per the terms of her incentive plan (which was established by the Telaria compensation committee prior to the merger and based on achievement of Telaria standalone results). The compensation committee determined that it would be appropriate for Ms. Evans to receive the same 29.61% payout for 1H20 as members of the executive team that were on the Rubicon Project H120 plan in order to have consistency in payouts across the senior executive team.</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2H20 Annual Bonus Targets and Payout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February 2021, the compensation committee determined that for the second half of 2020, the Company achieved revenue of $143.0 million, CTV revenue of $26.4 million and Adjusted EBITDA less capex of $28.6 million, resulting in a weighted payout percentage of 144.46% of each named executive officers’ target bonuses for 2H20,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Metric</w:t>
            </w:r>
          </w:p>
        </w:tc>
        <w:tc>
          <w:tcPr>
            <w:tcW w:w="1280" w:type="dxa"/>
            <w:vAlign w:val="bottom"/>
            <w:gridSpan w:val="4"/>
            <w:vMerge w:val="restart"/>
          </w:tcPr>
          <w:p>
            <w:pPr>
              <w:jc w:val="center"/>
              <w:ind w:right="107"/>
              <w:spacing w:after="0"/>
              <w:rPr>
                <w:sz w:val="20"/>
                <w:szCs w:val="20"/>
                <w:color w:val="auto"/>
              </w:rPr>
            </w:pPr>
            <w:r>
              <w:rPr>
                <w:rFonts w:ascii="Arial" w:cs="Arial" w:eastAsia="Arial" w:hAnsi="Arial"/>
                <w:sz w:val="14"/>
                <w:szCs w:val="14"/>
                <w:b w:val="1"/>
                <w:bCs w:val="1"/>
                <w:color w:val="auto"/>
                <w:w w:val="91"/>
              </w:rPr>
              <w:t>Threshold</w:t>
            </w:r>
          </w:p>
        </w:tc>
        <w:tc>
          <w:tcPr>
            <w:tcW w:w="16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4"/>
                <w:szCs w:val="14"/>
                <w:color w:val="auto"/>
              </w:rPr>
            </w:pPr>
          </w:p>
        </w:tc>
        <w:tc>
          <w:tcPr>
            <w:tcW w:w="8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2H 2020</w:t>
            </w:r>
          </w:p>
        </w:tc>
        <w:tc>
          <w:tcPr>
            <w:tcW w:w="0" w:type="dxa"/>
            <w:vAlign w:val="bottom"/>
          </w:tcPr>
          <w:p>
            <w:pPr>
              <w:spacing w:after="0"/>
              <w:rPr>
                <w:sz w:val="1"/>
                <w:szCs w:val="1"/>
                <w:color w:val="auto"/>
              </w:rPr>
            </w:pPr>
          </w:p>
        </w:tc>
      </w:tr>
      <w:tr>
        <w:trPr>
          <w:trHeight w:val="148"/>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Goal</w:t>
            </w:r>
          </w:p>
        </w:tc>
        <w:tc>
          <w:tcPr>
            <w:tcW w:w="15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437"/>
              <w:spacing w:after="0" w:line="149" w:lineRule="exact"/>
              <w:rPr>
                <w:sz w:val="20"/>
                <w:szCs w:val="20"/>
                <w:color w:val="auto"/>
              </w:rPr>
            </w:pPr>
            <w:r>
              <w:rPr>
                <w:rFonts w:ascii="Arial" w:cs="Arial" w:eastAsia="Arial" w:hAnsi="Arial"/>
                <w:sz w:val="14"/>
                <w:szCs w:val="14"/>
                <w:b w:val="1"/>
                <w:bCs w:val="1"/>
                <w:color w:val="auto"/>
                <w:w w:val="98"/>
              </w:rPr>
              <w:t>(150%</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4"/>
              </w:rPr>
              <w:t>Weight</w:t>
            </w:r>
          </w:p>
        </w:tc>
        <w:tc>
          <w:tcPr>
            <w:tcW w:w="1280" w:type="dxa"/>
            <w:vAlign w:val="bottom"/>
            <w:gridSpan w:val="4"/>
          </w:tcPr>
          <w:p>
            <w:pPr>
              <w:jc w:val="center"/>
              <w:ind w:right="87"/>
              <w:spacing w:after="0" w:line="125" w:lineRule="exact"/>
              <w:rPr>
                <w:sz w:val="20"/>
                <w:szCs w:val="20"/>
                <w:color w:val="auto"/>
              </w:rPr>
            </w:pPr>
            <w:r>
              <w:rPr>
                <w:rFonts w:ascii="Arial" w:cs="Arial" w:eastAsia="Arial" w:hAnsi="Arial"/>
                <w:sz w:val="14"/>
                <w:szCs w:val="14"/>
                <w:b w:val="1"/>
                <w:bCs w:val="1"/>
                <w:color w:val="auto"/>
                <w:w w:val="96"/>
              </w:rPr>
              <w:t>(50% payout)</w:t>
            </w:r>
          </w:p>
        </w:tc>
        <w:tc>
          <w:tcPr>
            <w:tcW w:w="160" w:type="dxa"/>
            <w:vAlign w:val="bottom"/>
          </w:tcPr>
          <w:p>
            <w:pPr>
              <w:spacing w:after="0"/>
              <w:rPr>
                <w:sz w:val="12"/>
                <w:szCs w:val="12"/>
                <w:color w:val="auto"/>
              </w:rPr>
            </w:pPr>
          </w:p>
        </w:tc>
        <w:tc>
          <w:tcPr>
            <w:tcW w:w="98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6"/>
              </w:rPr>
              <w:t>(100% payout)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payout)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spacing w:after="0" w:line="125" w:lineRule="exact"/>
              <w:rPr>
                <w:sz w:val="20"/>
                <w:szCs w:val="20"/>
                <w:color w:val="auto"/>
              </w:rPr>
            </w:pPr>
            <w:r>
              <w:rPr>
                <w:rFonts w:ascii="Arial" w:cs="Arial" w:eastAsia="Arial" w:hAnsi="Arial"/>
                <w:sz w:val="14"/>
                <w:szCs w:val="14"/>
                <w:b w:val="1"/>
                <w:bCs w:val="1"/>
                <w:color w:val="auto"/>
                <w:w w:val="91"/>
              </w:rPr>
              <w:t>Actual Result</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54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35%</w:t>
            </w: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96"/>
              </w:rPr>
              <w:t>$83.4 million</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$111.2 million</w:t>
            </w:r>
          </w:p>
        </w:tc>
        <w:tc>
          <w:tcPr>
            <w:tcW w:w="32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$139 million</w:t>
            </w:r>
          </w:p>
        </w:tc>
        <w:tc>
          <w:tcPr>
            <w:tcW w:w="3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$143.0 million</w:t>
            </w:r>
          </w:p>
        </w:tc>
        <w:tc>
          <w:tcPr>
            <w:tcW w:w="0" w:type="dxa"/>
            <w:vAlign w:val="bottom"/>
          </w:tcPr>
          <w:p>
            <w:pPr>
              <w:spacing w:after="0"/>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(150% payout)</w:t>
            </w:r>
          </w:p>
        </w:tc>
        <w:tc>
          <w:tcPr>
            <w:tcW w:w="0" w:type="dxa"/>
            <w:vAlign w:val="bottom"/>
          </w:tcPr>
          <w:p>
            <w:pPr>
              <w:spacing w:after="0"/>
              <w:rPr>
                <w:sz w:val="1"/>
                <w:szCs w:val="1"/>
                <w:color w:val="auto"/>
              </w:rPr>
            </w:pPr>
          </w:p>
        </w:tc>
      </w:tr>
      <w:tr>
        <w:trPr>
          <w:trHeight w:val="202"/>
        </w:trPr>
        <w:tc>
          <w:tcPr>
            <w:tcW w:w="346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CTV Revenue</w:t>
            </w:r>
          </w:p>
        </w:tc>
        <w:tc>
          <w:tcPr>
            <w:tcW w:w="1980" w:type="dxa"/>
            <w:vAlign w:val="bottom"/>
            <w:gridSpan w:val="2"/>
          </w:tcPr>
          <w:p>
            <w:pPr>
              <w:jc w:val="center"/>
              <w:ind w:left="1476"/>
              <w:spacing w:after="0" w:line="201" w:lineRule="exact"/>
              <w:rPr>
                <w:sz w:val="20"/>
                <w:szCs w:val="20"/>
                <w:color w:val="auto"/>
              </w:rPr>
            </w:pPr>
            <w:r>
              <w:rPr>
                <w:rFonts w:ascii="Arial" w:cs="Arial" w:eastAsia="Arial" w:hAnsi="Arial"/>
                <w:sz w:val="18"/>
                <w:szCs w:val="18"/>
                <w:color w:val="auto"/>
                <w:w w:val="94"/>
              </w:rPr>
              <w:t>15%</w:t>
            </w:r>
          </w:p>
        </w:tc>
        <w:tc>
          <w:tcPr>
            <w:tcW w:w="340" w:type="dxa"/>
            <w:vAlign w:val="bottom"/>
          </w:tcPr>
          <w:p>
            <w:pPr>
              <w:spacing w:after="0"/>
              <w:rPr>
                <w:sz w:val="17"/>
                <w:szCs w:val="17"/>
                <w:color w:val="auto"/>
              </w:rPr>
            </w:pPr>
          </w:p>
        </w:tc>
        <w:tc>
          <w:tcPr>
            <w:tcW w:w="1280" w:type="dxa"/>
            <w:vAlign w:val="bottom"/>
            <w:gridSpan w:val="4"/>
          </w:tcPr>
          <w:p>
            <w:pPr>
              <w:jc w:val="center"/>
              <w:ind w:right="107"/>
              <w:spacing w:after="0" w:line="201" w:lineRule="exact"/>
              <w:rPr>
                <w:sz w:val="20"/>
                <w:szCs w:val="20"/>
                <w:color w:val="auto"/>
              </w:rPr>
            </w:pPr>
            <w:r>
              <w:rPr>
                <w:rFonts w:ascii="Arial" w:cs="Arial" w:eastAsia="Arial" w:hAnsi="Arial"/>
                <w:sz w:val="18"/>
                <w:szCs w:val="18"/>
                <w:color w:val="auto"/>
                <w:w w:val="96"/>
              </w:rPr>
              <w:t>$18.2 million</w:t>
            </w:r>
          </w:p>
        </w:tc>
        <w:tc>
          <w:tcPr>
            <w:tcW w:w="160" w:type="dxa"/>
            <w:vAlign w:val="bottom"/>
          </w:tcPr>
          <w:p>
            <w:pPr>
              <w:spacing w:after="0"/>
              <w:rPr>
                <w:sz w:val="17"/>
                <w:szCs w:val="17"/>
                <w:color w:val="auto"/>
              </w:rPr>
            </w:pPr>
          </w:p>
        </w:tc>
        <w:tc>
          <w:tcPr>
            <w:tcW w:w="106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6"/>
              </w:rPr>
              <w:t>$24.3 million</w:t>
            </w:r>
          </w:p>
        </w:tc>
        <w:tc>
          <w:tcPr>
            <w:tcW w:w="320" w:type="dxa"/>
            <w:vAlign w:val="bottom"/>
          </w:tcPr>
          <w:p>
            <w:pPr>
              <w:spacing w:after="0"/>
              <w:rPr>
                <w:sz w:val="17"/>
                <w:szCs w:val="17"/>
                <w:color w:val="auto"/>
              </w:rPr>
            </w:pPr>
          </w:p>
        </w:tc>
        <w:tc>
          <w:tcPr>
            <w:tcW w:w="1340" w:type="dxa"/>
            <w:vAlign w:val="bottom"/>
            <w:gridSpan w:val="4"/>
          </w:tcPr>
          <w:p>
            <w:pPr>
              <w:jc w:val="center"/>
              <w:ind w:right="268"/>
              <w:spacing w:after="0" w:line="201" w:lineRule="exact"/>
              <w:rPr>
                <w:sz w:val="20"/>
                <w:szCs w:val="20"/>
                <w:color w:val="auto"/>
              </w:rPr>
            </w:pPr>
            <w:r>
              <w:rPr>
                <w:rFonts w:ascii="Arial" w:cs="Arial" w:eastAsia="Arial" w:hAnsi="Arial"/>
                <w:sz w:val="18"/>
                <w:szCs w:val="18"/>
                <w:color w:val="auto"/>
                <w:w w:val="94"/>
              </w:rPr>
              <w:t>$36.5 million</w:t>
            </w:r>
          </w:p>
        </w:tc>
        <w:tc>
          <w:tcPr>
            <w:tcW w:w="10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6"/>
              </w:rPr>
              <w:t>$26.4 million</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(113% payout)</w:t>
            </w:r>
          </w:p>
        </w:tc>
        <w:tc>
          <w:tcPr>
            <w:tcW w:w="0" w:type="dxa"/>
            <w:vAlign w:val="bottom"/>
          </w:tcPr>
          <w:p>
            <w:pPr>
              <w:spacing w:after="0"/>
              <w:rPr>
                <w:sz w:val="1"/>
                <w:szCs w:val="1"/>
                <w:color w:val="auto"/>
              </w:rPr>
            </w:pPr>
          </w:p>
        </w:tc>
      </w:tr>
      <w:tr>
        <w:trPr>
          <w:trHeight w:val="202"/>
        </w:trPr>
        <w:tc>
          <w:tcPr>
            <w:tcW w:w="34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2"/>
              </w:rPr>
              <w:t>Adjusted EBITDA less Capital Expenditures</w:t>
            </w:r>
          </w:p>
        </w:tc>
        <w:tc>
          <w:tcPr>
            <w:tcW w:w="1980" w:type="dxa"/>
            <w:vAlign w:val="bottom"/>
            <w:gridSpan w:val="2"/>
            <w:shd w:val="clear" w:color="auto" w:fill="CCEEFF"/>
          </w:tcPr>
          <w:p>
            <w:pPr>
              <w:jc w:val="center"/>
              <w:ind w:left="1476"/>
              <w:spacing w:after="0" w:line="201" w:lineRule="exact"/>
              <w:rPr>
                <w:sz w:val="20"/>
                <w:szCs w:val="20"/>
                <w:color w:val="auto"/>
              </w:rPr>
            </w:pPr>
            <w:r>
              <w:rPr>
                <w:rFonts w:ascii="Arial" w:cs="Arial" w:eastAsia="Arial" w:hAnsi="Arial"/>
                <w:sz w:val="18"/>
                <w:szCs w:val="18"/>
                <w:color w:val="auto"/>
                <w:w w:val="94"/>
              </w:rPr>
              <w:t>50%</w:t>
            </w:r>
          </w:p>
        </w:tc>
        <w:tc>
          <w:tcPr>
            <w:tcW w:w="34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center"/>
              <w:ind w:right="87"/>
              <w:spacing w:after="0" w:line="201" w:lineRule="exact"/>
              <w:rPr>
                <w:sz w:val="20"/>
                <w:szCs w:val="20"/>
                <w:color w:val="auto"/>
              </w:rPr>
            </w:pPr>
            <w:r>
              <w:rPr>
                <w:rFonts w:ascii="Arial" w:cs="Arial" w:eastAsia="Arial" w:hAnsi="Arial"/>
                <w:sz w:val="18"/>
                <w:szCs w:val="18"/>
                <w:color w:val="auto"/>
                <w:w w:val="95"/>
              </w:rPr>
              <w:t>$(11.9 million)</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$(2.9) million</w:t>
            </w:r>
          </w:p>
        </w:tc>
        <w:tc>
          <w:tcPr>
            <w:tcW w:w="32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center"/>
              <w:ind w:right="268"/>
              <w:spacing w:after="0" w:line="201" w:lineRule="exact"/>
              <w:rPr>
                <w:sz w:val="20"/>
                <w:szCs w:val="20"/>
                <w:color w:val="auto"/>
              </w:rPr>
            </w:pPr>
            <w:r>
              <w:rPr>
                <w:rFonts w:ascii="Arial" w:cs="Arial" w:eastAsia="Arial" w:hAnsi="Arial"/>
                <w:sz w:val="18"/>
                <w:szCs w:val="18"/>
                <w:color w:val="auto"/>
                <w:w w:val="94"/>
              </w:rPr>
              <w:t>$7.15 million</w:t>
            </w:r>
          </w:p>
        </w:tc>
        <w:tc>
          <w:tcPr>
            <w:tcW w:w="10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$28.6 million</w:t>
            </w:r>
          </w:p>
        </w:tc>
        <w:tc>
          <w:tcPr>
            <w:tcW w:w="0" w:type="dxa"/>
            <w:vAlign w:val="bottom"/>
          </w:tcPr>
          <w:p>
            <w:pPr>
              <w:spacing w:after="0"/>
              <w:rPr>
                <w:sz w:val="1"/>
                <w:szCs w:val="1"/>
                <w:color w:val="auto"/>
              </w:rPr>
            </w:pPr>
          </w:p>
        </w:tc>
      </w:tr>
      <w:tr>
        <w:trPr>
          <w:trHeight w:val="244"/>
        </w:trPr>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(150% payout)</w:t>
            </w: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2H20</w:t>
            </w:r>
          </w:p>
        </w:tc>
        <w:tc>
          <w:tcPr>
            <w:tcW w:w="8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2H20</w:t>
            </w:r>
          </w:p>
        </w:tc>
        <w:tc>
          <w:tcPr>
            <w:tcW w:w="5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2H20</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Bonus</w:t>
            </w:r>
          </w:p>
        </w:tc>
        <w:tc>
          <w:tcPr>
            <w:tcW w:w="540" w:type="dxa"/>
            <w:vAlign w:val="bottom"/>
            <w:gridSpan w:val="2"/>
          </w:tcPr>
          <w:p>
            <w:pPr>
              <w:jc w:val="center"/>
              <w:ind w:left="35"/>
              <w:spacing w:after="0" w:line="149" w:lineRule="exact"/>
              <w:rPr>
                <w:sz w:val="20"/>
                <w:szCs w:val="20"/>
                <w:color w:val="auto"/>
              </w:rPr>
            </w:pPr>
            <w:r>
              <w:rPr>
                <w:rFonts w:ascii="Arial" w:cs="Arial" w:eastAsia="Arial" w:hAnsi="Arial"/>
                <w:sz w:val="14"/>
                <w:szCs w:val="14"/>
                <w:b w:val="1"/>
                <w:bCs w:val="1"/>
                <w:color w:val="auto"/>
                <w:w w:val="87"/>
              </w:rPr>
              <w:t>Bonus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8"/>
              </w:rPr>
              <w:t>Bonus Target</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 Earned</w:t>
            </w:r>
          </w:p>
        </w:tc>
        <w:tc>
          <w:tcPr>
            <w:tcW w:w="180" w:type="dxa"/>
            <w:vAlign w:val="bottom"/>
          </w:tcPr>
          <w:p>
            <w:pPr>
              <w:spacing w:after="0"/>
              <w:rPr>
                <w:sz w:val="14"/>
                <w:szCs w:val="14"/>
                <w:color w:val="auto"/>
              </w:rPr>
            </w:pPr>
          </w:p>
        </w:tc>
        <w:tc>
          <w:tcPr>
            <w:tcW w:w="36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Paid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gridSpan w:val="2"/>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gridSpan w:val="3"/>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Barrett</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275,000</w:t>
            </w:r>
          </w:p>
        </w:tc>
        <w:tc>
          <w:tcPr>
            <w:tcW w:w="4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144.46%</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$397,265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150,500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144.46%</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$217,412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144.46%</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$252,805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Katie Evans</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150,000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144.46%</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7"/>
              </w:rPr>
              <w:t>$216,690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Soroca</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131,250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144.46%</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$189,604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Annual Equity Awards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grant equity-based compensation to our named executive officers in order to attract, retain and reward our executives and strengthen the mutuality of interests between our named executive officers and stockholders. The compensation committee annually determines the form and amount of equity-based incentives granted to executives. In making its determinations, the compensation committee considers factors such as peer group market data, recommendations from Semler Brossy, the executive’s and our performance in the last year and the results achieved by the executive, the executive’s base salary, target annual incentive opportunity and prior grants of equity awards, and the compensation committee’s view regarding the future potential of long-term contributions of the executive. Recommendations of the chief executive officer are also taken into consideration for our named executive officers other than the chief executive officer.</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April 2020, each of our named executive officers received an annual equity grant. The number of stock options, RSUs and PSUs granted to each of our named executive officers for 2020 is set forth in the table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Stock</w:t>
            </w:r>
          </w:p>
        </w:tc>
        <w:tc>
          <w:tcPr>
            <w:tcW w:w="600" w:type="dxa"/>
            <w:vAlign w:val="bottom"/>
          </w:tcPr>
          <w:p>
            <w:pPr>
              <w:spacing w:after="0"/>
              <w:rPr>
                <w:sz w:val="14"/>
                <w:szCs w:val="14"/>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Number of</w:t>
            </w:r>
          </w:p>
        </w:tc>
        <w:tc>
          <w:tcPr>
            <w:tcW w:w="162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4"/>
              </w:rPr>
              <w:t>Target Number</w:t>
            </w: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of PSUs</w:t>
            </w: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 Granted</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 Granted</w:t>
            </w:r>
          </w:p>
        </w:tc>
        <w:tc>
          <w:tcPr>
            <w:tcW w:w="60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9"/>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Barrett</w:t>
            </w:r>
          </w:p>
        </w:tc>
        <w:tc>
          <w:tcPr>
            <w:tcW w:w="5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231,568</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175,992</w:t>
            </w:r>
          </w:p>
        </w:tc>
        <w:tc>
          <w:tcPr>
            <w:tcW w:w="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9"/>
              </w:rPr>
              <w:t>146,341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David Day</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115,784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153,993</w:t>
            </w:r>
          </w:p>
        </w:tc>
        <w:tc>
          <w:tcPr>
            <w:tcW w:w="6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115,784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153,993</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Katie Evans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69,470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92,396</w:t>
            </w:r>
          </w:p>
        </w:tc>
        <w:tc>
          <w:tcPr>
            <w:tcW w:w="6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Adam Soroca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112,928</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If our stock price were not to increase, the stock options will not deliver any economic value because the options have an exercise price equal to our stock price on the date of grant and our equity incentive plans prohibit stock option repricing. The stock options and RSUs vest over four years to provide an additional retention incentive. In determining the size of the 2020 annual awards for all named executive officers, the compensation committee calibrated award values to encourage equity ownership and ensure a stable leadership team through the legacy Rubicon Project and Telaria Merger; specifically, the compensation committee (i) considered the increased scope of the executives’ roles following the close of the merger and increased scale of Magnite and (ii) sought to continue to deliver annual equity grant values close to market level for 2020.</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For 2020, the compensation committee determined that a portion of Mr. Barrett’s annual equity grant would be made in the form of PSUs that would vest based on our TSR for the three-year period beginning on the grant date of the award relative to the TSRs of the companies in the Russell 2000 index over the same period. The Russell 2000 was chosen as the TSR comparator group because the compensation committee believes this index represents a reasonable investment alternative for shareholders considering investing in our business while requiring stable and robust performance outcomes. This PSU award, which was granted in April 2020 and has a target of 146,341 stock units, represented approximately 30% of the total fair value of Mr. Barrett’s equity award for 2020 (as determined as of the grant date in accordance with generally accepted accounting principles). The award is eligible to vest between 0% and 150% of the target number of units subject to the award based on the performance schedule below:</w:t>
      </w:r>
    </w:p>
    <w:p>
      <w:pPr>
        <w:spacing w:after="0" w:line="17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Vesting % of</w:t>
            </w:r>
          </w:p>
        </w:tc>
        <w:tc>
          <w:tcPr>
            <w:tcW w:w="0" w:type="dxa"/>
            <w:vAlign w:val="bottom"/>
          </w:tcPr>
          <w:p>
            <w:pPr>
              <w:spacing w:after="0"/>
              <w:rPr>
                <w:sz w:val="1"/>
                <w:szCs w:val="1"/>
                <w:color w:val="auto"/>
              </w:rPr>
            </w:pPr>
          </w:p>
        </w:tc>
      </w:tr>
      <w:tr>
        <w:trPr>
          <w:trHeight w:val="148"/>
        </w:trPr>
        <w:tc>
          <w:tcPr>
            <w:tcW w:w="6520" w:type="dxa"/>
            <w:vAlign w:val="bottom"/>
            <w:gridSpan w:val="3"/>
            <w:vMerge w:val="restart"/>
          </w:tcPr>
          <w:p>
            <w:pPr>
              <w:jc w:val="center"/>
              <w:ind w:right="840"/>
              <w:spacing w:after="0"/>
              <w:rPr>
                <w:sz w:val="20"/>
                <w:szCs w:val="20"/>
                <w:color w:val="auto"/>
              </w:rPr>
            </w:pPr>
            <w:r>
              <w:rPr>
                <w:rFonts w:ascii="Arial" w:cs="Arial" w:eastAsia="Arial" w:hAnsi="Arial"/>
                <w:sz w:val="14"/>
                <w:szCs w:val="14"/>
                <w:b w:val="1"/>
                <w:bCs w:val="1"/>
                <w:color w:val="auto"/>
                <w:w w:val="93"/>
              </w:rPr>
              <w:t>Magnite Relative TSR Ranking vs. Russell 2000 Index</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Target Number</w:t>
            </w:r>
          </w:p>
        </w:tc>
        <w:tc>
          <w:tcPr>
            <w:tcW w:w="0" w:type="dxa"/>
            <w:vAlign w:val="bottom"/>
          </w:tcPr>
          <w:p>
            <w:pPr>
              <w:spacing w:after="0"/>
              <w:rPr>
                <w:sz w:val="1"/>
                <w:szCs w:val="1"/>
                <w:color w:val="auto"/>
              </w:rPr>
            </w:pPr>
          </w:p>
        </w:tc>
      </w:tr>
      <w:tr>
        <w:trPr>
          <w:trHeight w:val="178"/>
        </w:trPr>
        <w:tc>
          <w:tcPr>
            <w:tcW w:w="6520" w:type="dxa"/>
            <w:vAlign w:val="bottom"/>
            <w:gridSpan w:val="3"/>
            <w:vMerge w:val="continue"/>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of PSUs</w:t>
            </w: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7"/>
                <w:szCs w:val="17"/>
                <w:color w:val="auto"/>
                <w:w w:val="95"/>
              </w:rPr>
              <w:t>80</w:t>
            </w:r>
            <w:r>
              <w:rPr>
                <w:rFonts w:ascii="Arial" w:cs="Arial" w:eastAsia="Arial" w:hAnsi="Arial"/>
                <w:sz w:val="23"/>
                <w:szCs w:val="23"/>
                <w:color w:val="auto"/>
                <w:w w:val="95"/>
                <w:vertAlign w:val="superscript"/>
              </w:rPr>
              <w:t>th</w:t>
            </w:r>
            <w:r>
              <w:rPr>
                <w:rFonts w:ascii="Arial" w:cs="Arial" w:eastAsia="Arial" w:hAnsi="Arial"/>
                <w:sz w:val="17"/>
                <w:szCs w:val="17"/>
                <w:color w:val="auto"/>
                <w:w w:val="95"/>
              </w:rPr>
              <w:t xml:space="preserve"> Percentile or Higher</w:t>
            </w:r>
          </w:p>
        </w:tc>
        <w:tc>
          <w:tcPr>
            <w:tcW w:w="20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340" w:type="dxa"/>
            <w:vAlign w:val="bottom"/>
            <w:gridSpan w:val="2"/>
          </w:tcPr>
          <w:p>
            <w:pPr>
              <w:jc w:val="center"/>
              <w:ind w:right="2020"/>
              <w:spacing w:after="0" w:line="216" w:lineRule="exact"/>
              <w:rPr>
                <w:sz w:val="20"/>
                <w:szCs w:val="20"/>
                <w:color w:val="auto"/>
              </w:rPr>
            </w:pPr>
            <w:r>
              <w:rPr>
                <w:rFonts w:ascii="Arial" w:cs="Arial" w:eastAsia="Arial" w:hAnsi="Arial"/>
                <w:sz w:val="18"/>
                <w:szCs w:val="18"/>
                <w:color w:val="auto"/>
                <w:w w:val="87"/>
              </w:rPr>
              <w:t>55</w:t>
            </w:r>
            <w:r>
              <w:rPr>
                <w:rFonts w:ascii="Arial" w:cs="Arial" w:eastAsia="Arial" w:hAnsi="Arial"/>
                <w:sz w:val="25"/>
                <w:szCs w:val="25"/>
                <w:color w:val="auto"/>
                <w:w w:val="87"/>
                <w:vertAlign w:val="superscript"/>
              </w:rPr>
              <w:t>th</w:t>
            </w:r>
            <w:r>
              <w:rPr>
                <w:rFonts w:ascii="Arial" w:cs="Arial" w:eastAsia="Arial" w:hAnsi="Arial"/>
                <w:sz w:val="18"/>
                <w:szCs w:val="18"/>
                <w:color w:val="auto"/>
                <w:w w:val="87"/>
              </w:rPr>
              <w:t xml:space="preserve"> Percentile</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jc w:val="center"/>
              <w:ind w:right="2020"/>
              <w:spacing w:after="0" w:line="216" w:lineRule="exact"/>
              <w:rPr>
                <w:sz w:val="20"/>
                <w:szCs w:val="20"/>
                <w:color w:val="auto"/>
              </w:rPr>
            </w:pPr>
            <w:r>
              <w:rPr>
                <w:rFonts w:ascii="Arial" w:cs="Arial" w:eastAsia="Arial" w:hAnsi="Arial"/>
                <w:sz w:val="18"/>
                <w:szCs w:val="18"/>
                <w:color w:val="auto"/>
                <w:w w:val="87"/>
              </w:rPr>
              <w:t>20</w:t>
            </w:r>
            <w:r>
              <w:rPr>
                <w:rFonts w:ascii="Arial" w:cs="Arial" w:eastAsia="Arial" w:hAnsi="Arial"/>
                <w:sz w:val="25"/>
                <w:szCs w:val="25"/>
                <w:color w:val="auto"/>
                <w:w w:val="87"/>
                <w:vertAlign w:val="superscript"/>
              </w:rPr>
              <w:t>th</w:t>
            </w:r>
            <w:r>
              <w:rPr>
                <w:rFonts w:ascii="Arial" w:cs="Arial" w:eastAsia="Arial" w:hAnsi="Arial"/>
                <w:sz w:val="18"/>
                <w:szCs w:val="18"/>
                <w:color w:val="auto"/>
                <w:w w:val="87"/>
              </w:rPr>
              <w:t xml:space="preserve"> Percentile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330"/>
        </w:trPr>
        <w:tc>
          <w:tcPr>
            <w:tcW w:w="1180" w:type="dxa"/>
            <w:vAlign w:val="bottom"/>
          </w:tcPr>
          <w:p>
            <w:pPr>
              <w:spacing w:after="0"/>
              <w:rPr>
                <w:sz w:val="24"/>
                <w:szCs w:val="24"/>
                <w:color w:val="auto"/>
              </w:rPr>
            </w:pPr>
          </w:p>
        </w:tc>
        <w:tc>
          <w:tcPr>
            <w:tcW w:w="5340" w:type="dxa"/>
            <w:vAlign w:val="bottom"/>
            <w:gridSpan w:val="2"/>
          </w:tcPr>
          <w:p>
            <w:pPr>
              <w:jc w:val="center"/>
              <w:ind w:right="2020"/>
              <w:spacing w:after="0"/>
              <w:rPr>
                <w:sz w:val="20"/>
                <w:szCs w:val="20"/>
                <w:color w:val="auto"/>
              </w:rPr>
            </w:pPr>
            <w:r>
              <w:rPr>
                <w:rFonts w:ascii="Arial" w:cs="Arial" w:eastAsia="Arial" w:hAnsi="Arial"/>
                <w:sz w:val="18"/>
                <w:szCs w:val="18"/>
                <w:color w:val="auto"/>
                <w:w w:val="90"/>
              </w:rPr>
              <w:t>Below 20</w:t>
            </w:r>
            <w:r>
              <w:rPr>
                <w:rFonts w:ascii="Arial" w:cs="Arial" w:eastAsia="Arial" w:hAnsi="Arial"/>
                <w:sz w:val="25"/>
                <w:szCs w:val="25"/>
                <w:color w:val="auto"/>
                <w:w w:val="90"/>
                <w:vertAlign w:val="superscript"/>
              </w:rPr>
              <w:t>th</w:t>
            </w:r>
            <w:r>
              <w:rPr>
                <w:rFonts w:ascii="Arial" w:cs="Arial" w:eastAsia="Arial" w:hAnsi="Arial"/>
                <w:sz w:val="18"/>
                <w:szCs w:val="18"/>
                <w:color w:val="auto"/>
                <w:w w:val="90"/>
              </w:rPr>
              <w:t xml:space="preserve"> Percentile</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vesting percentage will be interpolated on a linear basis between the levels stated in the chart above. Additionally, in the event Magnite’s TSR for the performance period is negative, the vesting percent of shares is capped at 100% of target shares. In approving the award, the compensation committee believed it would enhance the performance-based nature of our executive compensation program and further align Mr. Barrett’s interests with those of our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Merger Retention Award Granted to Ms. Evans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the close of the Telaria Merger in April 2020, Ms. Evans was granted a special one-time share-based retention award with a target value of $700,000 (102,662 RSUs) that vests in two equal installments on each of April 1, 2021 and April 1, 2022, subject to continued service. Ms. Evans’ role as Chief Operating Officer was critical to the successful integration of legacy Rubicon Project and Telaria and the success of the business going forward. In addition to serving a retentive purpose, the equity grant aimed to motivate and incentivize Ms. Evans in continuing to deliver value to stockholders through the integration of legacy Rubicon Project and Telaria.</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Other Employee Benefits and Perquisites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generally not offered extensive benefits or other compensation programs to our named executive officers, apart from employee benefits made available generally to our employees such as participation in Magnite’s 401(k) plan and eligibility to receive a company match, and health and welfare benefit programs. Mr. Day is eligible for up to $30,000 in annual reimbursement for the use of a car service for transportation between his home and our headquarters for the purpose of allowing Mr. Day to devote his lengthy commute time to work duties.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entered into an employment agreement with Mr. Barrett and offer letters with each of our other named executive officers. Each of the named executive officers serves on an at-will basis and the employment agreement and offer letters do not have a specified term. The employment agreement and offer letters provide for a base salary, eligibility to receive an annual performance bonus, and eligibility to participate in employee benefit or group insurance plans maintained from time to time by us.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are also party to Executive Severance and Vesting Acceleration Agreements, referred to as the severance agreements, with each of our named executive officers that provide for severance and other termination benefits upon certain qualifying terminations of employment. These severance agreements are intended to provide economic protection so that an executive can remain focused on our business without undue personal concern in the event that his position is eliminated or, in some cases, significantly altered by us, which we believe is particularly important in light of the executives’ leadership roles at Magnite. The compensation committee believes that providing severance or similar benefits is common among similarly situated executives in our industry generally and remains important in recruiting and retaining key executives.</w:t>
      </w:r>
    </w:p>
    <w:p>
      <w:pPr>
        <w:spacing w:after="0" w:line="16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prospect of a change in control of Magnite can also cause significant distraction and uncertainty for executive officers and, accordingly, the compensation committee believes that appropriate change in control protections are important tools for aligning executives’ interests with those of our stockholders by allowing our executive officers to focus on strategic transactions that may be in the best interest of our stockholders without undue concern regarding the effect of such transactions on their continued employment. Accordingly, the severance agreements also provide for enhanced severance payments and accelerated vesting of equity awards if the executives’ employment is terminated in connection with or following a change in control of Magnite.</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December 2019, in connection with the approval of the merger agreement between our legacy entities Rubicon Project and Telaria, our board of directors approved the modification of the severance agreements to provide that if the executive officer had been terminated in connection with or within 13 months following the closing of the merger between legacy Rubicon Project and Telaria, the executive officer would be entitled to the enhanced change in control severance under the severance agreements.</w:t>
      </w:r>
    </w:p>
    <w:p>
      <w:pPr>
        <w:spacing w:after="0" w:line="18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For more information regarding the potential payments and benefits that would be provided to our named executive officers in connection with certain terminations of their employment (including terminations in connection with a change in control) on the last business day of fiscal year 2020, please see “Potential Payments upon Termination or Change in Control” below.</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do not provide our executives with tax “gross-up” payments in connection with a termination of their employment and/or a change in control of Magnite.</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Section 162(m) of the federal tax laws generally prohibits a publicly held company from deducting compensation paid to a current or former named executive officer that exceeds $1 million during the tax year. Certain awards granted before November 2, 2017 that were based upon attaining pre-established performance measures that were set by the company’s compensation committee under a plan approved by the company’s stockholders, as well as amounts payable to former executives pursuant to a written binding contract that was in effect on November 2, 2017, may qualify for an exception to the $1 million deductibility limit. As one of the factors in its consideration of compensation matters, the compensation committee notes this deductibility limitation. However, the compensation committee has the flexibility to take any compensation-related actions that it determines are in the best interests of the company and our stockholders, including awarding compensation that may not be deductible for tax purposes. There can be no assurance that any compensation will in fact be deductible.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Recoupment Policy</w:t>
      </w:r>
    </w:p>
    <w:p>
      <w:pPr>
        <w:spacing w:after="0" w:line="117"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Our board or the compensation committee shall, in circumstances it deems appropriate, require return to us of the excess portion of any payment made to an employee pursuant to an award issued after April 7, 2016 under our 2014 Equity Incentive Plan or 2014 Inducement Grant Equity Incentive Plan, or under our annual cash incentive plan, if: (1) the payment was predicated upon achieving certain financial results that became the subject of a substantial restatement of our financial statements filed with the SEC within the three full fiscal years after the payment; (2) our board or the compensation committee determines that the participant engaged in intentional misconduct that caused or substantially caused the need for the substantial restatement; and (3) a lower payment would have been made to the participant based upon the restated financial results. In each such instance, the “excess portion” of the payment is the amount (in terms of dollars or shares) by which the payment received exceeded the lower payment that would have been made based on the restated financial results. In each case, the return of payment will be net of any taxes paid by the employee in connection with original receipt or subsequent transfer of the payment. Our board or the compensation committee also has the discretion, in circumstances it deems appropriate, to require reimbursement of any or all payments received with respect to any award granted on or after April 7,</w:t>
      </w:r>
    </w:p>
    <w:p>
      <w:pPr>
        <w:spacing w:after="0" w:line="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2016 to an employee who has engaged in fraud, bribery, or illegal acts similar to fraud or bribery related to employment, or knowingly failed to report such acts of another employee over whom the employee had direct supervisory responsibility. Our board or the compensation committee shall not seek recovery to the extent it determines (a) that to do so would be unreasonable or (b) that it would be better for us not to do so. In making such determination, and without limiting the scope of its discretion, our board or the compensation committee shall take into account such considerations as it deems appropriate, including, without limitation, the likelihood of success under governing law versus the cost and effort involved, whether the assertion of a claim may prejudice our interests, including in any related proceeding or investigation, the passage of time since the occurrence of the act in respect of the applicable fraud or intentional illegal conduct, and any pending legal proceeding relating to the applicable fraud or illegal conduct. Our board or the compensation committee also may in its discretion direct us to disclose the circumstances surrounding any recoupment made under this policy where not otherwise required by applicable regulation.</w:t>
      </w:r>
    </w:p>
    <w:p>
      <w:pPr>
        <w:spacing w:after="0" w:line="28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Executive Officer Equity Ownership Guidelines and Retention Holding Requirements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equity retention guidelines implemented by our board in April 2016, the chief executive officer and each of the other named executive officers are required to accumulate within five years from the later of the date the guidelines were implemented and the date he became a named executive officer, and thereafter to retain for the duration of employment, a minimum level of company equity. The minimum level of equity for the chief executive officer is equal to five times base salary and the minimum level of equity for the other named executive officers is equal to the named executive officer’s base salary. Equity that counts toward the ownership requirement includes: (1) shares owned outright by the named executive officer or beneficially owned by the named executive officer by virtue of being held by a member of the named executive officer’s immediate family residing in the same household or in a trust for the benefit of the named executive officer or immediate family members residing in the same household; (2) shares held in qualified plans or IRAs; (3) vested shares (or vested RSUs) deemed to be held in non-qualified plans; (4) the in-the-money portion of vested stock options (but not unvested stock options); and (5) unvested time-based restricted shares (or restricted stock units).</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Until the minimum level of company equity is achieved, a named executive officer is prohibited from selling or otherwise transferring beneficial ownership of more than one-half of: (a) the vested after-tax shares of our common stock obtained as a result of the vesting of any restricted stock or RSU award made after implementation of the equity retention guidelines; or (b) the shares of our common stock subject to the vested portion of any stock option award made after implementation of the equity retention guidelines, net of any shares surrendered or sold to cover exercise price and/or income tax resulting from the exercise.</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Policy Against Repricing and Cash Buyouts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2014 Equity Incentive Plan and 2014 Inducement Grant Equity Incentive Plan prohibit our board from decreasing the exercise price of or otherwise repricing awards of stock options and stock appreciation rights unless such action is first approved by our stockholders. In addition, the plans prohibit us from redeeming or repurchasing stock options or stock appreciation rights unless such redemptions or repurchases are approved by our stockholders.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Policy Against Hedging</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recognize that hedging against losses in company shares may disturb the alignment between stockholders and employees that our equity awards are intended to build. Accordingly, we have incorporated prohibitions on various hedging activities within our Insider Trading Policy, which applies to directors, officers and other employees who we have designated as insiders, as well as such persons’ family members, life partners, or owned or controlled entities. The policy prohibits all transactions that are designed to sell short, hedge or offset any decrease in the market value of our securities, including prepaid variable forward contracts, equity swaps, futures, collars, exchange funds, options, puts, and calls and purchases or sales of puts or calls for speculative purposes.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Risk Assessment in Compensation Programs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compensation committee annually assesses our executive and broad-based compensation and benefits programs on an overall basis to determine whether the programs’ provisions and operations create undesired or unintentional material risk. This risk assessment process takes into account numerous compensation terms and practices that we maintain that aid in controlling risk, including the mix of cash, equity, and near- and long-term incentive programs, the use of multi-year vesting periods for equity awards, and a variety of performance criteria for incentive compensation, the claw-back provisions that apply to our annual incentive cash plan and equity plan, and the cap on the maximum cash incentive awards that can be earned in a given year regardless of company performance. This risk assessment process also included a review of program policies and practices, program analysis to identify risk and risk controls, and determinations as to the sufficiency of risk identification and risk control, the balance of potential risk to potential reward, and the significance of the programs and their risks to company strategy. Although we reviewed all significant compensation programs, we focused on those programs with variable payout, in particular assessing the ability of participants to directly affect payouts, and the controls on such situations.</w:t>
      </w:r>
    </w:p>
    <w:p>
      <w:pPr>
        <w:spacing w:after="0" w:line="18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Based on the foregoing, we believe that our compensation policies and practices do not create risks that are reasonably likely to have a material adverse effect on us as a whole. We also believe that our incentive compensation programs do not encourage risk-taking beyond the organization’s ability to effectively identify and manage significant risks; are compatible with effective internal controls and our risk-management practices; and are adequately supported by the compensation committee’s oversight of our executive compensation programs.</w:t>
      </w:r>
    </w:p>
    <w:p>
      <w:pPr>
        <w:spacing w:after="0" w:line="2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compensation committee has reviewed and discussed our Compensation Discussion and Analysis section with management and, based on the review and discussions, recommended to the board that the Compensation Discussion and Analysis section be included in the company’s Annual Report on Form 10-K.</w:t>
      </w:r>
    </w:p>
    <w:p>
      <w:pPr>
        <w:spacing w:after="0" w:line="292"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Doug Knopper, Chair</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Robert J. Frankenberg</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Sarah P. Harden</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James Rossman</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The foregoing report of the compensation committee is not soliciting material, is not deemed filed with the SEC and is not incorporated by reference in any Magnite filing under the Securities Act or the Exchange Act, whether made before or after the date of this report and irrespective of any general incorporation language in such filing.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right="3360" w:firstLine="2358"/>
        <w:spacing w:after="0" w:line="377" w:lineRule="auto"/>
        <w:rPr>
          <w:sz w:val="20"/>
          <w:szCs w:val="20"/>
          <w:color w:val="auto"/>
        </w:rPr>
      </w:pPr>
      <w:r>
        <w:rPr>
          <w:rFonts w:ascii="Arial" w:cs="Arial" w:eastAsia="Arial" w:hAnsi="Arial"/>
          <w:sz w:val="18"/>
          <w:szCs w:val="18"/>
          <w:b w:val="1"/>
          <w:bCs w:val="1"/>
          <w:color w:val="auto"/>
        </w:rPr>
        <w:t xml:space="preserve">Magnite Named Executive Officer Compensation Tables </w:t>
      </w:r>
      <w:r>
        <w:rPr>
          <w:rFonts w:ascii="Arial" w:cs="Arial" w:eastAsia="Arial" w:hAnsi="Arial"/>
          <w:sz w:val="18"/>
          <w:szCs w:val="18"/>
          <w:b w:val="1"/>
          <w:bCs w:val="1"/>
          <w:i w:val="1"/>
          <w:iCs w:val="1"/>
          <w:color w:val="auto"/>
        </w:rPr>
        <w:t>Summary Compensation Table - 2020</w:t>
      </w:r>
    </w:p>
    <w:p>
      <w:pPr>
        <w:spacing w:after="0" w:line="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following table and narratives that follow describe the 2020, 2019 and 2018 compensation provided to our named executive officers. Mr. Soroca was not a named executive officer of Magnite prior to 2019, thus, pursuant to SEC guidance, we have only included compensation information for 2019 and 2020. Ms. Evans was not a named executive officer of Magnite prior to 2020, thus, pursuant to SEC guidance we have only included compensation information for 2020.</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Option</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480" w:type="dxa"/>
            <w:vAlign w:val="bottom"/>
            <w:gridSpan w:val="2"/>
            <w:vMerge w:val="restart"/>
          </w:tcPr>
          <w:p>
            <w:pPr>
              <w:jc w:val="right"/>
              <w:ind w:right="577"/>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 xml:space="preserve">Bonus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1480" w:type="dxa"/>
            <w:vAlign w:val="bottom"/>
            <w:gridSpan w:val="2"/>
            <w:vMerge w:val="continue"/>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4"/>
        </w:trPr>
        <w:tc>
          <w:tcPr>
            <w:tcW w:w="2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right"/>
              <w:ind w:right="200"/>
              <w:spacing w:after="0" w:line="125" w:lineRule="exact"/>
              <w:rPr>
                <w:sz w:val="20"/>
                <w:szCs w:val="20"/>
                <w:color w:val="auto"/>
              </w:rPr>
            </w:pPr>
            <w:r>
              <w:rPr>
                <w:rFonts w:ascii="Arial" w:cs="Arial" w:eastAsia="Arial" w:hAnsi="Arial"/>
                <w:sz w:val="14"/>
                <w:szCs w:val="14"/>
                <w:b w:val="1"/>
                <w:bCs w:val="1"/>
                <w:color w:val="auto"/>
                <w:w w:val="93"/>
              </w:rPr>
              <w:t xml:space="preserve">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xml:space="preserve">) </w:t>
            </w:r>
            <w:r>
              <w:rPr>
                <w:rFonts w:ascii="Arial" w:cs="Arial" w:eastAsia="Arial" w:hAnsi="Arial"/>
                <w:sz w:val="10"/>
                <w:szCs w:val="10"/>
                <w:b w:val="1"/>
                <w:bCs w:val="1"/>
                <w:color w:val="auto"/>
                <w:w w:val="93"/>
              </w:rPr>
              <w:t>(1)</w:t>
            </w:r>
          </w:p>
        </w:tc>
        <w:tc>
          <w:tcPr>
            <w:tcW w:w="1040" w:type="dxa"/>
            <w:vAlign w:val="bottom"/>
            <w:gridSpan w:val="2"/>
          </w:tcPr>
          <w:p>
            <w:pPr>
              <w:jc w:val="right"/>
              <w:ind w:right="200"/>
              <w:spacing w:after="0" w:line="125" w:lineRule="exact"/>
              <w:rPr>
                <w:sz w:val="20"/>
                <w:szCs w:val="20"/>
                <w:color w:val="auto"/>
              </w:rPr>
            </w:pPr>
            <w:r>
              <w:rPr>
                <w:rFonts w:ascii="Arial" w:cs="Arial" w:eastAsia="Arial" w:hAnsi="Arial"/>
                <w:sz w:val="14"/>
                <w:szCs w:val="14"/>
                <w:b w:val="1"/>
                <w:bCs w:val="1"/>
                <w:color w:val="auto"/>
                <w:w w:val="93"/>
              </w:rPr>
              <w:t xml:space="preserve">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xml:space="preserve">) </w:t>
            </w:r>
            <w:r>
              <w:rPr>
                <w:rFonts w:ascii="Arial" w:cs="Arial" w:eastAsia="Arial" w:hAnsi="Arial"/>
                <w:sz w:val="10"/>
                <w:szCs w:val="10"/>
                <w:b w:val="1"/>
                <w:bCs w:val="1"/>
                <w:color w:val="auto"/>
                <w:w w:val="93"/>
              </w:rPr>
              <w:t>(1)</w:t>
            </w:r>
          </w:p>
        </w:tc>
        <w:tc>
          <w:tcPr>
            <w:tcW w:w="1460" w:type="dxa"/>
            <w:vAlign w:val="bottom"/>
            <w:gridSpan w:val="2"/>
          </w:tcPr>
          <w:p>
            <w:pPr>
              <w:jc w:val="right"/>
              <w:ind w:right="200"/>
              <w:spacing w:after="0" w:line="125"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xml:space="preserve">) </w:t>
            </w:r>
            <w:r>
              <w:rPr>
                <w:rFonts w:ascii="Arial" w:cs="Arial" w:eastAsia="Arial" w:hAnsi="Arial"/>
                <w:sz w:val="10"/>
                <w:szCs w:val="10"/>
                <w:b w:val="1"/>
                <w:bCs w:val="1"/>
                <w:color w:val="auto"/>
                <w:w w:val="92"/>
              </w:rPr>
              <w:t>(2)</w:t>
            </w:r>
          </w:p>
        </w:tc>
        <w:tc>
          <w:tcPr>
            <w:tcW w:w="1480" w:type="dxa"/>
            <w:vAlign w:val="bottom"/>
            <w:gridSpan w:val="2"/>
          </w:tcPr>
          <w:p>
            <w:pPr>
              <w:jc w:val="right"/>
              <w:ind w:right="317"/>
              <w:spacing w:after="0" w:line="125"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Barrett</w:t>
            </w:r>
          </w:p>
        </w:tc>
        <w:tc>
          <w:tcPr>
            <w:tcW w:w="4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4"/>
              </w:rPr>
              <w:t>2020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6"/>
              </w:rPr>
              <w:t>458,750</w:t>
            </w:r>
          </w:p>
        </w:tc>
        <w:tc>
          <w:tcPr>
            <w:tcW w:w="380" w:type="dxa"/>
            <w:vAlign w:val="bottom"/>
            <w:shd w:val="clear" w:color="auto" w:fill="CCEEFF"/>
          </w:tcPr>
          <w:p>
            <w:pPr>
              <w:jc w:val="right"/>
              <w:ind w:right="157"/>
              <w:spacing w:after="0" w:line="141" w:lineRule="exact"/>
              <w:rPr>
                <w:sz w:val="20"/>
                <w:szCs w:val="20"/>
                <w:color w:val="auto"/>
              </w:rPr>
            </w:pPr>
            <w:r>
              <w:rPr>
                <w:rFonts w:ascii="Arial" w:cs="Arial" w:eastAsia="Arial" w:hAnsi="Arial"/>
                <w:sz w:val="13"/>
                <w:szCs w:val="13"/>
                <w:color w:val="auto"/>
                <w:w w:val="87"/>
              </w:rPr>
              <w:t>(3)</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1,829,238</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740,068</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476,102</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8,747</w:t>
            </w:r>
          </w:p>
        </w:tc>
        <w:tc>
          <w:tcPr>
            <w:tcW w:w="380" w:type="dxa"/>
            <w:vAlign w:val="bottom"/>
            <w:shd w:val="clear" w:color="auto" w:fill="CCEEFF"/>
          </w:tcPr>
          <w:p>
            <w:pPr>
              <w:jc w:val="right"/>
              <w:ind w:right="177"/>
              <w:spacing w:after="0" w:line="141" w:lineRule="exact"/>
              <w:rPr>
                <w:sz w:val="20"/>
                <w:szCs w:val="20"/>
                <w:color w:val="auto"/>
              </w:rPr>
            </w:pPr>
            <w:r>
              <w:rPr>
                <w:rFonts w:ascii="Arial" w:cs="Arial" w:eastAsia="Arial" w:hAnsi="Arial"/>
                <w:sz w:val="13"/>
                <w:szCs w:val="13"/>
                <w:color w:val="auto"/>
                <w:w w:val="75"/>
              </w:rPr>
              <w:t>(4)</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3,512,905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515,000</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1,799,000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883,827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609,503</w:t>
            </w:r>
          </w:p>
        </w:tc>
        <w:tc>
          <w:tcPr>
            <w:tcW w:w="1480" w:type="dxa"/>
            <w:vAlign w:val="bottom"/>
            <w:gridSpan w:val="2"/>
          </w:tcPr>
          <w:p>
            <w:pPr>
              <w:jc w:val="right"/>
              <w:ind w:right="317"/>
              <w:spacing w:after="0"/>
              <w:rPr>
                <w:sz w:val="20"/>
                <w:szCs w:val="20"/>
                <w:color w:val="auto"/>
              </w:rPr>
            </w:pPr>
            <w:r>
              <w:rPr>
                <w:rFonts w:ascii="Arial" w:cs="Arial" w:eastAsia="Arial" w:hAnsi="Arial"/>
                <w:sz w:val="18"/>
                <w:szCs w:val="18"/>
                <w:color w:val="auto"/>
              </w:rPr>
              <w:t>5,735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3,813,065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515,000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689,500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327,468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515,000</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5,006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2,051,974</w:t>
            </w:r>
          </w:p>
        </w:tc>
        <w:tc>
          <w:tcPr>
            <w:tcW w:w="0" w:type="dxa"/>
            <w:vAlign w:val="bottom"/>
          </w:tcPr>
          <w:p>
            <w:pPr>
              <w:spacing w:after="0"/>
              <w:rPr>
                <w:sz w:val="1"/>
                <w:szCs w:val="1"/>
                <w:color w:val="auto"/>
              </w:rPr>
            </w:pPr>
          </w:p>
        </w:tc>
      </w:tr>
      <w:tr>
        <w:trPr>
          <w:trHeight w:val="324"/>
        </w:trPr>
        <w:tc>
          <w:tcPr>
            <w:tcW w:w="250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422,500</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813,083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370,034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258,940</w:t>
            </w:r>
          </w:p>
        </w:tc>
        <w:tc>
          <w:tcPr>
            <w:tcW w:w="1480" w:type="dxa"/>
            <w:vAlign w:val="bottom"/>
            <w:gridSpan w:val="2"/>
          </w:tcPr>
          <w:p>
            <w:pPr>
              <w:jc w:val="right"/>
              <w:ind w:right="177"/>
              <w:spacing w:after="0"/>
              <w:rPr>
                <w:sz w:val="20"/>
                <w:szCs w:val="20"/>
                <w:color w:val="auto"/>
              </w:rPr>
            </w:pPr>
            <w:r>
              <w:rPr>
                <w:rFonts w:ascii="Arial" w:cs="Arial" w:eastAsia="Arial" w:hAnsi="Arial"/>
                <w:sz w:val="18"/>
                <w:szCs w:val="18"/>
                <w:color w:val="auto"/>
              </w:rPr>
              <w:t>12,575</w:t>
            </w:r>
            <w:r>
              <w:rPr>
                <w:rFonts w:ascii="Arial" w:cs="Arial" w:eastAsia="Arial" w:hAnsi="Arial"/>
                <w:sz w:val="25"/>
                <w:szCs w:val="25"/>
                <w:color w:val="auto"/>
                <w:vertAlign w:val="superscript"/>
              </w:rPr>
              <w:t>(5)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1,877,132</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924,960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454,019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307,710</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28,540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2,115,229</w:t>
            </w: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400,000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100,000</w:t>
            </w:r>
            <w:r>
              <w:rPr>
                <w:rFonts w:ascii="Arial" w:cs="Arial" w:eastAsia="Arial" w:hAnsi="Arial"/>
                <w:sz w:val="25"/>
                <w:szCs w:val="25"/>
                <w:color w:val="auto"/>
                <w:w w:val="91"/>
                <w:vertAlign w:val="superscript"/>
              </w:rPr>
              <w:t>(6)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334,108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45,646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260,000</w:t>
            </w:r>
          </w:p>
        </w:tc>
        <w:tc>
          <w:tcPr>
            <w:tcW w:w="1480" w:type="dxa"/>
            <w:vAlign w:val="bottom"/>
            <w:gridSpan w:val="2"/>
          </w:tcPr>
          <w:p>
            <w:pPr>
              <w:jc w:val="right"/>
              <w:ind w:right="317"/>
              <w:spacing w:after="0"/>
              <w:rPr>
                <w:sz w:val="20"/>
                <w:szCs w:val="20"/>
                <w:color w:val="auto"/>
              </w:rPr>
            </w:pPr>
            <w:r>
              <w:rPr>
                <w:rFonts w:ascii="Arial" w:cs="Arial" w:eastAsia="Arial" w:hAnsi="Arial"/>
                <w:sz w:val="18"/>
                <w:szCs w:val="18"/>
                <w:color w:val="auto"/>
              </w:rPr>
              <w:t>28,571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1,168,325</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481,250</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813,083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370,034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299,071</w:t>
            </w:r>
          </w:p>
        </w:tc>
        <w:tc>
          <w:tcPr>
            <w:tcW w:w="1480" w:type="dxa"/>
            <w:vAlign w:val="bottom"/>
            <w:gridSpan w:val="2"/>
            <w:shd w:val="clear" w:color="auto" w:fill="CCEEFF"/>
          </w:tcPr>
          <w:p>
            <w:pPr>
              <w:jc w:val="right"/>
              <w:ind w:right="177"/>
              <w:spacing w:after="0" w:line="216" w:lineRule="exact"/>
              <w:rPr>
                <w:sz w:val="20"/>
                <w:szCs w:val="20"/>
                <w:color w:val="auto"/>
              </w:rPr>
            </w:pPr>
            <w:r>
              <w:rPr>
                <w:rFonts w:ascii="Arial" w:cs="Arial" w:eastAsia="Arial" w:hAnsi="Arial"/>
                <w:sz w:val="18"/>
                <w:szCs w:val="18"/>
                <w:color w:val="auto"/>
              </w:rPr>
              <w:t>7,185</w:t>
            </w:r>
            <w:r>
              <w:rPr>
                <w:rFonts w:ascii="Arial" w:cs="Arial" w:eastAsia="Arial" w:hAnsi="Arial"/>
                <w:sz w:val="25"/>
                <w:szCs w:val="25"/>
                <w:color w:val="auto"/>
                <w:vertAlign w:val="superscript"/>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1,970,623</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Chief Technology Officer</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425,000</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1,028,280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504,779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325,463</w:t>
            </w:r>
          </w:p>
        </w:tc>
        <w:tc>
          <w:tcPr>
            <w:tcW w:w="1480" w:type="dxa"/>
            <w:vAlign w:val="bottom"/>
            <w:gridSpan w:val="2"/>
          </w:tcPr>
          <w:p>
            <w:pPr>
              <w:jc w:val="right"/>
              <w:ind w:right="317"/>
              <w:spacing w:after="0"/>
              <w:rPr>
                <w:sz w:val="20"/>
                <w:szCs w:val="20"/>
                <w:color w:val="auto"/>
              </w:rPr>
            </w:pPr>
            <w:r>
              <w:rPr>
                <w:rFonts w:ascii="Arial" w:cs="Arial" w:eastAsia="Arial" w:hAnsi="Arial"/>
                <w:sz w:val="18"/>
                <w:szCs w:val="18"/>
                <w:color w:val="auto"/>
              </w:rPr>
              <w:t>5,735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2,289,257</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425,000</w:t>
            </w:r>
          </w:p>
        </w:tc>
        <w:tc>
          <w:tcPr>
            <w:tcW w:w="1020" w:type="dxa"/>
            <w:vAlign w:val="bottom"/>
            <w:gridSpan w:val="2"/>
            <w:shd w:val="clear" w:color="auto" w:fill="CCEEFF"/>
          </w:tcPr>
          <w:p>
            <w:pPr>
              <w:jc w:val="right"/>
              <w:ind w:right="220"/>
              <w:spacing w:after="0" w:line="216" w:lineRule="exact"/>
              <w:rPr>
                <w:sz w:val="20"/>
                <w:szCs w:val="20"/>
                <w:color w:val="auto"/>
              </w:rPr>
            </w:pPr>
            <w:r>
              <w:rPr>
                <w:rFonts w:ascii="Arial" w:cs="Arial" w:eastAsia="Arial" w:hAnsi="Arial"/>
                <w:sz w:val="18"/>
                <w:szCs w:val="18"/>
                <w:color w:val="auto"/>
                <w:w w:val="91"/>
              </w:rPr>
              <w:t>150,000</w:t>
            </w:r>
            <w:r>
              <w:rPr>
                <w:rFonts w:ascii="Arial" w:cs="Arial" w:eastAsia="Arial" w:hAnsi="Arial"/>
                <w:sz w:val="25"/>
                <w:szCs w:val="25"/>
                <w:color w:val="auto"/>
                <w:w w:val="91"/>
                <w:vertAlign w:val="superscript"/>
              </w:rPr>
              <w:t>(8)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675,189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94,602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275,000</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5,650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1,625,441</w:t>
            </w:r>
          </w:p>
        </w:tc>
        <w:tc>
          <w:tcPr>
            <w:tcW w:w="0" w:type="dxa"/>
            <w:vAlign w:val="bottom"/>
          </w:tcPr>
          <w:p>
            <w:pPr>
              <w:spacing w:after="0"/>
              <w:rPr>
                <w:sz w:val="1"/>
                <w:szCs w:val="1"/>
                <w:color w:val="auto"/>
              </w:rPr>
            </w:pPr>
          </w:p>
        </w:tc>
      </w:tr>
      <w:tr>
        <w:trPr>
          <w:trHeight w:val="324"/>
        </w:trPr>
        <w:tc>
          <w:tcPr>
            <w:tcW w:w="2500" w:type="dxa"/>
            <w:vAlign w:val="bottom"/>
            <w:gridSpan w:val="2"/>
          </w:tcPr>
          <w:p>
            <w:pPr>
              <w:spacing w:after="0"/>
              <w:rPr>
                <w:sz w:val="20"/>
                <w:szCs w:val="20"/>
                <w:color w:val="auto"/>
              </w:rPr>
            </w:pPr>
            <w:r>
              <w:rPr>
                <w:rFonts w:ascii="Arial" w:cs="Arial" w:eastAsia="Arial" w:hAnsi="Arial"/>
                <w:sz w:val="18"/>
                <w:szCs w:val="18"/>
                <w:color w:val="auto"/>
              </w:rPr>
              <w:t>Adam Soroca</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362,500</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596,260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271,357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225,691</w:t>
            </w:r>
          </w:p>
        </w:tc>
        <w:tc>
          <w:tcPr>
            <w:tcW w:w="1480" w:type="dxa"/>
            <w:vAlign w:val="bottom"/>
            <w:gridSpan w:val="2"/>
          </w:tcPr>
          <w:p>
            <w:pPr>
              <w:jc w:val="right"/>
              <w:ind w:right="177"/>
              <w:spacing w:after="0"/>
              <w:rPr>
                <w:sz w:val="20"/>
                <w:szCs w:val="20"/>
                <w:color w:val="auto"/>
              </w:rPr>
            </w:pPr>
            <w:r>
              <w:rPr>
                <w:rFonts w:ascii="Arial" w:cs="Arial" w:eastAsia="Arial" w:hAnsi="Arial"/>
                <w:sz w:val="18"/>
                <w:szCs w:val="18"/>
                <w:color w:val="auto"/>
              </w:rPr>
              <w:t>6,195</w:t>
            </w:r>
            <w:r>
              <w:rPr>
                <w:rFonts w:ascii="Arial" w:cs="Arial" w:eastAsia="Arial" w:hAnsi="Arial"/>
                <w:sz w:val="25"/>
                <w:szCs w:val="25"/>
                <w:color w:val="auto"/>
                <w:vertAlign w:val="superscript"/>
              </w:rPr>
              <w:t>(9)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1,462,003</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 of Global Buyer Team</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325,000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772,440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377,879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266,288</w:t>
            </w:r>
          </w:p>
        </w:tc>
        <w:tc>
          <w:tcPr>
            <w:tcW w:w="1480" w:type="dxa"/>
            <w:vAlign w:val="bottom"/>
            <w:gridSpan w:val="2"/>
            <w:shd w:val="clear" w:color="auto" w:fill="CCEEFF"/>
          </w:tcPr>
          <w:p>
            <w:pPr>
              <w:jc w:val="right"/>
              <w:ind w:right="317"/>
              <w:spacing w:after="0"/>
              <w:rPr>
                <w:sz w:val="20"/>
                <w:szCs w:val="20"/>
                <w:color w:val="auto"/>
              </w:rPr>
            </w:pPr>
            <w:r>
              <w:rPr>
                <w:rFonts w:ascii="Arial" w:cs="Arial" w:eastAsia="Arial" w:hAnsi="Arial"/>
                <w:sz w:val="18"/>
                <w:szCs w:val="18"/>
                <w:color w:val="auto"/>
              </w:rPr>
              <w:t>7,682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1,749,289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Katie Evans</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020" w:type="dxa"/>
            <w:vAlign w:val="bottom"/>
            <w:gridSpan w:val="2"/>
            <w:shd w:val="clear" w:color="auto" w:fill="CCEEFF"/>
          </w:tcPr>
          <w:p>
            <w:pPr>
              <w:ind w:left="60"/>
              <w:spacing w:after="0" w:line="216" w:lineRule="exact"/>
              <w:rPr>
                <w:sz w:val="20"/>
                <w:szCs w:val="20"/>
                <w:color w:val="auto"/>
              </w:rPr>
            </w:pPr>
            <w:r>
              <w:rPr>
                <w:rFonts w:ascii="Arial" w:cs="Arial" w:eastAsia="Arial" w:hAnsi="Arial"/>
                <w:sz w:val="18"/>
                <w:szCs w:val="18"/>
                <w:color w:val="auto"/>
                <w:w w:val="99"/>
              </w:rPr>
              <w:t>271,437</w:t>
            </w:r>
            <w:r>
              <w:rPr>
                <w:rFonts w:ascii="Arial" w:cs="Arial" w:eastAsia="Arial" w:hAnsi="Arial"/>
                <w:sz w:val="25"/>
                <w:szCs w:val="25"/>
                <w:color w:val="auto"/>
                <w:w w:val="99"/>
                <w:vertAlign w:val="superscript"/>
              </w:rPr>
              <w:t>(10)</w:t>
            </w:r>
          </w:p>
        </w:tc>
        <w:tc>
          <w:tcPr>
            <w:tcW w:w="102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8"/>
                <w:szCs w:val="18"/>
                <w:color w:val="auto"/>
                <w:w w:val="99"/>
              </w:rPr>
              <w:t>44,415</w:t>
            </w:r>
            <w:r>
              <w:rPr>
                <w:rFonts w:ascii="Arial" w:cs="Arial" w:eastAsia="Arial" w:hAnsi="Arial"/>
                <w:sz w:val="25"/>
                <w:szCs w:val="25"/>
                <w:color w:val="auto"/>
                <w:w w:val="99"/>
                <w:vertAlign w:val="superscript"/>
              </w:rPr>
              <w:t>(11)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1,029,906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222,019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216,690</w:t>
            </w:r>
          </w:p>
        </w:tc>
        <w:tc>
          <w:tcPr>
            <w:tcW w:w="1480" w:type="dxa"/>
            <w:vAlign w:val="bottom"/>
            <w:gridSpan w:val="2"/>
            <w:shd w:val="clear" w:color="auto" w:fill="CCEEFF"/>
          </w:tcPr>
          <w:p>
            <w:pPr>
              <w:jc w:val="right"/>
              <w:ind w:right="117"/>
              <w:spacing w:after="0" w:line="216" w:lineRule="exact"/>
              <w:rPr>
                <w:sz w:val="20"/>
                <w:szCs w:val="20"/>
                <w:color w:val="auto"/>
              </w:rPr>
            </w:pPr>
            <w:r>
              <w:rPr>
                <w:rFonts w:ascii="Arial" w:cs="Arial" w:eastAsia="Arial" w:hAnsi="Arial"/>
                <w:sz w:val="18"/>
                <w:szCs w:val="18"/>
                <w:color w:val="auto"/>
              </w:rPr>
              <w:t>15,593</w:t>
            </w:r>
            <w:r>
              <w:rPr>
                <w:rFonts w:ascii="Arial" w:cs="Arial" w:eastAsia="Arial" w:hAnsi="Arial"/>
                <w:sz w:val="25"/>
                <w:szCs w:val="25"/>
                <w:color w:val="auto"/>
                <w:vertAlign w:val="superscript"/>
              </w:rPr>
              <w:t>(12)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1,800,060</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84"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accordance with the rules of the SEC, these amounts represent the aggregate grant date fair value of the stock awards and option awards granted to the named executive officer during the applicable fiscal year computed in accordance with ASC 718. Magnite’s equity awards valuation approach and related underlying assumptions for awards granted in 2020 are described in Note 2 “Organization and Summary of Significant Accounting Policies—Stock-Based Compensation” and Note 13 “Stock-Based Compensation” to the Consolidated Financial Statements in the Company’s Annual Report on Form 10-K (and the assumptions for awards granted prior to 2020 are set forth in the corresponding notes in the Annual Report on Form 10-K for the applicable fiscal year). The reported amounts do not necessarily reflect the value that may be realized by the executive with respect to the awards, which will depend on future changes in stock value and may be more or less than the amount shown.</w:t>
      </w:r>
    </w:p>
    <w:p>
      <w:pPr>
        <w:spacing w:after="0" w:line="2"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incentive amounts earned by the named executive officers for service during the year, including amounts paid subsequent to that year based upon performance during that year. As discussed in the Compensation Discussion and Analysis section above, for 2020, the compensation committee approved a bifurcated structure for the 2020 Executive Bonus Plan with independent goals set for each of the first half of the fiscal year (“1H20”) and second half of the fiscal year (“2H20”). The first half of 2020, 1H20, was measured from January to June of 2020. The named executive officers were measured against legacy Rubicon Project 1H20 targets (or legacy Telaria 1H2020 targets for Ms. Evans), with the first half bonus payout based on H1 results. The second half of 2020, 2H20, was measured from July to December 2020 with goals set in July 2020 based on combined company results.</w:t>
      </w:r>
    </w:p>
    <w:p>
      <w:pPr>
        <w:spacing w:after="0" w:line="2" w:lineRule="exact"/>
        <w:rPr>
          <w:rFonts w:ascii="Arial" w:cs="Arial" w:eastAsia="Arial" w:hAnsi="Arial"/>
          <w:sz w:val="18"/>
          <w:szCs w:val="18"/>
          <w:color w:val="auto"/>
        </w:rPr>
      </w:pPr>
    </w:p>
    <w:p>
      <w:pPr>
        <w:ind w:left="540" w:right="580" w:hanging="424"/>
        <w:spacing w:after="0" w:line="26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Barrett’s salary was temporarily reduced from $550,000 to $385,000 in response to business challenges associated with the COVID-19 pandemic.</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401(k) plan matching contributions, contributions to life insurance premiums and work-from-home stipend.</w:t>
      </w:r>
    </w:p>
    <w:p>
      <w:pPr>
        <w:spacing w:after="0" w:line="23" w:lineRule="exact"/>
        <w:rPr>
          <w:rFonts w:ascii="Arial" w:cs="Arial" w:eastAsia="Arial" w:hAnsi="Arial"/>
          <w:sz w:val="18"/>
          <w:szCs w:val="18"/>
          <w:color w:val="auto"/>
        </w:rPr>
      </w:pPr>
    </w:p>
    <w:p>
      <w:pPr>
        <w:ind w:left="540" w:right="5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401(k) plan matching contributions, contributions to life insurance premiums, transportation reimbursement and work-from-home stipend.</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$100,000 retention bonus that vested during the applicable year.</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401(k) plan matching contributions, contributions to life insurance premiums and work-from-home stipend.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 $150,000 retention bonus that vested during the applicable year.</w:t>
      </w:r>
    </w:p>
    <w:p>
      <w:pPr>
        <w:spacing w:after="0" w:line="9"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401(k) plan matching contributions, contributions to life insurance premiums, transit benefit plan matching contributions and work-from-home stipend.</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Evans commenced employment with the company on April 1, 2020 with an annual base salary of $400,000.</w:t>
      </w:r>
    </w:p>
    <w:p>
      <w:pPr>
        <w:spacing w:after="0" w:line="9" w:lineRule="exact"/>
        <w:rPr>
          <w:rFonts w:ascii="Arial" w:cs="Arial" w:eastAsia="Arial" w:hAnsi="Arial"/>
          <w:sz w:val="18"/>
          <w:szCs w:val="18"/>
          <w:color w:val="auto"/>
        </w:rPr>
      </w:pPr>
    </w:p>
    <w:p>
      <w:pPr>
        <w:ind w:left="540" w:right="30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 1H 2020, Ms. Evans’ did not earn any incentive compensation pursuant to the terms of her legacy Telaria 1H incentive compensation plan. The compensation committee approved payout of 29.61% of Ms. Evans’ 1H target bonus in order to align with other executives.</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401(k) plan matching contributions, contributions to life insurance premiums and work-from-home stipend.</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Grants of Plan-Based Awards - 2020</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 provides information regarding the equity and non-equity incentive plan awards that were granted to Magnite’s named executive officers in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All</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3"/>
              </w:rPr>
              <w:t>Estimated Future Payouts Under</w:t>
            </w:r>
          </w:p>
        </w:tc>
        <w:tc>
          <w:tcPr>
            <w:tcW w:w="242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3"/>
              </w:rPr>
              <w:t>Estimated Future Payouts Under</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2"/>
            <w:vMerge w:val="continue"/>
          </w:tcPr>
          <w:p>
            <w:pPr>
              <w:spacing w:after="0"/>
              <w:rPr>
                <w:sz w:val="12"/>
                <w:szCs w:val="12"/>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6"/>
              </w:rPr>
              <w:t>Exercise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gridSpan w:val="6"/>
            <w:vMerge w:val="continue"/>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8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Option</w:t>
            </w:r>
          </w:p>
        </w:tc>
        <w:tc>
          <w:tcPr>
            <w:tcW w:w="70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Arial" w:cs="Arial" w:eastAsia="Arial" w:hAnsi="Arial"/>
                <w:sz w:val="14"/>
                <w:szCs w:val="14"/>
                <w:b w:val="1"/>
                <w:bCs w:val="1"/>
                <w:color w:val="auto"/>
              </w:rPr>
              <w:t>Non-Equity Incentive Plan Awards</w:t>
            </w:r>
          </w:p>
        </w:tc>
        <w:tc>
          <w:tcPr>
            <w:tcW w:w="24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Equity Incentive Plan Awards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Awards: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Awards:</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or Base</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Number</w:t>
            </w: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Price of</w:t>
            </w:r>
          </w:p>
        </w:tc>
        <w:tc>
          <w:tcPr>
            <w:tcW w:w="84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Threshold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Maximum</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of Shares</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Threshold</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Maximum</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of Stock</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4"/>
        </w:trPr>
        <w:tc>
          <w:tcPr>
            <w:tcW w:w="1960" w:type="dxa"/>
            <w:vAlign w:val="bottom"/>
            <w:gridSpan w:val="2"/>
            <w:vMerge w:val="continue"/>
          </w:tcPr>
          <w:p>
            <w:pPr>
              <w:spacing w:after="0"/>
              <w:rPr>
                <w:sz w:val="12"/>
                <w:szCs w:val="12"/>
                <w:color w:val="auto"/>
              </w:rPr>
            </w:pPr>
          </w:p>
        </w:tc>
        <w:tc>
          <w:tcPr>
            <w:tcW w:w="1000" w:type="dxa"/>
            <w:vAlign w:val="bottom"/>
            <w:gridSpan w:val="2"/>
          </w:tcPr>
          <w:p>
            <w:pPr>
              <w:ind w:left="220"/>
              <w:spacing w:after="0" w:line="125" w:lineRule="exact"/>
              <w:rPr>
                <w:sz w:val="20"/>
                <w:szCs w:val="20"/>
                <w:color w:val="auto"/>
              </w:rPr>
            </w:pPr>
            <w:r>
              <w:rPr>
                <w:rFonts w:ascii="Arial" w:cs="Arial" w:eastAsia="Arial" w:hAnsi="Arial"/>
                <w:sz w:val="14"/>
                <w:szCs w:val="14"/>
                <w:b w:val="1"/>
                <w:bCs w:val="1"/>
                <w:color w:val="auto"/>
              </w:rPr>
              <w:t>Date</w:t>
            </w:r>
          </w:p>
        </w:tc>
        <w:tc>
          <w:tcPr>
            <w:tcW w:w="660" w:type="dxa"/>
            <w:vAlign w:val="bottom"/>
          </w:tcPr>
          <w:p>
            <w:pPr>
              <w:ind w:left="240"/>
              <w:spacing w:after="0" w:line="12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60" w:type="dxa"/>
            <w:vAlign w:val="bottom"/>
          </w:tcPr>
          <w:p>
            <w:pPr>
              <w:ind w:left="240"/>
              <w:spacing w:after="0" w:line="12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or Units</w:t>
            </w:r>
          </w:p>
        </w:tc>
        <w:tc>
          <w:tcPr>
            <w:tcW w:w="86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4"/>
              </w:rPr>
              <w:t>Options</w:t>
            </w:r>
          </w:p>
        </w:tc>
        <w:tc>
          <w:tcPr>
            <w:tcW w:w="700" w:type="dxa"/>
            <w:vAlign w:val="bottom"/>
            <w:gridSpan w:val="2"/>
          </w:tcPr>
          <w:p>
            <w:pPr>
              <w:jc w:val="center"/>
              <w:ind w:right="160"/>
              <w:spacing w:after="0" w:line="125" w:lineRule="exact"/>
              <w:rPr>
                <w:sz w:val="20"/>
                <w:szCs w:val="20"/>
                <w:color w:val="auto"/>
              </w:rPr>
            </w:pPr>
            <w:r>
              <w:rPr>
                <w:rFonts w:ascii="Arial" w:cs="Arial" w:eastAsia="Arial" w:hAnsi="Arial"/>
                <w:sz w:val="14"/>
                <w:szCs w:val="14"/>
                <w:b w:val="1"/>
                <w:bCs w:val="1"/>
                <w:color w:val="auto"/>
                <w:w w:val="97"/>
              </w:rPr>
              <w:t>($/Sh)</w:t>
            </w:r>
          </w:p>
        </w:tc>
        <w:tc>
          <w:tcPr>
            <w:tcW w:w="84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10"/>
                <w:szCs w:val="10"/>
                <w:b w:val="1"/>
                <w:bCs w:val="1"/>
                <w:color w:val="auto"/>
                <w:w w:val="92"/>
              </w:rPr>
              <w:t>(1)</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Barrett</w:t>
            </w:r>
          </w:p>
        </w:tc>
        <w:tc>
          <w:tcPr>
            <w:tcW w:w="7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9"/>
              </w:rPr>
              <w:t>257,500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6"/>
              </w:rPr>
              <w:t>515,000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772,500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175,992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929,238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231,568</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740,068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gridSpan w:val="2"/>
          </w:tcPr>
          <w:p>
            <w:pPr>
              <w:ind w:left="60"/>
              <w:spacing w:after="0" w:line="216" w:lineRule="exact"/>
              <w:rPr>
                <w:sz w:val="20"/>
                <w:szCs w:val="20"/>
                <w:color w:val="auto"/>
              </w:rPr>
            </w:pPr>
            <w:r>
              <w:rPr>
                <w:rFonts w:ascii="Arial" w:cs="Arial" w:eastAsia="Arial" w:hAnsi="Arial"/>
                <w:sz w:val="18"/>
                <w:szCs w:val="18"/>
                <w:color w:val="auto"/>
              </w:rPr>
              <w:t>4/1/2020</w:t>
            </w:r>
            <w:r>
              <w:rPr>
                <w:rFonts w:ascii="Arial" w:cs="Arial" w:eastAsia="Arial" w:hAnsi="Arial"/>
                <w:sz w:val="25"/>
                <w:szCs w:val="25"/>
                <w:color w:val="auto"/>
                <w:vertAlign w:val="superscript"/>
              </w:rPr>
              <w:t>(2)</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36,585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146,341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219,511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Day</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150,500</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301,000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451,500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153,993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813,083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115,784</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370,034</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Thomas Kershaw</w:t>
            </w:r>
          </w:p>
        </w:tc>
        <w:tc>
          <w:tcPr>
            <w:tcW w:w="100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175,000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350,000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525,000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153,993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813,083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115,784</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5.28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370,034</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Soroca</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131,250</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262,500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393,750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112,928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596,260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84,908</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271,357</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Katie Evans</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150,000</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300,000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450,000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195,058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1,029,906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4/1/2020</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69,470</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5.28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222,019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73"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accordance with the rules of the SEC, these amounts represent the aggregate grant date fair value of the stock awards and option awards granted to the named executive officer during 2020 computed in accordance with ASC 718. Our equity awards valuation approach and related underlying assumptions for awards granted in 2020 are described in Note 2 “Organization and Summary of Significant Accounting Policies-Stock-Based Compensation” and Note 13 “Stock-Based Compensation” to the Consolidated Financial Statements in our Annual Report on Form 10-K. The reported amounts do not necessarily reflect the value that may be realized by the executive with respect to the awards, which will depend on future changes in stock value and may be more or less than the amount shown.</w:t>
      </w:r>
    </w:p>
    <w:p>
      <w:pPr>
        <w:spacing w:after="0" w:line="83" w:lineRule="exact"/>
        <w:rPr>
          <w:rFonts w:ascii="Arial" w:cs="Arial" w:eastAsia="Arial" w:hAnsi="Arial"/>
          <w:sz w:val="17"/>
          <w:szCs w:val="17"/>
          <w:color w:val="auto"/>
        </w:rPr>
      </w:pPr>
    </w:p>
    <w:p>
      <w:pPr>
        <w:ind w:left="540" w:right="340" w:hanging="424"/>
        <w:spacing w:after="0" w:line="26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of a performance stock unit. The award is eligible to vest as to 0% to 150% of the target number of shares, based on the issuer’s total stockholder return for the three-year period beginning on the grant date of the award relative to the TSRs of the companies in the Russell 2000 index over that period.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 Table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Employment Agreement/Offer Letters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have entered into an employment agreement with Mr. Barrett and offer letters with each of our other named executive officers. Each of our named executive officers serves on an at-will basis and the employment agreement and offer letters do not have a specified term. The employment agreement and offer letters provide for a base salary, eligibility to receive an annual performance bonus, and eligibility to participate in employee benefit or group insurance plans maintained from time to time by us. We are also party to agreements with the named executive officers providing for the severance benefits described below under “Potential Payments upon Termination or Change in Control.”</w:t>
      </w:r>
    </w:p>
    <w:p>
      <w:pPr>
        <w:spacing w:after="0" w:line="284"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Non-Equity Incentive Plan Awards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a description of the material terms of the non-equity incentive plan awards reported in the table above, see “Compensation Discussion and Analysis — Current Executive Compensation Program Elements—Annual Performance-Based Cash Awards” above.</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Equity Incentive Plan Awards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Each of the equity incentive awards reported in the “Grants of Plan-Based Awards—2020” table above was granted under, and is subject to, the terms of our 2014 Equity Incentive Plan, referred to as the 2014 Plan. The 2014 Plan is administered by the compensation committee. The compensation committee has authority to interpret the plan provisions and make all required determinations under the plan. Awards granted under the plan are generally not transferable other than by will or the laws of descent and distribution, except that the plan administrator may authorize certain transfers.</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Generally, and subject to limited exceptions set forth in the 2014 Plan, if we undergo certain corporate transactions such as a merger, consolidation or similar transaction, or a sale of all or substantially all of our assets or securities, the plan administrator has the discretion to determine how outstanding equity awards will be treated in connection with such corporate transaction (including discretion to provide for accelerated vesting of such awards in connection with the transaction), and if no affirmative determination is made, all outstanding equity awards will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fully vest and options will be fully exercisable, and will terminate or be terminated in connection with such corporate transaction, unless the awards are to be assumed or substituted by the successor corporation. The named executive officers are also party to agreements that provide for acceleration of their equity awards in connection with certain terminations of their employment as described below under “Potential Payments upon Termination or Change in Control.”</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equity awards granted to our named executive officers other than Mr. Barrett in 2020 were in the form of stock options, and restricted stock units, referred to as RSUs. Mr. Barrett received equity awards in 2020 in the form of stock options, RSUs, and performance stock units, referred to as PSUs. The vesting requirements applicable to each equity award granted to the named executive officers are described in the footnotes to the table below and in the section above entitled “Compensation Discussion and Analysis.” RSUs are payable on vesting in an equal number of shares of our common stock. Stock options represent the right to receive a share of our common stock upon exercise of the option and payment of the exercise price. The named executive officers do not have the right to vote the shares subject to the awards and do not have any dividend rights with respect to the RSUs or stock options.</w:t>
      </w:r>
    </w:p>
    <w:p>
      <w:pPr>
        <w:spacing w:after="0" w:line="303"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Outstanding Equity Awards as of December 31,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information regarding outstanding equity awards made to our named executive officers as of December 31, 2020.</w:t>
      </w:r>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Barrett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Thomas Kershaw</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Stock Awards</w:t>
            </w:r>
          </w:p>
        </w:tc>
        <w:tc>
          <w:tcPr>
            <w:tcW w:w="1800" w:type="dxa"/>
            <w:vAlign w:val="bottom"/>
            <w:gridSpan w:val="4"/>
          </w:tcPr>
          <w:p>
            <w:pPr>
              <w:ind w:left="500"/>
              <w:spacing w:after="0"/>
              <w:rPr>
                <w:sz w:val="20"/>
                <w:szCs w:val="20"/>
                <w:color w:val="auto"/>
              </w:rPr>
            </w:pPr>
            <w:r>
              <w:rPr>
                <w:rFonts w:ascii="Arial" w:cs="Arial" w:eastAsia="Arial" w:hAnsi="Arial"/>
                <w:sz w:val="14"/>
                <w:szCs w:val="14"/>
                <w:b w:val="1"/>
                <w:bCs w:val="1"/>
                <w:color w:val="auto"/>
              </w:rPr>
              <w:t>PSU Awards</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Equity</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plan</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number</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market or</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unearned</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vMerge w:val="restart"/>
          </w:tcPr>
          <w:p>
            <w:pPr>
              <w:jc w:val="center"/>
              <w:ind w:right="217"/>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or Units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units or</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tcPr>
          <w:p>
            <w:pPr>
              <w:jc w:val="center"/>
              <w:ind w:right="237"/>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Stock</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Units of</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other</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units or</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217"/>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that</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Stock that</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rights</w:t>
            </w: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8"/>
        </w:trPr>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tcPr>
          <w:p>
            <w:pPr>
              <w:jc w:val="center"/>
              <w:ind w:right="217"/>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Have not</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that have</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8"/>
        </w:trPr>
        <w:tc>
          <w:tcPr>
            <w:tcW w:w="82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40" w:type="dxa"/>
            <w:vAlign w:val="bottom"/>
            <w:gridSpan w:val="2"/>
          </w:tcPr>
          <w:p>
            <w:pPr>
              <w:jc w:val="center"/>
              <w:ind w:right="217"/>
              <w:spacing w:after="0" w:line="149" w:lineRule="exact"/>
              <w:rPr>
                <w:sz w:val="20"/>
                <w:szCs w:val="20"/>
                <w:color w:val="auto"/>
              </w:rPr>
            </w:pPr>
            <w:r>
              <w:rPr>
                <w:rFonts w:ascii="Arial" w:cs="Arial" w:eastAsia="Arial" w:hAnsi="Arial"/>
                <w:sz w:val="14"/>
                <w:szCs w:val="14"/>
                <w:b w:val="1"/>
                <w:bCs w:val="1"/>
                <w:color w:val="auto"/>
                <w:w w:val="94"/>
              </w:rPr>
              <w:t>Options (#)</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not</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Exercisable</w:t>
            </w:r>
          </w:p>
        </w:tc>
        <w:tc>
          <w:tcPr>
            <w:tcW w:w="1140" w:type="dxa"/>
            <w:vAlign w:val="bottom"/>
            <w:gridSpan w:val="2"/>
          </w:tcPr>
          <w:p>
            <w:pPr>
              <w:jc w:val="center"/>
              <w:ind w:right="217"/>
              <w:spacing w:after="0"/>
              <w:rPr>
                <w:sz w:val="20"/>
                <w:szCs w:val="20"/>
                <w:color w:val="auto"/>
              </w:rPr>
            </w:pPr>
            <w:r>
              <w:rPr>
                <w:rFonts w:ascii="Arial" w:cs="Arial" w:eastAsia="Arial" w:hAnsi="Arial"/>
                <w:sz w:val="14"/>
                <w:szCs w:val="14"/>
                <w:b w:val="1"/>
                <w:bCs w:val="1"/>
                <w:color w:val="auto"/>
                <w:w w:val="90"/>
              </w:rPr>
              <w:t>Unexercisable</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780" w:type="dxa"/>
            <w:vAlign w:val="bottom"/>
          </w:tcPr>
          <w:p>
            <w:pPr>
              <w:jc w:val="center"/>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vested (#)</w:t>
            </w: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0"/>
                <w:szCs w:val="10"/>
                <w:b w:val="1"/>
                <w:bCs w:val="1"/>
                <w:color w:val="auto"/>
                <w:w w:val="90"/>
              </w:rPr>
              <w:t>(1)</w:t>
            </w:r>
          </w:p>
        </w:tc>
        <w:tc>
          <w:tcPr>
            <w:tcW w:w="0" w:type="dxa"/>
            <w:vAlign w:val="bottom"/>
          </w:tcPr>
          <w:p>
            <w:pPr>
              <w:spacing w:after="0"/>
              <w:rPr>
                <w:sz w:val="1"/>
                <w:szCs w:val="1"/>
                <w:color w:val="auto"/>
              </w:rPr>
            </w:pPr>
          </w:p>
        </w:tc>
      </w:tr>
      <w:tr>
        <w:trPr>
          <w:trHeight w:val="195"/>
        </w:trPr>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4/1/20</w:t>
            </w:r>
          </w:p>
        </w:tc>
        <w:tc>
          <w:tcPr>
            <w:tcW w:w="220" w:type="dxa"/>
            <w:vAlign w:val="bottom"/>
          </w:tcPr>
          <w:p>
            <w:pPr>
              <w:spacing w:after="0"/>
              <w:rPr>
                <w:sz w:val="16"/>
                <w:szCs w:val="16"/>
                <w:color w:val="auto"/>
              </w:rPr>
            </w:pPr>
          </w:p>
        </w:tc>
        <w:tc>
          <w:tcPr>
            <w:tcW w:w="760" w:type="dxa"/>
            <w:vAlign w:val="bottom"/>
            <w:tcBorders>
              <w:top w:val="single" w:sz="8" w:color="auto"/>
            </w:tcBorders>
          </w:tcPr>
          <w:p>
            <w:pPr>
              <w:ind w:left="500"/>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231,568</w:t>
            </w:r>
          </w:p>
        </w:tc>
        <w:tc>
          <w:tcPr>
            <w:tcW w:w="280" w:type="dxa"/>
            <w:vAlign w:val="bottom"/>
          </w:tcPr>
          <w:p>
            <w:pPr>
              <w:jc w:val="right"/>
              <w:ind w:right="77"/>
              <w:spacing w:after="0" w:line="141" w:lineRule="exact"/>
              <w:rPr>
                <w:sz w:val="20"/>
                <w:szCs w:val="20"/>
                <w:color w:val="auto"/>
              </w:rPr>
            </w:pPr>
            <w:r>
              <w:rPr>
                <w:rFonts w:ascii="Arial" w:cs="Arial" w:eastAsia="Arial" w:hAnsi="Arial"/>
                <w:sz w:val="13"/>
                <w:szCs w:val="13"/>
                <w:color w:val="auto"/>
                <w:w w:val="75"/>
              </w:rPr>
              <w:t>(2)</w:t>
            </w:r>
          </w:p>
        </w:tc>
        <w:tc>
          <w:tcPr>
            <w:tcW w:w="120" w:type="dxa"/>
            <w:vAlign w:val="bottom"/>
          </w:tcPr>
          <w:p>
            <w:pPr>
              <w:spacing w:after="0"/>
              <w:rPr>
                <w:sz w:val="16"/>
                <w:szCs w:val="16"/>
                <w:color w:val="auto"/>
              </w:rPr>
            </w:pP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5.28</w:t>
            </w:r>
          </w:p>
        </w:tc>
        <w:tc>
          <w:tcPr>
            <w:tcW w:w="24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4/1/30</w:t>
            </w: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2/22/19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137,500</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162,500</w:t>
            </w:r>
            <w:r>
              <w:rPr>
                <w:rFonts w:ascii="Arial" w:cs="Arial" w:eastAsia="Arial" w:hAnsi="Arial"/>
                <w:sz w:val="25"/>
                <w:szCs w:val="25"/>
                <w:color w:val="auto"/>
                <w:vertAlign w:val="superscript"/>
              </w:rPr>
              <w:t>(3)</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5.14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2/22/29</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212,500</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87,500</w:t>
            </w:r>
            <w:r>
              <w:rPr>
                <w:rFonts w:ascii="Arial" w:cs="Arial" w:eastAsia="Arial" w:hAnsi="Arial"/>
                <w:sz w:val="25"/>
                <w:szCs w:val="25"/>
                <w:color w:val="auto"/>
                <w:vertAlign w:val="superscript"/>
              </w:rPr>
              <w:t>(4)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3/15/28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3/17/17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643,275</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42,885</w:t>
            </w:r>
            <w:r>
              <w:rPr>
                <w:rFonts w:ascii="Arial" w:cs="Arial" w:eastAsia="Arial" w:hAnsi="Arial"/>
                <w:sz w:val="25"/>
                <w:szCs w:val="25"/>
                <w:color w:val="auto"/>
                <w:vertAlign w:val="superscript"/>
              </w:rPr>
              <w:t>(5)</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5.80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3/17/27</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1"/>
              </w:rPr>
              <w:t>175,992</w:t>
            </w:r>
            <w:r>
              <w:rPr>
                <w:rFonts w:ascii="Arial" w:cs="Arial" w:eastAsia="Arial" w:hAnsi="Arial"/>
                <w:sz w:val="25"/>
                <w:szCs w:val="25"/>
                <w:color w:val="auto"/>
                <w:w w:val="91"/>
                <w:vertAlign w:val="superscript"/>
              </w:rPr>
              <w:t>(6)</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5,404,714</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1"/>
              </w:rPr>
              <w:t>219,511</w:t>
            </w:r>
            <w:r>
              <w:rPr>
                <w:rFonts w:ascii="Arial" w:cs="Arial" w:eastAsia="Arial" w:hAnsi="Arial"/>
                <w:sz w:val="25"/>
                <w:szCs w:val="25"/>
                <w:color w:val="auto"/>
                <w:w w:val="91"/>
                <w:vertAlign w:val="superscript"/>
              </w:rPr>
              <w:t>(7)</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1"/>
              </w:rPr>
              <w:t>196,875</w:t>
            </w:r>
            <w:r>
              <w:rPr>
                <w:rFonts w:ascii="Arial" w:cs="Arial" w:eastAsia="Arial" w:hAnsi="Arial"/>
                <w:sz w:val="25"/>
                <w:szCs w:val="25"/>
                <w:color w:val="auto"/>
                <w:w w:val="91"/>
                <w:vertAlign w:val="superscript"/>
              </w:rPr>
              <w:t>(8)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6,741,183</w:t>
            </w:r>
          </w:p>
        </w:tc>
        <w:tc>
          <w:tcPr>
            <w:tcW w:w="0" w:type="dxa"/>
            <w:vAlign w:val="bottom"/>
          </w:tcPr>
          <w:p>
            <w:pPr>
              <w:spacing w:after="0"/>
              <w:rPr>
                <w:sz w:val="1"/>
                <w:szCs w:val="1"/>
                <w:color w:val="auto"/>
              </w:rPr>
            </w:pPr>
          </w:p>
        </w:tc>
      </w:tr>
      <w:tr>
        <w:trPr>
          <w:trHeight w:val="215"/>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2/22/19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6,046,031</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rPr>
              <w:t>54,688</w:t>
            </w:r>
            <w:r>
              <w:rPr>
                <w:rFonts w:ascii="Arial" w:cs="Arial" w:eastAsia="Arial" w:hAnsi="Arial"/>
                <w:sz w:val="25"/>
                <w:szCs w:val="25"/>
                <w:color w:val="auto"/>
                <w:vertAlign w:val="superscript"/>
              </w:rPr>
              <w:t>(9)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1,679,468</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3/17/17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restart"/>
          </w:tcPr>
          <w:p>
            <w:pPr>
              <w:jc w:val="right"/>
              <w:ind w:right="77"/>
              <w:spacing w:after="0"/>
              <w:rPr>
                <w:sz w:val="20"/>
                <w:szCs w:val="20"/>
                <w:color w:val="auto"/>
              </w:rPr>
            </w:pPr>
            <w:r>
              <w:rPr>
                <w:rFonts w:ascii="Arial" w:cs="Arial" w:eastAsia="Arial" w:hAnsi="Arial"/>
                <w:sz w:val="18"/>
                <w:szCs w:val="18"/>
                <w:color w:val="auto"/>
              </w:rPr>
              <w:t>115,784</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w w:val="88"/>
              </w:rPr>
              <w:t>114,495</w:t>
            </w:r>
            <w:r>
              <w:rPr>
                <w:rFonts w:ascii="Arial" w:cs="Arial" w:eastAsia="Arial" w:hAnsi="Arial"/>
                <w:sz w:val="25"/>
                <w:szCs w:val="25"/>
                <w:color w:val="auto"/>
                <w:w w:val="88"/>
                <w:vertAlign w:val="superscript"/>
              </w:rPr>
              <w:t>(10)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3,516,141</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vMerge w:val="continue"/>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5.28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4/1/30</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2/20/19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10,062</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87,209</w:t>
            </w:r>
            <w:r>
              <w:rPr>
                <w:rFonts w:ascii="Arial" w:cs="Arial" w:eastAsia="Arial" w:hAnsi="Arial"/>
                <w:sz w:val="25"/>
                <w:szCs w:val="25"/>
                <w:color w:val="auto"/>
                <w:vertAlign w:val="superscript"/>
              </w:rPr>
              <w:t>(3)</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4.92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2/20/29</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7,841</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12,197</w:t>
            </w:r>
            <w:r>
              <w:rPr>
                <w:rFonts w:ascii="Arial" w:cs="Arial" w:eastAsia="Arial" w:hAnsi="Arial"/>
                <w:sz w:val="25"/>
                <w:szCs w:val="25"/>
                <w:color w:val="auto"/>
                <w:vertAlign w:val="superscript"/>
              </w:rPr>
              <w:t>(4)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3/15/28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6,031</w:t>
            </w:r>
          </w:p>
        </w:tc>
        <w:tc>
          <w:tcPr>
            <w:tcW w:w="1140" w:type="dxa"/>
            <w:vAlign w:val="bottom"/>
            <w:gridSpan w:val="2"/>
          </w:tcPr>
          <w:p>
            <w:pPr>
              <w:jc w:val="right"/>
              <w:ind w:right="17"/>
              <w:spacing w:after="0" w:line="216" w:lineRule="exact"/>
              <w:rPr>
                <w:sz w:val="20"/>
                <w:szCs w:val="20"/>
                <w:color w:val="auto"/>
              </w:rPr>
            </w:pPr>
            <w:r>
              <w:rPr>
                <w:rFonts w:ascii="Arial" w:cs="Arial" w:eastAsia="Arial" w:hAnsi="Arial"/>
                <w:sz w:val="18"/>
                <w:szCs w:val="18"/>
                <w:color w:val="auto"/>
              </w:rPr>
              <w:t>1,341</w:t>
            </w:r>
            <w:r>
              <w:rPr>
                <w:rFonts w:ascii="Arial" w:cs="Arial" w:eastAsia="Arial" w:hAnsi="Arial"/>
                <w:sz w:val="25"/>
                <w:szCs w:val="25"/>
                <w:color w:val="auto"/>
                <w:vertAlign w:val="superscript"/>
              </w:rPr>
              <w:t>(11)</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6.06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3/15/27</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5/19/15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9,300</w:t>
            </w:r>
          </w:p>
        </w:tc>
        <w:tc>
          <w:tcPr>
            <w:tcW w:w="1140" w:type="dxa"/>
            <w:vAlign w:val="bottom"/>
            <w:gridSpan w:val="2"/>
          </w:tcPr>
          <w:p>
            <w:pPr>
              <w:jc w:val="right"/>
              <w:ind w:right="317"/>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16.75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5/19/25</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8"/>
              </w:rPr>
              <w:t>153,993</w:t>
            </w:r>
            <w:r>
              <w:rPr>
                <w:rFonts w:ascii="Arial" w:cs="Arial" w:eastAsia="Arial" w:hAnsi="Arial"/>
                <w:sz w:val="25"/>
                <w:szCs w:val="25"/>
                <w:color w:val="auto"/>
                <w:w w:val="88"/>
                <w:vertAlign w:val="superscript"/>
              </w:rPr>
              <w:t>(12)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4,729,125</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2/20/19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w w:val="88"/>
              </w:rPr>
              <w:t>105,750</w:t>
            </w:r>
            <w:r>
              <w:rPr>
                <w:rFonts w:ascii="Arial" w:cs="Arial" w:eastAsia="Arial" w:hAnsi="Arial"/>
                <w:sz w:val="25"/>
                <w:szCs w:val="25"/>
                <w:color w:val="auto"/>
                <w:w w:val="88"/>
                <w:vertAlign w:val="superscript"/>
              </w:rPr>
              <w:t>(13)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3,247,583</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w w:val="99"/>
              </w:rPr>
              <w:t>15,246</w:t>
            </w:r>
            <w:r>
              <w:rPr>
                <w:rFonts w:ascii="Arial" w:cs="Arial" w:eastAsia="Arial" w:hAnsi="Arial"/>
                <w:sz w:val="25"/>
                <w:szCs w:val="25"/>
                <w:color w:val="auto"/>
                <w:w w:val="99"/>
                <w:vertAlign w:val="superscript"/>
              </w:rPr>
              <w:t>(14)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468,205</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restart"/>
          </w:tcPr>
          <w:p>
            <w:pPr>
              <w:jc w:val="right"/>
              <w:ind w:right="77"/>
              <w:spacing w:after="0"/>
              <w:rPr>
                <w:sz w:val="20"/>
                <w:szCs w:val="20"/>
                <w:color w:val="auto"/>
              </w:rPr>
            </w:pPr>
            <w:r>
              <w:rPr>
                <w:rFonts w:ascii="Arial" w:cs="Arial" w:eastAsia="Arial" w:hAnsi="Arial"/>
                <w:sz w:val="18"/>
                <w:szCs w:val="18"/>
                <w:color w:val="auto"/>
              </w:rPr>
              <w:t>115,784</w:t>
            </w:r>
            <w:r>
              <w:rPr>
                <w:rFonts w:ascii="Arial" w:cs="Arial" w:eastAsia="Arial" w:hAnsi="Arial"/>
                <w:sz w:val="25"/>
                <w:szCs w:val="25"/>
                <w:color w:val="auto"/>
                <w:vertAlign w:val="superscript"/>
              </w:rPr>
              <w:t>(2)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rPr>
              <w:t>2,346</w:t>
            </w:r>
            <w:r>
              <w:rPr>
                <w:rFonts w:ascii="Arial" w:cs="Arial" w:eastAsia="Arial" w:hAnsi="Arial"/>
                <w:sz w:val="25"/>
                <w:szCs w:val="25"/>
                <w:color w:val="auto"/>
                <w:vertAlign w:val="superscript"/>
              </w:rPr>
              <w:t>(15)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72,046</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2"/>
            <w:vMerge w:val="continue"/>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5.28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4/1/30</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2/20/19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82,041</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96,959</w:t>
            </w:r>
            <w:r>
              <w:rPr>
                <w:rFonts w:ascii="Arial" w:cs="Arial" w:eastAsia="Arial" w:hAnsi="Arial"/>
                <w:sz w:val="25"/>
                <w:szCs w:val="25"/>
                <w:color w:val="auto"/>
                <w:vertAlign w:val="superscript"/>
              </w:rPr>
              <w:t>(3)</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4.92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2/20/29</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7,917</w:t>
            </w:r>
          </w:p>
        </w:tc>
        <w:tc>
          <w:tcPr>
            <w:tcW w:w="1140" w:type="dxa"/>
            <w:vAlign w:val="bottom"/>
            <w:gridSpan w:val="2"/>
          </w:tcPr>
          <w:p>
            <w:pPr>
              <w:jc w:val="right"/>
              <w:ind w:right="77"/>
              <w:spacing w:after="0" w:line="216" w:lineRule="exact"/>
              <w:rPr>
                <w:sz w:val="20"/>
                <w:szCs w:val="20"/>
                <w:color w:val="auto"/>
              </w:rPr>
            </w:pPr>
            <w:r>
              <w:rPr>
                <w:rFonts w:ascii="Arial" w:cs="Arial" w:eastAsia="Arial" w:hAnsi="Arial"/>
                <w:sz w:val="18"/>
                <w:szCs w:val="18"/>
                <w:color w:val="auto"/>
              </w:rPr>
              <w:t>25,278</w:t>
            </w:r>
            <w:r>
              <w:rPr>
                <w:rFonts w:ascii="Arial" w:cs="Arial" w:eastAsia="Arial" w:hAnsi="Arial"/>
                <w:sz w:val="25"/>
                <w:szCs w:val="25"/>
                <w:color w:val="auto"/>
                <w:vertAlign w:val="superscript"/>
              </w:rPr>
              <w:t>(4)</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1.97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3/15/28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12,889</w:t>
            </w:r>
          </w:p>
        </w:tc>
        <w:tc>
          <w:tcPr>
            <w:tcW w:w="1140" w:type="dxa"/>
            <w:vAlign w:val="bottom"/>
            <w:gridSpan w:val="2"/>
          </w:tcPr>
          <w:p>
            <w:pPr>
              <w:jc w:val="right"/>
              <w:ind w:right="17"/>
              <w:spacing w:after="0" w:line="216" w:lineRule="exact"/>
              <w:rPr>
                <w:sz w:val="20"/>
                <w:szCs w:val="20"/>
                <w:color w:val="auto"/>
              </w:rPr>
            </w:pPr>
            <w:r>
              <w:rPr>
                <w:rFonts w:ascii="Arial" w:cs="Arial" w:eastAsia="Arial" w:hAnsi="Arial"/>
                <w:sz w:val="18"/>
                <w:szCs w:val="18"/>
                <w:color w:val="auto"/>
              </w:rPr>
              <w:t>2,778</w:t>
            </w:r>
            <w:r>
              <w:rPr>
                <w:rFonts w:ascii="Arial" w:cs="Arial" w:eastAsia="Arial" w:hAnsi="Arial"/>
                <w:sz w:val="25"/>
                <w:szCs w:val="25"/>
                <w:color w:val="auto"/>
                <w:vertAlign w:val="superscript"/>
              </w:rPr>
              <w:t>(11)</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6.06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3/15/27</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88"/>
              </w:rPr>
              <w:t>153,993</w:t>
            </w:r>
            <w:r>
              <w:rPr>
                <w:rFonts w:ascii="Arial" w:cs="Arial" w:eastAsia="Arial" w:hAnsi="Arial"/>
                <w:sz w:val="25"/>
                <w:szCs w:val="25"/>
                <w:color w:val="auto"/>
                <w:w w:val="88"/>
                <w:vertAlign w:val="superscript"/>
              </w:rPr>
              <w:t>(12)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4,729,125</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2/20/19</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w w:val="88"/>
              </w:rPr>
              <w:t>117,563</w:t>
            </w:r>
            <w:r>
              <w:rPr>
                <w:rFonts w:ascii="Arial" w:cs="Arial" w:eastAsia="Arial" w:hAnsi="Arial"/>
                <w:sz w:val="25"/>
                <w:szCs w:val="25"/>
                <w:color w:val="auto"/>
                <w:w w:val="88"/>
                <w:vertAlign w:val="superscript"/>
              </w:rPr>
              <w:t>(16)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3,610,360</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3/15/18</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0"/>
              <w:spacing w:after="0" w:line="216" w:lineRule="exact"/>
              <w:rPr>
                <w:sz w:val="20"/>
                <w:szCs w:val="20"/>
                <w:color w:val="auto"/>
              </w:rPr>
            </w:pPr>
            <w:r>
              <w:rPr>
                <w:rFonts w:ascii="Arial" w:cs="Arial" w:eastAsia="Arial" w:hAnsi="Arial"/>
                <w:sz w:val="18"/>
                <w:szCs w:val="18"/>
                <w:color w:val="auto"/>
                <w:w w:val="99"/>
              </w:rPr>
              <w:t>31,597</w:t>
            </w:r>
            <w:r>
              <w:rPr>
                <w:rFonts w:ascii="Arial" w:cs="Arial" w:eastAsia="Arial" w:hAnsi="Arial"/>
                <w:sz w:val="25"/>
                <w:szCs w:val="25"/>
                <w:color w:val="auto"/>
                <w:w w:val="99"/>
                <w:vertAlign w:val="superscript"/>
              </w:rPr>
              <w:t>(17)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970,344</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3/15/17</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4,862</w:t>
            </w:r>
            <w:r>
              <w:rPr>
                <w:rFonts w:ascii="Arial" w:cs="Arial" w:eastAsia="Arial" w:hAnsi="Arial"/>
                <w:sz w:val="25"/>
                <w:szCs w:val="25"/>
                <w:color w:val="auto"/>
                <w:vertAlign w:val="superscript"/>
              </w:rPr>
              <w:t>(15)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149,312</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right"/>
              <w:ind w:right="304"/>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-3805555</wp:posOffset>
            </wp:positionV>
            <wp:extent cx="699516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-3522345</wp:posOffset>
            </wp:positionV>
            <wp:extent cx="699516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-3248025</wp:posOffset>
            </wp:positionV>
            <wp:extent cx="6995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-2973705</wp:posOffset>
            </wp:positionV>
            <wp:extent cx="69951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-2699385</wp:posOffset>
            </wp:positionV>
            <wp:extent cx="6995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-2425065</wp:posOffset>
            </wp:positionV>
            <wp:extent cx="69951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-2150745</wp:posOffset>
            </wp:positionV>
            <wp:extent cx="6995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-1876425</wp:posOffset>
            </wp:positionV>
            <wp:extent cx="6995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-1602105</wp:posOffset>
            </wp:positionV>
            <wp:extent cx="6995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-1327785</wp:posOffset>
            </wp:positionV>
            <wp:extent cx="69951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-1053465</wp:posOffset>
            </wp:positionV>
            <wp:extent cx="6995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-779145</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-504825</wp:posOffset>
            </wp:positionV>
            <wp:extent cx="6995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ectPr>
          <w:pgSz w:w="11900" w:h="16838" w:orient="portrait"/>
          <w:cols w:equalWidth="0" w:num="2">
            <w:col w:w="1780" w:space="720"/>
            <w:col w:w="8600"/>
          </w:cols>
          <w:pgMar w:left="320" w:top="486" w:right="479" w:bottom="1440" w:gutter="0" w:footer="0" w:header="0"/>
          <w:type w:val="continuous"/>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8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Adam Soroca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Katie Evans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PSU Awards</w:t>
            </w:r>
          </w:p>
        </w:tc>
        <w:tc>
          <w:tcPr>
            <w:tcW w:w="0" w:type="dxa"/>
            <w:vAlign w:val="bottom"/>
          </w:tcPr>
          <w:p>
            <w:pPr>
              <w:spacing w:after="0"/>
              <w:rPr>
                <w:sz w:val="1"/>
                <w:szCs w:val="1"/>
                <w:color w:val="auto"/>
              </w:rPr>
            </w:pPr>
          </w:p>
        </w:tc>
      </w:tr>
      <w:tr>
        <w:trPr>
          <w:trHeight w:val="119"/>
        </w:trPr>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plan</w:t>
            </w: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plan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number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unearned</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unearned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340" w:type="dxa"/>
            <w:vAlign w:val="bottom"/>
            <w:gridSpan w:val="2"/>
            <w:vMerge w:val="restart"/>
          </w:tcPr>
          <w:p>
            <w:pPr>
              <w:jc w:val="center"/>
              <w:ind w:right="417"/>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units or</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or Units</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units or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2"/>
          </w:tcPr>
          <w:p>
            <w:pPr>
              <w:jc w:val="center"/>
              <w:ind w:right="397"/>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Stock</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Units of</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rights</w:t>
            </w:r>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gridSpan w:val="2"/>
          </w:tcPr>
          <w:p>
            <w:pPr>
              <w:jc w:val="right"/>
              <w:ind w:right="497"/>
              <w:spacing w:after="0" w:line="142" w:lineRule="exact"/>
              <w:rPr>
                <w:sz w:val="20"/>
                <w:szCs w:val="20"/>
                <w:color w:val="auto"/>
              </w:rPr>
            </w:pPr>
            <w:r>
              <w:rPr>
                <w:rFonts w:ascii="Arial" w:cs="Arial" w:eastAsia="Arial" w:hAnsi="Arial"/>
                <w:sz w:val="14"/>
                <w:szCs w:val="14"/>
                <w:b w:val="1"/>
                <w:bCs w:val="1"/>
                <w:color w:val="auto"/>
              </w:rPr>
              <w:t>Underlying</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Option</w:t>
            </w: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rPr>
              <w:t>that</w:t>
            </w:r>
          </w:p>
        </w:tc>
        <w:tc>
          <w:tcPr>
            <w:tcW w:w="10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Stock that</w:t>
            </w:r>
          </w:p>
        </w:tc>
        <w:tc>
          <w:tcPr>
            <w:tcW w:w="8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rights</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40" w:type="dxa"/>
            <w:vAlign w:val="bottom"/>
            <w:gridSpan w:val="2"/>
          </w:tcPr>
          <w:p>
            <w:pPr>
              <w:jc w:val="center"/>
              <w:ind w:right="417"/>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Have not</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 have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55"/>
        </w:trPr>
        <w:tc>
          <w:tcPr>
            <w:tcW w:w="8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Grant</w:t>
            </w: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Options (#)</w:t>
            </w:r>
          </w:p>
        </w:tc>
        <w:tc>
          <w:tcPr>
            <w:tcW w:w="1340" w:type="dxa"/>
            <w:vAlign w:val="bottom"/>
            <w:gridSpan w:val="2"/>
          </w:tcPr>
          <w:p>
            <w:pPr>
              <w:jc w:val="right"/>
              <w:ind w:right="497"/>
              <w:spacing w:after="0" w:line="155" w:lineRule="exact"/>
              <w:rPr>
                <w:sz w:val="20"/>
                <w:szCs w:val="20"/>
                <w:color w:val="auto"/>
              </w:rPr>
            </w:pPr>
            <w:r>
              <w:rPr>
                <w:rFonts w:ascii="Arial" w:cs="Arial" w:eastAsia="Arial" w:hAnsi="Arial"/>
                <w:sz w:val="14"/>
                <w:szCs w:val="14"/>
                <w:b w:val="1"/>
                <w:bCs w:val="1"/>
                <w:color w:val="auto"/>
              </w:rPr>
              <w:t>Options (#)</w:t>
            </w:r>
          </w:p>
        </w:tc>
        <w:tc>
          <w:tcPr>
            <w:tcW w:w="8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Vested</w:t>
            </w:r>
          </w:p>
        </w:tc>
        <w:tc>
          <w:tcPr>
            <w:tcW w:w="10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not</w:t>
            </w:r>
          </w:p>
        </w:tc>
        <w:tc>
          <w:tcPr>
            <w:tcW w:w="6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148"/>
        </w:trPr>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340" w:type="dxa"/>
            <w:vAlign w:val="bottom"/>
            <w:gridSpan w:val="2"/>
          </w:tcPr>
          <w:p>
            <w:pPr>
              <w:jc w:val="center"/>
              <w:ind w:right="417"/>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Price</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 xml:space="preserve">($) </w:t>
            </w:r>
            <w:r>
              <w:rPr>
                <w:rFonts w:ascii="Arial" w:cs="Arial" w:eastAsia="Arial" w:hAnsi="Arial"/>
                <w:sz w:val="10"/>
                <w:szCs w:val="10"/>
                <w:b w:val="1"/>
                <w:bCs w:val="1"/>
                <w:color w:val="auto"/>
                <w:w w:val="96"/>
              </w:rPr>
              <w:t>(1)</w:t>
            </w: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vested (#)</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7"/>
              </w:rPr>
              <w:t>(1)</w:t>
            </w:r>
          </w:p>
        </w:tc>
        <w:tc>
          <w:tcPr>
            <w:tcW w:w="0" w:type="dxa"/>
            <w:vAlign w:val="bottom"/>
          </w:tcPr>
          <w:p>
            <w:pPr>
              <w:spacing w:after="0"/>
              <w:rPr>
                <w:sz w:val="1"/>
                <w:szCs w:val="1"/>
                <w:color w:val="auto"/>
              </w:rPr>
            </w:pPr>
          </w:p>
        </w:tc>
      </w:tr>
      <w:tr>
        <w:trPr>
          <w:trHeight w:val="195"/>
        </w:trPr>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4/1/20</w:t>
            </w:r>
          </w:p>
        </w:tc>
        <w:tc>
          <w:tcPr>
            <w:tcW w:w="280" w:type="dxa"/>
            <w:vAlign w:val="bottom"/>
          </w:tcPr>
          <w:p>
            <w:pPr>
              <w:spacing w:after="0"/>
              <w:rPr>
                <w:sz w:val="16"/>
                <w:szCs w:val="16"/>
                <w:color w:val="auto"/>
              </w:rPr>
            </w:pPr>
          </w:p>
        </w:tc>
        <w:tc>
          <w:tcPr>
            <w:tcW w:w="760" w:type="dxa"/>
            <w:vAlign w:val="bottom"/>
            <w:tcBorders>
              <w:top w:val="single" w:sz="8" w:color="auto"/>
            </w:tcBorders>
          </w:tcPr>
          <w:p>
            <w:pPr>
              <w:jc w:val="right"/>
              <w:ind w:right="16"/>
              <w:spacing w:after="0" w:line="19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6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w w:val="83"/>
              </w:rPr>
              <w:t>84,908</w:t>
            </w:r>
          </w:p>
        </w:tc>
        <w:tc>
          <w:tcPr>
            <w:tcW w:w="480" w:type="dxa"/>
            <w:vAlign w:val="bottom"/>
          </w:tcPr>
          <w:p>
            <w:pPr>
              <w:jc w:val="right"/>
              <w:ind w:right="257"/>
              <w:spacing w:after="0" w:line="141" w:lineRule="exact"/>
              <w:rPr>
                <w:sz w:val="20"/>
                <w:szCs w:val="20"/>
                <w:color w:val="auto"/>
              </w:rPr>
            </w:pPr>
            <w:r>
              <w:rPr>
                <w:rFonts w:ascii="Arial" w:cs="Arial" w:eastAsia="Arial" w:hAnsi="Arial"/>
                <w:sz w:val="13"/>
                <w:szCs w:val="13"/>
                <w:color w:val="auto"/>
                <w:w w:val="87"/>
              </w:rPr>
              <w:t>(2)</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5.28</w:t>
            </w:r>
          </w:p>
        </w:tc>
        <w:tc>
          <w:tcPr>
            <w:tcW w:w="28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4/1/30</w:t>
            </w:r>
          </w:p>
        </w:tc>
        <w:tc>
          <w:tcPr>
            <w:tcW w:w="2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2/20/19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58,264</w:t>
            </w:r>
          </w:p>
        </w:tc>
        <w:tc>
          <w:tcPr>
            <w:tcW w:w="1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72,584</w:t>
            </w:r>
            <w:r>
              <w:rPr>
                <w:rFonts w:ascii="Arial" w:cs="Arial" w:eastAsia="Arial" w:hAnsi="Arial"/>
                <w:sz w:val="25"/>
                <w:szCs w:val="25"/>
                <w:color w:val="auto"/>
                <w:vertAlign w:val="superscript"/>
              </w:rPr>
              <w:t>(3)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4.92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2/20/29</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3/15/18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23,819</w:t>
            </w:r>
          </w:p>
        </w:tc>
        <w:tc>
          <w:tcPr>
            <w:tcW w:w="1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12,288</w:t>
            </w:r>
            <w:r>
              <w:rPr>
                <w:rFonts w:ascii="Arial" w:cs="Arial" w:eastAsia="Arial" w:hAnsi="Arial"/>
                <w:sz w:val="25"/>
                <w:szCs w:val="25"/>
                <w:color w:val="auto"/>
                <w:vertAlign w:val="superscript"/>
              </w:rPr>
              <w:t>(4)</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1.97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3/15/28</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8"/>
              </w:rPr>
              <w:t>112,928</w:t>
            </w:r>
            <w:r>
              <w:rPr>
                <w:rFonts w:ascii="Arial" w:cs="Arial" w:eastAsia="Arial" w:hAnsi="Arial"/>
                <w:sz w:val="25"/>
                <w:szCs w:val="25"/>
                <w:color w:val="auto"/>
                <w:w w:val="88"/>
                <w:vertAlign w:val="superscript"/>
              </w:rPr>
              <w:t>(18)</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3,468,019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2/20/19</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w w:val="99"/>
              </w:rPr>
              <w:t>88,313</w:t>
            </w:r>
            <w:r>
              <w:rPr>
                <w:rFonts w:ascii="Arial" w:cs="Arial" w:eastAsia="Arial" w:hAnsi="Arial"/>
                <w:sz w:val="25"/>
                <w:szCs w:val="25"/>
                <w:color w:val="auto"/>
                <w:w w:val="99"/>
                <w:vertAlign w:val="superscript"/>
              </w:rPr>
              <w:t>(19)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2,712,092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3/15/18</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w w:val="99"/>
              </w:rPr>
              <w:t>15,360</w:t>
            </w:r>
            <w:r>
              <w:rPr>
                <w:rFonts w:ascii="Arial" w:cs="Arial" w:eastAsia="Arial" w:hAnsi="Arial"/>
                <w:sz w:val="25"/>
                <w:szCs w:val="25"/>
                <w:color w:val="auto"/>
                <w:w w:val="99"/>
                <w:vertAlign w:val="superscript"/>
              </w:rPr>
              <w:t>(20)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471,706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7/14/17</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rPr>
              <w:t>6,563</w:t>
            </w:r>
            <w:r>
              <w:rPr>
                <w:rFonts w:ascii="Arial" w:cs="Arial" w:eastAsia="Arial" w:hAnsi="Arial"/>
                <w:sz w:val="25"/>
                <w:szCs w:val="25"/>
                <w:color w:val="auto"/>
                <w:vertAlign w:val="superscript"/>
              </w:rPr>
              <w:t>(21)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201,550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2/3/11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1,442</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2/3/21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6/8/11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1,442</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6/8/21</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7/26/12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2,884</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7/26/22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7/19/12</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2,884</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7/19/22</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3/5/13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7,212</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5.46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3/5/23</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7/31/13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5,410</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7.74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7/31/23</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12/5/13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22,971</w:t>
            </w:r>
          </w:p>
        </w:tc>
        <w:tc>
          <w:tcPr>
            <w:tcW w:w="134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12/5/23</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2/27/18</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39,763</w:t>
            </w:r>
          </w:p>
        </w:tc>
        <w:tc>
          <w:tcPr>
            <w:tcW w:w="1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16,374</w:t>
            </w:r>
            <w:r>
              <w:rPr>
                <w:rFonts w:ascii="Arial" w:cs="Arial" w:eastAsia="Arial" w:hAnsi="Arial"/>
                <w:sz w:val="25"/>
                <w:szCs w:val="25"/>
                <w:color w:val="auto"/>
                <w:vertAlign w:val="superscript"/>
              </w:rPr>
              <w:t>(22)</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3.61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2/27/28</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2/28/19</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15,376</w:t>
            </w:r>
          </w:p>
        </w:tc>
        <w:tc>
          <w:tcPr>
            <w:tcW w:w="1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18,170</w:t>
            </w:r>
            <w:r>
              <w:rPr>
                <w:rFonts w:ascii="Arial" w:cs="Arial" w:eastAsia="Arial" w:hAnsi="Arial"/>
                <w:sz w:val="25"/>
                <w:szCs w:val="25"/>
                <w:color w:val="auto"/>
                <w:vertAlign w:val="superscript"/>
              </w:rPr>
              <w:t>(23)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2/28/29</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4/1/20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380"/>
              <w:spacing w:after="0" w:line="216" w:lineRule="exact"/>
              <w:rPr>
                <w:sz w:val="20"/>
                <w:szCs w:val="20"/>
                <w:color w:val="auto"/>
              </w:rPr>
            </w:pPr>
            <w:r>
              <w:rPr>
                <w:rFonts w:ascii="Arial" w:cs="Arial" w:eastAsia="Arial" w:hAnsi="Arial"/>
                <w:sz w:val="18"/>
                <w:szCs w:val="18"/>
                <w:color w:val="auto"/>
              </w:rPr>
              <w:t>69,470</w:t>
            </w:r>
            <w:r>
              <w:rPr>
                <w:rFonts w:ascii="Arial" w:cs="Arial" w:eastAsia="Arial" w:hAnsi="Arial"/>
                <w:sz w:val="25"/>
                <w:szCs w:val="25"/>
                <w:color w:val="auto"/>
                <w:vertAlign w:val="superscript"/>
              </w:rPr>
              <w:t>(2)</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5.28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4/1/30</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9"/>
              </w:rPr>
              <w:t>33,812</w:t>
            </w:r>
            <w:r>
              <w:rPr>
                <w:rFonts w:ascii="Arial" w:cs="Arial" w:eastAsia="Arial" w:hAnsi="Arial"/>
                <w:sz w:val="25"/>
                <w:szCs w:val="25"/>
                <w:color w:val="auto"/>
                <w:w w:val="99"/>
                <w:vertAlign w:val="superscript"/>
              </w:rPr>
              <w:t>(24)</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2/24/17</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1,038,367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2/27/18</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w w:val="99"/>
              </w:rPr>
              <w:t>13,871</w:t>
            </w:r>
            <w:r>
              <w:rPr>
                <w:rFonts w:ascii="Arial" w:cs="Arial" w:eastAsia="Arial" w:hAnsi="Arial"/>
                <w:sz w:val="25"/>
                <w:szCs w:val="25"/>
                <w:color w:val="auto"/>
                <w:w w:val="99"/>
                <w:vertAlign w:val="superscript"/>
              </w:rPr>
              <w:t>(25)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425,978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2/28/19</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w w:val="99"/>
              </w:rPr>
              <w:t>37,569</w:t>
            </w:r>
            <w:r>
              <w:rPr>
                <w:rFonts w:ascii="Arial" w:cs="Arial" w:eastAsia="Arial" w:hAnsi="Arial"/>
                <w:sz w:val="25"/>
                <w:szCs w:val="25"/>
                <w:color w:val="auto"/>
                <w:w w:val="99"/>
                <w:vertAlign w:val="superscript"/>
              </w:rPr>
              <w:t>(26)</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1,153,744</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line="216" w:lineRule="exact"/>
              <w:rPr>
                <w:sz w:val="20"/>
                <w:szCs w:val="20"/>
                <w:color w:val="auto"/>
              </w:rPr>
            </w:pPr>
            <w:r>
              <w:rPr>
                <w:rFonts w:ascii="Arial" w:cs="Arial" w:eastAsia="Arial" w:hAnsi="Arial"/>
                <w:sz w:val="18"/>
                <w:szCs w:val="18"/>
                <w:color w:val="auto"/>
                <w:w w:val="99"/>
              </w:rPr>
              <w:t>92,396</w:t>
            </w:r>
            <w:r>
              <w:rPr>
                <w:rFonts w:ascii="Arial" w:cs="Arial" w:eastAsia="Arial" w:hAnsi="Arial"/>
                <w:sz w:val="25"/>
                <w:szCs w:val="25"/>
                <w:color w:val="auto"/>
                <w:w w:val="99"/>
                <w:vertAlign w:val="superscript"/>
              </w:rPr>
              <w:t>(27)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2,837,481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4/1/20</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102,662</w:t>
            </w:r>
            <w:r>
              <w:rPr>
                <w:rFonts w:ascii="Arial" w:cs="Arial" w:eastAsia="Arial" w:hAnsi="Arial"/>
                <w:sz w:val="25"/>
                <w:szCs w:val="25"/>
                <w:color w:val="auto"/>
                <w:w w:val="88"/>
                <w:vertAlign w:val="superscript"/>
              </w:rPr>
              <w:t>(28)</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3,152,750</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-3088640</wp:posOffset>
            </wp:positionV>
            <wp:extent cx="699516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-2805430</wp:posOffset>
            </wp:positionV>
            <wp:extent cx="6995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-2531110</wp:posOffset>
            </wp:positionV>
            <wp:extent cx="69951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-2256790</wp:posOffset>
            </wp:positionV>
            <wp:extent cx="6995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-1982470</wp:posOffset>
            </wp:positionV>
            <wp:extent cx="6995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-1708150</wp:posOffset>
            </wp:positionV>
            <wp:extent cx="6995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-1433830</wp:posOffset>
            </wp:positionV>
            <wp:extent cx="6995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-1159510</wp:posOffset>
            </wp:positionV>
            <wp:extent cx="6995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-885190</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-610870</wp:posOffset>
            </wp:positionV>
            <wp:extent cx="69951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-336550</wp:posOffset>
            </wp:positionV>
            <wp:extent cx="69951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1700" w:space="720"/>
            <w:col w:w="8680"/>
          </w:cols>
          <w:pgMar w:left="320" w:top="486" w:right="479" w:bottom="1440" w:gutter="0" w:footer="0" w:header="0"/>
          <w:type w:val="continuous"/>
        </w:sectPr>
      </w:pPr>
    </w:p>
    <w:p>
      <w:pPr>
        <w:ind w:left="540" w:hanging="424"/>
        <w:spacing w:after="0" w:line="25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accordance with the rules of the SEC, the values represent the product of the number of shares that have not vested and $30.71, which was the closing market price of our common stock on December 31, 2020. The reported amount does not necessarily reflect the value that may be realized by the individual because the awards vest over a specified period of time from the date of grant contingent upon continued employment and, in the case of PSUs, the issuer’s total stockholder return over the performance period, and the actual amount received upon sale of shares will depend upon the fair market value of the shares at the times they are sold.</w:t>
      </w:r>
    </w:p>
    <w:p>
      <w:pPr>
        <w:spacing w:after="0" w:line="93"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April 1, 2021 and with respect to the remaining 75% of the underlying shares in equal monthly installments over the following 36 months.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February 1, 2020 and with respect to the remaining 75% of the underlying shares in equal monthly installments over the following 36 months.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February 1, 2019 and with respect to the remaining 75% of the underlying shares in equal monthly installments over the following 36 months.</w:t>
      </w:r>
    </w:p>
    <w:p>
      <w:pPr>
        <w:spacing w:after="0" w:line="75"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March 17, 2018 and with respect to the remaining 75% of the underlying shares in equal monthly installments over the following 36 months.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as follows: 47,664 shares on May 15, 2021, 11,000 on each August 15, November 15, February 15, and May 15 thereafter until February 15, 2024 and 7,328 on May 15, 2024.</w:t>
      </w:r>
    </w:p>
    <w:p>
      <w:pPr>
        <w:spacing w:after="0" w:line="1" w:lineRule="exact"/>
        <w:rPr>
          <w:rFonts w:ascii="Arial" w:cs="Arial" w:eastAsia="Arial" w:hAnsi="Arial"/>
          <w:sz w:val="18"/>
          <w:szCs w:val="18"/>
          <w:color w:val="auto"/>
        </w:rPr>
      </w:pPr>
    </w:p>
    <w:p>
      <w:pPr>
        <w:jc w:val="both"/>
        <w:ind w:left="540" w:hanging="424"/>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vesting of this PSU will be determined based on the issuer’s total stockholder return (“TSR”) for the three-year period beginning on the grant date of the award relative to the TSRs of the companies in the Russell 2000 index over that period. The award is eligible to vest as to 0% to 150% of the target number of performance-based restricted stock units. Number of shares reflects maximum achievement, based on performance to date.</w:t>
      </w:r>
    </w:p>
    <w:p>
      <w:pPr>
        <w:spacing w:after="0" w:line="1"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as follows: 43,750 shares on May 15, 2021 and each November 15 and May 15 thereafter until November 15, 2022, and with respect to 21,875 of such shares on May 15, 2023.</w:t>
      </w:r>
    </w:p>
    <w:p>
      <w:pPr>
        <w:ind w:left="540" w:right="32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as follows: 21,875 shares on each of May 15 and November 15, 2021; and with respect to 10,938 of such shares on May 15, 2022.</w:t>
      </w: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on May 15, 2021.</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February 1, 2018 and with respect to the remaining 75% of the underlying shares in equal monthly installments over the following 36 months.</w:t>
      </w:r>
    </w:p>
    <w:p>
      <w:pPr>
        <w:ind w:left="540" w:right="18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as follows: 41,706 shares on May 15, 2021, 9,625 on each August 15, November 15, February 15, and May 15 thereafter until February 15, 2024 and 6,412 shares on May 15, 2024.</w:t>
      </w:r>
    </w:p>
    <w:p>
      <w:pPr>
        <w:ind w:left="540" w:right="82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with respect to the underlying shares 23,500 shares on each of May 15, 2021, November 15, 2021, May 15, 2022 and November 15, 2022 and 11,750 of such shares on May 15, 2023.</w:t>
      </w:r>
    </w:p>
    <w:p>
      <w:pPr>
        <w:ind w:left="540" w:hanging="424"/>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These RSUs vest with respect to 6,098 on each of May 15 and November 15, 2021; and with respect to 3,050 of such shares on May 15, 2022.</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on May 15, 2021.</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with respect to 26,125 shares on each November 15 and May 15 hereafter until November 15, 2022, and with respect to 13,063 of such shares on May 15, 2023.</w:t>
      </w:r>
    </w:p>
    <w:p>
      <w:pPr>
        <w:ind w:left="540" w:right="22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with respect to 12,639 of the underlying shares on each of May 15 and November 15, 2021; and with respect to 6,319 of such shares on May 15, 2022.</w:t>
      </w:r>
    </w:p>
    <w:p>
      <w:pPr>
        <w:ind w:left="540" w:right="6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as follows: 30,585 shares on May 15, 2021, 7,058 shares on each August 15, November 15, February 15, and May 15 thereafter until February 15, 2024 and 4,705 shares on May 15, 2024.</w:t>
      </w:r>
    </w:p>
    <w:p>
      <w:pPr>
        <w:ind w:left="54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with respect to 19,625 shares on each November 15 and May 15 hereafter until November 15, 2022, and with respect to 9,813 of such shares on May 15, 2023.</w:t>
      </w:r>
    </w:p>
    <w:p>
      <w:pPr>
        <w:ind w:left="540" w:right="32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with respect to 6,144 of the underlying shares on each of May 15 and November 15, 2021, and with respect to 3,072 of such shares on May 15, 2022.</w:t>
      </w: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 with respect to 4,375 on May 15, 2021, and with respect to 2,188 of such shares on November 15, 2021.</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February 14, 2019 and with respect to the remaining 75% of the underlying shares in equal monthly installments over the following 36 months.</w:t>
      </w:r>
    </w:p>
    <w:p>
      <w:pPr>
        <w:ind w:left="540" w:right="8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stock options vest (or vested) with respect to 25% of the underlying shares on February 14, 2020 and with respect to the remaining 75% of the underlying shares in equal monthly installments over the following 36 months.</w:t>
      </w: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RSUs vested on February 14,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RSUs vested or will vest in two equal installments on each of February 14, 2021 and February 14, 2022.</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RSUs vested or will vest in three equal installments on each of February 14, 2021, February 14, 2022 and February 14, 2023.</w:t>
      </w:r>
    </w:p>
    <w:p>
      <w:pPr>
        <w:spacing w:after="0" w:line="9" w:lineRule="exact"/>
        <w:rPr>
          <w:rFonts w:ascii="Arial" w:cs="Arial" w:eastAsia="Arial" w:hAnsi="Arial"/>
          <w:sz w:val="18"/>
          <w:szCs w:val="18"/>
          <w:color w:val="auto"/>
        </w:rPr>
      </w:pPr>
    </w:p>
    <w:p>
      <w:pPr>
        <w:ind w:left="540" w:right="44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RSUs vest as follows: 25,024 shares on May 15, 2021, 5,775 shares on each August 15, November 15 and February 15 thereafter until February 15, 2024, and 3,847 shares on May 15, 2024.</w:t>
      </w: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These RSUs vested or will vest in two equal installments on each of April 1, 2021 and April 1, 2022.</w:t>
      </w:r>
    </w:p>
    <w:p>
      <w:pPr>
        <w:spacing w:after="0" w:line="31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Option Exercises and Stock Vested - 2020</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following table provides information regarding stock options that were exercised by our named executive officers during 2020 and the restricted stock unit awards granted to our named executive officers that vested during 2020.</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980" w:type="dxa"/>
            <w:vAlign w:val="bottom"/>
            <w:gridSpan w:val="4"/>
          </w:tcPr>
          <w:p>
            <w:pPr>
              <w:jc w:val="right"/>
              <w:ind w:right="1380"/>
              <w:spacing w:after="0"/>
              <w:rPr>
                <w:sz w:val="20"/>
                <w:szCs w:val="20"/>
                <w:color w:val="auto"/>
              </w:rPr>
            </w:pPr>
            <w:r>
              <w:rPr>
                <w:rFonts w:ascii="Arial" w:cs="Arial" w:eastAsia="Arial" w:hAnsi="Arial"/>
                <w:sz w:val="14"/>
                <w:szCs w:val="14"/>
                <w:b w:val="1"/>
                <w:bCs w:val="1"/>
                <w:color w:val="auto"/>
              </w:rPr>
              <w:t>Option Awards</w:t>
            </w:r>
          </w:p>
        </w:tc>
        <w:tc>
          <w:tcPr>
            <w:tcW w:w="2320" w:type="dxa"/>
            <w:vAlign w:val="bottom"/>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72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Shares</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44"/>
        </w:trPr>
        <w:tc>
          <w:tcPr>
            <w:tcW w:w="4820" w:type="dxa"/>
            <w:vAlign w:val="bottom"/>
            <w:gridSpan w:val="2"/>
            <w:vMerge w:val="continue"/>
          </w:tcPr>
          <w:p>
            <w:pPr>
              <w:spacing w:after="0"/>
              <w:rPr>
                <w:sz w:val="12"/>
                <w:szCs w:val="12"/>
                <w:color w:val="auto"/>
              </w:rPr>
            </w:pPr>
          </w:p>
        </w:tc>
        <w:tc>
          <w:tcPr>
            <w:tcW w:w="1480" w:type="dxa"/>
            <w:vAlign w:val="bottom"/>
            <w:gridSpan w:val="2"/>
          </w:tcPr>
          <w:p>
            <w:pPr>
              <w:jc w:val="center"/>
              <w:ind w:right="720"/>
              <w:spacing w:after="0" w:line="125"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(1)</w:t>
            </w:r>
          </w:p>
        </w:tc>
        <w:tc>
          <w:tcPr>
            <w:tcW w:w="720" w:type="dxa"/>
            <w:vAlign w:val="bottom"/>
          </w:tcPr>
          <w:p>
            <w:pPr>
              <w:spacing w:after="0"/>
              <w:rPr>
                <w:sz w:val="12"/>
                <w:szCs w:val="12"/>
                <w:color w:val="auto"/>
              </w:rPr>
            </w:pPr>
          </w:p>
        </w:tc>
        <w:tc>
          <w:tcPr>
            <w:tcW w:w="1480" w:type="dxa"/>
            <w:vAlign w:val="bottom"/>
            <w:gridSpan w:val="2"/>
          </w:tcPr>
          <w:p>
            <w:pPr>
              <w:jc w:val="center"/>
              <w:ind w:right="700"/>
              <w:spacing w:after="0" w:line="125" w:lineRule="exact"/>
              <w:rPr>
                <w:sz w:val="20"/>
                <w:szCs w:val="20"/>
                <w:color w:val="auto"/>
              </w:rPr>
            </w:pPr>
            <w:r>
              <w:rPr>
                <w:rFonts w:ascii="Arial" w:cs="Arial" w:eastAsia="Arial" w:hAnsi="Arial"/>
                <w:sz w:val="14"/>
                <w:szCs w:val="14"/>
                <w:b w:val="1"/>
                <w:bCs w:val="1"/>
                <w:color w:val="auto"/>
                <w:w w:val="92"/>
              </w:rPr>
              <w:t>Vesting (#)</w:t>
            </w:r>
          </w:p>
        </w:tc>
        <w:tc>
          <w:tcPr>
            <w:tcW w:w="8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Barrett</w:t>
            </w:r>
          </w:p>
        </w:tc>
        <w:tc>
          <w:tcPr>
            <w:tcW w:w="78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559,159</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4,435,712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250,303</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1,665,177</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155,703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1,250,574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131,000</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422,390</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267,409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2,251,539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Adam Soroca</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9,175</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90,030</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189,725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1,668,677</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Katie Evans</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528</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2,619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13,525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99,544</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540" w:right="380" w:hanging="424"/>
        <w:spacing w:after="0" w:line="25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realized upon the exercise of a stock option is calculated by multiplying (i) the number of shares of our common stock to which the exercise of the option related, by (ii) the difference between the per-share closing price of our common stock on the date the stock option was exercised and the per-share exercise price of the options.</w:t>
      </w:r>
    </w:p>
    <w:p>
      <w:pPr>
        <w:spacing w:after="0" w:line="2" w:lineRule="exact"/>
        <w:rPr>
          <w:rFonts w:ascii="Arial" w:cs="Arial" w:eastAsia="Arial" w:hAnsi="Arial"/>
          <w:sz w:val="18"/>
          <w:szCs w:val="18"/>
          <w:color w:val="auto"/>
        </w:rPr>
      </w:pPr>
    </w:p>
    <w:p>
      <w:pPr>
        <w:ind w:left="540" w:right="320" w:hanging="424"/>
        <w:spacing w:after="0" w:line="25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realized upon the vesting of a stock award is calculated by multiplying (i) the number of shares of our common stock that vested, by (ii) the per-share closing price of our common stock on the vesting date. Represents the gross value realized prior to any applicable tax withholding.</w:t>
      </w:r>
    </w:p>
    <w:p>
      <w:pPr>
        <w:spacing w:after="0" w:line="29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section describes the benefits that may become payable to our named executive officers in connection with a termination of their employment with us and/or a change in control of Magnite. Due to the number of factors that affect the nature and amount of any benefits provided upon the events discussed below, any actual amounts paid or distributed may be different from the amounts presented below. Factors that could affect these amounts include the timing during the year of any such event.</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are a party to an Executive Severance and Vesting Acceleration Agreement, referred to as the severance agreement, with each of our named executive officers. These agreements provide that if we terminate the employment of any of these executives without “cause”, if any of these executives resigns for “good reason”, or if the executive’s employment terminates due to the executive’s death or “disability” (as such terms are defined in the severance agreement), and prior to and not in connection with the consummation of a “sale transaction” (as such term is defined in the severance agreement), the executive will be entitled to receive continuation of his then-current base salary for a specified period (12 months for Messrs. Barrett and Day and 6 months for Messrs. Kershaw and Soroca and Ms. Evans), a pro-rata target bonus for the year of termination based upon the portion of the year worked and net of bonus amounts previously paid for the year, continuation of group health insurance coverage or reimbursement of premiums for each executive and his respective dependents for a specified period (12 months for Mr. Barrett, 6 months for Messrs. Day and Soroca and Ms. Evans, and 3 months for Mr. Kershaw), and accelerated vesting of equity awards for a specified period (12 months for Messrs. Barrett and Day and 6 months for Messrs. Kershaw and Soroca and Ms. Evans).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86"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If we terminate the employment of any of these executives without cause, if any of them resigns for good reason or if any the executive’s employment terminates due to the executive’s death or disability, in any case in connection with or following a change in control of Magnite (within thirteen months of the change in control for Mr. Barrett), the benefits described above will be increased to include for Messrs. Barrett and Day, additional cash severance equal to one year’s target bonus (paid over 12 months); for Mr. Kershaw and Ms. Evans, a longer period of continuation of base salary equal to 12 months; for all the executives, full acceleration of vesting of all equity awards; and for all executives, except Mr. Soroca, a longer period of group health insurance coverage or reimbursement of premiums (12 months for Messrs. Barrett and Day and Ms. Evans and 6 months for Mr. Kershaw). In December 2019, in connection with the approval of the merger agreement between us and Telaria, our board approved the modification of the severance agreements (other than with respect to Ms. Evans, who commenced employment on April 1, 2020) to provide that if the executive officer had been terminated in connection with or within 13 months following the closing of the merger between us and Telaria on April 1, 2020, the executive officer would have been entitled to the enhanced change in control severance benefits described in this paragraph.</w:t>
      </w:r>
    </w:p>
    <w:p>
      <w:pPr>
        <w:spacing w:after="0" w:line="168"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All severance benefits are conditioned upon these executives entering into a release of claims with us and abiding by the restrictive covenants contained in our standard confidentiality agreement (which includes an indefinite confidentiality covenant and one-year post-termination non-solicitation of employees covenant). The severance agreements also provide that if the payments or benefits made to the executive in connection with a change in control of Magnite would result in an excise tax under Section 280G and 4999 of the U.S. Internal Revenue Code, such payments or benefits will be reduced if and to the extent such a reduction would result in a greater after-tax benefit for the executive.</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following tables present our estimates of the value of the payments and benefits that each of the named executive officers would have been entitled to receive (1) had his employment been terminated by us without “cause,” by the executive for “good reason”, or due to the executive’s death or “disability” on December 31, 2020 and (2) had both such a termination of the executive’s employment and a change in control of Magnite occurred on that date. The actual amounts that would be paid upon a named executive officer’s termination of employment and/or a change in control can only be determined at the time of such event.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Severance Benefits</w:t>
      </w:r>
      <w:r>
        <w:rPr>
          <w:rFonts w:ascii="Arial" w:cs="Arial" w:eastAsia="Arial" w:hAnsi="Arial"/>
          <w:sz w:val="25"/>
          <w:szCs w:val="25"/>
          <w:b w:val="1"/>
          <w:bCs w:val="1"/>
          <w:color w:val="auto"/>
          <w:vertAlign w:val="superscript"/>
        </w:rPr>
        <w:t>(1)</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Continued</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Cash</w:t>
            </w: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Pro-Rata</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Health</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Vesting of</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Bonus</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Coverage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4"/>
        </w:trPr>
        <w:tc>
          <w:tcPr>
            <w:tcW w:w="4860" w:type="dxa"/>
            <w:vAlign w:val="bottom"/>
            <w:gridSpan w:val="2"/>
            <w:vMerge w:val="continue"/>
          </w:tcPr>
          <w:p>
            <w:pPr>
              <w:spacing w:after="0"/>
              <w:rPr>
                <w:sz w:val="12"/>
                <w:szCs w:val="12"/>
                <w:color w:val="auto"/>
              </w:rPr>
            </w:pPr>
          </w:p>
        </w:tc>
        <w:tc>
          <w:tcPr>
            <w:tcW w:w="7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7"/>
                <w:szCs w:val="7"/>
                <w:b w:val="1"/>
                <w:bCs w:val="1"/>
                <w:color w:val="auto"/>
              </w:rPr>
              <w:t>(2)</w:t>
            </w:r>
          </w:p>
        </w:tc>
        <w:tc>
          <w:tcPr>
            <w:tcW w:w="36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7"/>
                <w:szCs w:val="7"/>
                <w:b w:val="1"/>
                <w:bCs w:val="1"/>
                <w:color w:val="auto"/>
              </w:rPr>
              <w:t>(3)</w:t>
            </w:r>
          </w:p>
        </w:tc>
        <w:tc>
          <w:tcPr>
            <w:tcW w:w="36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7"/>
                <w:szCs w:val="7"/>
                <w:b w:val="1"/>
                <w:bCs w:val="1"/>
                <w:color w:val="auto"/>
              </w:rPr>
              <w:t>(4)</w:t>
            </w:r>
          </w:p>
        </w:tc>
        <w:tc>
          <w:tcPr>
            <w:tcW w:w="360" w:type="dxa"/>
            <w:vAlign w:val="bottom"/>
          </w:tcPr>
          <w:p>
            <w:pPr>
              <w:spacing w:after="0"/>
              <w:rPr>
                <w:sz w:val="12"/>
                <w:szCs w:val="12"/>
                <w:color w:val="auto"/>
              </w:rPr>
            </w:pPr>
          </w:p>
        </w:tc>
        <w:tc>
          <w:tcPr>
            <w:tcW w:w="8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vertAlign w:val="subscript"/>
              </w:rPr>
              <w:t>($)</w:t>
            </w:r>
            <w:r>
              <w:rPr>
                <w:rFonts w:ascii="Arial" w:cs="Arial" w:eastAsia="Arial" w:hAnsi="Arial"/>
                <w:sz w:val="7"/>
                <w:szCs w:val="7"/>
                <w:b w:val="1"/>
                <w:bCs w:val="1"/>
                <w:color w:val="auto"/>
              </w:rPr>
              <w:t>(5)</w:t>
            </w: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Barrett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1,100,000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275,000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34,060</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34,767,402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36,176,462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731,000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150,500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34,060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14,094,063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15,009,623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175,000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17,030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15,699,068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16,391,098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Adam Soroca</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162,500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131,250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17,030</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11,237,675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11,548,455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Katie Evans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17,030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3,526,068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4,093,098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right="80" w:hanging="424"/>
        <w:spacing w:after="0" w:line="26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discussed above, in December 2019, in connection with the approval of the merger agreement between us and Telaria, our board approved the modification of the severance agreements with our named executive officers (other than with respect to Ms. Evans, who commenced employment on April 1, 2020) to provide that if the executive officer had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53" w:lineRule="auto"/>
        <w:rPr>
          <w:sz w:val="20"/>
          <w:szCs w:val="20"/>
          <w:color w:val="auto"/>
        </w:rPr>
      </w:pPr>
      <w:r>
        <w:rPr>
          <w:rFonts w:ascii="Arial" w:cs="Arial" w:eastAsia="Arial" w:hAnsi="Arial"/>
          <w:sz w:val="18"/>
          <w:szCs w:val="18"/>
          <w:color w:val="auto"/>
        </w:rPr>
        <w:t>been terminated in connection with or within 13 months following the closing of the merger between us and Telaria on April 1, 2020, the executive officer would have been entitled to the enhanced change in control severance benefits described in this paragraph. In addition, the consummation of the Telaria Merger represented a change of control of Telaria for purposes of Ms. Evans’ severance agreement with respect to any equity that had been granted to Ms. Evans prior to the Telaria Merger. Accordingly, the amounts above reflect enhanced change of control severance benefits.</w:t>
      </w:r>
    </w:p>
    <w:p>
      <w:pPr>
        <w:spacing w:after="0" w:line="3" w:lineRule="exact"/>
        <w:rPr>
          <w:sz w:val="20"/>
          <w:szCs w:val="20"/>
          <w:color w:val="auto"/>
        </w:rPr>
      </w:pPr>
    </w:p>
    <w:p>
      <w:pPr>
        <w:ind w:left="540" w:right="38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cash severance amount included in the table above is equal to 12 months base salary plus target bonus (in the case of Messrs. Barrett and Day), 12 months base salary (in the case of Ms. Evans or Mr. Kershaw) or 6 months base salary (in the case of Mr. Soroca).</w:t>
      </w:r>
    </w:p>
    <w:p>
      <w:pPr>
        <w:spacing w:after="0" w:line="1" w:lineRule="exact"/>
        <w:rPr>
          <w:rFonts w:ascii="Arial" w:cs="Arial" w:eastAsia="Arial" w:hAnsi="Arial"/>
          <w:sz w:val="16"/>
          <w:szCs w:val="16"/>
          <w:color w:val="auto"/>
        </w:rPr>
      </w:pPr>
    </w:p>
    <w:p>
      <w:pPr>
        <w:ind w:left="540" w:right="18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2020, the compensation committee approved a bi-furcated bonus plan for 1H 2020 and 2H 2020. The pro-rata bonus amount included in the table above is equal to the executive’s target bonus for 2H 2020.</w:t>
      </w:r>
    </w:p>
    <w:p>
      <w:pPr>
        <w:ind w:left="540" w:right="14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executive is entitled to continuation of group health insurance coverage or reimbursement of premiums for the executive and his dependents for a specified period (12 months for Messrs. Barrett and Day and Ms. Evans, and 6 months for Messrs. Kershaw and Soroca).</w:t>
      </w:r>
    </w:p>
    <w:p>
      <w:pPr>
        <w:spacing w:after="0" w:line="1" w:lineRule="exact"/>
        <w:rPr>
          <w:rFonts w:ascii="Arial" w:cs="Arial" w:eastAsia="Arial" w:hAnsi="Arial"/>
          <w:sz w:val="16"/>
          <w:szCs w:val="16"/>
          <w:color w:val="auto"/>
        </w:rPr>
      </w:pPr>
    </w:p>
    <w:p>
      <w:pPr>
        <w:ind w:left="540" w:hanging="424"/>
        <w:spacing w:after="0" w:line="277"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equity acceleration amount included in the table represents the value of the equity awards that would vest in connection with the termination of the executive’s employment. The value of the accelerated options and RSUs presented in the table is calculated based on our closing stock price on December 31, 2020 of $30.71 and, in the case of the accelerated options, less the exercise price of the options.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Severance Benefits (Change in Control)</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Continued</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Accelerated</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Cash</w:t>
            </w: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Pro-Rata</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Health</w:t>
            </w: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Vesting of</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Equity</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Bonus</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Coverage</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4"/>
        </w:trPr>
        <w:tc>
          <w:tcPr>
            <w:tcW w:w="4860" w:type="dxa"/>
            <w:vAlign w:val="bottom"/>
            <w:gridSpan w:val="2"/>
            <w:vMerge w:val="continue"/>
          </w:tcPr>
          <w:p>
            <w:pPr>
              <w:spacing w:after="0"/>
              <w:rPr>
                <w:sz w:val="12"/>
                <w:szCs w:val="12"/>
                <w:color w:val="auto"/>
              </w:rPr>
            </w:pPr>
          </w:p>
        </w:tc>
        <w:tc>
          <w:tcPr>
            <w:tcW w:w="7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(1)</w:t>
            </w:r>
          </w:p>
        </w:tc>
        <w:tc>
          <w:tcPr>
            <w:tcW w:w="36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(2)</w:t>
            </w:r>
          </w:p>
        </w:tc>
        <w:tc>
          <w:tcPr>
            <w:tcW w:w="36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(3)</w:t>
            </w:r>
          </w:p>
        </w:tc>
        <w:tc>
          <w:tcPr>
            <w:tcW w:w="360" w:type="dxa"/>
            <w:vAlign w:val="bottom"/>
          </w:tcPr>
          <w:p>
            <w:pPr>
              <w:spacing w:after="0"/>
              <w:rPr>
                <w:sz w:val="12"/>
                <w:szCs w:val="12"/>
                <w:color w:val="auto"/>
              </w:rPr>
            </w:pPr>
          </w:p>
        </w:tc>
        <w:tc>
          <w:tcPr>
            <w:tcW w:w="8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(4)</w:t>
            </w: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Barrett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1,100,000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275,000</w:t>
            </w: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34,060</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88"/>
              </w:rPr>
              <w:t>34,767,402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36,176,462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David Day</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731,000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150,500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34,060</w:t>
            </w: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14,094,063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15,009,623</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Kershaw</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175,000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17,030</w:t>
            </w: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15,699,068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16,391,098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Adam Soroca</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162,500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131,250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17,030</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11,237,675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11,548,455</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Katie Evans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150,000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17,030</w:t>
            </w: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11,282,921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11,849,951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80" w:hanging="424"/>
        <w:spacing w:after="0" w:line="29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cash severance amount included in the table above is equal to 12 months base salary plus target bonus (in the case of Messrs. Barrett and Day), 12 months base salary (in the case of Ms. Evans or Mr. Kershaw) or 6 months base salary (in the case of Mr. Soroca).</w:t>
      </w:r>
    </w:p>
    <w:p>
      <w:pPr>
        <w:ind w:left="540" w:right="18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2020, the compensation committee approved a bi-furcated bonus plan for 1H 2020 and 2H 2020. The pro-rata bonus amount included in the table above is equal to the executive’s target bonus for 2H 2020.</w:t>
      </w:r>
    </w:p>
    <w:p>
      <w:pPr>
        <w:ind w:left="540" w:right="140" w:hanging="424"/>
        <w:spacing w:after="0" w:line="28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executive is entitled to continuation of group health insurance coverage or reimbursement of premiums for the executive and his dependents for a specified period (12 months for Messrs. Barrett and Day and Ms. Evans, and 6 months for Messrs. Kershaw and Soroca).</w:t>
      </w:r>
    </w:p>
    <w:p>
      <w:pPr>
        <w:spacing w:after="0" w:line="1" w:lineRule="exact"/>
        <w:rPr>
          <w:rFonts w:ascii="Arial" w:cs="Arial" w:eastAsia="Arial" w:hAnsi="Arial"/>
          <w:sz w:val="16"/>
          <w:szCs w:val="16"/>
          <w:color w:val="auto"/>
        </w:rPr>
      </w:pPr>
    </w:p>
    <w:p>
      <w:pPr>
        <w:ind w:left="540" w:hanging="424"/>
        <w:spacing w:after="0" w:line="277"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equity acceleration amount included in the table represents the value of the equity awards that would vest in connection with the termination of the executive’s employment. The value of the accelerated options and RSUs presented in the table is calculated based on our closing stock price on December 31, 2020 of $30.71, and, in the case of the accelerated options, less the exercise price of the options.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CEO Pay-Ratio Disclosure</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Pursuant to the Exchange Act, we are required to disclose the ratio of the total annual compensation of our President and CEO, Michael Barrett, to the median of the total annual compensation of all of our employees (excluding our CEO). Based on SEC rules for this disclosure and applying the methodology described above, we have determined that our CEO’s total compensation for 2020 was $3,512,905, and the median of the total 2020 compensation of all of our employees (excluding our CEO) was $167,686. Accordingly, we estimate the ratio of our CEO’s total compensation for 2020 to the median of the total 2020 compensation of all of our employees (excluding our CEO) to be 20.95 to 1.</w:t>
      </w:r>
    </w:p>
    <w:p>
      <w:pPr>
        <w:spacing w:after="0" w:line="17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identified the median employee by taking into account the annualized total cash compensation for 2020 for all individuals, excluding our CEO, who were employed by us or one of our affiliates on December 31, 2020. We included all employees, whether employed on a full-time or part-time basis. We did not make any assumptions, adjustments or estimates with respect to their total cash compensation for 2020, but we did annualize the compensation for any employees who were not employed by us for all of 2020. Because our originally identified median employee was hired mid-year, we selected a different median employee with substantially similar compensation. We believe total cash compensation for all employees is an appropriate measure because we do not distribute annual equity awards to all employees.</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Once the median employee was identified as described above, that employee’s total annual compensation for 2020 was determined using the same rules that apply to reporting the compensation of our named executive officers (including our CEO) in the “Total” column of the Summary Compensation Table. The total compensation amounts included in the first paragraph of this pay-ratio disclosure were determined based on that methodology.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the shares of our common stock that may be issued under our existing equity compensation plans: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color w:val="auto"/>
                <w:w w:val="93"/>
              </w:rPr>
              <w:t>Weighted-</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Number of Securities</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6"/>
              </w:rPr>
              <w:t>average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1"/>
              </w:rPr>
              <w:t>Securities to be</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9"/>
              </w:rPr>
              <w:t>Exercise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for Future Issuance</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1"/>
              </w:rPr>
              <w:t>Issued Upon</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Price of</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Under Equity</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Exercise of</w:t>
            </w:r>
          </w:p>
        </w:tc>
        <w:tc>
          <w:tcPr>
            <w:tcW w:w="1140" w:type="dxa"/>
            <w:vAlign w:val="bottom"/>
            <w:gridSpan w:val="3"/>
          </w:tcPr>
          <w:p>
            <w:pPr>
              <w:jc w:val="center"/>
              <w:ind w:right="440"/>
              <w:spacing w:after="0" w:line="149" w:lineRule="exact"/>
              <w:rPr>
                <w:sz w:val="20"/>
                <w:szCs w:val="20"/>
                <w:color w:val="auto"/>
              </w:rPr>
            </w:pPr>
            <w:r>
              <w:rPr>
                <w:rFonts w:ascii="Arial" w:cs="Arial" w:eastAsia="Arial" w:hAnsi="Arial"/>
                <w:sz w:val="14"/>
                <w:szCs w:val="14"/>
                <w:color w:val="auto"/>
                <w:w w:val="92"/>
              </w:rPr>
              <w:t>Outstanding</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Outstanding</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Options</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(Excluding Securities</w:t>
            </w:r>
          </w:p>
        </w:tc>
        <w:tc>
          <w:tcPr>
            <w:tcW w:w="0" w:type="dxa"/>
            <w:vAlign w:val="bottom"/>
          </w:tcPr>
          <w:p>
            <w:pPr>
              <w:spacing w:after="0"/>
              <w:rPr>
                <w:sz w:val="1"/>
                <w:szCs w:val="1"/>
                <w:color w:val="auto"/>
              </w:rPr>
            </w:pPr>
          </w:p>
        </w:tc>
      </w:tr>
      <w:tr>
        <w:trPr>
          <w:trHeight w:val="148"/>
        </w:trPr>
        <w:tc>
          <w:tcPr>
            <w:tcW w:w="6980" w:type="dxa"/>
            <w:vAlign w:val="bottom"/>
            <w:gridSpan w:val="2"/>
            <w:vMerge w:val="restart"/>
          </w:tcPr>
          <w:p>
            <w:pPr>
              <w:spacing w:after="0"/>
              <w:rPr>
                <w:sz w:val="20"/>
                <w:szCs w:val="20"/>
                <w:color w:val="auto"/>
              </w:rPr>
            </w:pPr>
            <w:r>
              <w:rPr>
                <w:rFonts w:ascii="Arial" w:cs="Arial" w:eastAsia="Arial" w:hAnsi="Arial"/>
                <w:sz w:val="14"/>
                <w:szCs w:val="14"/>
                <w:color w:val="auto"/>
              </w:rPr>
              <w:t>Plan Category</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1"/>
              </w:rPr>
              <w:t>Options</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5"/>
              </w:rPr>
              <w:t>and</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Reflected in Column</w:t>
            </w:r>
          </w:p>
        </w:tc>
        <w:tc>
          <w:tcPr>
            <w:tcW w:w="0" w:type="dxa"/>
            <w:vAlign w:val="bottom"/>
          </w:tcPr>
          <w:p>
            <w:pPr>
              <w:spacing w:after="0"/>
              <w:rPr>
                <w:sz w:val="1"/>
                <w:szCs w:val="1"/>
                <w:color w:val="auto"/>
              </w:rPr>
            </w:pPr>
          </w:p>
        </w:tc>
      </w:tr>
      <w:tr>
        <w:trPr>
          <w:trHeight w:val="140"/>
        </w:trPr>
        <w:tc>
          <w:tcPr>
            <w:tcW w:w="6980" w:type="dxa"/>
            <w:vAlign w:val="bottom"/>
            <w:gridSpan w:val="2"/>
            <w:vMerge w:val="continue"/>
          </w:tcPr>
          <w:p>
            <w:pPr>
              <w:spacing w:after="0"/>
              <w:rPr>
                <w:sz w:val="12"/>
                <w:szCs w:val="12"/>
                <w:color w:val="auto"/>
              </w:rPr>
            </w:pPr>
          </w:p>
        </w:tc>
        <w:tc>
          <w:tcPr>
            <w:tcW w:w="1440" w:type="dxa"/>
            <w:vAlign w:val="bottom"/>
            <w:gridSpan w:val="2"/>
          </w:tcPr>
          <w:p>
            <w:pPr>
              <w:jc w:val="center"/>
              <w:ind w:right="540"/>
              <w:spacing w:after="0" w:line="121" w:lineRule="exact"/>
              <w:rPr>
                <w:sz w:val="20"/>
                <w:szCs w:val="20"/>
                <w:color w:val="auto"/>
              </w:rPr>
            </w:pPr>
            <w:r>
              <w:rPr>
                <w:rFonts w:ascii="Arial" w:cs="Arial" w:eastAsia="Arial" w:hAnsi="Arial"/>
                <w:sz w:val="13"/>
                <w:szCs w:val="13"/>
                <w:color w:val="auto"/>
                <w:w w:val="99"/>
              </w:rPr>
              <w:t>and Rights</w:t>
            </w:r>
          </w:p>
        </w:tc>
        <w:tc>
          <w:tcPr>
            <w:tcW w:w="100" w:type="dxa"/>
            <w:vAlign w:val="bottom"/>
          </w:tcPr>
          <w:p>
            <w:pPr>
              <w:spacing w:after="0"/>
              <w:rPr>
                <w:sz w:val="12"/>
                <w:szCs w:val="12"/>
                <w:color w:val="auto"/>
              </w:rPr>
            </w:pPr>
          </w:p>
        </w:tc>
        <w:tc>
          <w:tcPr>
            <w:tcW w:w="1040" w:type="dxa"/>
            <w:vAlign w:val="bottom"/>
            <w:gridSpan w:val="2"/>
          </w:tcPr>
          <w:p>
            <w:pPr>
              <w:jc w:val="center"/>
              <w:ind w:right="520"/>
              <w:spacing w:after="0" w:line="121" w:lineRule="exact"/>
              <w:rPr>
                <w:sz w:val="20"/>
                <w:szCs w:val="20"/>
                <w:color w:val="auto"/>
              </w:rPr>
            </w:pPr>
            <w:r>
              <w:rPr>
                <w:rFonts w:ascii="Arial" w:cs="Arial" w:eastAsia="Arial" w:hAnsi="Arial"/>
                <w:sz w:val="13"/>
                <w:szCs w:val="13"/>
                <w:color w:val="auto"/>
              </w:rPr>
              <w:t>Rights</w:t>
            </w:r>
            <w:r>
              <w:rPr>
                <w:rFonts w:ascii="Arial" w:cs="Arial" w:eastAsia="Arial" w:hAnsi="Arial"/>
                <w:sz w:val="9"/>
                <w:szCs w:val="9"/>
                <w:color w:val="auto"/>
              </w:rPr>
              <w:t>(4)</w:t>
            </w:r>
          </w:p>
        </w:tc>
        <w:tc>
          <w:tcPr>
            <w:tcW w:w="146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98"/>
              </w:rPr>
              <w:t>(a))</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color w:val="auto"/>
                <w:w w:val="93"/>
              </w:rPr>
              <w:t>(a)</w:t>
            </w: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23"/>
              <w:spacing w:after="0" w:line="129" w:lineRule="exact"/>
              <w:rPr>
                <w:sz w:val="20"/>
                <w:szCs w:val="20"/>
                <w:color w:val="auto"/>
              </w:rPr>
            </w:pPr>
            <w:r>
              <w:rPr>
                <w:rFonts w:ascii="Arial" w:cs="Arial" w:eastAsia="Arial" w:hAnsi="Arial"/>
                <w:sz w:val="14"/>
                <w:szCs w:val="14"/>
                <w:color w:val="auto"/>
                <w:w w:val="93"/>
              </w:rPr>
              <w:t>(b)</w:t>
            </w:r>
          </w:p>
        </w:tc>
        <w:tc>
          <w:tcPr>
            <w:tcW w:w="420" w:type="dxa"/>
            <w:vAlign w:val="bottom"/>
            <w:vMerge w:val="continue"/>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color w:val="auto"/>
                <w:w w:val="97"/>
              </w:rPr>
              <w:t>(c)</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9,961,429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6.44</w:t>
            </w:r>
          </w:p>
        </w:tc>
        <w:tc>
          <w:tcPr>
            <w:tcW w:w="146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4,125,561</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line="216"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25"/>
                <w:szCs w:val="25"/>
                <w:color w:val="auto"/>
                <w:vertAlign w:val="superscript"/>
              </w:rPr>
              <w:t>(2)</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6,166,099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4.82</w:t>
            </w:r>
          </w:p>
        </w:tc>
        <w:tc>
          <w:tcPr>
            <w:tcW w:w="1460" w:type="dxa"/>
            <w:vAlign w:val="bottom"/>
            <w:gridSpan w:val="2"/>
          </w:tcPr>
          <w:p>
            <w:pPr>
              <w:jc w:val="right"/>
              <w:ind w:right="60"/>
              <w:spacing w:after="0" w:line="216" w:lineRule="exact"/>
              <w:rPr>
                <w:sz w:val="20"/>
                <w:szCs w:val="20"/>
                <w:color w:val="auto"/>
              </w:rPr>
            </w:pPr>
            <w:r>
              <w:rPr>
                <w:rFonts w:ascii="Arial" w:cs="Arial" w:eastAsia="Arial" w:hAnsi="Arial"/>
                <w:sz w:val="18"/>
                <w:szCs w:val="18"/>
                <w:color w:val="auto"/>
              </w:rPr>
              <w:t>7,629,133</w:t>
            </w:r>
            <w:r>
              <w:rPr>
                <w:rFonts w:ascii="Arial" w:cs="Arial" w:eastAsia="Arial" w:hAnsi="Arial"/>
                <w:sz w:val="25"/>
                <w:szCs w:val="25"/>
                <w:color w:val="auto"/>
                <w:vertAlign w:val="superscript"/>
              </w:rPr>
              <w:t>(6)</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400"/>
              <w:spacing w:after="0" w:line="216" w:lineRule="exact"/>
              <w:rPr>
                <w:sz w:val="20"/>
                <w:szCs w:val="20"/>
                <w:color w:val="auto"/>
              </w:rPr>
            </w:pPr>
            <w:r>
              <w:rPr>
                <w:rFonts w:ascii="Arial" w:cs="Arial" w:eastAsia="Arial" w:hAnsi="Arial"/>
                <w:sz w:val="18"/>
                <w:szCs w:val="18"/>
                <w:color w:val="auto"/>
                <w:w w:val="92"/>
              </w:rPr>
              <w:t>16,127,528</w:t>
            </w:r>
            <w:r>
              <w:rPr>
                <w:rFonts w:ascii="Arial" w:cs="Arial" w:eastAsia="Arial" w:hAnsi="Arial"/>
                <w:sz w:val="25"/>
                <w:szCs w:val="25"/>
                <w:color w:val="auto"/>
                <w:w w:val="92"/>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11,754,694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our 2007 Stock Incentive Plan, 2014 Equity Incentive Plan, and 2014 Employee Stock Purchase Plan.</w:t>
      </w:r>
    </w:p>
    <w:p>
      <w:pPr>
        <w:spacing w:after="0" w:line="23"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our 2014 Inducement Grant Equity Incentive Plan, the nToggle, Inc. 2014 Equity Incentive Plan, and the Telaria Plans, each described below.</w:t>
      </w:r>
    </w:p>
    <w:p>
      <w:pPr>
        <w:ind w:left="540" w:right="2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6,695,155 shares to be issued upon exercise of outstanding options and 9,432,373 shares subject to outstanding unvested restricted stock units. Includes 146,341 performance related restricted stock units that vest based on certain stock price performance metrics. Between 0% and 150% of the performance stock units will vest on the third anniversary of its grant date.</w:t>
      </w:r>
    </w:p>
    <w:p>
      <w:pPr>
        <w:spacing w:after="0" w:line="1" w:lineRule="exact"/>
        <w:rPr>
          <w:rFonts w:ascii="Arial" w:cs="Arial" w:eastAsia="Arial" w:hAnsi="Arial"/>
          <w:sz w:val="18"/>
          <w:szCs w:val="18"/>
          <w:color w:val="auto"/>
        </w:rPr>
      </w:pPr>
    </w:p>
    <w:p>
      <w:pPr>
        <w:ind w:left="540" w:right="800" w:hanging="424"/>
        <w:spacing w:after="0" w:line="28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options. Shares subject to outstanding unvested restricted stock units and performance-based stock units become issuable upon vesting without any exercise price or other cash consideration required.</w:t>
      </w:r>
    </w:p>
    <w:p>
      <w:pPr>
        <w:spacing w:after="0" w:line="1"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2,076,397 shares that were available for future issuance under the 2014 Equity Incentive Plan and 2,049,164 shares that were available for future issuance under the 2014 Employee Stock Purchase Plan as of December 31, 2020, including 263,750 shares subject to purchase during the offering periods in effect as of December 31, 2020. On January 1, 2021, an additional 5,701,427 shares became available for future issuance under the 2014 Equity Incentive Plan and an additional 1,140,285 shares became available for issuance under the 2014 Employee Stock Purchase Plan, both pursuant to the plan’s evergreen provisions.</w:t>
      </w:r>
    </w:p>
    <w:p>
      <w:pPr>
        <w:spacing w:after="0" w:line="1" w:lineRule="exact"/>
        <w:rPr>
          <w:rFonts w:ascii="Arial" w:cs="Arial" w:eastAsia="Arial" w:hAnsi="Arial"/>
          <w:sz w:val="18"/>
          <w:szCs w:val="18"/>
          <w:color w:val="auto"/>
        </w:rPr>
      </w:pPr>
    </w:p>
    <w:p>
      <w:pPr>
        <w:ind w:left="540" w:right="80" w:hanging="424"/>
        <w:spacing w:after="0" w:line="26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available for future issuance under the 2014 Inducement Grant Equity Incentive Plan and the Telaria, Inc. 2013 Equity Incentive Plan as of December 31, 2020.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86"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Our 2014 Inducement Grant Equity Incentive Plan was adopted by our board in November 2014 for use in making employment inducement awards pursuant to New York Stock Exchange Rule 303A.08. A total of 1,000,000 shares of our common stock was initially reserved for granting stock options, restricted stock, restricted stock units, stock appreciation rights, performance stock awards, and other awards under our 2014 Inducement Grant Equity Incentive Plan. Our board or the compensation committee may increase the number of shares reserved for granting awards under this plan in its discretion, from time to time. The share reserve under this plan was increased by 1,700,000 shares in March 2017 to provide shares underlying the initial equity awards granted to Mr. Barrett in connection with his hire as our President and Chief Executive Officer, which were made as inducement awards. Our board and the compensation committee have discretion to determine the terms of awards granted under our 2014 Inducement Grant Equity Incentive Plan, including vesting, forfeiture and acceleration. The exercise price for stock options granted under our 2014 Inducement Grant Equity Incentive Plan will not be less than the fair market value of our common stock on the date of grant. Restricted stock units may be granted in exchange for any form of legal consideration acceptable to our board and restricted stock may be granted in exchange for the payment of a purchase price, past or future services to our company or any other form of legal consideration. In connection with our acquisition of iSocket, Inc. in November 2014, we issued 132,000 stock options under our 2014 Inducement Grant Equity Incentive Plan with an exercise price of $14.62 per share and a ten-year term, and vesting over approximately four years, with 25% of the total shares granted vesting on the first anniversary of the date of the acquisition of iSocket, Inc. and the balance vesting in 36 equal monthly installments thereafter. In connection with the acquisition of iSocket, we also issued 126,050 restricted stock unit awards under the 2014 Inducement Grant Equity Incentive Plan, vesting over approximately 54 months. In connection with our acquisition of nToggle, Inc. in July 2014, we issued an aggregate of 174,117 restricted stock units under the 2014 Inducement Grant Equity Incentive Plan, vesting over approximately four years.</w:t>
      </w:r>
    </w:p>
    <w:p>
      <w:pPr>
        <w:spacing w:after="0" w:line="19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assumed the nToggle, Inc. 2014 Equity Incentive Plan in connection with our acquisition of nToggle, Inc. in July 2017. In connection with the acquisition, and giving effect to the exchange ratio used to determine the number of Rubicon Project options we issued in exchange for outstanding nToggle options, we assumed a total of 432,482 options previously granted under the nToggle, Inc. 2014 Equity Incentive Plan, with a weighted-average exercise price per share of $0.51, remaining terms ranging to April 2027 and remaining vesting periods ranging to April 2021. We also assumed 77,499 shares of unvested restricted stock with a remaining vesting period to October 2019. In addition, 480,673 shares of common stock remaining available under the nToggle, Inc. 2014 Equity Incentive Plan were added to the pool of available shares under our 2014 Equity Incentive Plan, and can be used for awards during the period when they would have been available for grant under the nToggle 2014 Equity Incentive Plan to persons who were not employed by the company or its affiliates immediately before the nToggle acquisition, and otherwise in accordance with the New York Stock Exchange Rule 303A.08. No Further awards will be made under the nToggle 2014 Equity Incentive Plan.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assumed the Telaria, Inc. 2013 Equity Incentive Plan, as amended, the Telaria, Inc. 2008 Stock Plan, as amended, the ScanScout, Inc. 2009 Equity Incentive Plan, as amended, and certain new hire inducement awards granted by the Telaria board (together, the “Telaria Plans”) in April 2020 in connection with the Telaria Merger. In connection with the Telaria Merger, and giving effect to the exchange ratio used to determine the number of Magnite options we issued in exchange for outstanding Telaria options, we assumed a total of 4,998,622 options previously granted under the Telaria Plans, with a weighted-average exercise price per share of $3.80, remaining terms ranging to February 2030 and remaining vesting periods ranging to January 2024.</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also assumed 2,416,824 shares of unvested restricted stock with a remaining vesting period to March 2024. In addition, 7,291,151 shares of common stock remaining available under the Telaria, Inc. 2013 Equity Incentive Plan were added to the 2014 Equity Incentive Plan, which shares will be used solely with respect to new hire awards or awards to former employees of Telaria prior to the merger. As of December 31, 2020, 7,272,204 shares were available for issuance under the Telaria, Inc. 2013 Equity Incentive Plan.</w:t>
      </w:r>
    </w:p>
    <w:p>
      <w:pPr>
        <w:spacing w:after="0" w:line="399"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COMMON STOCK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information regarding beneficial ownership of our equity interests as of May 4, 2021 by:</w:t>
      </w:r>
    </w:p>
    <w:p>
      <w:pPr>
        <w:spacing w:after="0" w:line="252"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stockholder or group of stockholders known by us to be the beneficial owner of more than 5% of our outstanding equity interests;</w:t>
      </w:r>
    </w:p>
    <w:p>
      <w:pPr>
        <w:spacing w:after="0" w:line="142" w:lineRule="exact"/>
        <w:rPr>
          <w:rFonts w:ascii="Arial" w:cs="Arial" w:eastAsia="Arial" w:hAnsi="Arial"/>
          <w:sz w:val="17"/>
          <w:szCs w:val="17"/>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thus represents voting or investment power with respect to our securities. Unless otherwise indicated below, to our knowledge, the persons and entities named in the table have sole voting and sole investment power with respect to all shares beneficially owned, subject to community property laws where applicable. Percentage ownership of our common stock is based on 128,859,048 shares of our common stock outstanding as of May 4, 2021.</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Shares of</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r>
              <w:rPr>
                <w:rFonts w:ascii="Arial" w:cs="Arial" w:eastAsia="Arial" w:hAnsi="Arial"/>
                <w:sz w:val="10"/>
                <w:szCs w:val="10"/>
                <w:b w:val="1"/>
                <w:bCs w:val="1"/>
                <w:color w:val="auto"/>
                <w:w w:val="92"/>
              </w:rPr>
              <w:t>(1)</w:t>
            </w:r>
          </w:p>
        </w:tc>
        <w:tc>
          <w:tcPr>
            <w:tcW w:w="388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Common</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9"/>
        </w:trPr>
        <w:tc>
          <w:tcPr>
            <w:tcW w:w="2560" w:type="dxa"/>
            <w:vAlign w:val="bottom"/>
            <w:tcBorders>
              <w:bottom w:val="single" w:sz="8" w:color="auto"/>
            </w:tcBorders>
            <w:vMerge w:val="continue"/>
          </w:tcPr>
          <w:p>
            <w:pPr>
              <w:spacing w:after="0"/>
              <w:rPr>
                <w:sz w:val="12"/>
                <w:szCs w:val="12"/>
                <w:color w:val="auto"/>
              </w:rPr>
            </w:pPr>
          </w:p>
        </w:tc>
        <w:tc>
          <w:tcPr>
            <w:tcW w:w="3880" w:type="dxa"/>
            <w:vAlign w:val="bottom"/>
          </w:tcPr>
          <w:p>
            <w:pPr>
              <w:spacing w:after="0"/>
              <w:rPr>
                <w:sz w:val="12"/>
                <w:szCs w:val="12"/>
                <w:color w:val="auto"/>
              </w:rPr>
            </w:pPr>
          </w:p>
        </w:tc>
        <w:tc>
          <w:tcPr>
            <w:tcW w:w="1400" w:type="dxa"/>
            <w:vAlign w:val="bottom"/>
            <w:gridSpan w:val="2"/>
          </w:tcPr>
          <w:p>
            <w:pPr>
              <w:jc w:val="center"/>
              <w:ind w:right="540"/>
              <w:spacing w:after="0" w:line="125" w:lineRule="exact"/>
              <w:rPr>
                <w:sz w:val="20"/>
                <w:szCs w:val="20"/>
                <w:color w:val="auto"/>
              </w:rPr>
            </w:pPr>
            <w:r>
              <w:rPr>
                <w:rFonts w:ascii="Arial" w:cs="Arial" w:eastAsia="Arial" w:hAnsi="Arial"/>
                <w:sz w:val="14"/>
                <w:szCs w:val="14"/>
                <w:b w:val="1"/>
                <w:bCs w:val="1"/>
                <w:color w:val="auto"/>
                <w:w w:val="91"/>
              </w:rPr>
              <w:t>Stock</w:t>
            </w:r>
            <w:r>
              <w:rPr>
                <w:rFonts w:ascii="Arial" w:cs="Arial" w:eastAsia="Arial" w:hAnsi="Arial"/>
                <w:sz w:val="10"/>
                <w:szCs w:val="10"/>
                <w:b w:val="1"/>
                <w:bCs w:val="1"/>
                <w:color w:val="auto"/>
                <w:w w:val="91"/>
              </w:rPr>
              <w:t>(2)</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6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5% Stockholders</w:t>
            </w:r>
          </w:p>
        </w:tc>
        <w:tc>
          <w:tcPr>
            <w:tcW w:w="3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line="216" w:lineRule="exact"/>
              <w:rPr>
                <w:sz w:val="20"/>
                <w:szCs w:val="20"/>
                <w:color w:val="auto"/>
              </w:rPr>
            </w:pPr>
            <w:r>
              <w:rPr>
                <w:rFonts w:ascii="Arial" w:cs="Arial" w:eastAsia="Arial" w:hAnsi="Arial"/>
                <w:sz w:val="18"/>
                <w:szCs w:val="18"/>
                <w:color w:val="auto"/>
              </w:rPr>
              <w:t>RTL US Holding Inc.</w:t>
            </w:r>
            <w:r>
              <w:rPr>
                <w:rFonts w:ascii="Arial" w:cs="Arial" w:eastAsia="Arial" w:hAnsi="Arial"/>
                <w:sz w:val="25"/>
                <w:szCs w:val="25"/>
                <w:color w:val="auto"/>
                <w:vertAlign w:val="superscript"/>
              </w:rPr>
              <w:t>(3)</w:t>
            </w:r>
          </w:p>
        </w:tc>
        <w:tc>
          <w:tcPr>
            <w:tcW w:w="5280" w:type="dxa"/>
            <w:vAlign w:val="bottom"/>
            <w:gridSpan w:val="3"/>
          </w:tcPr>
          <w:p>
            <w:pPr>
              <w:jc w:val="right"/>
              <w:ind w:right="540"/>
              <w:spacing w:after="0"/>
              <w:rPr>
                <w:sz w:val="20"/>
                <w:szCs w:val="20"/>
                <w:color w:val="auto"/>
              </w:rPr>
            </w:pPr>
            <w:r>
              <w:rPr>
                <w:rFonts w:ascii="Arial" w:cs="Arial" w:eastAsia="Arial" w:hAnsi="Arial"/>
                <w:sz w:val="18"/>
                <w:szCs w:val="18"/>
                <w:color w:val="auto"/>
              </w:rPr>
              <w:t>12,374,315</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w w:val="95"/>
              </w:rPr>
              <w:t>9.6</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(4)</w:t>
            </w:r>
          </w:p>
        </w:tc>
        <w:tc>
          <w:tcPr>
            <w:tcW w:w="5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8,030,030</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Named Executive Officers</w:t>
            </w:r>
          </w:p>
        </w:tc>
        <w:tc>
          <w:tcPr>
            <w:tcW w:w="3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Michael Barrett</w:t>
            </w:r>
            <w:r>
              <w:rPr>
                <w:rFonts w:ascii="Arial" w:cs="Arial" w:eastAsia="Arial" w:hAnsi="Arial"/>
                <w:sz w:val="25"/>
                <w:szCs w:val="25"/>
                <w:color w:val="auto"/>
                <w:vertAlign w:val="superscript"/>
              </w:rPr>
              <w:t>(5)</w:t>
            </w:r>
          </w:p>
        </w:tc>
        <w:tc>
          <w:tcPr>
            <w:tcW w:w="5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2,201,376</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line="216" w:lineRule="exact"/>
              <w:rPr>
                <w:sz w:val="20"/>
                <w:szCs w:val="20"/>
                <w:color w:val="auto"/>
              </w:rPr>
            </w:pPr>
            <w:r>
              <w:rPr>
                <w:rFonts w:ascii="Arial" w:cs="Arial" w:eastAsia="Arial" w:hAnsi="Arial"/>
                <w:sz w:val="18"/>
                <w:szCs w:val="18"/>
                <w:color w:val="auto"/>
              </w:rPr>
              <w:t>David Day</w:t>
            </w:r>
            <w:r>
              <w:rPr>
                <w:rFonts w:ascii="Arial" w:cs="Arial" w:eastAsia="Arial" w:hAnsi="Arial"/>
                <w:sz w:val="25"/>
                <w:szCs w:val="25"/>
                <w:color w:val="auto"/>
                <w:vertAlign w:val="superscript"/>
              </w:rPr>
              <w:t>(6)</w:t>
            </w:r>
          </w:p>
        </w:tc>
        <w:tc>
          <w:tcPr>
            <w:tcW w:w="5280" w:type="dxa"/>
            <w:vAlign w:val="bottom"/>
            <w:gridSpan w:val="3"/>
          </w:tcPr>
          <w:p>
            <w:pPr>
              <w:jc w:val="right"/>
              <w:ind w:right="540"/>
              <w:spacing w:after="0"/>
              <w:rPr>
                <w:sz w:val="20"/>
                <w:szCs w:val="20"/>
                <w:color w:val="auto"/>
              </w:rPr>
            </w:pPr>
            <w:r>
              <w:rPr>
                <w:rFonts w:ascii="Arial" w:cs="Arial" w:eastAsia="Arial" w:hAnsi="Arial"/>
                <w:sz w:val="18"/>
                <w:szCs w:val="18"/>
                <w:color w:val="auto"/>
              </w:rPr>
              <w:t>136,033</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Thomas Kershaw</w:t>
            </w:r>
            <w:r>
              <w:rPr>
                <w:rFonts w:ascii="Arial" w:cs="Arial" w:eastAsia="Arial" w:hAnsi="Arial"/>
                <w:sz w:val="25"/>
                <w:szCs w:val="25"/>
                <w:color w:val="auto"/>
                <w:vertAlign w:val="superscript"/>
              </w:rPr>
              <w:t>(7)</w:t>
            </w:r>
          </w:p>
        </w:tc>
        <w:tc>
          <w:tcPr>
            <w:tcW w:w="5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391,083</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60"/>
              <w:spacing w:after="0" w:line="216" w:lineRule="exact"/>
              <w:rPr>
                <w:sz w:val="20"/>
                <w:szCs w:val="20"/>
                <w:color w:val="auto"/>
              </w:rPr>
            </w:pPr>
            <w:r>
              <w:rPr>
                <w:rFonts w:ascii="Arial" w:cs="Arial" w:eastAsia="Arial" w:hAnsi="Arial"/>
                <w:sz w:val="18"/>
                <w:szCs w:val="18"/>
                <w:color w:val="auto"/>
              </w:rPr>
              <w:t>Katie Evans</w:t>
            </w:r>
            <w:r>
              <w:rPr>
                <w:rFonts w:ascii="Arial" w:cs="Arial" w:eastAsia="Arial" w:hAnsi="Arial"/>
                <w:sz w:val="25"/>
                <w:szCs w:val="25"/>
                <w:color w:val="auto"/>
                <w:vertAlign w:val="superscript"/>
              </w:rPr>
              <w:t>(8)</w:t>
            </w:r>
          </w:p>
        </w:tc>
        <w:tc>
          <w:tcPr>
            <w:tcW w:w="5280" w:type="dxa"/>
            <w:vAlign w:val="bottom"/>
            <w:gridSpan w:val="3"/>
          </w:tcPr>
          <w:p>
            <w:pPr>
              <w:jc w:val="right"/>
              <w:ind w:right="540"/>
              <w:spacing w:after="0"/>
              <w:rPr>
                <w:sz w:val="20"/>
                <w:szCs w:val="20"/>
                <w:color w:val="auto"/>
              </w:rPr>
            </w:pPr>
            <w:r>
              <w:rPr>
                <w:rFonts w:ascii="Arial" w:cs="Arial" w:eastAsia="Arial" w:hAnsi="Arial"/>
                <w:sz w:val="18"/>
                <w:szCs w:val="18"/>
                <w:color w:val="auto"/>
              </w:rPr>
              <w:t>348,252</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Adam Soroca</w:t>
            </w:r>
            <w:r>
              <w:rPr>
                <w:rFonts w:ascii="Arial" w:cs="Arial" w:eastAsia="Arial" w:hAnsi="Arial"/>
                <w:sz w:val="25"/>
                <w:szCs w:val="25"/>
                <w:color w:val="auto"/>
                <w:vertAlign w:val="superscript"/>
              </w:rPr>
              <w:t>(9)</w:t>
            </w:r>
          </w:p>
        </w:tc>
        <w:tc>
          <w:tcPr>
            <w:tcW w:w="5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309,308</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560" w:type="dxa"/>
            <w:vAlign w:val="bottom"/>
          </w:tcPr>
          <w:p>
            <w:pPr>
              <w:spacing w:after="0"/>
              <w:rPr>
                <w:sz w:val="24"/>
                <w:szCs w:val="24"/>
                <w:color w:val="auto"/>
              </w:rPr>
            </w:pPr>
          </w:p>
        </w:tc>
        <w:tc>
          <w:tcPr>
            <w:tcW w:w="3880" w:type="dxa"/>
            <w:vAlign w:val="bottom"/>
          </w:tcPr>
          <w:p>
            <w:pPr>
              <w:jc w:val="right"/>
              <w:ind w:right="2070"/>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Director Nominees</w:t>
            </w:r>
          </w:p>
        </w:tc>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Paul Caine</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166,172</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Robert J. Frankenberg</w:t>
            </w:r>
            <w:r>
              <w:rPr>
                <w:rFonts w:ascii="Arial" w:cs="Arial" w:eastAsia="Arial" w:hAnsi="Arial"/>
                <w:sz w:val="25"/>
                <w:szCs w:val="25"/>
                <w:color w:val="auto"/>
                <w:vertAlign w:val="superscript"/>
              </w:rPr>
              <w:t>(10)</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152,986</w:t>
            </w:r>
          </w:p>
        </w:tc>
        <w:tc>
          <w:tcPr>
            <w:tcW w:w="4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line="216" w:lineRule="exact"/>
              <w:rPr>
                <w:sz w:val="20"/>
                <w:szCs w:val="20"/>
                <w:color w:val="auto"/>
              </w:rPr>
            </w:pPr>
            <w:r>
              <w:rPr>
                <w:rFonts w:ascii="Arial" w:cs="Arial" w:eastAsia="Arial" w:hAnsi="Arial"/>
                <w:sz w:val="18"/>
                <w:szCs w:val="18"/>
                <w:color w:val="auto"/>
              </w:rPr>
              <w:t>Sarah P. Harden</w:t>
            </w:r>
            <w:r>
              <w:rPr>
                <w:rFonts w:ascii="Arial" w:cs="Arial" w:eastAsia="Arial" w:hAnsi="Arial"/>
                <w:sz w:val="25"/>
                <w:szCs w:val="25"/>
                <w:color w:val="auto"/>
                <w:vertAlign w:val="superscript"/>
              </w:rPr>
              <w:t>(11)</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53,626</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Doug Knopper</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92,884</w:t>
            </w:r>
          </w:p>
        </w:tc>
        <w:tc>
          <w:tcPr>
            <w:tcW w:w="4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Rachel Lam</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156,891</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James Rossman</w:t>
            </w:r>
            <w:r>
              <w:rPr>
                <w:rFonts w:ascii="Arial" w:cs="Arial" w:eastAsia="Arial" w:hAnsi="Arial"/>
                <w:sz w:val="25"/>
                <w:szCs w:val="25"/>
                <w:color w:val="auto"/>
                <w:vertAlign w:val="superscript"/>
              </w:rPr>
              <w:t>(12)</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303,191</w:t>
            </w:r>
          </w:p>
        </w:tc>
        <w:tc>
          <w:tcPr>
            <w:tcW w:w="4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line="216" w:lineRule="exact"/>
              <w:rPr>
                <w:sz w:val="20"/>
                <w:szCs w:val="20"/>
                <w:color w:val="auto"/>
              </w:rPr>
            </w:pPr>
            <w:r>
              <w:rPr>
                <w:rFonts w:ascii="Arial" w:cs="Arial" w:eastAsia="Arial" w:hAnsi="Arial"/>
                <w:sz w:val="18"/>
                <w:szCs w:val="18"/>
                <w:color w:val="auto"/>
              </w:rPr>
              <w:t>Robert F. Spillane</w:t>
            </w:r>
            <w:r>
              <w:rPr>
                <w:rFonts w:ascii="Arial" w:cs="Arial" w:eastAsia="Arial" w:hAnsi="Arial"/>
                <w:sz w:val="25"/>
                <w:szCs w:val="25"/>
                <w:color w:val="auto"/>
                <w:vertAlign w:val="superscript"/>
              </w:rPr>
              <w:t>(13)</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152,986</w:t>
            </w:r>
          </w:p>
        </w:tc>
        <w:tc>
          <w:tcPr>
            <w:tcW w:w="480" w:type="dxa"/>
            <w:vAlign w:val="bottom"/>
          </w:tcPr>
          <w:p>
            <w:pPr>
              <w:jc w:val="center"/>
              <w:ind w:left="7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Lisa L. Troe</w:t>
            </w:r>
            <w:r>
              <w:rPr>
                <w:rFonts w:ascii="Arial" w:cs="Arial" w:eastAsia="Arial" w:hAnsi="Arial"/>
                <w:sz w:val="25"/>
                <w:szCs w:val="25"/>
                <w:color w:val="auto"/>
                <w:vertAlign w:val="superscript"/>
              </w:rPr>
              <w:t>(14)</w:t>
            </w:r>
          </w:p>
        </w:tc>
        <w:tc>
          <w:tcPr>
            <w:tcW w:w="1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147,836</w:t>
            </w:r>
          </w:p>
        </w:tc>
        <w:tc>
          <w:tcPr>
            <w:tcW w:w="4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r>
      <w:tr>
        <w:trPr>
          <w:trHeight w:val="330"/>
        </w:trPr>
        <w:tc>
          <w:tcPr>
            <w:tcW w:w="6080" w:type="dxa"/>
            <w:vAlign w:val="bottom"/>
          </w:tcPr>
          <w:p>
            <w:pPr>
              <w:spacing w:after="0"/>
              <w:rPr>
                <w:sz w:val="20"/>
                <w:szCs w:val="20"/>
                <w:color w:val="auto"/>
              </w:rPr>
            </w:pPr>
            <w:r>
              <w:rPr>
                <w:rFonts w:ascii="Arial" w:cs="Arial" w:eastAsia="Arial" w:hAnsi="Arial"/>
                <w:sz w:val="18"/>
                <w:szCs w:val="18"/>
                <w:color w:val="auto"/>
              </w:rPr>
              <w:t>All Current Executive Officers and Directors as a Group (16 persons)</w:t>
            </w:r>
            <w:r>
              <w:rPr>
                <w:rFonts w:ascii="Arial" w:cs="Arial" w:eastAsia="Arial" w:hAnsi="Arial"/>
                <w:sz w:val="25"/>
                <w:szCs w:val="25"/>
                <w:color w:val="auto"/>
                <w:vertAlign w:val="superscript"/>
              </w:rPr>
              <w:t>(15)</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5,334,179</w:t>
            </w:r>
          </w:p>
        </w:tc>
        <w:tc>
          <w:tcPr>
            <w:tcW w:w="480" w:type="dxa"/>
            <w:vAlign w:val="bottom"/>
          </w:tcPr>
          <w:p>
            <w:pPr>
              <w:jc w:val="center"/>
              <w:ind w:left="90"/>
              <w:spacing w:after="0"/>
              <w:rPr>
                <w:sz w:val="20"/>
                <w:szCs w:val="20"/>
                <w:color w:val="auto"/>
              </w:rPr>
            </w:pPr>
            <w:r>
              <w:rPr>
                <w:rFonts w:ascii="Arial" w:cs="Arial" w:eastAsia="Arial" w:hAnsi="Arial"/>
                <w:sz w:val="18"/>
                <w:szCs w:val="18"/>
                <w:color w:val="auto"/>
                <w:w w:val="87"/>
              </w:rPr>
              <w:t>4.1</w:t>
            </w:r>
          </w:p>
        </w:tc>
      </w:tr>
    </w:tbl>
    <w:p>
      <w:pPr>
        <w:spacing w:after="0" w:line="114"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ownership of less than one percent.</w:t>
      </w:r>
    </w:p>
    <w:p>
      <w:pPr>
        <w:spacing w:after="0" w:line="23"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noted, the address of the named beneficial owner is c/o Magnite, Inc., 6080 Center Drive, 4th Floor, Los Angeles, California 90045.</w:t>
      </w:r>
    </w:p>
    <w:p>
      <w:pPr>
        <w:spacing w:after="0" w:line="32" w:lineRule="exact"/>
        <w:rPr>
          <w:rFonts w:ascii="Arial" w:cs="Arial" w:eastAsia="Arial" w:hAnsi="Arial"/>
          <w:sz w:val="16"/>
          <w:szCs w:val="16"/>
          <w:color w:val="auto"/>
        </w:rPr>
      </w:pPr>
    </w:p>
    <w:p>
      <w:pPr>
        <w:ind w:left="540" w:right="18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shares beneficially owned by each stockholder is determined under rules promulgated by the SEC and the information is not necessarily indicative of beneficial ownership for any other purpose. Under such rules, beneficial ownership includes shares (i) as to which the individual or entity has sole or shared voting power or investment power, and (ii) the individual owns or has the right to acquire beneficial ownership of within 60 days of May 4, 2021. Shares not owned but which the individual has the right to acquire beneficial ownership within 60 days of May 4, 2021 are included in the numerator and denominator for that specific individual in calculating that individual’s beneficial ownership percentage, but not deemed outstanding in the aggregate for computing the ownership percentage for others.</w:t>
      </w:r>
    </w:p>
    <w:p>
      <w:pPr>
        <w:spacing w:after="0" w:line="3" w:lineRule="exact"/>
        <w:rPr>
          <w:rFonts w:ascii="Arial" w:cs="Arial" w:eastAsia="Arial" w:hAnsi="Arial"/>
          <w:sz w:val="16"/>
          <w:szCs w:val="16"/>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closing of the acquisition SpotX, Inc. on April 30, 2021, we issued 12,374,315 shares to RTL US Holdings Inc.</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Beneficial ownership is based solely on the Schedule 13G/A filed with SEC on January 29, 2021 by BlackRock, Inc. (“BlackRock”) with respect to our common stock. The Schedule 13G/A states that BlackRock has sole voting power as to 7,873,494 shares and sole dispositive power as to 8,030,030 shares. The address for BlackRock is 55 East 52nd Street, New York, NY 10055.</w:t>
      </w:r>
    </w:p>
    <w:p>
      <w:pPr>
        <w:spacing w:after="0" w:line="1" w:lineRule="exact"/>
        <w:rPr>
          <w:rFonts w:ascii="Arial" w:cs="Arial" w:eastAsia="Arial" w:hAnsi="Arial"/>
          <w:sz w:val="18"/>
          <w:szCs w:val="18"/>
          <w:color w:val="auto"/>
        </w:rPr>
      </w:pPr>
    </w:p>
    <w:p>
      <w:pPr>
        <w:ind w:left="540" w:right="18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227,784 restricted stock units that will vest within 60 days of May 4, 2021 and 1,196,025 shares issuable pursuant to outstanding stock options exercisable by Mr. Barrett within 60 days of May 4, 2021, of which 1,161,376 were fully vested as of May 4, 2021.</w:t>
      </w:r>
    </w:p>
    <w:p>
      <w:pPr>
        <w:ind w:left="540" w:right="50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73,650 restricted stock units that will vest within 60 days of May 4, 2021 and 62,383 shares issuable pursuant to outstanding stock options exercisable by Mr. Day within 60 days of May 4, 2021, of which 49,109 were fully vested as of May 4, 2021.</w:t>
      </w:r>
    </w:p>
    <w:p>
      <w:pPr>
        <w:ind w:left="540" w:right="40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85,332 restricted stock units that will vest within 60 days of May 4, 2021 and 130,550 shares issuable pursuant to outstanding stock options exercisable by Mr. Kershaw within 60 days of May 4, 2021, of which 114,656 were fully vested as of May 4, 2021.</w:t>
      </w:r>
    </w:p>
    <w:p>
      <w:pPr>
        <w:ind w:left="540" w:right="40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25,024 restricted stock units that will vest within 60 days of May 4, 2021 and 130,859 shares issuable pursuant to outstanding stock options exercisable by Ms. Evans within 60 days of May 4, 2021, of which 124,228 were fully vested as of May 4, 2021.</w:t>
      </w:r>
    </w:p>
    <w:p>
      <w:pPr>
        <w:ind w:left="540" w:right="40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60,729 restricted stock units that will vest within 60 days of May 4, 2021 and 130,632 shares issuable pursuant to outstanding stock options exercisable by Mr. Soroca within 60 days of May 4, 2021, of which 119,755 were fully vested as of May 4, 2021.</w:t>
      </w:r>
    </w:p>
    <w:p>
      <w:pPr>
        <w:ind w:left="54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86,500 shares issuable pursuant to outstanding stock options exercisable by Mr. Frankenberg within 60 days of May 4, 2021, all of which were fully vested as of such date.</w:t>
      </w: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18,882 restricted stock units that will vest within 60 days of May 4, 2021.</w:t>
      </w:r>
    </w:p>
    <w:p>
      <w:pPr>
        <w:spacing w:after="0" w:line="9"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36,066 shares issuable pursuant to outstanding stock options exercisable by Mr. Rossman within 60 days of May 4, 2021, all of which were fully vested as of such date.</w:t>
      </w:r>
    </w:p>
    <w:p>
      <w:pPr>
        <w:ind w:left="540" w:right="30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86,500 shares issuable pursuant to outstanding stock options exercisable by Mr. Spillane within 60 days of May 4, 2021, all of which were fully vested as of such date.</w:t>
      </w:r>
    </w:p>
    <w:p>
      <w:pPr>
        <w:ind w:left="540" w:right="16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86,500 shares issuable pursuant to outstanding stock options exercisable by Ms. Troe within 60 days of May 4, 2021, all of which were fully vested as of such date.</w:t>
      </w:r>
    </w:p>
    <w:p>
      <w:pPr>
        <w:ind w:left="540" w:right="180" w:hanging="424"/>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560,565 restricted stock units that will vest within 60 days of May 4, 2021 and 2,246,360 shares issuable pursuant to outstanding stock options exercisable within 60 days of May 4, 2021, of which 2,148,972 were fully vested as of such date.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8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There are no transactions since January 1, 2020 to which the company has been a participant, in which the amount involved in the transaction exceeded or will exceed $120,000, and in which any of our directors, executive officers or beneficial holders of more than 5% of our capital stock, or their family members, had or will have a direct or indirect material interest. Compensation arrangements with our directors and officers are described under “Director Compensation” and “Executive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have entered into indemnification agreements with each of our current directors, executive officers and certain other officers. The indemnification agreements and our amended and restated certificate of incorporation and amended and restated bylaws require us to indemnify our directors and officers to the fullest extent permitted by Delaware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adopted a formal written policy providing that related person transactions may be consummated or continued only if approved or ratified by the audit committee. The policy defines “related person transactions” as transactions in which we are or will be a participant, the aggregate amount involved since the beginning of the company’s last fiscal year exceeds or may be expected to exceed $100,000, and a related person has or will have a direct or indirect interest. For purposes of this policy, a related person is a person who is or was since the beginning of our last fiscal year a director, nominee for director, or executive officer; a greater than 5% beneficial owner of our common stock; or an immediate family member of any such person. The policy provides that our legal department will review each proposed related person transaction and prepare a description for the audit committee, which will review the proposed transaction and consider such factors, as it deems appropriate, including at least the following factors:</w:t>
      </w:r>
    </w:p>
    <w:p>
      <w:pPr>
        <w:spacing w:after="0" w:line="72"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terms of the transaction as compared to terms available for a similar transaction with a non-related party;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disclosure requirements associated with the transaction;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the transaction upon the independence of any director involved;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the transaction upon the ability of the related person to fulfill his or her duties to the company;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appearance of the transaction.</w:t>
      </w: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Our common stock is listed on the Nasdaq Global Select Market of The Nasdaq Stock Market LLC (“Nasdaq”), which requires that a majority of a listed company’s board of directors be independent. In addition, the rules of Nasdaq require that, subject to specified exceptions, each member of a listed company’s audit, compensation and nominating/corporate governance committees be independent. Under the rules of Nasdaq, a director will only qualify as an “independent director” if, in the opinion of the board of directors, that director does not have a relationship that would interfere with the exercise of independent judgment in carrying out the responsibilities of a director.</w:t>
      </w:r>
    </w:p>
    <w:p>
      <w:pPr>
        <w:spacing w:after="0" w:line="17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any material relationships with us. As a result of this review, our board of directors has determined that Mr. Frankenberg, Ms. Harden, Mr. Knopper, Ms. Lam, Mr. Rossman, Mr. Spillane and Ms. Troe are independent directors as defined under the listing requirements and rules of Nasdaq for purposes of service on the board of directors. Mr. Barrett is not considered independent because he currently serves as our Chief Executive Officer. Mr. Caine is not considered independent due to his previous service as Executive Chairman and Interim Chief Executive Officer of Telaria.</w:t>
      </w:r>
    </w:p>
    <w:p>
      <w:pPr>
        <w:spacing w:after="0" w:line="16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In addition to qualifying as “independent” under the listing requirements and rules of Nasdaq, members of the board’s audit committee and compensation committee members must also satisfy additional, heightened independence standards under applicable SEC rules and regulations and Nasdaq listing requirements. Our board of directors has determined that each member of our audit committee and compensation committee satisfies these heightened independence standards.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0" w:lineRule="exact"/>
        <w:rPr>
          <w:sz w:val="20"/>
          <w:szCs w:val="20"/>
          <w:color w:val="auto"/>
        </w:rPr>
      </w:pPr>
    </w:p>
    <w:p>
      <w:pPr>
        <w:spacing w:after="0" w:line="24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fees billed for audit and other services provided in the last two fiscal years by Deloitte are as follows:</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Fee Category</w:t>
            </w: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6"/>
        </w:trPr>
        <w:tc>
          <w:tcPr>
            <w:tcW w:w="6280" w:type="dxa"/>
            <w:vAlign w:val="bottom"/>
            <w:gridSpan w:val="2"/>
            <w:shd w:val="clear" w:color="auto" w:fill="CCEEFF"/>
          </w:tcPr>
          <w:p>
            <w:pPr>
              <w:ind w:left="360"/>
              <w:spacing w:after="0" w:line="197" w:lineRule="exact"/>
              <w:rPr>
                <w:sz w:val="20"/>
                <w:szCs w:val="20"/>
                <w:color w:val="auto"/>
              </w:rPr>
            </w:pPr>
            <w:r>
              <w:rPr>
                <w:rFonts w:ascii="Arial" w:cs="Arial" w:eastAsia="Arial" w:hAnsi="Arial"/>
                <w:sz w:val="16"/>
                <w:szCs w:val="16"/>
                <w:color w:val="auto"/>
              </w:rPr>
              <w:t>Audit Fees</w:t>
            </w:r>
            <w:r>
              <w:rPr>
                <w:rFonts w:ascii="Arial" w:cs="Arial" w:eastAsia="Arial" w:hAnsi="Arial"/>
                <w:sz w:val="22"/>
                <w:szCs w:val="22"/>
                <w:color w:val="auto"/>
                <w:vertAlign w:val="superscript"/>
              </w:rPr>
              <w:t>(1)</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$1,985,000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932,775</w:t>
            </w:r>
          </w:p>
        </w:tc>
        <w:tc>
          <w:tcPr>
            <w:tcW w:w="40" w:type="dxa"/>
            <w:vAlign w:val="bottom"/>
            <w:shd w:val="clear" w:color="auto" w:fill="CCEEFF"/>
          </w:tcPr>
          <w:p>
            <w:pPr>
              <w:spacing w:after="0"/>
              <w:rPr>
                <w:sz w:val="17"/>
                <w:szCs w:val="17"/>
                <w:color w:val="auto"/>
              </w:rPr>
            </w:pPr>
          </w:p>
        </w:tc>
      </w:tr>
      <w:tr>
        <w:trPr>
          <w:trHeight w:val="216"/>
        </w:trPr>
        <w:tc>
          <w:tcPr>
            <w:tcW w:w="62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62,876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325,289</w:t>
            </w:r>
          </w:p>
        </w:tc>
      </w:tr>
      <w:tr>
        <w:trPr>
          <w:trHeight w:val="216"/>
        </w:trPr>
        <w:tc>
          <w:tcPr>
            <w:tcW w:w="62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40" w:type="dxa"/>
            <w:vAlign w:val="bottom"/>
          </w:tcPr>
          <w:p>
            <w:pPr>
              <w:spacing w:after="0"/>
              <w:rPr>
                <w:sz w:val="19"/>
                <w:szCs w:val="19"/>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2,301,196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1,261,854</w:t>
            </w:r>
          </w:p>
        </w:tc>
      </w:tr>
      <w:tr>
        <w:trPr>
          <w:trHeight w:val="20"/>
        </w:trPr>
        <w:tc>
          <w:tcPr>
            <w:tcW w:w="8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5"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Fees cover professional services rendered for the audit of our annual financial statements and review of financial statements included in our quarterly reports on Form 10-Q, and services normally provided by the accountant in connection with statutory and regulatory filings or engagements.</w:t>
      </w:r>
    </w:p>
    <w:p>
      <w:pPr>
        <w:spacing w:after="0" w:line="2" w:lineRule="exact"/>
        <w:rPr>
          <w:rFonts w:ascii="Arial" w:cs="Arial" w:eastAsia="Arial" w:hAnsi="Arial"/>
          <w:sz w:val="18"/>
          <w:szCs w:val="18"/>
          <w:color w:val="auto"/>
        </w:rPr>
      </w:pPr>
    </w:p>
    <w:p>
      <w:pPr>
        <w:ind w:left="540" w:right="66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Audit-Related Fees cover assurance and related services that are reasonably related to the performance of audit or review of our financial statements and not reported as Audit Fees.</w:t>
      </w:r>
    </w:p>
    <w:p>
      <w:pPr>
        <w:ind w:left="540" w:right="42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Fees cover tax compliance, advice, and planning services and consist primarily of review of consolidated federal income tax returns and foreign tax issues.</w:t>
      </w:r>
    </w:p>
    <w:p>
      <w:pPr>
        <w:ind w:left="540" w:right="38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Fees 2019 related to license fees for accounting research software. All Other Fees in 2020 are related to license fees for accounting research software and Merger and Acquisition support.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 and Procedures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audit committee has adopted policies and procedures relating to the pre-approval of all audit and non-audit services that are to be provided by our independent registered public accounting firm. The audit committee will not approve non-audit services that the independent registered public accounting firm is not permitted to perform under the rules of the SEC and Public Company Accounting Oversight Board.</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an annual basis, the independent registered public accounting firm will propose to the audit committee an audit plan and engagement letter describing the services the auditor expects to provide and related fees. The final engagement letter and fees agreed by the company acting pursuant to the direction of the audit committee, and all of the services covered by the final engagement letter, will be considered pre-approved by the audit committee.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or the Chair of the audit committee acting by delegated authority will approve, if necessary, any changes in terms, conditions and fees under the engagement letter resulting from changes in the audit scope, company structure or other matters.</w:t>
      </w:r>
    </w:p>
    <w:p>
      <w:pPr>
        <w:spacing w:after="0" w:line="170"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The audit committee has delegated to the Chair of the audit committee the authority to approve on a case-by-case basis any audit or non-audit services, in amounts up to $200,000 (1) per engagement, (2) per additional category of services, or (3) in excess of pre-approved amounts for the specified service. The Chair then reports any services so approved to the audit committee at its next regularly scheduled meeting.</w:t>
      </w:r>
    </w:p>
    <w:p>
      <w:pPr>
        <w:spacing w:after="0" w:line="14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All services rendered for fiscal 2020 and fiscal 2019 were pre-approved by the audit committee in accordance with the audit committee’s pre-approval policies and procedures described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8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w:t>
      </w:r>
    </w:p>
    <w:p>
      <w:pPr>
        <w:spacing w:after="0" w:line="117" w:lineRule="exact"/>
        <w:rPr>
          <w:sz w:val="20"/>
          <w:szCs w:val="20"/>
          <w:color w:val="auto"/>
        </w:rPr>
      </w:pPr>
    </w:p>
    <w:p>
      <w:pPr>
        <w:ind w:left="740" w:hanging="184"/>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response to this portion of Item 15 is set forth under Item 8 of the Original Form 10-K.</w:t>
      </w:r>
    </w:p>
    <w:p>
      <w:pPr>
        <w:spacing w:after="0" w:line="117" w:lineRule="exact"/>
        <w:rPr>
          <w:rFonts w:ascii="Arial" w:cs="Arial" w:eastAsia="Arial" w:hAnsi="Arial"/>
          <w:sz w:val="18"/>
          <w:szCs w:val="18"/>
          <w:color w:val="auto"/>
        </w:rPr>
      </w:pPr>
    </w:p>
    <w:p>
      <w:pPr>
        <w:ind w:left="740" w:hanging="184"/>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in the financial statements of the notes thereto.</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 Exhibits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360" w:type="dxa"/>
            <w:vAlign w:val="bottom"/>
            <w:gridSpan w:val="17"/>
          </w:tcPr>
          <w:p>
            <w:pPr>
              <w:ind w:left="2080"/>
              <w:spacing w:after="0"/>
              <w:rPr>
                <w:sz w:val="20"/>
                <w:szCs w:val="20"/>
                <w:color w:val="auto"/>
              </w:rPr>
            </w:pPr>
            <w:r>
              <w:rPr>
                <w:rFonts w:ascii="Arial" w:cs="Arial" w:eastAsia="Arial" w:hAnsi="Arial"/>
                <w:sz w:val="14"/>
                <w:szCs w:val="14"/>
                <w:b w:val="1"/>
                <w:bCs w:val="1"/>
                <w:color w:val="auto"/>
              </w:rPr>
              <w:t>Description</w:t>
            </w:r>
          </w:p>
        </w:tc>
      </w:tr>
      <w:tr>
        <w:trPr>
          <w:trHeight w:val="268"/>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2.1</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Agreement and Plan of Merger, dated as of December 19, 2019, by and among The Rubicon Project, Inc., Madison Merger Corp., and</w:t>
              </w:r>
            </w:hyperlink>
          </w:p>
        </w:tc>
        <w:tc>
          <w:tcPr>
            <w:tcW w:w="260" w:type="dxa"/>
            <w:vAlign w:val="bottom"/>
            <w:gridSpan w:val="6"/>
          </w:tcPr>
          <w:p>
            <w:pPr>
              <w:spacing w:after="0"/>
              <w:rPr>
                <w:sz w:val="23"/>
                <w:szCs w:val="23"/>
                <w:color w:val="auto"/>
              </w:rPr>
            </w:pPr>
          </w:p>
        </w:tc>
      </w:tr>
      <w:tr>
        <w:trPr>
          <w:trHeight w:val="196"/>
        </w:trPr>
        <w:tc>
          <w:tcPr>
            <w:tcW w:w="9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Telaria, Inc. (incorporated by reference to Exhibit 2.1 to the Registrant’s Current Report on Form 8-K filed with the Commission on</w:t>
              </w:r>
            </w:hyperlink>
          </w:p>
        </w:tc>
        <w:tc>
          <w:tcPr>
            <w:tcW w:w="42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December 20, 2019).</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2.2</w:t>
            </w:r>
          </w:p>
        </w:tc>
        <w:tc>
          <w:tcPr>
            <w:tcW w:w="9720" w:type="dxa"/>
            <w:vAlign w:val="bottom"/>
            <w:tcBorders>
              <w:bottom w:val="single" w:sz="8" w:color="0000EE"/>
            </w:tcBorders>
            <w:gridSpan w:val="18"/>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Stock Purchase Agreement, dated as of February 4, 2021, by and between Magnite, Inc., RTL US Holdings, Inc., and solely for certain</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sections therein, RTL Group S.A.. (incorporated by reference to Exhibit 2.1 to the Registrant’s Current Report on Form 8-K filed with the</w:t>
              </w:r>
            </w:hyperlink>
          </w:p>
        </w:tc>
      </w:tr>
      <w:tr>
        <w:trPr>
          <w:trHeight w:val="196"/>
        </w:trPr>
        <w:tc>
          <w:tcPr>
            <w:tcW w:w="920" w:type="dxa"/>
            <w:vAlign w:val="bottom"/>
          </w:tcPr>
          <w:p>
            <w:pPr>
              <w:spacing w:after="0"/>
              <w:rPr>
                <w:sz w:val="17"/>
                <w:szCs w:val="17"/>
                <w:color w:val="auto"/>
              </w:rPr>
            </w:pPr>
          </w:p>
        </w:tc>
        <w:tc>
          <w:tcPr>
            <w:tcW w:w="9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Commission on February 5, 2021).†</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0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3.1</w:t>
            </w:r>
          </w:p>
        </w:tc>
        <w:tc>
          <w:tcPr>
            <w:tcW w:w="9700" w:type="dxa"/>
            <w:vAlign w:val="bottom"/>
            <w:tcBorders>
              <w:bottom w:val="single" w:sz="8" w:color="0000EE"/>
            </w:tcBorders>
            <w:gridSpan w:val="17"/>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Sixth Amended and Restated Certificate of Incorporation of the Registrant (incorporated by reference to Exhibit 3.1 to the Registrant’s</w:t>
              </w:r>
            </w:hyperlink>
          </w:p>
        </w:tc>
        <w:tc>
          <w:tcPr>
            <w:tcW w:w="2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Quarterly Report on Form 10-Q filed with the Commission on May 15, 2014).</w:t>
              </w:r>
            </w:hyperlink>
          </w:p>
        </w:tc>
        <w:tc>
          <w:tcPr>
            <w:tcW w:w="4280" w:type="dxa"/>
            <w:vAlign w:val="bottom"/>
            <w:gridSpan w:val="16"/>
          </w:tcPr>
          <w:p>
            <w:pPr>
              <w:spacing w:after="0"/>
              <w:rPr>
                <w:sz w:val="17"/>
                <w:szCs w:val="17"/>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3.2</w:t>
            </w:r>
          </w:p>
        </w:tc>
        <w:tc>
          <w:tcPr>
            <w:tcW w:w="9240" w:type="dxa"/>
            <w:vAlign w:val="bottom"/>
            <w:tcBorders>
              <w:bottom w:val="single" w:sz="8" w:color="0000EE"/>
            </w:tcBorders>
            <w:gridSpan w:val="1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Certificate of Amendment to the Sixth Amended and Restated Certificate of Incorporation of Magnite, Inc., dated June 30, 2020</w:t>
              </w:r>
            </w:hyperlink>
          </w:p>
        </w:tc>
        <w:tc>
          <w:tcPr>
            <w:tcW w:w="68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(incorporated by reference to Exhibit 3.1 to the Registrant’s Quarterly Report on Form 10-Q filed with the Commission on August 10,</w:t>
              </w:r>
            </w:hyperlink>
          </w:p>
        </w:tc>
      </w:tr>
      <w:tr>
        <w:trPr>
          <w:trHeight w:val="196"/>
        </w:trPr>
        <w:tc>
          <w:tcPr>
            <w:tcW w:w="9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2020).</w:t>
              </w:r>
            </w:hyperlink>
          </w:p>
        </w:tc>
        <w:tc>
          <w:tcPr>
            <w:tcW w:w="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0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3.3</w:t>
            </w:r>
          </w:p>
        </w:tc>
        <w:tc>
          <w:tcPr>
            <w:tcW w:w="9920" w:type="dxa"/>
            <w:vAlign w:val="bottom"/>
            <w:gridSpan w:val="21"/>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Fourth Amended and Restated Bylaws of Magnite, Inc., dated June 30, 2020 (incorporated by reference to Exhibit 3.4 to the Registrant’s</w:t>
              </w:r>
            </w:hyperlink>
          </w:p>
        </w:tc>
      </w:tr>
      <w:tr>
        <w:trPr>
          <w:trHeight w:val="196"/>
        </w:trPr>
        <w:tc>
          <w:tcPr>
            <w:tcW w:w="920" w:type="dxa"/>
            <w:vAlign w:val="bottom"/>
          </w:tcPr>
          <w:p>
            <w:pPr>
              <w:spacing w:after="0"/>
              <w:rPr>
                <w:sz w:val="17"/>
                <w:szCs w:val="17"/>
                <w:color w:val="auto"/>
              </w:rPr>
            </w:pPr>
          </w:p>
        </w:tc>
        <w:tc>
          <w:tcPr>
            <w:tcW w:w="9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Quarterly Report on Form 10-Q filed with the Commission on August 10, 2020).</w:t>
              </w:r>
            </w:hyperlink>
          </w:p>
        </w:tc>
        <w:tc>
          <w:tcPr>
            <w:tcW w:w="8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2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87"/>
              </w:rPr>
              <w:t>4.1</w:t>
            </w:r>
          </w:p>
        </w:tc>
        <w:tc>
          <w:tcPr>
            <w:tcW w:w="9920" w:type="dxa"/>
            <w:vAlign w:val="bottom"/>
            <w:gridSpan w:val="21"/>
          </w:tcPr>
          <w:p>
            <w:pPr>
              <w:spacing w:after="0"/>
              <w:rPr>
                <w:rFonts w:ascii="Arial" w:cs="Arial" w:eastAsia="Arial" w:hAnsi="Arial"/>
                <w:sz w:val="18"/>
                <w:szCs w:val="18"/>
                <w:color w:val="0000EE"/>
                <w:w w:val="98"/>
              </w:rPr>
            </w:pPr>
            <w:hyperlink r:id="rId86">
              <w:r>
                <w:rPr>
                  <w:rFonts w:ascii="Arial" w:cs="Arial" w:eastAsia="Arial" w:hAnsi="Arial"/>
                  <w:sz w:val="18"/>
                  <w:szCs w:val="18"/>
                  <w:color w:val="0000EE"/>
                  <w:w w:val="98"/>
                </w:rPr>
                <w:t>Description of Securities (incorporated by reference to Exhibit 4.1 to the Registrant’s Annual Report on Form 10-K filed with the</w:t>
              </w:r>
            </w:hyperlink>
          </w:p>
        </w:tc>
      </w:tr>
      <w:tr>
        <w:trPr>
          <w:trHeight w:val="196"/>
        </w:trPr>
        <w:tc>
          <w:tcPr>
            <w:tcW w:w="92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Commission on February 25, 2021)</w:t>
              </w:r>
              <w:r>
                <w:rPr>
                  <w:rFonts w:ascii="Arial" w:cs="Arial" w:eastAsia="Arial" w:hAnsi="Arial"/>
                  <w:sz w:val="18"/>
                  <w:szCs w:val="18"/>
                  <w:color w:val="000000"/>
                </w:rPr>
                <w:t>.</w:t>
              </w:r>
            </w:hyperlink>
          </w:p>
        </w:tc>
        <w:tc>
          <w:tcPr>
            <w:tcW w:w="62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92"/>
              </w:rPr>
              <w:t>10.1+</w:t>
            </w:r>
          </w:p>
        </w:tc>
        <w:tc>
          <w:tcPr>
            <w:tcW w:w="9640" w:type="dxa"/>
            <w:vAlign w:val="bottom"/>
            <w:tcBorders>
              <w:bottom w:val="single" w:sz="8" w:color="0000EE"/>
            </w:tcBorders>
            <w:gridSpan w:val="14"/>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The Rubicon Project, Inc. 2007 Stock Incentive Plan and forms of agreements for employees thereunder (incorporated by reference to</w:t>
              </w:r>
            </w:hyperlink>
          </w:p>
        </w:tc>
        <w:tc>
          <w:tcPr>
            <w:tcW w:w="28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Exhibit 10.1 to the Registrant’s Registration Statement on Form S-1/A filed with the Commission on March 20, 2014).</w:t>
              </w:r>
            </w:hyperlink>
          </w:p>
        </w:tc>
      </w:tr>
      <w:tr>
        <w:trPr>
          <w:trHeight w:val="20"/>
        </w:trPr>
        <w:tc>
          <w:tcPr>
            <w:tcW w:w="9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92"/>
              </w:rPr>
              <w:t>10.2+</w:t>
            </w:r>
          </w:p>
        </w:tc>
        <w:tc>
          <w:tcPr>
            <w:tcW w:w="9920" w:type="dxa"/>
            <w:vAlign w:val="bottom"/>
            <w:gridSpan w:val="21"/>
          </w:tcPr>
          <w:p>
            <w:pPr>
              <w:spacing w:after="0"/>
              <w:rPr>
                <w:rFonts w:ascii="Arial" w:cs="Arial" w:eastAsia="Arial" w:hAnsi="Arial"/>
                <w:sz w:val="18"/>
                <w:szCs w:val="18"/>
                <w:color w:val="0000EE"/>
                <w:w w:val="97"/>
              </w:rPr>
            </w:pPr>
            <w:hyperlink r:id="rId88">
              <w:r>
                <w:rPr>
                  <w:rFonts w:ascii="Arial" w:cs="Arial" w:eastAsia="Arial" w:hAnsi="Arial"/>
                  <w:sz w:val="18"/>
                  <w:szCs w:val="18"/>
                  <w:color w:val="0000EE"/>
                  <w:w w:val="97"/>
                </w:rPr>
                <w:t>The Rubicon Project, Inc. 2014 Equity Incentive Plan, as amended and restated (incorporated by reference to Exhibit 10.1 to the</w:t>
              </w:r>
            </w:hyperlink>
          </w:p>
        </w:tc>
      </w:tr>
      <w:tr>
        <w:trPr>
          <w:trHeight w:val="196"/>
        </w:trPr>
        <w:tc>
          <w:tcPr>
            <w:tcW w:w="920" w:type="dxa"/>
            <w:vAlign w:val="bottom"/>
          </w:tcPr>
          <w:p>
            <w:pPr>
              <w:spacing w:after="0"/>
              <w:rPr>
                <w:sz w:val="17"/>
                <w:szCs w:val="17"/>
                <w:color w:val="auto"/>
              </w:rPr>
            </w:pPr>
          </w:p>
        </w:tc>
        <w:tc>
          <w:tcPr>
            <w:tcW w:w="9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Registrant’s Current Report on Form 8-K filed with the Commission on April 8, 2016).</w:t>
              </w:r>
            </w:hyperlink>
          </w:p>
        </w:tc>
        <w:tc>
          <w:tcPr>
            <w:tcW w:w="700" w:type="dxa"/>
            <w:vAlign w:val="bottom"/>
            <w:gridSpan w:val="1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92"/>
              </w:rPr>
              <w:t>10.3+</w:t>
            </w:r>
          </w:p>
        </w:tc>
        <w:tc>
          <w:tcPr>
            <w:tcW w:w="9920" w:type="dxa"/>
            <w:vAlign w:val="bottom"/>
            <w:gridSpan w:val="21"/>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Form of Stock Option Grant Notice and Award Agreement for Employees under The Rubicon Project, Inc. 2014 Equity Incentive Plan</w:t>
              </w:r>
            </w:hyperlink>
          </w:p>
        </w:tc>
      </w:tr>
      <w:tr>
        <w:trPr>
          <w:trHeight w:val="196"/>
        </w:trPr>
        <w:tc>
          <w:tcPr>
            <w:tcW w:w="92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(incorporated by reference to Exhibit 10.2(B) to the Registrant’s Annual Report on Form 10-K filed with the Commission on March 6,</w:t>
              </w:r>
            </w:hyperlink>
          </w:p>
        </w:tc>
        <w:tc>
          <w:tcPr>
            <w:tcW w:w="2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89">
              <w:r>
                <w:rPr>
                  <w:rFonts w:ascii="Arial" w:cs="Arial" w:eastAsia="Arial" w:hAnsi="Arial"/>
                  <w:sz w:val="18"/>
                  <w:szCs w:val="18"/>
                  <w:color w:val="0000EE"/>
                  <w:w w:val="86"/>
                </w:rPr>
                <w:t>2015).</w:t>
              </w:r>
            </w:hyperlink>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20" w:type="dxa"/>
            <w:vAlign w:val="bottom"/>
          </w:tcPr>
          <w:p>
            <w:pPr>
              <w:jc w:val="center"/>
              <w:ind w:right="412"/>
              <w:spacing w:after="0"/>
              <w:rPr>
                <w:sz w:val="20"/>
                <w:szCs w:val="20"/>
                <w:color w:val="auto"/>
              </w:rPr>
            </w:pPr>
            <w:r>
              <w:rPr>
                <w:rFonts w:ascii="Arial" w:cs="Arial" w:eastAsia="Arial" w:hAnsi="Arial"/>
                <w:sz w:val="18"/>
                <w:szCs w:val="18"/>
                <w:color w:val="auto"/>
                <w:w w:val="92"/>
              </w:rPr>
              <w:t>10.4+</w:t>
            </w:r>
          </w:p>
        </w:tc>
        <w:tc>
          <w:tcPr>
            <w:tcW w:w="9920" w:type="dxa"/>
            <w:vAlign w:val="bottom"/>
            <w:tcBorders>
              <w:bottom w:val="single" w:sz="8" w:color="0000EE"/>
            </w:tcBorders>
            <w:gridSpan w:val="21"/>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Restricted Stock Unit Grant Notice and Award Agreement for Employees under The Rubicon Project, Inc. 2014 Equity Incentive</w:t>
              </w:r>
            </w:hyperlink>
          </w:p>
        </w:tc>
      </w:tr>
      <w:tr>
        <w:trPr>
          <w:trHeight w:val="196"/>
        </w:trPr>
        <w:tc>
          <w:tcPr>
            <w:tcW w:w="920" w:type="dxa"/>
            <w:vAlign w:val="bottom"/>
          </w:tcPr>
          <w:p>
            <w:pPr>
              <w:spacing w:after="0"/>
              <w:rPr>
                <w:sz w:val="17"/>
                <w:szCs w:val="17"/>
                <w:color w:val="auto"/>
              </w:rPr>
            </w:pPr>
          </w:p>
        </w:tc>
        <w:tc>
          <w:tcPr>
            <w:tcW w:w="9920" w:type="dxa"/>
            <w:vAlign w:val="bottom"/>
            <w:gridSpan w:val="21"/>
          </w:tcPr>
          <w:p>
            <w:pPr>
              <w:spacing w:after="0" w:line="196" w:lineRule="exact"/>
              <w:rPr>
                <w:rFonts w:ascii="Arial" w:cs="Arial" w:eastAsia="Arial" w:hAnsi="Arial"/>
                <w:sz w:val="18"/>
                <w:szCs w:val="18"/>
                <w:color w:val="0000EE"/>
                <w:w w:val="97"/>
              </w:rPr>
            </w:pPr>
            <w:hyperlink r:id="rId90">
              <w:r>
                <w:rPr>
                  <w:rFonts w:ascii="Arial" w:cs="Arial" w:eastAsia="Arial" w:hAnsi="Arial"/>
                  <w:sz w:val="18"/>
                  <w:szCs w:val="18"/>
                  <w:color w:val="0000EE"/>
                  <w:w w:val="97"/>
                </w:rPr>
                <w:t>Plan (incorporated by reference to Exhibit 10.2(C) to the Registrant’s Annual Report on Form 10-K filed with the Commission on</w:t>
              </w:r>
            </w:hyperlink>
          </w:p>
        </w:tc>
      </w:tr>
      <w:tr>
        <w:trPr>
          <w:trHeight w:val="196"/>
        </w:trPr>
        <w:tc>
          <w:tcPr>
            <w:tcW w:w="92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March 6, 2015).</w:t>
              </w:r>
            </w:hyperlink>
          </w:p>
        </w:tc>
        <w:tc>
          <w:tcPr>
            <w:tcW w:w="8180" w:type="dxa"/>
            <w:vAlign w:val="bottom"/>
            <w:tcBorders>
              <w:top w:val="single" w:sz="8" w:color="0000EE"/>
            </w:tcBorders>
            <w:gridSpan w:val="10"/>
          </w:tcPr>
          <w:p>
            <w:pPr>
              <w:spacing w:after="0"/>
              <w:rPr>
                <w:sz w:val="17"/>
                <w:szCs w:val="17"/>
                <w:color w:val="auto"/>
              </w:rPr>
            </w:pPr>
          </w:p>
        </w:tc>
        <w:tc>
          <w:tcPr>
            <w:tcW w:w="580" w:type="dxa"/>
            <w:vAlign w:val="bottom"/>
            <w:gridSpan w:val="9"/>
          </w:tcPr>
          <w:p>
            <w:pPr>
              <w:spacing w:after="0"/>
              <w:rPr>
                <w:sz w:val="17"/>
                <w:szCs w:val="17"/>
                <w:color w:val="auto"/>
              </w:rPr>
            </w:pPr>
          </w:p>
        </w:tc>
      </w:tr>
      <w:tr>
        <w:trPr>
          <w:trHeight w:val="385"/>
        </w:trPr>
        <w:tc>
          <w:tcPr>
            <w:tcW w:w="920" w:type="dxa"/>
            <w:vAlign w:val="bottom"/>
          </w:tcPr>
          <w:p>
            <w:pPr>
              <w:spacing w:after="0"/>
              <w:rPr>
                <w:sz w:val="24"/>
                <w:szCs w:val="24"/>
                <w:color w:val="auto"/>
              </w:rPr>
            </w:pPr>
          </w:p>
        </w:tc>
        <w:tc>
          <w:tcPr>
            <w:tcW w:w="5640" w:type="dxa"/>
            <w:vAlign w:val="bottom"/>
            <w:gridSpan w:val="5"/>
          </w:tcPr>
          <w:p>
            <w:pPr>
              <w:ind w:left="44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40"/>
          </w:cols>
          <w:pgMar w:left="320" w:top="486"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9960" w:type="dxa"/>
            <w:vAlign w:val="bottom"/>
            <w:gridSpan w:val="31"/>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Form of Stock Option Grant Notice and Award Agreement for Non-Employee Directors under The Rubicon Project, Inc. 2014 Equity</w:t>
              </w:r>
            </w:hyperlink>
          </w:p>
        </w:tc>
      </w:tr>
      <w:tr>
        <w:trPr>
          <w:trHeight w:val="20"/>
        </w:trPr>
        <w:tc>
          <w:tcPr>
            <w:tcW w:w="9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Incentive Plan (incorporated by reference to Exhibit 10.2(D) to the Registrant’s Annual Report on Form 10-K filed with the Commission</w:t>
              </w:r>
            </w:hyperlink>
          </w:p>
        </w:tc>
        <w:tc>
          <w:tcPr>
            <w:tcW w:w="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3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on March 6, 2015).</w:t>
              </w:r>
            </w:hyperlink>
          </w:p>
        </w:tc>
        <w:tc>
          <w:tcPr>
            <w:tcW w:w="8580" w:type="dxa"/>
            <w:vAlign w:val="bottom"/>
            <w:gridSpan w:val="30"/>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9700" w:type="dxa"/>
            <w:vAlign w:val="bottom"/>
            <w:tcBorders>
              <w:bottom w:val="single" w:sz="8" w:color="0000EE"/>
            </w:tcBorders>
            <w:gridSpan w:val="20"/>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of Restricted Stock Unit Grant Notice and Award Agreement for Non-Employee Directors under The Rubicon Project, Inc. 2014</w:t>
              </w:r>
            </w:hyperlink>
          </w:p>
        </w:tc>
        <w:tc>
          <w:tcPr>
            <w:tcW w:w="26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4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Equity Incentive Plan (incorporated by reference to Exhibit 10.2(E) to the Registrant’s Annual Report on Form 10-K filed with the</w:t>
              </w:r>
            </w:hyperlink>
          </w:p>
        </w:tc>
        <w:tc>
          <w:tcPr>
            <w:tcW w:w="560" w:type="dxa"/>
            <w:vAlign w:val="bottom"/>
            <w:gridSpan w:val="1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3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Commission on March 6, 2015).</w:t>
              </w:r>
            </w:hyperlink>
          </w:p>
        </w:tc>
        <w:tc>
          <w:tcPr>
            <w:tcW w:w="7620" w:type="dxa"/>
            <w:vAlign w:val="bottom"/>
            <w:gridSpan w:val="29"/>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9780" w:type="dxa"/>
            <w:vAlign w:val="bottom"/>
            <w:tcBorders>
              <w:bottom w:val="single" w:sz="8" w:color="0000EE"/>
            </w:tcBorders>
            <w:gridSpan w:val="23"/>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The Rubicon Project, Inc. 2014 Employee Stock Purchase Plan, as amended and restated on July 26, 2018 (incorporated by reference to</w:t>
              </w:r>
            </w:hyperlink>
          </w:p>
        </w:tc>
        <w:tc>
          <w:tcPr>
            <w:tcW w:w="18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Exhibit 10.3 to the Registrant’s Quarterly Report on Form 10-Q filed with the Commission on November 7, 2018).</w:t>
              </w:r>
            </w:hyperlink>
          </w:p>
        </w:tc>
      </w:tr>
      <w:tr>
        <w:trPr>
          <w:trHeight w:val="20"/>
        </w:trPr>
        <w:tc>
          <w:tcPr>
            <w:tcW w:w="920" w:type="dxa"/>
            <w:vAlign w:val="bottom"/>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9960" w:type="dxa"/>
            <w:vAlign w:val="bottom"/>
            <w:gridSpan w:val="31"/>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The Rubicon Project, Inc. 2014 Inducement Grant Equity Incentive Plan, as amended and restated (incorporated by reference to Exhibit</w:t>
              </w:r>
            </w:hyperlink>
          </w:p>
        </w:tc>
      </w:tr>
      <w:tr>
        <w:trPr>
          <w:trHeight w:val="196"/>
        </w:trPr>
        <w:tc>
          <w:tcPr>
            <w:tcW w:w="92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the Registrant’s Current Report on Form 8-K filed with the Commission on April 8, 2016).</w:t>
              </w:r>
            </w:hyperlink>
          </w:p>
        </w:tc>
        <w:tc>
          <w:tcPr>
            <w:tcW w:w="2680" w:type="dxa"/>
            <w:vAlign w:val="bottom"/>
            <w:tcBorders>
              <w:top w:val="single" w:sz="8" w:color="0000EE"/>
            </w:tcBorders>
            <w:gridSpan w:val="14"/>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10.09+</w:t>
            </w:r>
          </w:p>
        </w:tc>
        <w:tc>
          <w:tcPr>
            <w:tcW w:w="9940" w:type="dxa"/>
            <w:vAlign w:val="bottom"/>
            <w:tcBorders>
              <w:bottom w:val="single" w:sz="8" w:color="0000EE"/>
            </w:tcBorders>
            <w:gridSpan w:val="30"/>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Telaria, Inc. 2013 Equity Incentive Plan, as amended (incorporated by reference to Exhibit 99.2 to the Registrants’ Registration Statement</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on Form S-8, dated April 9, 2020)</w:t>
              </w:r>
            </w:hyperlink>
          </w:p>
        </w:tc>
        <w:tc>
          <w:tcPr>
            <w:tcW w:w="7500" w:type="dxa"/>
            <w:vAlign w:val="bottom"/>
            <w:gridSpan w:val="28"/>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9720" w:type="dxa"/>
            <w:vAlign w:val="bottom"/>
            <w:tcBorders>
              <w:bottom w:val="single" w:sz="8" w:color="0000EE"/>
            </w:tcBorders>
            <w:gridSpan w:val="21"/>
          </w:tcPr>
          <w:p>
            <w:pPr>
              <w:spacing w:after="0"/>
              <w:rPr>
                <w:rFonts w:ascii="Arial" w:cs="Arial" w:eastAsia="Arial" w:hAnsi="Arial"/>
                <w:sz w:val="18"/>
                <w:szCs w:val="18"/>
                <w:color w:val="0000EE"/>
                <w:w w:val="89"/>
              </w:rPr>
            </w:pPr>
            <w:hyperlink r:id="rId97">
              <w:r>
                <w:rPr>
                  <w:rFonts w:ascii="Arial" w:cs="Arial" w:eastAsia="Arial" w:hAnsi="Arial"/>
                  <w:sz w:val="18"/>
                  <w:szCs w:val="18"/>
                  <w:color w:val="0000EE"/>
                  <w:w w:val="89"/>
                </w:rPr>
                <w:t>Second Amended and Restated Loan and Security Agreement, dated as of September 25, 2020, between Silicon Valley Bank, Magnite,</w:t>
              </w:r>
            </w:hyperlink>
          </w:p>
        </w:tc>
        <w:tc>
          <w:tcPr>
            <w:tcW w:w="24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w w:val="97"/>
              </w:rPr>
            </w:pPr>
            <w:hyperlink r:id="rId97">
              <w:r>
                <w:rPr>
                  <w:rFonts w:ascii="Arial" w:cs="Arial" w:eastAsia="Arial" w:hAnsi="Arial"/>
                  <w:sz w:val="18"/>
                  <w:szCs w:val="18"/>
                  <w:color w:val="0000EE"/>
                  <w:w w:val="97"/>
                </w:rPr>
                <w:t>Inc., Magnite Hopper, Inc., Magnite Bell, Inc. and Magnite CTV, Inc. (incorporated by reference to Exhibit 10.1 to the Registrant’s</w:t>
              </w:r>
            </w:hyperlink>
          </w:p>
        </w:tc>
      </w:tr>
      <w:tr>
        <w:trPr>
          <w:trHeight w:val="196"/>
        </w:trPr>
        <w:tc>
          <w:tcPr>
            <w:tcW w:w="920" w:type="dxa"/>
            <w:vAlign w:val="bottom"/>
          </w:tcPr>
          <w:p>
            <w:pPr>
              <w:spacing w:after="0"/>
              <w:rPr>
                <w:sz w:val="17"/>
                <w:szCs w:val="17"/>
                <w:color w:val="auto"/>
              </w:rPr>
            </w:pPr>
          </w:p>
        </w:tc>
        <w:tc>
          <w:tcPr>
            <w:tcW w:w="94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Quarterly Report on Form 10-Q, dated November 9, 2020).</w:t>
              </w:r>
            </w:hyperlink>
          </w:p>
        </w:tc>
        <w:tc>
          <w:tcPr>
            <w:tcW w:w="540" w:type="dxa"/>
            <w:vAlign w:val="bottom"/>
            <w:gridSpan w:val="1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Indemnification Agreement between the Registrant and each of its directors and executive officers (incorporated by reference to</w:t>
              </w:r>
            </w:hyperlink>
          </w:p>
        </w:tc>
        <w:tc>
          <w:tcPr>
            <w:tcW w:w="1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86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Exhibit 10.17 to the Registrant’s Registration Statement on Form S-1/A filed with the Commission on March 20, 2014).</w:t>
              </w:r>
            </w:hyperlink>
          </w:p>
        </w:tc>
        <w:tc>
          <w:tcPr>
            <w:tcW w:w="1320" w:type="dxa"/>
            <w:vAlign w:val="bottom"/>
            <w:gridSpan w:val="19"/>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9960" w:type="dxa"/>
            <w:vAlign w:val="bottom"/>
            <w:gridSpan w:val="31"/>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Form of Executive Severance and Vesting Acceleration Agreement by and between the Registrant and certain of its executive officers</w:t>
              </w:r>
            </w:hyperlink>
          </w:p>
        </w:tc>
      </w:tr>
      <w:tr>
        <w:trPr>
          <w:trHeight w:val="196"/>
        </w:trPr>
        <w:tc>
          <w:tcPr>
            <w:tcW w:w="920" w:type="dxa"/>
            <w:vAlign w:val="bottom"/>
          </w:tcPr>
          <w:p>
            <w:pPr>
              <w:spacing w:after="0"/>
              <w:rPr>
                <w:sz w:val="17"/>
                <w:szCs w:val="17"/>
                <w:color w:val="auto"/>
              </w:rPr>
            </w:pPr>
          </w:p>
        </w:tc>
        <w:tc>
          <w:tcPr>
            <w:tcW w:w="9620" w:type="dxa"/>
            <w:vAlign w:val="bottom"/>
            <w:tcBorders>
              <w:top w:val="single" w:sz="8" w:color="0000EE"/>
            </w:tcBorders>
            <w:gridSpan w:val="19"/>
          </w:tcPr>
          <w:p>
            <w:pPr>
              <w:spacing w:after="0" w:line="196" w:lineRule="exact"/>
              <w:rPr>
                <w:rFonts w:ascii="Arial" w:cs="Arial" w:eastAsia="Arial" w:hAnsi="Arial"/>
                <w:sz w:val="18"/>
                <w:szCs w:val="18"/>
                <w:color w:val="0000EE"/>
                <w:w w:val="98"/>
              </w:rPr>
            </w:pPr>
            <w:hyperlink r:id="rId99">
              <w:r>
                <w:rPr>
                  <w:rFonts w:ascii="Arial" w:cs="Arial" w:eastAsia="Arial" w:hAnsi="Arial"/>
                  <w:sz w:val="18"/>
                  <w:szCs w:val="18"/>
                  <w:color w:val="0000EE"/>
                  <w:w w:val="98"/>
                </w:rPr>
                <w:t>(incorporated by reference to Exhibit 10.23 to the Registrants Form 10-K filed with the Commission on February 27, 2020).</w:t>
              </w:r>
            </w:hyperlink>
          </w:p>
        </w:tc>
        <w:tc>
          <w:tcPr>
            <w:tcW w:w="340" w:type="dxa"/>
            <w:vAlign w:val="bottom"/>
            <w:gridSpan w:val="1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9520" w:type="dxa"/>
            <w:vAlign w:val="bottom"/>
            <w:tcBorders>
              <w:bottom w:val="single" w:sz="8" w:color="0000EE"/>
            </w:tcBorders>
            <w:gridSpan w:val="18"/>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Executive Employment Agreement between the Registrant and Michael Barrett, dated March 16, 2017 (incorporated by reference to</w:t>
              </w:r>
            </w:hyperlink>
          </w:p>
        </w:tc>
        <w:tc>
          <w:tcPr>
            <w:tcW w:w="440" w:type="dxa"/>
            <w:vAlign w:val="bottom"/>
            <w:gridSpan w:val="1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78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Exhibit 10.1 to the Registrant’s Current Report on Form 8-K filed with the Commission on March 22, 2017).</w:t>
              </w:r>
            </w:hyperlink>
          </w:p>
        </w:tc>
        <w:tc>
          <w:tcPr>
            <w:tcW w:w="2120" w:type="dxa"/>
            <w:vAlign w:val="bottom"/>
            <w:gridSpan w:val="21"/>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9960" w:type="dxa"/>
            <w:vAlign w:val="bottom"/>
            <w:gridSpan w:val="31"/>
          </w:tcPr>
          <w:p>
            <w:pPr>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Executive Severance and Vesting Acceleration Agreement between the Registrant and Michael Barrett, dated March 16, 2017</w:t>
              </w:r>
            </w:hyperlink>
          </w:p>
        </w:tc>
      </w:tr>
      <w:tr>
        <w:trPr>
          <w:trHeight w:val="20"/>
        </w:trPr>
        <w:tc>
          <w:tcPr>
            <w:tcW w:w="92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96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(incorporated by reference to Exhibit 10.2 to the Registrant’s Current Report on Form 8-K filed with the Commission on March 22, 2017).</w:t>
              </w:r>
            </w:hyperlink>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9960" w:type="dxa"/>
            <w:vAlign w:val="bottom"/>
            <w:gridSpan w:val="31"/>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Executive Severance and Vesting Acceleration Agreement between the Registrant and Aaron Saltz, dated April 1, 2020 (incorporated by</w:t>
              </w:r>
            </w:hyperlink>
          </w:p>
        </w:tc>
      </w:tr>
      <w:tr>
        <w:trPr>
          <w:trHeight w:val="196"/>
        </w:trPr>
        <w:tc>
          <w:tcPr>
            <w:tcW w:w="92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reference to Exhibit 10.3 to the Registrant’s Quarterly Report on Form 10-Q filed with the Commission on August 10, 2020).</w:t>
              </w:r>
            </w:hyperlink>
          </w:p>
        </w:tc>
        <w:tc>
          <w:tcPr>
            <w:tcW w:w="780" w:type="dxa"/>
            <w:vAlign w:val="bottom"/>
            <w:tcBorders>
              <w:top w:val="single" w:sz="8" w:color="0000EE"/>
            </w:tcBorders>
            <w:gridSpan w:val="10"/>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9960" w:type="dxa"/>
            <w:vAlign w:val="bottom"/>
            <w:gridSpan w:val="31"/>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Office Lease between BRE HH Property Owner LLC and Magnite, Inc., dated November 20, 2020 (incorporated by reference to Exhibit</w:t>
              </w:r>
            </w:hyperlink>
          </w:p>
        </w:tc>
      </w:tr>
      <w:tr>
        <w:trPr>
          <w:trHeight w:val="196"/>
        </w:trPr>
        <w:tc>
          <w:tcPr>
            <w:tcW w:w="920" w:type="dxa"/>
            <w:vAlign w:val="bottom"/>
          </w:tcPr>
          <w:p>
            <w:pPr>
              <w:spacing w:after="0"/>
              <w:rPr>
                <w:sz w:val="17"/>
                <w:szCs w:val="17"/>
                <w:color w:val="auto"/>
              </w:rPr>
            </w:pPr>
          </w:p>
        </w:tc>
        <w:tc>
          <w:tcPr>
            <w:tcW w:w="98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16</w:t>
              </w:r>
              <w:r>
                <w:rPr>
                  <w:rFonts w:ascii="Arial" w:cs="Arial" w:eastAsia="Arial" w:hAnsi="Arial"/>
                  <w:sz w:val="18"/>
                  <w:szCs w:val="18"/>
                  <w:color w:val="0000EE"/>
                </w:rPr>
                <w:t xml:space="preserve"> to the Registrant’s Annual Report on Form 10-K filed with the Commission on February 25, 2021)</w:t>
              </w:r>
              <w:r>
                <w:rPr>
                  <w:rFonts w:ascii="Arial" w:cs="Arial" w:eastAsia="Arial" w:hAnsi="Arial"/>
                  <w:sz w:val="18"/>
                  <w:szCs w:val="18"/>
                  <w:color w:val="000000"/>
                </w:rPr>
                <w:t>.</w:t>
              </w:r>
            </w:hyperlink>
          </w:p>
        </w:tc>
        <w:tc>
          <w:tcPr>
            <w:tcW w:w="14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9140" w:type="dxa"/>
            <w:vAlign w:val="bottom"/>
            <w:tcBorders>
              <w:bottom w:val="single" w:sz="8" w:color="0000EE"/>
            </w:tcBorders>
            <w:gridSpan w:val="15"/>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List of Subsidiaries(incorporated by reference to Exhibit 21.1 of the Registrant’s Quarterly Report on Form 10-Q filed with the</w:t>
              </w:r>
            </w:hyperlink>
          </w:p>
        </w:tc>
        <w:tc>
          <w:tcPr>
            <w:tcW w:w="820" w:type="dxa"/>
            <w:vAlign w:val="bottom"/>
            <w:gridSpan w:val="1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5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Commission on November 9, 2020)</w:t>
              </w:r>
            </w:hyperlink>
          </w:p>
        </w:tc>
        <w:tc>
          <w:tcPr>
            <w:tcW w:w="7380" w:type="dxa"/>
            <w:vAlign w:val="bottom"/>
            <w:gridSpan w:val="27"/>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9840" w:type="dxa"/>
            <w:vAlign w:val="bottom"/>
            <w:tcBorders>
              <w:bottom w:val="single" w:sz="8" w:color="0000EE"/>
            </w:tcBorders>
            <w:gridSpan w:val="25"/>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Consent of Deloitte &amp; Touche LLP. Deloitte &amp; Touche LLP (incorporated by reference to Exhibit 23.1 to the Registrant’s Annual Report</w:t>
              </w:r>
            </w:hyperlink>
          </w:p>
        </w:tc>
        <w:tc>
          <w:tcPr>
            <w:tcW w:w="12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on Form 10-K filed with the Commission on February 25, 2021)</w:t>
              </w:r>
              <w:r>
                <w:rPr>
                  <w:rFonts w:ascii="Arial" w:cs="Arial" w:eastAsia="Arial" w:hAnsi="Arial"/>
                  <w:sz w:val="18"/>
                  <w:szCs w:val="18"/>
                  <w:color w:val="000000"/>
                </w:rPr>
                <w:t>.</w:t>
              </w:r>
            </w:hyperlink>
          </w:p>
        </w:tc>
      </w:tr>
      <w:tr>
        <w:trPr>
          <w:trHeight w:val="20"/>
        </w:trPr>
        <w:tc>
          <w:tcPr>
            <w:tcW w:w="920" w:type="dxa"/>
            <w:vAlign w:val="bottom"/>
          </w:tcPr>
          <w:p>
            <w:pPr>
              <w:spacing w:after="0" w:line="20" w:lineRule="exact"/>
              <w:rPr>
                <w:sz w:val="1"/>
                <w:szCs w:val="1"/>
                <w:color w:val="auto"/>
              </w:rPr>
            </w:pPr>
          </w:p>
        </w:tc>
        <w:tc>
          <w:tcPr>
            <w:tcW w:w="46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29"/>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Certification of Principal Executive Officer Pursuant to Exchange Act Rules 13a-14(a) and 15d-14(a), as adopted pursuant to Section 302</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of the Sarbanes-Oxley Act of 2002, dated February 24, 2021 (incorporated by reference to Exhibit 31.1 to the Registrant’s Annual Report</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on Form 10-K filed with the Commission on February 25, 2021).</w:t>
              </w:r>
            </w:hyperlink>
          </w:p>
        </w:tc>
      </w:tr>
      <w:tr>
        <w:trPr>
          <w:trHeight w:val="385"/>
        </w:trPr>
        <w:tc>
          <w:tcPr>
            <w:tcW w:w="920" w:type="dxa"/>
            <w:vAlign w:val="bottom"/>
          </w:tcPr>
          <w:p>
            <w:pPr>
              <w:spacing w:after="0"/>
              <w:rPr>
                <w:sz w:val="24"/>
                <w:szCs w:val="24"/>
                <w:color w:val="auto"/>
              </w:rPr>
            </w:pPr>
          </w:p>
        </w:tc>
        <w:tc>
          <w:tcPr>
            <w:tcW w:w="4640" w:type="dxa"/>
            <w:vAlign w:val="bottom"/>
            <w:tcBorders>
              <w:top w:val="single" w:sz="8" w:color="0000EE"/>
            </w:tcBorders>
            <w:gridSpan w:val="6"/>
          </w:tcPr>
          <w:p>
            <w:pPr>
              <w:ind w:left="4420"/>
              <w:spacing w:after="0"/>
              <w:rPr>
                <w:sz w:val="20"/>
                <w:szCs w:val="20"/>
                <w:color w:val="auto"/>
              </w:rPr>
            </w:pPr>
            <w:r>
              <w:rPr>
                <w:rFonts w:ascii="Arial" w:cs="Arial" w:eastAsia="Arial" w:hAnsi="Arial"/>
                <w:sz w:val="18"/>
                <w:szCs w:val="18"/>
                <w:color w:val="auto"/>
                <w:w w:val="99"/>
              </w:rPr>
              <w:t>38</w:t>
            </w:r>
          </w:p>
        </w:tc>
        <w:tc>
          <w:tcPr>
            <w:tcW w:w="4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ind w:left="80"/>
              <w:spacing w:after="0"/>
              <w:rPr>
                <w:sz w:val="20"/>
                <w:szCs w:val="20"/>
                <w:color w:val="auto"/>
              </w:rPr>
            </w:pPr>
            <w:r>
              <w:rPr>
                <w:rFonts w:ascii="Arial" w:cs="Arial" w:eastAsia="Arial" w:hAnsi="Arial"/>
                <w:sz w:val="18"/>
                <w:szCs w:val="18"/>
                <w:color w:val="auto"/>
              </w:rPr>
              <w:t>31.2</w:t>
            </w:r>
          </w:p>
        </w:tc>
        <w:tc>
          <w:tcPr>
            <w:tcW w:w="10000" w:type="dxa"/>
            <w:vAlign w:val="bottom"/>
            <w:gridSpan w:val="8"/>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Certification of Principal Financial Officer Pursuant to Exchange Act Rules 13a-14(a) and 15d-14(a), as adopted pursuant to Section 302</w:t>
              </w:r>
            </w:hyperlink>
          </w:p>
        </w:tc>
      </w:tr>
      <w:tr>
        <w:trPr>
          <w:trHeight w:val="20"/>
        </w:trPr>
        <w:tc>
          <w:tcPr>
            <w:tcW w:w="100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of the Sarbanes-Oxley Act of 2002, dated February 24, 2021 (incorporated by reference to Exhibit 31.2 to the Registrant’s Annual Report</w:t>
              </w:r>
            </w:hyperlink>
          </w:p>
        </w:tc>
        <w:tc>
          <w:tcPr>
            <w:tcW w:w="8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7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on Form 10-K filed with the Commission on February 25, 2021).</w:t>
              </w:r>
            </w:hyperlink>
          </w:p>
        </w:tc>
        <w:tc>
          <w:tcPr>
            <w:tcW w:w="5300" w:type="dxa"/>
            <w:vAlign w:val="bottom"/>
            <w:gridSpan w:val="5"/>
          </w:tcPr>
          <w:p>
            <w:pPr>
              <w:spacing w:after="0"/>
              <w:rPr>
                <w:sz w:val="17"/>
                <w:szCs w:val="17"/>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31.3*</w:t>
            </w:r>
          </w:p>
        </w:tc>
        <w:tc>
          <w:tcPr>
            <w:tcW w:w="99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Certification of Principal Executive Officer Pursuant to Exchange Act Rules 13a-14(a) and 15d-14(a), as adopted pursuant to Section 302</w:t>
              </w:r>
            </w:hyperlink>
          </w:p>
        </w:tc>
        <w:tc>
          <w:tcPr>
            <w:tcW w:w="8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41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of the Sarbanes-Oxley Act of 2002, dated May 10, 2021.</w:t>
              </w:r>
            </w:hyperlink>
          </w:p>
        </w:tc>
        <w:tc>
          <w:tcPr>
            <w:tcW w:w="5900" w:type="dxa"/>
            <w:vAlign w:val="bottom"/>
            <w:gridSpan w:val="6"/>
          </w:tcPr>
          <w:p>
            <w:pPr>
              <w:spacing w:after="0"/>
              <w:rPr>
                <w:sz w:val="17"/>
                <w:szCs w:val="17"/>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31.4*</w:t>
            </w:r>
          </w:p>
        </w:tc>
        <w:tc>
          <w:tcPr>
            <w:tcW w:w="10000" w:type="dxa"/>
            <w:vAlign w:val="bottom"/>
            <w:gridSpan w:val="8"/>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Principal Financial Officer Pursuant to Exchange Act Rules 13a-14(a) and 15d-14(a), as adopted pursuant to Section 302</w:t>
              </w:r>
            </w:hyperlink>
          </w:p>
        </w:tc>
      </w:tr>
      <w:tr>
        <w:trPr>
          <w:trHeight w:val="196"/>
        </w:trPr>
        <w:tc>
          <w:tcPr>
            <w:tcW w:w="100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of the Sarbanes-Oxley Act of 2002, dated May 10, 2021.</w:t>
              </w:r>
            </w:hyperlink>
          </w:p>
        </w:tc>
        <w:tc>
          <w:tcPr>
            <w:tcW w:w="5760" w:type="dxa"/>
            <w:vAlign w:val="bottom"/>
            <w:tcBorders>
              <w:top w:val="single" w:sz="8" w:color="0000EE"/>
            </w:tcBorders>
            <w:gridSpan w:val="2"/>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04"/>
        </w:trPr>
        <w:tc>
          <w:tcPr>
            <w:tcW w:w="1000" w:type="dxa"/>
            <w:vAlign w:val="bottom"/>
          </w:tcPr>
          <w:p>
            <w:pPr>
              <w:ind w:left="80"/>
              <w:spacing w:after="0"/>
              <w:rPr>
                <w:sz w:val="20"/>
                <w:szCs w:val="20"/>
                <w:color w:val="auto"/>
              </w:rPr>
            </w:pPr>
            <w:r>
              <w:rPr>
                <w:rFonts w:ascii="Arial" w:cs="Arial" w:eastAsia="Arial" w:hAnsi="Arial"/>
                <w:sz w:val="18"/>
                <w:szCs w:val="18"/>
                <w:color w:val="auto"/>
              </w:rPr>
              <w:t>32(1)</w:t>
            </w:r>
          </w:p>
        </w:tc>
        <w:tc>
          <w:tcPr>
            <w:tcW w:w="10000" w:type="dxa"/>
            <w:vAlign w:val="bottom"/>
            <w:gridSpan w:val="8"/>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Certification of the Principal Executive Officer and Principal Financial Officer Pursuant to 18 U.S.C. Section 1350, as adopted pursuant to</w:t>
              </w:r>
            </w:hyperlink>
          </w:p>
        </w:tc>
      </w:tr>
      <w:tr>
        <w:trPr>
          <w:trHeight w:val="196"/>
        </w:trPr>
        <w:tc>
          <w:tcPr>
            <w:tcW w:w="100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Section 906 of the Sarbanes-Oxley Act of 2002 (incorporated by reference to Exhibit 32 to the Registrant’s Annual Report on Form 10-K</w:t>
              </w:r>
            </w:hyperlink>
          </w:p>
        </w:tc>
        <w:tc>
          <w:tcPr>
            <w:tcW w:w="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filed with the Commission on February 25, 2021).</w:t>
              </w:r>
            </w:hyperlink>
          </w:p>
        </w:tc>
      </w:tr>
      <w:tr>
        <w:trPr>
          <w:trHeight w:val="20"/>
        </w:trPr>
        <w:tc>
          <w:tcPr>
            <w:tcW w:w="100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r>
      <w:tr>
        <w:trPr>
          <w:trHeight w:val="330"/>
        </w:trPr>
        <w:tc>
          <w:tcPr>
            <w:tcW w:w="1000" w:type="dxa"/>
            <w:vAlign w:val="bottom"/>
          </w:tcPr>
          <w:p>
            <w:pPr>
              <w:spacing w:after="0"/>
              <w:rPr>
                <w:sz w:val="20"/>
                <w:szCs w:val="20"/>
                <w:color w:val="auto"/>
              </w:rPr>
            </w:pPr>
            <w:r>
              <w:rPr>
                <w:rFonts w:ascii="Arial" w:cs="Arial" w:eastAsia="Arial" w:hAnsi="Arial"/>
                <w:sz w:val="18"/>
                <w:szCs w:val="18"/>
                <w:color w:val="auto"/>
              </w:rPr>
              <w:t>101.ins *</w:t>
            </w:r>
          </w:p>
        </w:tc>
        <w:tc>
          <w:tcPr>
            <w:tcW w:w="10000" w:type="dxa"/>
            <w:vAlign w:val="bottom"/>
            <w:gridSpan w:val="8"/>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r>
      <w:tr>
        <w:trPr>
          <w:trHeight w:val="230"/>
        </w:trPr>
        <w:tc>
          <w:tcPr>
            <w:tcW w:w="100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 *</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Schema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101.cal *</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101.def *</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101.lab *</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101.pre *</w:t>
            </w:r>
          </w:p>
        </w:tc>
        <w:tc>
          <w:tcPr>
            <w:tcW w:w="10000" w:type="dxa"/>
            <w:vAlign w:val="bottom"/>
            <w:gridSpan w:val="8"/>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000" w:type="dxa"/>
            <w:vAlign w:val="bottom"/>
            <w:gridSpan w:val="8"/>
          </w:tcPr>
          <w:p>
            <w:pPr>
              <w:spacing w:after="0"/>
              <w:rPr>
                <w:sz w:val="20"/>
                <w:szCs w:val="20"/>
                <w:color w:val="auto"/>
              </w:rPr>
            </w:pPr>
            <w:r>
              <w:rPr>
                <w:rFonts w:ascii="Arial" w:cs="Arial" w:eastAsia="Arial" w:hAnsi="Arial"/>
                <w:sz w:val="18"/>
                <w:szCs w:val="18"/>
                <w:color w:val="auto"/>
              </w:rPr>
              <w:t>Cover Page Interactive Data File - (formatted as Inline XBRL and contained in Exhibit 101)</w:t>
            </w:r>
          </w:p>
        </w:tc>
      </w:tr>
    </w:tbl>
    <w:p>
      <w:pPr>
        <w:spacing w:after="0" w:line="229"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w:t>
      </w:r>
    </w:p>
    <w:p>
      <w:pPr>
        <w:spacing w:after="0" w:line="4" w:lineRule="exact"/>
        <w:rPr>
          <w:sz w:val="20"/>
          <w:szCs w:val="20"/>
          <w:color w:val="auto"/>
        </w:rPr>
      </w:pPr>
    </w:p>
    <w:p>
      <w:pPr>
        <w:ind w:left="540" w:right="120" w:hanging="424"/>
        <w:spacing w:after="0" w:line="229" w:lineRule="auto"/>
        <w:tabs>
          <w:tab w:leader="none" w:pos="5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MAGNITE, INC.</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David Day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10, 2021</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320" w:top="486" w:right="5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Barrett, certify that:</w:t>
      </w:r>
    </w:p>
    <w:p>
      <w:pPr>
        <w:spacing w:after="0" w:line="131" w:lineRule="exact"/>
        <w:rPr>
          <w:sz w:val="20"/>
          <w:szCs w:val="20"/>
          <w:color w:val="auto"/>
        </w:rPr>
      </w:pPr>
    </w:p>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Magnite, Inc.; and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ind w:left="3540"/>
        <w:spacing w:after="0"/>
        <w:tabs>
          <w:tab w:leader="none" w:pos="7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Barrett</w:t>
      </w:r>
    </w:p>
    <w:p>
      <w:pPr>
        <w:spacing w:after="0" w:line="21" w:lineRule="exact"/>
        <w:rPr>
          <w:sz w:val="20"/>
          <w:szCs w:val="20"/>
          <w:color w:val="auto"/>
        </w:rPr>
      </w:pPr>
    </w:p>
    <w:p>
      <w:pPr>
        <w:ind w:left="3540"/>
        <w:spacing w:after="0"/>
        <w:tabs>
          <w:tab w:leader="none" w:pos="76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6"/>
          <w:szCs w:val="16"/>
          <w:color w:val="auto"/>
        </w:rPr>
        <w:t>President and Chief Executive Officer</w:t>
      </w:r>
    </w:p>
    <w:p>
      <w:pPr>
        <w:spacing w:after="0" w:line="1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Day, certify that:</w:t>
      </w:r>
    </w:p>
    <w:p>
      <w:pPr>
        <w:spacing w:after="0" w:line="131" w:lineRule="exact"/>
        <w:rPr>
          <w:sz w:val="20"/>
          <w:szCs w:val="20"/>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Magnite, Inc.; and</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sz w:val="20"/>
          <w:szCs w:val="20"/>
          <w:color w:val="auto"/>
        </w:rPr>
      </w:pPr>
    </w:p>
    <w:p>
      <w:pPr>
        <w:ind w:left="3420"/>
        <w:spacing w:after="0"/>
        <w:tabs>
          <w:tab w:leader="none" w:pos="7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14605</wp:posOffset>
            </wp:positionV>
            <wp:extent cx="21602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David Day</w:t>
      </w:r>
    </w:p>
    <w:p>
      <w:pPr>
        <w:spacing w:after="0" w:line="21" w:lineRule="exact"/>
        <w:rPr>
          <w:sz w:val="20"/>
          <w:szCs w:val="20"/>
          <w:color w:val="auto"/>
        </w:rPr>
      </w:pPr>
    </w:p>
    <w:p>
      <w:pPr>
        <w:ind w:left="3420"/>
        <w:spacing w:after="0"/>
        <w:tabs>
          <w:tab w:leader="none" w:pos="760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6"/>
          <w:szCs w:val="16"/>
          <w:color w:val="auto"/>
        </w:rPr>
        <w:t>Chief Financial Officer</w:t>
      </w:r>
    </w:p>
    <w:p>
      <w:pPr>
        <w:spacing w:after="0" w:line="1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4"/>
    </w:lvl>
  </w:abstractNum>
  <w:abstractNum w:abstractNumId="7">
    <w:nsid w:val="75A2A8D4"/>
    <w:multiLevelType w:val="hybridMultilevel"/>
    <w:lvl w:ilvl="0">
      <w:lvlJc w:val="left"/>
      <w:lvlText w:val="(%1)"/>
      <w:numFmt w:val="decimal"/>
      <w:start w:val="5"/>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6"/>
    </w:lvl>
  </w:abstractNum>
  <w:abstractNum w:abstractNumId="22">
    <w:nsid w:val="737B8DDC"/>
    <w:multiLevelType w:val="hybridMultilevel"/>
    <w:lvl w:ilvl="0">
      <w:lvlJc w:val="left"/>
      <w:lvlText w:val="(%1)"/>
      <w:numFmt w:val="decimal"/>
      <w:start w:val="25"/>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2"/>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1" Type="http://schemas.openxmlformats.org/officeDocument/2006/relationships/image" Target="media/image74.png"/><Relationship Id="rId107"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81" Type="http://schemas.openxmlformats.org/officeDocument/2006/relationships/hyperlink" Target="http://www.sec.gov/Archives/edgar/data/1595974/000119312519321262/d689169dex21.htm" TargetMode="External"/><Relationship Id="rId82" Type="http://schemas.openxmlformats.org/officeDocument/2006/relationships/hyperlink" Target="http://www.sec.gov/Archives/edgar/data/1595974/000138713121001803/ex2-1.htm" TargetMode="External"/><Relationship Id="rId83" Type="http://schemas.openxmlformats.org/officeDocument/2006/relationships/hyperlink" Target="http://www.sec.gov/Archives/edgar/data/1595974/000159597414000004/rubi20140331exhibit31.htm" TargetMode="External"/><Relationship Id="rId84" Type="http://schemas.openxmlformats.org/officeDocument/2006/relationships/hyperlink" Target="http://www.sec.gov/Archives/edgar/data/1595974/000138713120006046/ex3-1.htm" TargetMode="External"/><Relationship Id="rId85" Type="http://schemas.openxmlformats.org/officeDocument/2006/relationships/hyperlink" Target="http://www.sec.gov/Archives/edgar/data/1595974/000138713120006046/ex3-2.htm" TargetMode="External"/><Relationship Id="rId86" Type="http://schemas.openxmlformats.org/officeDocument/2006/relationships/hyperlink" Target="http://www.sec.gov/Archives/edgar/data/1595974/000159597421000016/exhibit41.htm" TargetMode="External"/><Relationship Id="rId87" Type="http://schemas.openxmlformats.org/officeDocument/2006/relationships/hyperlink" Target="http://www.sec.gov/Archives/edgar/data/1595974/000119312514107181/d652651dex101.htm" TargetMode="External"/><Relationship Id="rId88" Type="http://schemas.openxmlformats.org/officeDocument/2006/relationships/hyperlink" Target="http://www.sec.gov/Archives/edgar/data/1595974/000162828016014095/ex1012014equityincentivepl.htm" TargetMode="External"/><Relationship Id="rId89" Type="http://schemas.openxmlformats.org/officeDocument/2006/relationships/hyperlink" Target="http://www.sec.gov/Archives/edgar/data/1595974/000162828015001546/exhibit102b-2014planglobal.htm" TargetMode="External"/><Relationship Id="rId90" Type="http://schemas.openxmlformats.org/officeDocument/2006/relationships/hyperlink" Target="http://www.sec.gov/Archives/edgar/data/1595974/000162828015001546/exhibit102c2014planglobalr.htm" TargetMode="External"/><Relationship Id="rId92" Type="http://schemas.openxmlformats.org/officeDocument/2006/relationships/hyperlink" Target="http://www.sec.gov/Archives/edgar/data/1595974/000162828015001546/exhibit102d-nonxempeedirec.htm" TargetMode="External"/><Relationship Id="rId93" Type="http://schemas.openxmlformats.org/officeDocument/2006/relationships/hyperlink" Target="http://www.sec.gov/Archives/edgar/data/1595974/000162828015001546/exhibit102e-nonxemployeedi.htm" TargetMode="External"/><Relationship Id="rId94" Type="http://schemas.openxmlformats.org/officeDocument/2006/relationships/hyperlink" Target="http://www.sec.gov/Archives/edgar/data/1595974/000119312514201205/d726611dex992.htm" TargetMode="External"/><Relationship Id="rId95" Type="http://schemas.openxmlformats.org/officeDocument/2006/relationships/hyperlink" Target="http://www.sec.gov/Archives/edgar/data/1595974/000162828016014095/ex1022014inducementgranteq.htm" TargetMode="External"/><Relationship Id="rId96" Type="http://schemas.openxmlformats.org/officeDocument/2006/relationships/hyperlink" Target="http://www.sec.gov/Archives/edgar/data/1595974/000138713120003794/ex99-2.htm" TargetMode="External"/><Relationship Id="rId97" Type="http://schemas.openxmlformats.org/officeDocument/2006/relationships/hyperlink" Target="http://www.sec.gov/Archives/edgar/data/1595974/000159597420000151/svbexhibit.htm" TargetMode="External"/><Relationship Id="rId98" Type="http://schemas.openxmlformats.org/officeDocument/2006/relationships/hyperlink" Target="http://www.sec.gov/Archives/edgar/data/1595974/000119312514107181/d652651dex1017.htm" TargetMode="External"/><Relationship Id="rId99" Type="http://schemas.openxmlformats.org/officeDocument/2006/relationships/hyperlink" Target="http://www.sec.gov/Archives/edgar/data/1595974/000159597420000026/exhibit1023.htm" TargetMode="External"/><Relationship Id="rId100" Type="http://schemas.openxmlformats.org/officeDocument/2006/relationships/hyperlink" Target="http://www.sec.gov/Archives/edgar/data/1595974/000162828017002792/exhibit101.htm" TargetMode="External"/><Relationship Id="rId101" Type="http://schemas.openxmlformats.org/officeDocument/2006/relationships/hyperlink" Target="http://www.sec.gov/Archives/edgar/data/1595974/000162828017002792/exhibit102.htm" TargetMode="External"/><Relationship Id="rId102" Type="http://schemas.openxmlformats.org/officeDocument/2006/relationships/hyperlink" Target="http://www.sec.gov/Archives/edgar/data/1595974/000159597420000130/saltzseveranceagreemen.htm" TargetMode="External"/><Relationship Id="rId103" Type="http://schemas.openxmlformats.org/officeDocument/2006/relationships/hyperlink" Target="http://www.sec.gov/Archives/edgar/data/1595974/000159597421000016/exhibit1016.htm" TargetMode="External"/><Relationship Id="rId104" Type="http://schemas.openxmlformats.org/officeDocument/2006/relationships/hyperlink" Target="http://www.sec.gov/Archives/edgar/data/1595974/000159597420000151/listofsubsidiaries1.htm" TargetMode="External"/><Relationship Id="rId105" Type="http://schemas.openxmlformats.org/officeDocument/2006/relationships/hyperlink" Target="http://www.sec.gov/Archives/edgar/data/1595974/000159597421000016/rubiex23112-31x2020.htm" TargetMode="External"/><Relationship Id="rId106" Type="http://schemas.openxmlformats.org/officeDocument/2006/relationships/hyperlink" Target="http://www.sec.gov/Archives/edgar/data/1595974/000159597421000016/exhibit31112-31x2020.htm" TargetMode="External"/><Relationship Id="rId108" Type="http://schemas.openxmlformats.org/officeDocument/2006/relationships/hyperlink" Target="http://www.sec.gov/Archives/edgar/data/1595974/000159597421000016/exhibit31212-31x2020.htm" TargetMode="External"/><Relationship Id="rId109" Type="http://schemas.openxmlformats.org/officeDocument/2006/relationships/hyperlink" Target="http://www.sec.gov/Archives/edgar/data/1595974/000159597421000016/exhibit3212-31x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2021-05-10T05:40:23Z</dcterms:created>
  <dcterms:modified xsi:type="dcterms:W3CDTF">2021-05-10T05:40:23Z</dcterms:modified>
</cp:coreProperties>
</file>