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Knopper Douglas S</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MAGNITE,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MGNI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Borders>
              <w:bottom w:val="single" w:sz="8" w:color="0000EE"/>
            </w:tcBorders>
          </w:tcPr>
          <w:p>
            <w:pPr>
              <w:spacing w:after="0"/>
              <w:rPr>
                <w:sz w:val="6"/>
                <w:szCs w:val="6"/>
                <w:color w:val="auto"/>
              </w:rPr>
            </w:pPr>
          </w:p>
        </w:tc>
        <w:tc>
          <w:tcPr>
            <w:tcW w:w="2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MAGNITE, INC.</w:t>
            </w:r>
          </w:p>
        </w:tc>
        <w:tc>
          <w:tcPr>
            <w:tcW w:w="124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2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1250 BROADWAY, 9TH FLOOR</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tcPr>
          <w:p>
            <w:pPr>
              <w:spacing w:after="0"/>
              <w:rPr>
                <w:sz w:val="12"/>
                <w:szCs w:val="12"/>
                <w:color w:val="auto"/>
              </w:rPr>
            </w:pPr>
          </w:p>
        </w:tc>
        <w:tc>
          <w:tcPr>
            <w:tcW w:w="2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13,798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173,913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8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10,766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15.73</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163,147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in full on the earliest of (i) June 8, 2027, (ii) the date of the 2027 annual meeting of the Issuer's stockholders, or (iii) a change of control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as compensation for services.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was effected pursuant to a Rule 10b5-1 trading plan adopted by the Reporting Person on December 12, 2025.</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$15.29 to $15.90,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Aaron Saltz,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50876" TargetMode="External"/><Relationship Id="rId14" Type="http://schemas.openxmlformats.org/officeDocument/2006/relationships/hyperlink" Target="http://www.sec.gov/cgi-bin/browse-edgar?action=getcompany&amp;CIK=0001595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2026-06-10T19:52:40Z</dcterms:created>
  <dcterms:modified xsi:type="dcterms:W3CDTF">2026-06-10T19:52:40Z</dcterms:modified>
</cp:coreProperties>
</file>