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Saltz Aaron</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MAGNITE,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1250 BROADWAY, 9TH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MAGNITE,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MGNI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05/15/2026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45"/>
        <w:spacing w:after="0"/>
        <w:rPr>
          <w:sz w:val="20"/>
          <w:szCs w:val="20"/>
          <w:color w:val="auto"/>
        </w:rPr>
      </w:pPr>
      <w:r>
        <w:rPr>
          <w:rFonts w:ascii="Times New Roman" w:cs="Times New Roman" w:eastAsia="Times New Roman" w:hAnsi="Times New Roman"/>
          <w:sz w:val="17"/>
          <w:szCs w:val="17"/>
          <w:color w:val="0000FF"/>
        </w:rPr>
        <w:t>CHIEF LEGAL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30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4"/>
                <w:szCs w:val="14"/>
                <w:color w:val="auto"/>
              </w:rPr>
            </w:pPr>
          </w:p>
        </w:tc>
        <w:tc>
          <w:tcPr>
            <w:tcW w:w="3560" w:type="dxa"/>
            <w:vAlign w:val="bottom"/>
            <w:gridSpan w:val="9"/>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440" w:type="dxa"/>
            <w:vAlign w:val="bottom"/>
          </w:tcPr>
          <w:p>
            <w:pPr>
              <w:spacing w:after="0"/>
              <w:rPr>
                <w:sz w:val="8"/>
                <w:szCs w:val="8"/>
                <w:color w:val="auto"/>
              </w:rPr>
            </w:pPr>
          </w:p>
        </w:tc>
        <w:tc>
          <w:tcPr>
            <w:tcW w:w="200" w:type="dxa"/>
            <w:vAlign w:val="bottom"/>
          </w:tcPr>
          <w:p>
            <w:pPr>
              <w:spacing w:after="0"/>
              <w:rPr>
                <w:sz w:val="8"/>
                <w:szCs w:val="8"/>
                <w:color w:val="auto"/>
              </w:rPr>
            </w:pPr>
          </w:p>
        </w:tc>
        <w:tc>
          <w:tcPr>
            <w:tcW w:w="34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NEW YORK</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NY</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10001</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30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05/15/2026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F</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5,627</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12.82</w:t>
            </w:r>
          </w:p>
        </w:tc>
        <w:tc>
          <w:tcPr>
            <w:tcW w:w="1200" w:type="dxa"/>
            <w:vAlign w:val="bottom"/>
            <w:tcBorders>
              <w:bottom w:val="single" w:sz="8" w:color="2C2C2C"/>
            </w:tcBorders>
            <w:gridSpan w:val="2"/>
          </w:tcPr>
          <w:p>
            <w:pPr>
              <w:ind w:left="300"/>
              <w:spacing w:after="0"/>
              <w:rPr>
                <w:sz w:val="20"/>
                <w:szCs w:val="20"/>
                <w:color w:val="auto"/>
              </w:rPr>
            </w:pPr>
            <w:r>
              <w:rPr>
                <w:rFonts w:ascii="Times New Roman" w:cs="Times New Roman" w:eastAsia="Times New Roman" w:hAnsi="Times New Roman"/>
                <w:sz w:val="17"/>
                <w:szCs w:val="17"/>
                <w:color w:val="0000FF"/>
              </w:rPr>
              <w:t>270,016</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non-discretionary forfeiture of shares on behalf of the Reporting Person pursuant to an arrangement mandated by the Issuer to cover the tax withholding obligations associated with the vesting of restricted stock units.</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Aaron Saltz, attorney-in-</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05/19/2026</w:t>
            </w:r>
          </w:p>
        </w:tc>
        <w:tc>
          <w:tcPr>
            <w:tcW w:w="0" w:type="dxa"/>
            <w:vAlign w:val="bottom"/>
          </w:tcPr>
          <w:p>
            <w:pPr>
              <w:spacing w:after="0"/>
              <w:rPr>
                <w:sz w:val="1"/>
                <w:szCs w:val="1"/>
                <w:color w:val="auto"/>
              </w:rPr>
            </w:pPr>
          </w:p>
        </w:tc>
      </w:tr>
      <w:tr>
        <w:trPr>
          <w:trHeight w:val="87"/>
        </w:trPr>
        <w:tc>
          <w:tcPr>
            <w:tcW w:w="194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fact</w:t>
            </w: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40" w:type="dxa"/>
            <w:vAlign w:val="bottom"/>
            <w:tcBorders>
              <w:top w:val="single" w:sz="8" w:color="auto"/>
            </w:tcBorders>
            <w:gridSpan w:val="2"/>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60" w:type="dxa"/>
            <w:vAlign w:val="bottom"/>
            <w:shd w:val="clear" w:color="auto" w:fill="000000"/>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07986" TargetMode="External"/><Relationship Id="rId14" Type="http://schemas.openxmlformats.org/officeDocument/2006/relationships/hyperlink" Target="http://www.sec.gov/cgi-bin/browse-edgar?action=getcompany&amp;CIK=000159597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2026-05-19T16:26:32Z</dcterms:created>
  <dcterms:modified xsi:type="dcterms:W3CDTF">2026-05-19T16:26:32Z</dcterms:modified>
</cp:coreProperties>
</file>