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8, 2026</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MAGNITE,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988" w:right="339" w:bottom="1440" w:gutter="0" w:footer="0" w:header="0"/>
        </w:sectPr>
      </w:pPr>
    </w:p>
    <w:p>
      <w:pPr>
        <w:spacing w:after="0" w:line="269"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001-36384</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20-8881738</w:t>
      </w:r>
    </w:p>
    <w:p>
      <w:pPr>
        <w:spacing w:after="0" w:line="43" w:lineRule="exact"/>
        <w:rPr>
          <w:sz w:val="24"/>
          <w:szCs w:val="24"/>
          <w:color w:val="auto"/>
        </w:rPr>
      </w:pPr>
    </w:p>
    <w:p>
      <w:pPr>
        <w:sectPr>
          <w:pgSz w:w="11900" w:h="16838" w:orient="portrait"/>
          <w:cols w:equalWidth="0" w:num="3">
            <w:col w:w="4480" w:space="720"/>
            <w:col w:w="2980" w:space="720"/>
            <w:col w:w="2340"/>
          </w:cols>
          <w:pgMar w:left="320" w:top="988" w:right="339" w:bottom="1440" w:gutter="0" w:footer="0" w:header="0"/>
          <w:type w:val="continuous"/>
        </w:sectPr>
      </w:pPr>
    </w:p>
    <w:p>
      <w:pPr>
        <w:ind w:left="28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20" w:lineRule="exact"/>
        <w:rPr>
          <w:sz w:val="24"/>
          <w:szCs w:val="24"/>
          <w:color w:val="auto"/>
        </w:rPr>
      </w:pPr>
    </w:p>
    <w:p>
      <w:pPr>
        <w:sectPr>
          <w:pgSz w:w="11900" w:h="16838" w:orient="portrait"/>
          <w:cols w:equalWidth="0" w:num="3">
            <w:col w:w="3880" w:space="720"/>
            <w:col w:w="2780" w:space="720"/>
            <w:col w:w="3140"/>
          </w:cols>
          <w:pgMar w:left="320" w:top="988" w:right="339" w:bottom="1440" w:gutter="0" w:footer="0" w:header="0"/>
          <w:type w:val="continuous"/>
        </w:sectPr>
      </w:pPr>
    </w:p>
    <w:p>
      <w:pPr>
        <w:ind w:left="4620"/>
        <w:spacing w:after="0"/>
        <w:rPr>
          <w:sz w:val="20"/>
          <w:szCs w:val="20"/>
          <w:color w:val="auto"/>
        </w:rPr>
      </w:pPr>
      <w:r>
        <w:rPr>
          <w:rFonts w:ascii="Times New Roman" w:cs="Times New Roman" w:eastAsia="Times New Roman" w:hAnsi="Times New Roman"/>
          <w:sz w:val="18"/>
          <w:szCs w:val="18"/>
          <w:b w:val="1"/>
          <w:bCs w:val="1"/>
          <w:color w:val="auto"/>
        </w:rPr>
        <w:t>1250 Broadway, 9th Floor</w:t>
      </w:r>
    </w:p>
    <w:p>
      <w:pPr>
        <w:spacing w:after="0" w:line="31"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New York, New York 10001</w:t>
      </w:r>
    </w:p>
    <w:p>
      <w:pPr>
        <w:spacing w:after="0" w:line="23"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108"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(212) 243-2769</w:t>
      </w:r>
    </w:p>
    <w:p>
      <w:pPr>
        <w:spacing w:after="0" w:line="31"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49"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10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43" w:lineRule="exact"/>
        <w:rPr>
          <w:sz w:val="24"/>
          <w:szCs w:val="24"/>
          <w:color w:val="auto"/>
        </w:rPr>
      </w:pPr>
    </w:p>
    <w:p>
      <w:pPr>
        <w:ind w:left="660" w:hanging="429"/>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660" w:hanging="429"/>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660" w:hanging="429"/>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660" w:hanging="429"/>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-676275</wp:posOffset>
            </wp:positionV>
            <wp:extent cx="6951980" cy="7289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51980" cy="7289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540"/>
        </w:trPr>
        <w:tc>
          <w:tcPr>
            <w:tcW w:w="60" w:type="dxa"/>
            <w:vAlign w:val="bottom"/>
          </w:tcPr>
          <w:p>
            <w:pPr>
              <w:spacing w:after="0"/>
              <w:rPr>
                <w:sz w:val="24"/>
                <w:szCs w:val="24"/>
                <w:color w:val="auto"/>
              </w:rPr>
            </w:pPr>
          </w:p>
        </w:tc>
        <w:tc>
          <w:tcPr>
            <w:tcW w:w="426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66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40"/>
        </w:trPr>
        <w:tc>
          <w:tcPr>
            <w:tcW w:w="60" w:type="dxa"/>
            <w:vAlign w:val="bottom"/>
          </w:tcPr>
          <w:p>
            <w:pPr>
              <w:spacing w:after="0"/>
              <w:rPr>
                <w:sz w:val="3"/>
                <w:szCs w:val="3"/>
                <w:color w:val="auto"/>
              </w:rPr>
            </w:pPr>
          </w:p>
        </w:tc>
        <w:tc>
          <w:tcPr>
            <w:tcW w:w="340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4260" w:type="dxa"/>
            <w:vAlign w:val="bottom"/>
            <w:tcBorders>
              <w:bottom w:val="single" w:sz="8" w:color="auto"/>
            </w:tcBorders>
          </w:tcPr>
          <w:p>
            <w:pPr>
              <w:spacing w:after="0"/>
              <w:rPr>
                <w:sz w:val="3"/>
                <w:szCs w:val="3"/>
                <w:color w:val="auto"/>
              </w:rPr>
            </w:pPr>
          </w:p>
        </w:tc>
      </w:tr>
      <w:tr>
        <w:trPr>
          <w:trHeight w:val="223"/>
        </w:trPr>
        <w:tc>
          <w:tcPr>
            <w:tcW w:w="60" w:type="dxa"/>
            <w:vAlign w:val="bottom"/>
          </w:tcPr>
          <w:p>
            <w:pPr>
              <w:spacing w:after="0"/>
              <w:rPr>
                <w:sz w:val="19"/>
                <w:szCs w:val="19"/>
                <w:color w:val="auto"/>
              </w:rPr>
            </w:pPr>
          </w:p>
        </w:tc>
        <w:tc>
          <w:tcPr>
            <w:tcW w:w="426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Common stock, par value $0.00001 per</w:t>
            </w:r>
          </w:p>
        </w:tc>
        <w:tc>
          <w:tcPr>
            <w:tcW w:w="266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MGNI</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r>
        <w:trPr>
          <w:trHeight w:val="238"/>
        </w:trPr>
        <w:tc>
          <w:tcPr>
            <w:tcW w:w="60" w:type="dxa"/>
            <w:vAlign w:val="bottom"/>
          </w:tcPr>
          <w:p>
            <w:pPr>
              <w:spacing w:after="0"/>
              <w:rPr>
                <w:sz w:val="20"/>
                <w:szCs w:val="20"/>
                <w:color w:val="auto"/>
              </w:rPr>
            </w:pPr>
          </w:p>
        </w:tc>
        <w:tc>
          <w:tcPr>
            <w:tcW w:w="426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2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60" w:type="dxa"/>
            <w:vAlign w:val="bottom"/>
          </w:tcPr>
          <w:p>
            <w:pPr>
              <w:spacing w:after="0"/>
              <w:rPr>
                <w:sz w:val="20"/>
                <w:szCs w:val="20"/>
                <w:color w:val="auto"/>
              </w:rPr>
            </w:pPr>
          </w:p>
        </w:tc>
      </w:tr>
    </w:tbl>
    <w:p>
      <w:pPr>
        <w:spacing w:after="0" w:line="189" w:lineRule="exact"/>
        <w:rPr>
          <w:sz w:val="24"/>
          <w:szCs w:val="24"/>
          <w:color w:val="auto"/>
        </w:rPr>
      </w:pPr>
    </w:p>
    <w:p>
      <w:pPr>
        <w:jc w:val="both"/>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type w:val="continuous"/>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324" w:lineRule="exact"/>
        <w:rPr>
          <w:sz w:val="20"/>
          <w:szCs w:val="20"/>
          <w:color w:val="auto"/>
        </w:rPr>
      </w:pPr>
    </w:p>
    <w:p>
      <w:pPr>
        <w:ind w:right="40" w:firstLine="648"/>
        <w:spacing w:after="0" w:line="352" w:lineRule="auto"/>
        <w:rPr>
          <w:sz w:val="20"/>
          <w:szCs w:val="20"/>
          <w:color w:val="auto"/>
        </w:rPr>
      </w:pPr>
      <w:r>
        <w:rPr>
          <w:rFonts w:ascii="Times New Roman" w:cs="Times New Roman" w:eastAsia="Times New Roman" w:hAnsi="Times New Roman"/>
          <w:sz w:val="18"/>
          <w:szCs w:val="18"/>
          <w:color w:val="auto"/>
        </w:rPr>
        <w:t>At the 2026 annual meeting of stockholders of the Company held on June 8, 2026, the Company’s stockholders considered four proposals, each of which is described in more detail in the Company’s definitive proxy statement filed with the Securities and Exchange Commission on April 21, 2026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The final results of voting on each proposal are as follows:</w:t>
      </w:r>
    </w:p>
    <w:p>
      <w:pPr>
        <w:spacing w:after="0" w:line="111" w:lineRule="exact"/>
        <w:rPr>
          <w:sz w:val="20"/>
          <w:szCs w:val="20"/>
          <w:color w:val="auto"/>
        </w:rPr>
      </w:pPr>
    </w:p>
    <w:p>
      <w:pPr>
        <w:ind w:right="80"/>
        <w:spacing w:after="0" w:line="318" w:lineRule="auto"/>
        <w:rPr>
          <w:sz w:val="20"/>
          <w:szCs w:val="20"/>
          <w:color w:val="auto"/>
        </w:rPr>
      </w:pPr>
      <w:r>
        <w:rPr>
          <w:rFonts w:ascii="Times New Roman" w:cs="Times New Roman" w:eastAsia="Times New Roman" w:hAnsi="Times New Roman"/>
          <w:sz w:val="18"/>
          <w:szCs w:val="18"/>
          <w:b w:val="1"/>
          <w:bCs w:val="1"/>
          <w:color w:val="auto"/>
        </w:rPr>
        <w:t>Proposal 1</w:t>
      </w:r>
      <w:r>
        <w:rPr>
          <w:rFonts w:ascii="Times New Roman" w:cs="Times New Roman" w:eastAsia="Times New Roman" w:hAnsi="Times New Roman"/>
          <w:sz w:val="18"/>
          <w:szCs w:val="18"/>
          <w:color w:val="auto"/>
        </w:rPr>
        <w:t>: Election of three Class III directors to serve until the Company’s 2029 annual meeting of stockholders and until their respective successors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duly elected and qualified.</w:t>
      </w:r>
    </w:p>
    <w:p>
      <w:pPr>
        <w:spacing w:after="0" w:line="194"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2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Paul Caine</w:t>
            </w: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00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ABSTAIN</w:t>
            </w:r>
          </w:p>
        </w:tc>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c>
          <w:tcPr>
            <w:tcW w:w="0" w:type="dxa"/>
            <w:vAlign w:val="bottom"/>
          </w:tcPr>
          <w:p>
            <w:pPr>
              <w:spacing w:after="0"/>
              <w:rPr>
                <w:sz w:val="1"/>
                <w:szCs w:val="1"/>
                <w:color w:val="auto"/>
              </w:rPr>
            </w:pPr>
          </w:p>
        </w:tc>
      </w:tr>
      <w:tr>
        <w:trPr>
          <w:trHeight w:val="218"/>
        </w:trPr>
        <w:tc>
          <w:tcPr>
            <w:tcW w:w="2460" w:type="dxa"/>
            <w:vAlign w:val="bottom"/>
            <w:vMerge w:val="continue"/>
          </w:tcPr>
          <w:p>
            <w:pPr>
              <w:spacing w:after="0"/>
              <w:rPr>
                <w:sz w:val="18"/>
                <w:szCs w:val="18"/>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99,225,532</w:t>
            </w:r>
          </w:p>
        </w:tc>
        <w:tc>
          <w:tcPr>
            <w:tcW w:w="20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5,272,915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1,737,588</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21,398,031</w:t>
            </w:r>
          </w:p>
        </w:tc>
        <w:tc>
          <w:tcPr>
            <w:tcW w:w="0" w:type="dxa"/>
            <w:vAlign w:val="bottom"/>
          </w:tcPr>
          <w:p>
            <w:pPr>
              <w:spacing w:after="0"/>
              <w:rPr>
                <w:sz w:val="1"/>
                <w:szCs w:val="1"/>
                <w:color w:val="auto"/>
              </w:rPr>
            </w:pPr>
          </w:p>
        </w:tc>
      </w:tr>
      <w:tr>
        <w:trPr>
          <w:trHeight w:val="229"/>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Doug Knopper</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97,010,810</w:t>
            </w:r>
          </w:p>
        </w:tc>
        <w:tc>
          <w:tcPr>
            <w:tcW w:w="20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7,488,029</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1,737,196</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21,398,031</w:t>
            </w:r>
          </w:p>
        </w:tc>
        <w:tc>
          <w:tcPr>
            <w:tcW w:w="0" w:type="dxa"/>
            <w:vAlign w:val="bottom"/>
          </w:tcPr>
          <w:p>
            <w:pPr>
              <w:spacing w:after="0"/>
              <w:rPr>
                <w:sz w:val="1"/>
                <w:szCs w:val="1"/>
                <w:color w:val="auto"/>
              </w:rPr>
            </w:pPr>
          </w:p>
        </w:tc>
      </w:tr>
      <w:tr>
        <w:trPr>
          <w:trHeight w:val="234"/>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David Pearson</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99,624,729</w:t>
            </w:r>
          </w:p>
        </w:tc>
        <w:tc>
          <w:tcPr>
            <w:tcW w:w="20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4,871,835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1,739,471</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21,398,031</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Caine, Doug Knopper, and David Pearson, the nominees for Class III directors, were each elected.</w:t>
      </w:r>
    </w:p>
    <w:p>
      <w:pPr>
        <w:spacing w:after="0" w:line="262"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b w:val="1"/>
          <w:bCs w:val="1"/>
          <w:color w:val="auto"/>
        </w:rPr>
        <w:t>Proposal 2</w:t>
      </w:r>
      <w:r>
        <w:rPr>
          <w:rFonts w:ascii="Times New Roman" w:cs="Times New Roman" w:eastAsia="Times New Roman" w:hAnsi="Times New Roman"/>
          <w:sz w:val="18"/>
          <w:szCs w:val="18"/>
          <w:color w:val="auto"/>
        </w:rPr>
        <w:t>: Ratification of the selection of Deloitte &amp; Touche LLP as the Company’s independent registered public accounting firm for the current fiscal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w:t>
      </w:r>
    </w:p>
    <w:p>
      <w:pPr>
        <w:spacing w:after="0" w:line="194" w:lineRule="exact"/>
        <w:rPr>
          <w:sz w:val="20"/>
          <w:szCs w:val="20"/>
          <w:color w:val="auto"/>
        </w:rPr>
      </w:pPr>
    </w:p>
    <w:tbl>
      <w:tblPr>
        <w:tblLayout w:type="fixed"/>
        <w:tblInd w:w="1000" w:type="dxa"/>
        <w:tblCellMar>
          <w:top w:w="0" w:type="dxa"/>
          <w:left w:w="0" w:type="dxa"/>
          <w:bottom w:w="0" w:type="dxa"/>
          <w:right w:w="0" w:type="dxa"/>
        </w:tblCellMar>
      </w:tblPr>
      <w:tr>
        <w:trPr>
          <w:trHeight w:val="238"/>
        </w:trPr>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ABSTAIN</w:t>
            </w: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28"/>
        </w:trPr>
        <w:tc>
          <w:tcPr>
            <w:tcW w:w="19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125,139,432</w:t>
            </w:r>
          </w:p>
        </w:tc>
        <w:tc>
          <w:tcPr>
            <w:tcW w:w="17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311,677</w:t>
            </w:r>
          </w:p>
        </w:tc>
        <w:tc>
          <w:tcPr>
            <w:tcW w:w="16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2,182,957</w:t>
            </w:r>
          </w:p>
        </w:tc>
        <w:tc>
          <w:tcPr>
            <w:tcW w:w="264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r>
    </w:tbl>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proposal was approved.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3</w:t>
      </w:r>
      <w:r>
        <w:rPr>
          <w:rFonts w:ascii="Times New Roman" w:cs="Times New Roman" w:eastAsia="Times New Roman" w:hAnsi="Times New Roman"/>
          <w:sz w:val="18"/>
          <w:szCs w:val="18"/>
          <w:color w:val="auto"/>
        </w:rPr>
        <w:t>: Approval, on an advisory basis, of the compensation of the Company’s named executive officers.</w:t>
      </w:r>
    </w:p>
    <w:p>
      <w:pPr>
        <w:spacing w:after="0" w:line="293" w:lineRule="exact"/>
        <w:rPr>
          <w:sz w:val="20"/>
          <w:szCs w:val="20"/>
          <w:color w:val="auto"/>
        </w:rPr>
      </w:pPr>
    </w:p>
    <w:tbl>
      <w:tblPr>
        <w:tblLayout w:type="fixed"/>
        <w:tblInd w:w="1000" w:type="dxa"/>
        <w:tblCellMar>
          <w:top w:w="0" w:type="dxa"/>
          <w:left w:w="0" w:type="dxa"/>
          <w:bottom w:w="0" w:type="dxa"/>
          <w:right w:w="0" w:type="dxa"/>
        </w:tblCellMar>
      </w:tblPr>
      <w:tr>
        <w:trPr>
          <w:trHeight w:val="238"/>
        </w:trPr>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8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ABSTAIN</w:t>
            </w:r>
          </w:p>
        </w:tc>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28"/>
        </w:trPr>
        <w:tc>
          <w:tcPr>
            <w:tcW w:w="19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93,243,703</w:t>
            </w:r>
          </w:p>
        </w:tc>
        <w:tc>
          <w:tcPr>
            <w:tcW w:w="1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11,274,849</w:t>
            </w:r>
          </w:p>
        </w:tc>
        <w:tc>
          <w:tcPr>
            <w:tcW w:w="16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1,717,483</w:t>
            </w:r>
          </w:p>
        </w:tc>
        <w:tc>
          <w:tcPr>
            <w:tcW w:w="26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21,398,031</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stockholders approved, on an advisory basis, the compensation of the named executive officers as disclosed in the Proxy Statement.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4</w:t>
      </w:r>
      <w:r>
        <w:rPr>
          <w:rFonts w:ascii="Times New Roman" w:cs="Times New Roman" w:eastAsia="Times New Roman" w:hAnsi="Times New Roman"/>
          <w:sz w:val="18"/>
          <w:szCs w:val="18"/>
          <w:color w:val="auto"/>
        </w:rPr>
        <w:t>: Advisory vote on the frequency of future advisory votes on the compensation of the Company's named executive officers.</w:t>
      </w:r>
    </w:p>
    <w:p>
      <w:pPr>
        <w:spacing w:after="0" w:line="279" w:lineRule="exact"/>
        <w:rPr>
          <w:sz w:val="20"/>
          <w:szCs w:val="20"/>
          <w:color w:val="auto"/>
        </w:rPr>
      </w:pPr>
    </w:p>
    <w:tbl>
      <w:tblPr>
        <w:tblLayout w:type="fixed"/>
        <w:tblInd w:w="1000" w:type="dxa"/>
        <w:tblCellMar>
          <w:top w:w="0" w:type="dxa"/>
          <w:left w:w="0" w:type="dxa"/>
          <w:bottom w:w="0" w:type="dxa"/>
          <w:right w:w="0" w:type="dxa"/>
        </w:tblCellMar>
      </w:tblPr>
      <w:tr>
        <w:trPr>
          <w:trHeight w:val="238"/>
        </w:trPr>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 YEAR</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 YEARS</w:t>
            </w:r>
          </w:p>
        </w:tc>
        <w:tc>
          <w:tcPr>
            <w:tcW w:w="15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3 YEARS</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8"/>
        </w:trPr>
        <w:tc>
          <w:tcPr>
            <w:tcW w:w="18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100,148,461</w:t>
            </w:r>
          </w:p>
        </w:tc>
        <w:tc>
          <w:tcPr>
            <w:tcW w:w="16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55,954</w:t>
            </w:r>
          </w:p>
        </w:tc>
        <w:tc>
          <w:tcPr>
            <w:tcW w:w="1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4,309,358</w:t>
            </w: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1,722,262</w:t>
            </w:r>
          </w:p>
        </w:tc>
        <w:tc>
          <w:tcPr>
            <w:tcW w:w="24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21,398,031</w:t>
            </w:r>
          </w:p>
        </w:tc>
      </w:tr>
    </w:tbl>
    <w:p>
      <w:pPr>
        <w:spacing w:after="0" w:line="328" w:lineRule="exact"/>
        <w:rPr>
          <w:sz w:val="20"/>
          <w:szCs w:val="20"/>
          <w:color w:val="auto"/>
        </w:rPr>
      </w:pPr>
    </w:p>
    <w:p>
      <w:pPr>
        <w:ind w:right="260"/>
        <w:spacing w:after="0" w:line="313" w:lineRule="auto"/>
        <w:rPr>
          <w:sz w:val="20"/>
          <w:szCs w:val="20"/>
          <w:color w:val="auto"/>
        </w:rPr>
      </w:pPr>
      <w:r>
        <w:rPr>
          <w:rFonts w:ascii="Times New Roman" w:cs="Times New Roman" w:eastAsia="Times New Roman" w:hAnsi="Times New Roman"/>
          <w:sz w:val="18"/>
          <w:szCs w:val="18"/>
          <w:color w:val="auto"/>
        </w:rPr>
        <w:t>The Company’s stockholders selected, on an advisory basis, “1 YEAR” as the frequency of future advisory votes on the compensation of the Company's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530225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32" w:lineRule="exact"/>
        <w:rPr>
          <w:sz w:val="20"/>
          <w:szCs w:val="20"/>
          <w:color w:val="auto"/>
        </w:rPr>
      </w:pPr>
    </w:p>
    <w:p>
      <w:pPr>
        <w:ind w:firstLine="432"/>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MAGNITE, INC.</w:t>
      </w:r>
    </w:p>
    <w:p>
      <w:pPr>
        <w:spacing w:after="0" w:line="200" w:lineRule="exact"/>
        <w:rPr>
          <w:sz w:val="20"/>
          <w:szCs w:val="20"/>
          <w:color w:val="auto"/>
        </w:rPr>
      </w:pPr>
    </w:p>
    <w:p>
      <w:pPr>
        <w:spacing w:after="0" w:line="232" w:lineRule="exact"/>
        <w:rPr>
          <w:sz w:val="20"/>
          <w:szCs w:val="20"/>
          <w:color w:val="auto"/>
        </w:rPr>
      </w:pPr>
    </w:p>
    <w:p>
      <w:pPr>
        <w:ind w:left="240"/>
        <w:spacing w:after="0"/>
        <w:tabs>
          <w:tab w:leader="none" w:pos="940" w:val="left"/>
          <w:tab w:leader="none" w:pos="5240" w:val="left"/>
          <w:tab w:leader="none" w:pos="58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11,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43180</wp:posOffset>
            </wp:positionV>
            <wp:extent cx="32404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9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David Day</w:t>
      </w:r>
    </w:p>
    <w:p>
      <w:pPr>
        <w:spacing w:after="0" w:line="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0720"/>
      </w:cols>
      <w:pgMar w:left="320" w:top="1089"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2026-06-11T15:19:03Z</dcterms:created>
  <dcterms:modified xsi:type="dcterms:W3CDTF">2026-06-11T15:19:03Z</dcterms:modified>
</cp:coreProperties>
</file>