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8d6a21e15cb741baa6dee69bcf11e47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UNITED STATES</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__________________</w:t>
      </w:r>
    </w:p>
    <w:p>
      <w:pPr>
        <w:pStyle w:val="TextBody"/>
        <w:bidi w:val="0"/>
        <w:spacing w:lineRule="auto" w:line="288" w:before="140" w:after="283"/>
        <w:jc w:val="center"/>
        <w:rPr>
          <w:rFonts w:ascii="Times New Roman;sans-serif" w:hAnsi="Times New Roman;sans-serif"/>
          <w:b/>
          <w:color w:val="000000"/>
          <w:sz w:val="28"/>
        </w:rPr>
      </w:pPr>
      <w:r>
        <w:rPr>
          <w:rFonts w:ascii="Times New Roman;sans-serif" w:hAnsi="Times New Roman;sans-serif"/>
          <w:b/>
          <w:color w:val="000000"/>
          <w:sz w:val="28"/>
        </w:rPr>
        <w:t xml:space="preserve">FORM 10-K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__________________</w:t>
      </w:r>
    </w:p>
    <w:p>
      <w:pPr>
        <w:pStyle w:val="TextBody"/>
        <w:bidi w:val="0"/>
        <w:spacing w:lineRule="auto" w:line="288" w:before="0" w:after="0"/>
        <w:jc w:val="center"/>
        <w:rPr/>
      </w:pPr>
      <w:r>
        <w:rPr>
          <w:color w:val="000000"/>
        </w:rPr>
        <w:t xml:space="preserve">  </w:t>
      </w:r>
      <w:r>
        <w:rPr>
          <w:rFonts w:ascii="Times New Roman;sans-serif" w:hAnsi="Times New Roman;sans-serif"/>
          <w:b w:val="false"/>
          <w:color w:val="000000"/>
          <w:sz w:val="20"/>
        </w:rPr>
        <w:t>(Mark One)</w:t>
      </w:r>
    </w:p>
    <w:p>
      <w:pPr>
        <w:pStyle w:val="TextBody"/>
        <w:bidi w:val="0"/>
        <w:spacing w:before="0" w:after="0"/>
        <w:jc w:val="center"/>
        <w:rPr/>
      </w:pPr>
      <w:r>
        <w:rPr/>
      </w:r>
    </w:p>
    <w:p>
      <w:pPr>
        <w:pStyle w:val="TextBody"/>
        <w:bidi w:val="0"/>
        <w:spacing w:lineRule="auto" w:line="288" w:before="0" w:after="0"/>
        <w:jc w:val="center"/>
        <w:rPr/>
      </w:pPr>
      <w:r>
        <w:rPr>
          <w:color w:val="000000"/>
        </w:rPr>
        <w:t> ☒ </w:t>
      </w:r>
      <w:r>
        <w:rPr>
          <w:rFonts w:ascii="Times New Roman;sans-serif" w:hAnsi="Times New Roman;sans-serif"/>
          <w:b/>
          <w:color w:val="000000"/>
          <w:sz w:val="20"/>
        </w:rPr>
        <w:t>ANNUAL REPORT PURSUANT TO SECTION 13 OR 15(d) OF THE SECURITIES EXCHANGE ACT OF 1934</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 xml:space="preserve">For the fiscal year ended December 31, 2023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OR</w:t>
      </w:r>
    </w:p>
    <w:p>
      <w:pPr>
        <w:pStyle w:val="TextBody"/>
        <w:bidi w:val="0"/>
        <w:spacing w:lineRule="auto" w:line="288" w:before="0" w:after="0"/>
        <w:jc w:val="center"/>
        <w:rPr/>
      </w:pPr>
      <w:r>
        <w:rPr>
          <w:color w:val="000000"/>
        </w:rPr>
        <w:t xml:space="preserve">☐ </w:t>
      </w:r>
      <w:r>
        <w:rPr>
          <w:rFonts w:ascii="Times New Roman;sans-serif" w:hAnsi="Times New Roman;sans-serif"/>
          <w:b/>
          <w:color w:val="000000"/>
          <w:sz w:val="20"/>
        </w:rPr>
        <w:t>TRANSITION REPORT PURSUANT TO SECTION 13 OR 15(d) OF THE SECURITIES EXCHANGE ACT OF 1934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transition period from _____________ to _____________</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Commission File Number: 001-36384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__________________</w:t>
      </w:r>
    </w:p>
    <w:p>
      <w:pPr>
        <w:pStyle w:val="TextBody"/>
        <w:bidi w:val="0"/>
        <w:spacing w:lineRule="auto" w:line="288" w:before="100" w:after="283"/>
        <w:jc w:val="center"/>
        <w:rPr>
          <w:rFonts w:ascii="Times New Roman;sans-serif" w:hAnsi="Times New Roman;sans-serif"/>
          <w:b/>
          <w:color w:val="000000"/>
          <w:sz w:val="32"/>
        </w:rPr>
      </w:pPr>
      <w:r>
        <w:rPr>
          <w:rFonts w:ascii="Times New Roman;sans-serif" w:hAnsi="Times New Roman;sans-serif"/>
          <w:b/>
          <w:color w:val="000000"/>
          <w:sz w:val="32"/>
        </w:rPr>
        <w:t xml:space="preserve">MAGNITE,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p>
      <w:pPr>
        <w:pStyle w:val="TextBody"/>
        <w:bidi w:val="0"/>
        <w:spacing w:lineRule="auto" w:line="288" w:before="0" w:after="0"/>
        <w:jc w:val="center"/>
        <w:rPr>
          <w:color w:val="000000"/>
        </w:rPr>
      </w:pPr>
      <w:r>
        <w:rPr>
          <w:color w:val="000000"/>
        </w:rPr>
        <w:t> </w:t>
      </w:r>
      <w:r>
        <w:rPr>
          <w:rFonts w:ascii="Times New Roman;sans-serif" w:hAnsi="Times New Roman;sans-serif"/>
          <w:b/>
          <w:color w:val="000000"/>
          <w:sz w:val="20"/>
        </w:rPr>
        <w:t>__________________</w:t>
      </w:r>
    </w:p>
    <w:tbl>
      <w:tblPr>
        <w:tblW w:w="9987" w:type="dxa"/>
        <w:jc w:val="center"/>
        <w:tblInd w:w="0" w:type="dxa"/>
        <w:tblLayout w:type="fixed"/>
        <w:tblCellMar>
          <w:top w:w="28" w:type="dxa"/>
          <w:left w:w="28" w:type="dxa"/>
          <w:bottom w:w="28" w:type="dxa"/>
          <w:right w:w="28" w:type="dxa"/>
        </w:tblCellMar>
      </w:tblPr>
      <w:tblGrid>
        <w:gridCol w:w="1795"/>
        <w:gridCol w:w="1577"/>
        <w:gridCol w:w="1593"/>
        <w:gridCol w:w="334"/>
        <w:gridCol w:w="334"/>
        <w:gridCol w:w="336"/>
        <w:gridCol w:w="329"/>
        <w:gridCol w:w="329"/>
        <w:gridCol w:w="331"/>
        <w:gridCol w:w="884"/>
        <w:gridCol w:w="884"/>
        <w:gridCol w:w="1261"/>
      </w:tblGrid>
      <w:tr>
        <w:trPr/>
        <w:tc>
          <w:tcPr>
            <w:tcW w:w="1795"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20-8881738</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 or organization)</w:t>
            </w:r>
          </w:p>
        </w:tc>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1250 Broadway,</w:t>
            </w:r>
          </w:p>
        </w:tc>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15th Floor</w:t>
            </w:r>
          </w:p>
        </w:tc>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New York,</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New York</w:t>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10001</w:t>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87"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 including zip code)</w:t>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87"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212</w:t>
            </w:r>
          </w:p>
        </w:tc>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243-2769</w:t>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_</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______________</w:t>
      </w:r>
    </w:p>
    <w:tbl>
      <w:tblPr>
        <w:tblW w:w="9269" w:type="dxa"/>
        <w:jc w:val="center"/>
        <w:tblInd w:w="0" w:type="dxa"/>
        <w:tblLayout w:type="fixed"/>
        <w:tblCellMar>
          <w:top w:w="28" w:type="dxa"/>
          <w:left w:w="28" w:type="dxa"/>
          <w:bottom w:w="28" w:type="dxa"/>
          <w:right w:w="28" w:type="dxa"/>
        </w:tblCellMar>
      </w:tblPr>
      <w:tblGrid>
        <w:gridCol w:w="1430"/>
        <w:gridCol w:w="1257"/>
        <w:gridCol w:w="1257"/>
        <w:gridCol w:w="540"/>
        <w:gridCol w:w="540"/>
        <w:gridCol w:w="540"/>
        <w:gridCol w:w="1085"/>
        <w:gridCol w:w="1085"/>
        <w:gridCol w:w="1535"/>
      </w:tblGrid>
      <w:tr>
        <w:trPr/>
        <w:tc>
          <w:tcPr>
            <w:tcW w:w="1430"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92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c>
      </w:tr>
      <w:tr>
        <w:trPr/>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Trading Symbol(s)</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of each exchange on which registered</w:t>
            </w:r>
          </w:p>
        </w:tc>
      </w:tr>
      <w:tr>
        <w:trPr/>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Common stock, par value $0.00001 per share</w:t>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MGNI</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Nasdaq Global Select Market</w:t>
            </w:r>
          </w:p>
        </w:tc>
      </w:tr>
      <w:tr>
        <w:trPr/>
        <w:tc>
          <w:tcPr>
            <w:tcW w:w="92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12(g) of the Act:</w:t>
            </w:r>
          </w:p>
        </w:tc>
      </w:tr>
      <w:tr>
        <w:trPr/>
        <w:tc>
          <w:tcPr>
            <w:tcW w:w="3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None</w:t>
            </w:r>
          </w:p>
        </w:tc>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color w:val="000000"/>
        </w:rPr>
      </w:pPr>
      <w:r>
        <w:rPr>
          <w:color w:val="000000"/>
        </w:rPr>
        <w:t> </w:t>
      </w:r>
      <w:r>
        <w:rPr>
          <w:rFonts w:ascii="Times New Roman;sans-serif" w:hAnsi="Times New Roman;sans-serif"/>
          <w:b/>
          <w:color w:val="000000"/>
          <w:sz w:val="20"/>
        </w:rPr>
        <w:t>__________________</w:t>
      </w:r>
    </w:p>
    <w:p>
      <w:pPr>
        <w:pStyle w:val="TextBody"/>
        <w:bidi w:val="0"/>
        <w:spacing w:lineRule="auto" w:line="288" w:before="0" w:after="100"/>
        <w:jc w:val="both"/>
        <w:rPr/>
      </w:pPr>
      <w:r>
        <w:rPr>
          <w:rFonts w:ascii="Times New Roman;sans-serif" w:hAnsi="Times New Roman;sans-serif"/>
          <w:b w:val="false"/>
          <w:color w:val="000000"/>
          <w:sz w:val="20"/>
        </w:rPr>
        <w:t xml:space="preserve">Indicate by check mark if the registrant is a well-known seasoned issuer, as defined in Rule 405 of the Securities Act.    </w:t>
      </w:r>
      <w:r>
        <w:rPr>
          <w:color w:val="000000"/>
        </w:rPr>
        <w:t>☐ </w:t>
      </w:r>
      <w:r>
        <w:rPr>
          <w:rFonts w:ascii="Times New Roman;sans-serif" w:hAnsi="Times New Roman;sans-serif"/>
          <w:b w:val="false"/>
          <w:color w:val="000000"/>
          <w:sz w:val="20"/>
        </w:rPr>
        <w:t>Yes   </w:t>
      </w:r>
      <w:r>
        <w:rPr>
          <w:color w:val="000000"/>
        </w:rPr>
        <w:t>☒ </w:t>
      </w:r>
      <w:r>
        <w:rPr>
          <w:rFonts w:ascii="Times New Roman;sans-serif" w:hAnsi="Times New Roman;sans-serif"/>
          <w:b w:val="false"/>
          <w:color w:val="000000"/>
          <w:sz w:val="20"/>
        </w:rPr>
        <w:t>No  </w:t>
      </w:r>
    </w:p>
    <w:p>
      <w:pPr>
        <w:pStyle w:val="TextBody"/>
        <w:bidi w:val="0"/>
        <w:spacing w:lineRule="auto" w:line="288" w:before="0" w:after="100"/>
        <w:jc w:val="both"/>
        <w:rPr/>
      </w:pPr>
      <w:r>
        <w:rPr>
          <w:rFonts w:ascii="Times New Roman;sans-serif" w:hAnsi="Times New Roman;sans-serif"/>
          <w:b w:val="false"/>
          <w:color w:val="000000"/>
          <w:sz w:val="20"/>
        </w:rPr>
        <w:t xml:space="preserve">Indicate by check mark if the registrant is not required to file reports pursuant to Section 13 or Section 15(d) of the Act.   </w:t>
      </w:r>
      <w:r>
        <w:rPr>
          <w:color w:val="000000"/>
        </w:rPr>
        <w:t>☐ </w:t>
      </w:r>
      <w:r>
        <w:rPr>
          <w:rFonts w:ascii="Times New Roman;sans-serif" w:hAnsi="Times New Roman;sans-serif"/>
          <w:b w:val="false"/>
          <w:color w:val="000000"/>
          <w:sz w:val="20"/>
        </w:rPr>
        <w:t>Yes   </w:t>
      </w:r>
      <w:r>
        <w:rPr>
          <w:color w:val="000000"/>
        </w:rPr>
        <w:t>☒ </w:t>
      </w:r>
      <w:r>
        <w:rPr>
          <w:rFonts w:ascii="Times New Roman;sans-serif" w:hAnsi="Times New Roman;sans-serif"/>
          <w:b w:val="false"/>
          <w:color w:val="000000"/>
          <w:sz w:val="20"/>
        </w:rPr>
        <w:t xml:space="preserve">No </w:t>
      </w:r>
    </w:p>
    <w:p>
      <w:pPr>
        <w:pStyle w:val="TextBody"/>
        <w:bidi w:val="0"/>
        <w:spacing w:lineRule="auto" w:line="288" w:before="0" w:after="100"/>
        <w:jc w:val="both"/>
        <w:rPr/>
      </w:pPr>
      <w:r>
        <w:rPr>
          <w:rFonts w:ascii="Times New Roman;sans-serif" w:hAnsi="Times New Roman;sans-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color w:val="000000"/>
        </w:rPr>
        <w:t>☒ </w:t>
      </w:r>
      <w:r>
        <w:rPr>
          <w:rFonts w:ascii="Times New Roman;sans-serif" w:hAnsi="Times New Roman;sans-serif"/>
          <w:b w:val="false"/>
          <w:color w:val="000000"/>
          <w:sz w:val="20"/>
        </w:rPr>
        <w:t>Yes   </w:t>
      </w:r>
      <w:r>
        <w:rPr>
          <w:color w:val="000000"/>
        </w:rPr>
        <w:t>☐ </w:t>
      </w:r>
      <w:r>
        <w:rPr>
          <w:rFonts w:ascii="Times New Roman;sans-serif" w:hAnsi="Times New Roman;sans-serif"/>
          <w:b w:val="false"/>
          <w:color w:val="000000"/>
          <w:sz w:val="20"/>
        </w:rPr>
        <w:t>No  </w:t>
      </w:r>
    </w:p>
    <w:p>
      <w:pPr>
        <w:pStyle w:val="TextBody"/>
        <w:bidi w:val="0"/>
        <w:spacing w:lineRule="auto" w:line="288" w:before="0" w:after="100"/>
        <w:jc w:val="both"/>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color w:val="000000"/>
        </w:rPr>
        <w:t xml:space="preserve">☒ </w:t>
      </w:r>
      <w:r>
        <w:rPr>
          <w:rFonts w:ascii="Times New Roman;sans-serif" w:hAnsi="Times New Roman;sans-serif"/>
          <w:b w:val="false"/>
          <w:color w:val="000000"/>
          <w:sz w:val="20"/>
        </w:rPr>
        <w:t>Yes   </w:t>
      </w:r>
      <w:r>
        <w:rPr>
          <w:color w:val="000000"/>
        </w:rPr>
        <w:t>☐ </w:t>
      </w:r>
      <w:r>
        <w:rPr>
          <w:rFonts w:ascii="Times New Roman;sans-serif" w:hAnsi="Times New Roman;sans-serif"/>
          <w:b w:val="false"/>
          <w:color w:val="000000"/>
          <w:sz w:val="20"/>
        </w:rPr>
        <w:t>No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082" w:type="dxa"/>
        <w:jc w:val="center"/>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784"/>
        <w:gridCol w:w="784"/>
        <w:gridCol w:w="787"/>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Accelerated filer </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Emerging growth company </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w:t>
            </w:r>
          </w:p>
        </w:tc>
      </w:tr>
    </w:tbl>
    <w:p>
      <w:pPr>
        <w:pStyle w:val="TextBody"/>
        <w:bidi w:val="0"/>
        <w:spacing w:lineRule="auto" w:line="288" w:before="100" w:after="100"/>
        <w:jc w:val="left"/>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0" w:after="100"/>
        <w:jc w:val="left"/>
        <w:rPr/>
      </w:pPr>
      <w:r>
        <w:rPr>
          <w:rFonts w:ascii="Times New Roman;sans-serif" w:hAnsi="Times New Roman;sans-serif"/>
          <w:b w:val="false"/>
          <w:color w:val="000000"/>
          <w:sz w:val="20"/>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color w:val="000000"/>
        </w:rPr>
        <w:t>☒</w:t>
      </w:r>
    </w:p>
    <w:p>
      <w:pPr>
        <w:pStyle w:val="TextBody"/>
        <w:bidi w:val="0"/>
        <w:spacing w:lineRule="auto" w:line="288" w:before="0" w:after="100"/>
        <w:jc w:val="left"/>
        <w:rPr/>
      </w:pPr>
      <w:r>
        <w:rPr>
          <w:rFonts w:ascii="Times New Roman;sans-serif" w:hAnsi="Times New Roman;sans-serif"/>
          <w:b w:val="false"/>
          <w:color w:val="000000"/>
          <w:sz w:val="20"/>
        </w:rPr>
        <w:t xml:space="preserve">If securities are registered pursuant to Section 12(b) of the Act, indicate by check mark whether the financial statements of the registrant included in the filing reflect the correction of an error to previously issued financial statements. </w:t>
      </w:r>
      <w:r>
        <w:rPr>
          <w:color w:val="000000"/>
        </w:rPr>
        <w:t>☐</w:t>
      </w:r>
    </w:p>
    <w:p>
      <w:pPr>
        <w:pStyle w:val="TextBody"/>
        <w:bidi w:val="0"/>
        <w:spacing w:lineRule="auto" w:line="288" w:before="0" w:after="100"/>
        <w:jc w:val="left"/>
        <w:rPr/>
      </w:pPr>
      <w:r>
        <w:rPr>
          <w:rFonts w:ascii="Times New Roman;sans-serif" w:hAnsi="Times New Roman;sans-serif"/>
          <w:b w:val="false"/>
          <w:color w:val="000000"/>
          <w:sz w:val="20"/>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color w:val="000000"/>
        </w:rPr>
        <w:t>☐</w:t>
      </w:r>
    </w:p>
    <w:p>
      <w:pPr>
        <w:pStyle w:val="TextBody"/>
        <w:bidi w:val="0"/>
        <w:spacing w:lineRule="auto" w:line="288" w:before="0" w:after="100"/>
        <w:jc w:val="left"/>
        <w:rPr/>
      </w:pPr>
      <w:r>
        <w:rPr>
          <w:rFonts w:ascii="Times New Roman;sans-serif" w:hAnsi="Times New Roman;sans-serif"/>
          <w:b w:val="false"/>
          <w:color w:val="000000"/>
          <w:sz w:val="20"/>
        </w:rPr>
        <w:t xml:space="preserve">Indicate by check mark whether the registrant is a shell company (as defined in Rule 12b-2 of the Act).   </w:t>
      </w:r>
      <w:r>
        <w:rPr>
          <w:color w:val="000000"/>
        </w:rPr>
        <w:t xml:space="preserve">☐ </w:t>
      </w:r>
      <w:r>
        <w:rPr>
          <w:rFonts w:ascii="Times New Roman;sans-serif" w:hAnsi="Times New Roman;sans-serif"/>
          <w:b w:val="false"/>
          <w:color w:val="000000"/>
          <w:sz w:val="20"/>
        </w:rPr>
        <w:t xml:space="preserve">Yes </w:t>
      </w:r>
      <w:r>
        <w:rPr>
          <w:color w:val="000000"/>
        </w:rPr>
        <w:t>☒  </w:t>
      </w:r>
      <w:r>
        <w:rPr>
          <w:rFonts w:ascii="Times New Roman;sans-serif" w:hAnsi="Times New Roman;sans-serif"/>
          <w:b w:val="false"/>
          <w:color w:val="000000"/>
          <w:sz w:val="20"/>
        </w:rPr>
        <w:t>No</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2023, the aggregate market value of shares held by non-affiliates of the registrant (based on the closing sales price of such shares on the Nasdaq Global Select Market on June 30, 2023) was approximately $1,186,971,950. </w:t>
      </w:r>
    </w:p>
    <w:p>
      <w:pPr>
        <w:pStyle w:val="TextBody"/>
        <w:bidi w:val="0"/>
        <w:spacing w:lineRule="auto" w:line="288" w:before="0" w:after="340"/>
        <w:jc w:val="left"/>
        <w:rPr>
          <w:rFonts w:ascii="Times New Roman;sans-serif" w:hAnsi="Times New Roman;sans-serif"/>
          <w:b w:val="false"/>
          <w:color w:val="000000"/>
          <w:sz w:val="20"/>
        </w:rPr>
      </w:pPr>
      <w:r>
        <w:rPr>
          <w:rFonts w:ascii="Times New Roman;sans-serif" w:hAnsi="Times New Roman;sans-serif"/>
          <w:b w:val="false"/>
          <w:color w:val="000000"/>
          <w:sz w:val="20"/>
        </w:rPr>
        <w:t>Indicate the number of shares outstanding of each of the registrant's classes of common stock, as of the latest practicable date.</w:t>
      </w:r>
    </w:p>
    <w:tbl>
      <w:tblPr>
        <w:tblW w:w="6431" w:type="dxa"/>
        <w:jc w:val="center"/>
        <w:tblInd w:w="0" w:type="dxa"/>
        <w:tblLayout w:type="fixed"/>
        <w:tblCellMar>
          <w:top w:w="28" w:type="dxa"/>
          <w:left w:w="28" w:type="dxa"/>
          <w:bottom w:w="28" w:type="dxa"/>
          <w:right w:w="28" w:type="dxa"/>
        </w:tblCellMar>
      </w:tblPr>
      <w:tblGrid>
        <w:gridCol w:w="1134"/>
        <w:gridCol w:w="995"/>
        <w:gridCol w:w="1005"/>
        <w:gridCol w:w="109"/>
        <w:gridCol w:w="109"/>
        <w:gridCol w:w="109"/>
        <w:gridCol w:w="868"/>
        <w:gridCol w:w="868"/>
        <w:gridCol w:w="1234"/>
      </w:tblGrid>
      <w:tr>
        <w:trPr/>
        <w:tc>
          <w:tcPr>
            <w:tcW w:w="1134"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Outstanding as of February 20, 2024</w:t>
            </w:r>
          </w:p>
        </w:tc>
      </w:tr>
      <w:tr>
        <w:trPr/>
        <w:tc>
          <w:tcPr>
            <w:tcW w:w="31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Common Stock, $0.00001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139,932,053</w:t>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DOCUMENTS INCORPORATED BY REFERENCE: To the extent herein specifically referenced in Part III, portions of the Registrant's definitive Proxy Statement for the 2024 Annual General Meeting of Shareholders to be filed with the Securities and Exchange Commission pursuant to Regulation 14A. See Part III.</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8d6a21e15cb741baa6dee69bcf11e47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MAGNITE,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FORM 10-K</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 THE FISCAL YEAR ENDED DECEMBER 31, 2023 </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710"/>
        <w:gridCol w:w="595"/>
        <w:gridCol w:w="595"/>
        <w:gridCol w:w="2638"/>
        <w:gridCol w:w="2538"/>
        <w:gridCol w:w="2586"/>
        <w:gridCol w:w="158"/>
        <w:gridCol w:w="158"/>
        <w:gridCol w:w="227"/>
      </w:tblGrid>
      <w:tr>
        <w:trPr/>
        <w:tc>
          <w:tcPr>
            <w:tcW w:w="710"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2638" w:type="dxa"/>
            <w:tcBorders/>
            <w:vAlign w:val="center"/>
          </w:tcPr>
          <w:p>
            <w:pPr>
              <w:pStyle w:val="TableContents"/>
              <w:bidi w:val="0"/>
              <w:spacing w:before="0" w:after="283"/>
              <w:jc w:val="left"/>
              <w:rPr>
                <w:sz w:val="4"/>
                <w:szCs w:val="4"/>
              </w:rPr>
            </w:pPr>
            <w:r>
              <w:rPr>
                <w:sz w:val="4"/>
                <w:szCs w:val="4"/>
              </w:rPr>
            </w:r>
          </w:p>
        </w:tc>
        <w:tc>
          <w:tcPr>
            <w:tcW w:w="2538" w:type="dxa"/>
            <w:tcBorders/>
            <w:vAlign w:val="center"/>
          </w:tcPr>
          <w:p>
            <w:pPr>
              <w:pStyle w:val="TableContents"/>
              <w:bidi w:val="0"/>
              <w:spacing w:before="0" w:after="283"/>
              <w:jc w:val="left"/>
              <w:rPr>
                <w:sz w:val="4"/>
                <w:szCs w:val="4"/>
              </w:rPr>
            </w:pPr>
            <w:r>
              <w:rPr>
                <w:sz w:val="4"/>
                <w:szCs w:val="4"/>
              </w:rPr>
            </w:r>
          </w:p>
        </w:tc>
        <w:tc>
          <w:tcPr>
            <w:tcW w:w="258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1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Page</w:t>
              <w:br/>
              <w:t>No.</w:t>
            </w:r>
          </w:p>
        </w:tc>
      </w:tr>
      <w:tr>
        <w:trPr/>
        <w:tc>
          <w:tcPr>
            <w:tcW w:w="966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8d6a21e15cb741baa6dee69bcf11e47e_10">
              <w:r>
                <w:rPr>
                  <w:rStyle w:val="InternetLink"/>
                  <w:rFonts w:ascii="Times New Roman;sans-serif" w:hAnsi="Times New Roman;sans-serif"/>
                  <w:b w:val="false"/>
                  <w:color w:val="0000FF"/>
                  <w:sz w:val="20"/>
                  <w:u w:val="single"/>
                </w:rPr>
                <w:t>Special Note About Forward-Looking Statements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d6a21e15cb741baa6dee69bcf11e47e_10">
              <w:r>
                <w:rPr>
                  <w:rStyle w:val="InternetLink"/>
                  <w:rFonts w:ascii="Times New Roman;sans-serif" w:hAnsi="Times New Roman;sans-serif"/>
                  <w:b w:val="false"/>
                  <w:color w:val="0000FF"/>
                  <w:sz w:val="20"/>
                  <w:u w:val="single"/>
                </w:rPr>
                <w:t>3</w:t>
              </w:r>
            </w:hyperlink>
          </w:p>
        </w:tc>
      </w:tr>
      <w:tr>
        <w:trPr/>
        <w:tc>
          <w:tcPr>
            <w:tcW w:w="1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Part I</w:t>
            </w:r>
          </w:p>
        </w:tc>
        <w:tc>
          <w:tcPr>
            <w:tcW w:w="7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77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6a21e15cb741baa6dee69bcf11e47e_16">
              <w:r>
                <w:rPr>
                  <w:rStyle w:val="InternetLink"/>
                  <w:rFonts w:ascii="Times New Roman;sans-serif" w:hAnsi="Times New Roman;sans-serif"/>
                  <w:b w:val="false"/>
                  <w:color w:val="0000FF"/>
                  <w:sz w:val="20"/>
                  <w:u w:val="single"/>
                </w:rPr>
                <w:t>Business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d6a21e15cb741baa6dee69bcf11e47e_16">
              <w:r>
                <w:rPr>
                  <w:rStyle w:val="InternetLink"/>
                  <w:rFonts w:ascii="Times New Roman;sans-serif" w:hAnsi="Times New Roman;sans-serif"/>
                  <w:b w:val="false"/>
                  <w:color w:val="0000FF"/>
                  <w:sz w:val="20"/>
                  <w:u w:val="single"/>
                </w:rPr>
                <w:t>6</w:t>
              </w:r>
            </w:hyperlink>
          </w:p>
        </w:tc>
      </w:tr>
      <w:tr>
        <w:trPr/>
        <w:tc>
          <w:tcPr>
            <w:tcW w:w="1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77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6a21e15cb741baa6dee69bcf11e47e_19">
              <w:r>
                <w:rPr>
                  <w:rStyle w:val="InternetLink"/>
                  <w:rFonts w:ascii="Times New Roman;sans-serif" w:hAnsi="Times New Roman;sans-serif"/>
                  <w:b w:val="false"/>
                  <w:color w:val="0000FF"/>
                  <w:sz w:val="20"/>
                  <w:u w:val="single"/>
                </w:rPr>
                <w:t>Risk Factors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d6a21e15cb741baa6dee69bcf11e47e_19">
              <w:r>
                <w:rPr>
                  <w:rStyle w:val="InternetLink"/>
                  <w:rFonts w:ascii="Times New Roman;sans-serif" w:hAnsi="Times New Roman;sans-serif"/>
                  <w:b w:val="false"/>
                  <w:color w:val="0000FF"/>
                  <w:sz w:val="20"/>
                  <w:u w:val="single"/>
                </w:rPr>
                <w:t>15</w:t>
              </w:r>
            </w:hyperlink>
          </w:p>
        </w:tc>
      </w:tr>
      <w:tr>
        <w:trPr/>
        <w:tc>
          <w:tcPr>
            <w:tcW w:w="1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1B.</w:t>
            </w:r>
          </w:p>
        </w:tc>
        <w:tc>
          <w:tcPr>
            <w:tcW w:w="77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6a21e15cb741baa6dee69bcf11e47e_22">
              <w:r>
                <w:rPr>
                  <w:rStyle w:val="InternetLink"/>
                  <w:rFonts w:ascii="Times New Roman;sans-serif" w:hAnsi="Times New Roman;sans-serif"/>
                  <w:b w:val="false"/>
                  <w:color w:val="0000FF"/>
                  <w:sz w:val="20"/>
                  <w:u w:val="single"/>
                </w:rPr>
                <w:t>Unresolved Staff Comments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d6a21e15cb741baa6dee69bcf11e47e_22">
              <w:r>
                <w:rPr>
                  <w:rStyle w:val="InternetLink"/>
                  <w:rFonts w:ascii="Times New Roman;sans-serif" w:hAnsi="Times New Roman;sans-serif"/>
                  <w:b w:val="false"/>
                  <w:color w:val="0000FF"/>
                  <w:sz w:val="20"/>
                  <w:u w:val="single"/>
                </w:rPr>
                <w:t>37</w:t>
              </w:r>
            </w:hyperlink>
          </w:p>
        </w:tc>
      </w:tr>
      <w:tr>
        <w:trPr/>
        <w:tc>
          <w:tcPr>
            <w:tcW w:w="190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Item 1C.</w:t>
            </w:r>
          </w:p>
        </w:tc>
        <w:tc>
          <w:tcPr>
            <w:tcW w:w="77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6a21e15cb741baa6dee69bcf11e47e_1766">
              <w:r>
                <w:rPr>
                  <w:rStyle w:val="InternetLink"/>
                  <w:rFonts w:ascii="Times New Roman;sans-serif" w:hAnsi="Times New Roman;sans-serif"/>
                  <w:b w:val="false"/>
                  <w:color w:val="000080"/>
                  <w:sz w:val="20"/>
                  <w:u w:val="single"/>
                </w:rPr>
                <w:t>C</w:t>
              </w:r>
            </w:hyperlink>
            <w:hyperlink w:anchor="i8d6a21e15cb741baa6dee69bcf11e47e_1766">
              <w:r>
                <w:rPr>
                  <w:rStyle w:val="InternetLink"/>
                  <w:rFonts w:ascii="Times New Roman;sans-serif" w:hAnsi="Times New Roman;sans-serif"/>
                  <w:b w:val="false"/>
                  <w:color w:val="000080"/>
                  <w:sz w:val="20"/>
                  <w:u w:val="single"/>
                </w:rPr>
                <w:t>ybersecurity</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d6a21e15cb741baa6dee69bcf11e47e_1766">
              <w:r>
                <w:rPr>
                  <w:rStyle w:val="InternetLink"/>
                  <w:rFonts w:ascii="Times New Roman;sans-serif" w:hAnsi="Times New Roman;sans-serif"/>
                  <w:b w:val="false"/>
                  <w:color w:val="0000FF"/>
                  <w:sz w:val="20"/>
                  <w:u w:val="single"/>
                </w:rPr>
                <w:t>38</w:t>
              </w:r>
            </w:hyperlink>
          </w:p>
        </w:tc>
      </w:tr>
      <w:tr>
        <w:trPr/>
        <w:tc>
          <w:tcPr>
            <w:tcW w:w="1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77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6a21e15cb741baa6dee69bcf11e47e_25">
              <w:r>
                <w:rPr>
                  <w:rStyle w:val="InternetLink"/>
                  <w:rFonts w:ascii="Times New Roman;sans-serif" w:hAnsi="Times New Roman;sans-serif"/>
                  <w:b w:val="false"/>
                  <w:color w:val="0000FF"/>
                  <w:sz w:val="20"/>
                  <w:u w:val="single"/>
                </w:rPr>
                <w:t>Properties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d6a21e15cb741baa6dee69bcf11e47e_25">
              <w:r>
                <w:rPr>
                  <w:rStyle w:val="InternetLink"/>
                  <w:rFonts w:ascii="Times New Roman;sans-serif" w:hAnsi="Times New Roman;sans-serif"/>
                  <w:b w:val="false"/>
                  <w:color w:val="0000FF"/>
                  <w:sz w:val="20"/>
                  <w:u w:val="single"/>
                </w:rPr>
                <w:t>40</w:t>
              </w:r>
            </w:hyperlink>
          </w:p>
        </w:tc>
      </w:tr>
      <w:tr>
        <w:trPr/>
        <w:tc>
          <w:tcPr>
            <w:tcW w:w="1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77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6a21e15cb741baa6dee69bcf11e47e_28">
              <w:r>
                <w:rPr>
                  <w:rStyle w:val="InternetLink"/>
                  <w:rFonts w:ascii="Times New Roman;sans-serif" w:hAnsi="Times New Roman;sans-serif"/>
                  <w:b w:val="false"/>
                  <w:color w:val="0000FF"/>
                  <w:sz w:val="20"/>
                  <w:u w:val="single"/>
                </w:rPr>
                <w:t>Legal Proceedings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d6a21e15cb741baa6dee69bcf11e47e_28">
              <w:r>
                <w:rPr>
                  <w:rStyle w:val="InternetLink"/>
                  <w:rFonts w:ascii="Times New Roman;sans-serif" w:hAnsi="Times New Roman;sans-serif"/>
                  <w:b w:val="false"/>
                  <w:color w:val="0000FF"/>
                  <w:sz w:val="20"/>
                  <w:u w:val="single"/>
                </w:rPr>
                <w:t>40</w:t>
              </w:r>
            </w:hyperlink>
          </w:p>
        </w:tc>
      </w:tr>
      <w:tr>
        <w:trPr/>
        <w:tc>
          <w:tcPr>
            <w:tcW w:w="1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77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6a21e15cb741baa6dee69bcf11e47e_31">
              <w:r>
                <w:rPr>
                  <w:rStyle w:val="InternetLink"/>
                  <w:rFonts w:ascii="Times New Roman;sans-serif" w:hAnsi="Times New Roman;sans-serif"/>
                  <w:b w:val="false"/>
                  <w:color w:val="0000FF"/>
                  <w:sz w:val="20"/>
                  <w:u w:val="single"/>
                </w:rPr>
                <w:t>Mine Safety Disclosures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d6a21e15cb741baa6dee69bcf11e47e_31">
              <w:r>
                <w:rPr>
                  <w:rStyle w:val="InternetLink"/>
                  <w:rFonts w:ascii="Times New Roman;sans-serif" w:hAnsi="Times New Roman;sans-serif"/>
                  <w:b w:val="false"/>
                  <w:color w:val="0000FF"/>
                  <w:sz w:val="20"/>
                  <w:u w:val="single"/>
                </w:rPr>
                <w:t>40</w:t>
              </w:r>
            </w:hyperlink>
          </w:p>
        </w:tc>
      </w:tr>
      <w:tr>
        <w:trPr/>
        <w:tc>
          <w:tcPr>
            <w:tcW w:w="1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Part II</w:t>
            </w:r>
          </w:p>
        </w:tc>
        <w:tc>
          <w:tcPr>
            <w:tcW w:w="7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5.</w:t>
            </w:r>
          </w:p>
        </w:tc>
        <w:tc>
          <w:tcPr>
            <w:tcW w:w="77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6a21e15cb741baa6dee69bcf11e47e_37">
              <w:r>
                <w:rPr>
                  <w:rStyle w:val="InternetLink"/>
                  <w:rFonts w:ascii="Times New Roman;sans-serif" w:hAnsi="Times New Roman;sans-serif"/>
                  <w:b w:val="false"/>
                  <w:color w:val="0000FF"/>
                  <w:sz w:val="20"/>
                  <w:u w:val="single"/>
                </w:rPr>
                <w:t>Market for Registrant's Common Equity, Related Stockholder Matters and Issuer Purchases of Equity Securities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d6a21e15cb741baa6dee69bcf11e47e_37">
              <w:r>
                <w:rPr>
                  <w:rStyle w:val="InternetLink"/>
                  <w:rFonts w:ascii="Times New Roman;sans-serif" w:hAnsi="Times New Roman;sans-serif"/>
                  <w:b w:val="false"/>
                  <w:color w:val="0000FF"/>
                  <w:sz w:val="20"/>
                  <w:u w:val="single"/>
                </w:rPr>
                <w:t>41</w:t>
              </w:r>
            </w:hyperlink>
          </w:p>
        </w:tc>
      </w:tr>
      <w:tr>
        <w:trPr/>
        <w:tc>
          <w:tcPr>
            <w:tcW w:w="1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6.</w:t>
            </w:r>
          </w:p>
        </w:tc>
        <w:tc>
          <w:tcPr>
            <w:tcW w:w="77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6a21e15cb741baa6dee69bcf11e47e_40">
              <w:r>
                <w:rPr>
                  <w:rStyle w:val="InternetLink"/>
                  <w:rFonts w:ascii="Times New Roman;sans-serif" w:hAnsi="Times New Roman;sans-serif"/>
                  <w:b w:val="false"/>
                  <w:color w:val="0000FF"/>
                  <w:sz w:val="20"/>
                  <w:u w:val="single"/>
                </w:rPr>
                <w:t>Reserved</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d6a21e15cb741baa6dee69bcf11e47e_40">
              <w:r>
                <w:rPr>
                  <w:rStyle w:val="InternetLink"/>
                  <w:rFonts w:ascii="Times New Roman;sans-serif" w:hAnsi="Times New Roman;sans-serif"/>
                  <w:b w:val="false"/>
                  <w:color w:val="0000FF"/>
                  <w:sz w:val="20"/>
                  <w:u w:val="single"/>
                </w:rPr>
                <w:t>42</w:t>
              </w:r>
            </w:hyperlink>
          </w:p>
        </w:tc>
      </w:tr>
      <w:tr>
        <w:trPr/>
        <w:tc>
          <w:tcPr>
            <w:tcW w:w="1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7.</w:t>
            </w:r>
          </w:p>
        </w:tc>
        <w:tc>
          <w:tcPr>
            <w:tcW w:w="77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6a21e15cb741baa6dee69bcf11e47e_43">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d6a21e15cb741baa6dee69bcf11e47e_43">
              <w:r>
                <w:rPr>
                  <w:rStyle w:val="InternetLink"/>
                  <w:rFonts w:ascii="Times New Roman;sans-serif" w:hAnsi="Times New Roman;sans-serif"/>
                  <w:b w:val="false"/>
                  <w:color w:val="0000FF"/>
                  <w:sz w:val="20"/>
                  <w:u w:val="single"/>
                </w:rPr>
                <w:t>43</w:t>
              </w:r>
            </w:hyperlink>
          </w:p>
        </w:tc>
      </w:tr>
      <w:tr>
        <w:trPr/>
        <w:tc>
          <w:tcPr>
            <w:tcW w:w="1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7A.</w:t>
            </w:r>
          </w:p>
        </w:tc>
        <w:tc>
          <w:tcPr>
            <w:tcW w:w="77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6a21e15cb741baa6dee69bcf11e47e_76">
              <w:r>
                <w:rPr>
                  <w:rStyle w:val="InternetLink"/>
                  <w:rFonts w:ascii="Times New Roman;sans-serif" w:hAnsi="Times New Roman;sans-serif"/>
                  <w:b w:val="false"/>
                  <w:color w:val="0000FF"/>
                  <w:sz w:val="20"/>
                  <w:u w:val="single"/>
                </w:rPr>
                <w:t>Quantitative and Qualitative Disclosures About Market Risk</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d6a21e15cb741baa6dee69bcf11e47e_76">
              <w:r>
                <w:rPr>
                  <w:rStyle w:val="InternetLink"/>
                  <w:rFonts w:ascii="Times New Roman;sans-serif" w:hAnsi="Times New Roman;sans-serif"/>
                  <w:b w:val="false"/>
                  <w:color w:val="0000FF"/>
                  <w:sz w:val="20"/>
                  <w:u w:val="single"/>
                </w:rPr>
                <w:t>58</w:t>
              </w:r>
            </w:hyperlink>
          </w:p>
        </w:tc>
      </w:tr>
      <w:tr>
        <w:trPr/>
        <w:tc>
          <w:tcPr>
            <w:tcW w:w="1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8.</w:t>
            </w:r>
          </w:p>
        </w:tc>
        <w:tc>
          <w:tcPr>
            <w:tcW w:w="77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6a21e15cb741baa6dee69bcf11e47e_79">
              <w:r>
                <w:rPr>
                  <w:rStyle w:val="InternetLink"/>
                  <w:rFonts w:ascii="Times New Roman;sans-serif" w:hAnsi="Times New Roman;sans-serif"/>
                  <w:b w:val="false"/>
                  <w:color w:val="0000FF"/>
                  <w:sz w:val="20"/>
                  <w:u w:val="single"/>
                </w:rPr>
                <w:t>Financial Statements and Supplementary Data</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d6a21e15cb741baa6dee69bcf11e47e_79">
              <w:r>
                <w:rPr>
                  <w:rStyle w:val="InternetLink"/>
                  <w:rFonts w:ascii="Times New Roman;sans-serif" w:hAnsi="Times New Roman;sans-serif"/>
                  <w:b w:val="false"/>
                  <w:color w:val="0000FF"/>
                  <w:sz w:val="20"/>
                  <w:u w:val="single"/>
                </w:rPr>
                <w:t>60</w:t>
              </w:r>
            </w:hyperlink>
          </w:p>
        </w:tc>
      </w:tr>
      <w:tr>
        <w:trPr/>
        <w:tc>
          <w:tcPr>
            <w:tcW w:w="1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w:t>
            </w:r>
          </w:p>
        </w:tc>
        <w:tc>
          <w:tcPr>
            <w:tcW w:w="77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6a21e15cb741baa6dee69bcf11e47e_184">
              <w:r>
                <w:rPr>
                  <w:rStyle w:val="InternetLink"/>
                  <w:rFonts w:ascii="Times New Roman;sans-serif" w:hAnsi="Times New Roman;sans-serif"/>
                  <w:b w:val="false"/>
                  <w:color w:val="0000FF"/>
                  <w:sz w:val="20"/>
                  <w:u w:val="single"/>
                </w:rPr>
                <w:t>Changes in and Disagreements with Accountants on Accounting and Financial Disclosure</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d6a21e15cb741baa6dee69bcf11e47e_184">
              <w:r>
                <w:rPr>
                  <w:rStyle w:val="InternetLink"/>
                  <w:rFonts w:ascii="Times New Roman;sans-serif" w:hAnsi="Times New Roman;sans-serif"/>
                  <w:b w:val="false"/>
                  <w:color w:val="0000FF"/>
                  <w:sz w:val="20"/>
                  <w:u w:val="single"/>
                </w:rPr>
                <w:t>103</w:t>
              </w:r>
            </w:hyperlink>
          </w:p>
        </w:tc>
      </w:tr>
      <w:tr>
        <w:trPr/>
        <w:tc>
          <w:tcPr>
            <w:tcW w:w="1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9A.</w:t>
            </w:r>
          </w:p>
        </w:tc>
        <w:tc>
          <w:tcPr>
            <w:tcW w:w="77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6a21e15cb741baa6dee69bcf11e47e_187">
              <w:r>
                <w:rPr>
                  <w:rStyle w:val="InternetLink"/>
                  <w:rFonts w:ascii="Times New Roman;sans-serif" w:hAnsi="Times New Roman;sans-serif"/>
                  <w:b w:val="false"/>
                  <w:color w:val="0000FF"/>
                  <w:sz w:val="20"/>
                  <w:u w:val="single"/>
                </w:rPr>
                <w:t>Controls and Procedures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d6a21e15cb741baa6dee69bcf11e47e_187">
              <w:r>
                <w:rPr>
                  <w:rStyle w:val="InternetLink"/>
                  <w:rFonts w:ascii="Times New Roman;sans-serif" w:hAnsi="Times New Roman;sans-serif"/>
                  <w:b w:val="false"/>
                  <w:color w:val="0000FF"/>
                  <w:sz w:val="20"/>
                  <w:u w:val="single"/>
                </w:rPr>
                <w:t>103</w:t>
              </w:r>
            </w:hyperlink>
          </w:p>
        </w:tc>
      </w:tr>
      <w:tr>
        <w:trPr/>
        <w:tc>
          <w:tcPr>
            <w:tcW w:w="1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9B.</w:t>
            </w:r>
          </w:p>
        </w:tc>
        <w:tc>
          <w:tcPr>
            <w:tcW w:w="77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6a21e15cb741baa6dee69bcf11e47e_190">
              <w:r>
                <w:rPr>
                  <w:rStyle w:val="InternetLink"/>
                  <w:rFonts w:ascii="Times New Roman;sans-serif" w:hAnsi="Times New Roman;sans-serif"/>
                  <w:b w:val="false"/>
                  <w:color w:val="0000FF"/>
                  <w:sz w:val="20"/>
                  <w:u w:val="single"/>
                </w:rPr>
                <w:t>Other Information</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d6a21e15cb741baa6dee69bcf11e47e_190">
              <w:r>
                <w:rPr>
                  <w:rStyle w:val="InternetLink"/>
                  <w:rFonts w:ascii="Times New Roman;sans-serif" w:hAnsi="Times New Roman;sans-serif"/>
                  <w:b w:val="false"/>
                  <w:color w:val="0000FF"/>
                  <w:sz w:val="20"/>
                  <w:u w:val="single"/>
                </w:rPr>
                <w:t>105</w:t>
              </w:r>
            </w:hyperlink>
          </w:p>
        </w:tc>
      </w:tr>
      <w:tr>
        <w:trPr/>
        <w:tc>
          <w:tcPr>
            <w:tcW w:w="1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9C.</w:t>
            </w:r>
          </w:p>
        </w:tc>
        <w:tc>
          <w:tcPr>
            <w:tcW w:w="77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6a21e15cb741baa6dee69bcf11e47e_193">
              <w:r>
                <w:rPr>
                  <w:rStyle w:val="InternetLink"/>
                  <w:rFonts w:ascii="Times New Roman;sans-serif" w:hAnsi="Times New Roman;sans-serif"/>
                  <w:b w:val="false"/>
                  <w:color w:val="0000FF"/>
                  <w:sz w:val="20"/>
                  <w:u w:val="single"/>
                </w:rPr>
                <w:t>Disclosure Regarding Foreign Jurisdictions that Prevent Inspections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d6a21e15cb741baa6dee69bcf11e47e_193">
              <w:r>
                <w:rPr>
                  <w:rStyle w:val="InternetLink"/>
                  <w:rFonts w:ascii="Times New Roman;sans-serif" w:hAnsi="Times New Roman;sans-serif"/>
                  <w:b w:val="false"/>
                  <w:color w:val="0000FF"/>
                  <w:sz w:val="20"/>
                  <w:u w:val="single"/>
                </w:rPr>
                <w:t>105</w:t>
              </w:r>
            </w:hyperlink>
          </w:p>
        </w:tc>
      </w:tr>
      <w:tr>
        <w:trPr/>
        <w:tc>
          <w:tcPr>
            <w:tcW w:w="1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Part III</w:t>
            </w:r>
          </w:p>
        </w:tc>
        <w:tc>
          <w:tcPr>
            <w:tcW w:w="7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10.</w:t>
            </w:r>
          </w:p>
        </w:tc>
        <w:tc>
          <w:tcPr>
            <w:tcW w:w="77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6a21e15cb741baa6dee69bcf11e47e_199">
              <w:r>
                <w:rPr>
                  <w:rStyle w:val="InternetLink"/>
                  <w:rFonts w:ascii="Times New Roman;sans-serif" w:hAnsi="Times New Roman;sans-serif"/>
                  <w:b w:val="false"/>
                  <w:color w:val="0000FF"/>
                  <w:sz w:val="20"/>
                  <w:u w:val="single"/>
                </w:rPr>
                <w:t>Directors, Executive Officers and Corporate Governance</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d6a21e15cb741baa6dee69bcf11e47e_199">
              <w:r>
                <w:rPr>
                  <w:rStyle w:val="InternetLink"/>
                  <w:rFonts w:ascii="Times New Roman;sans-serif" w:hAnsi="Times New Roman;sans-serif"/>
                  <w:b w:val="false"/>
                  <w:color w:val="0000FF"/>
                  <w:sz w:val="20"/>
                  <w:u w:val="single"/>
                </w:rPr>
                <w:t>105</w:t>
              </w:r>
            </w:hyperlink>
          </w:p>
        </w:tc>
      </w:tr>
      <w:tr>
        <w:trPr/>
        <w:tc>
          <w:tcPr>
            <w:tcW w:w="1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11.</w:t>
            </w:r>
          </w:p>
        </w:tc>
        <w:tc>
          <w:tcPr>
            <w:tcW w:w="77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6a21e15cb741baa6dee69bcf11e47e_202">
              <w:r>
                <w:rPr>
                  <w:rStyle w:val="InternetLink"/>
                  <w:rFonts w:ascii="Times New Roman;sans-serif" w:hAnsi="Times New Roman;sans-serif"/>
                  <w:b w:val="false"/>
                  <w:color w:val="0000FF"/>
                  <w:sz w:val="20"/>
                  <w:u w:val="single"/>
                </w:rPr>
                <w:t>Executive Compensation</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d6a21e15cb741baa6dee69bcf11e47e_202">
              <w:r>
                <w:rPr>
                  <w:rStyle w:val="InternetLink"/>
                  <w:rFonts w:ascii="Times New Roman;sans-serif" w:hAnsi="Times New Roman;sans-serif"/>
                  <w:b w:val="false"/>
                  <w:color w:val="0000FF"/>
                  <w:sz w:val="20"/>
                  <w:u w:val="single"/>
                </w:rPr>
                <w:t>105</w:t>
              </w:r>
            </w:hyperlink>
          </w:p>
        </w:tc>
      </w:tr>
      <w:tr>
        <w:trPr/>
        <w:tc>
          <w:tcPr>
            <w:tcW w:w="1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12.</w:t>
            </w:r>
          </w:p>
        </w:tc>
        <w:tc>
          <w:tcPr>
            <w:tcW w:w="77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6a21e15cb741baa6dee69bcf11e47e_205">
              <w:r>
                <w:rPr>
                  <w:rStyle w:val="InternetLink"/>
                  <w:rFonts w:ascii="Times New Roman;sans-serif" w:hAnsi="Times New Roman;sans-serif"/>
                  <w:b w:val="false"/>
                  <w:color w:val="0000FF"/>
                  <w:sz w:val="20"/>
                  <w:u w:val="single"/>
                </w:rPr>
                <w:t>Security Ownership of Certain Beneficial Owners and Management and Related Stockholder Matters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d6a21e15cb741baa6dee69bcf11e47e_205">
              <w:r>
                <w:rPr>
                  <w:rStyle w:val="InternetLink"/>
                  <w:rFonts w:ascii="Times New Roman;sans-serif" w:hAnsi="Times New Roman;sans-serif"/>
                  <w:b w:val="false"/>
                  <w:color w:val="0000FF"/>
                  <w:sz w:val="20"/>
                  <w:u w:val="single"/>
                </w:rPr>
                <w:t>106</w:t>
              </w:r>
            </w:hyperlink>
          </w:p>
        </w:tc>
      </w:tr>
      <w:tr>
        <w:trPr/>
        <w:tc>
          <w:tcPr>
            <w:tcW w:w="1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13.</w:t>
            </w:r>
          </w:p>
        </w:tc>
        <w:tc>
          <w:tcPr>
            <w:tcW w:w="77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6a21e15cb741baa6dee69bcf11e47e_208">
              <w:r>
                <w:rPr>
                  <w:rStyle w:val="InternetLink"/>
                  <w:rFonts w:ascii="Times New Roman;sans-serif" w:hAnsi="Times New Roman;sans-serif"/>
                  <w:b w:val="false"/>
                  <w:color w:val="0000FF"/>
                  <w:sz w:val="20"/>
                  <w:u w:val="single"/>
                </w:rPr>
                <w:t>Certain Relationships and Related Transactions, and Director Independence</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d6a21e15cb741baa6dee69bcf11e47e_208">
              <w:r>
                <w:rPr>
                  <w:rStyle w:val="InternetLink"/>
                  <w:rFonts w:ascii="Times New Roman;sans-serif" w:hAnsi="Times New Roman;sans-serif"/>
                  <w:b w:val="false"/>
                  <w:color w:val="0000FF"/>
                  <w:sz w:val="20"/>
                  <w:u w:val="single"/>
                </w:rPr>
                <w:t>106</w:t>
              </w:r>
            </w:hyperlink>
          </w:p>
        </w:tc>
      </w:tr>
      <w:tr>
        <w:trPr/>
        <w:tc>
          <w:tcPr>
            <w:tcW w:w="1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14.</w:t>
            </w:r>
          </w:p>
        </w:tc>
        <w:tc>
          <w:tcPr>
            <w:tcW w:w="77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6a21e15cb741baa6dee69bcf11e47e_211">
              <w:r>
                <w:rPr>
                  <w:rStyle w:val="InternetLink"/>
                  <w:rFonts w:ascii="Times New Roman;sans-serif" w:hAnsi="Times New Roman;sans-serif"/>
                  <w:b w:val="false"/>
                  <w:color w:val="0000FF"/>
                  <w:sz w:val="20"/>
                  <w:u w:val="single"/>
                </w:rPr>
                <w:t>Principal Accountant Fees and Services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d6a21e15cb741baa6dee69bcf11e47e_211">
              <w:r>
                <w:rPr>
                  <w:rStyle w:val="InternetLink"/>
                  <w:rFonts w:ascii="Times New Roman;sans-serif" w:hAnsi="Times New Roman;sans-serif"/>
                  <w:b w:val="false"/>
                  <w:color w:val="0000FF"/>
                  <w:sz w:val="20"/>
                  <w:u w:val="single"/>
                </w:rPr>
                <w:t>106</w:t>
              </w:r>
            </w:hyperlink>
          </w:p>
        </w:tc>
      </w:tr>
      <w:tr>
        <w:trPr/>
        <w:tc>
          <w:tcPr>
            <w:tcW w:w="1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Part IV</w:t>
            </w:r>
          </w:p>
        </w:tc>
        <w:tc>
          <w:tcPr>
            <w:tcW w:w="7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15.</w:t>
            </w:r>
          </w:p>
        </w:tc>
        <w:tc>
          <w:tcPr>
            <w:tcW w:w="77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6a21e15cb741baa6dee69bcf11e47e_217">
              <w:r>
                <w:rPr>
                  <w:rStyle w:val="InternetLink"/>
                  <w:rFonts w:ascii="Times New Roman;sans-serif" w:hAnsi="Times New Roman;sans-serif"/>
                  <w:b w:val="false"/>
                  <w:color w:val="0000FF"/>
                  <w:sz w:val="20"/>
                  <w:u w:val="single"/>
                </w:rPr>
                <w:t>Exhibits, Financial Statement Schedules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d6a21e15cb741baa6dee69bcf11e47e_217">
              <w:r>
                <w:rPr>
                  <w:rStyle w:val="InternetLink"/>
                  <w:rFonts w:ascii="Times New Roman;sans-serif" w:hAnsi="Times New Roman;sans-serif"/>
                  <w:b w:val="false"/>
                  <w:color w:val="0000FF"/>
                  <w:sz w:val="20"/>
                  <w:u w:val="single"/>
                </w:rPr>
                <w:t>107</w:t>
              </w:r>
            </w:hyperlink>
          </w:p>
        </w:tc>
      </w:tr>
      <w:tr>
        <w:trPr/>
        <w:tc>
          <w:tcPr>
            <w:tcW w:w="1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16.</w:t>
            </w:r>
          </w:p>
        </w:tc>
        <w:tc>
          <w:tcPr>
            <w:tcW w:w="77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6a21e15cb741baa6dee69bcf11e47e_220">
              <w:r>
                <w:rPr>
                  <w:rStyle w:val="InternetLink"/>
                  <w:rFonts w:ascii="Times New Roman;sans-serif" w:hAnsi="Times New Roman;sans-serif"/>
                  <w:b w:val="false"/>
                  <w:color w:val="0000FF"/>
                  <w:sz w:val="20"/>
                  <w:u w:val="single"/>
                </w:rPr>
                <w:t>Form 10-K Summary</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d6a21e15cb741baa6dee69bcf11e47e_220">
              <w:r>
                <w:rPr>
                  <w:rStyle w:val="InternetLink"/>
                  <w:rFonts w:ascii="Times New Roman;sans-serif" w:hAnsi="Times New Roman;sans-serif"/>
                  <w:b w:val="false"/>
                  <w:color w:val="0000FF"/>
                  <w:sz w:val="20"/>
                  <w:u w:val="single"/>
                </w:rPr>
                <w:t>110</w:t>
              </w:r>
            </w:hyperlink>
          </w:p>
        </w:tc>
      </w:tr>
      <w:tr>
        <w:trPr/>
        <w:tc>
          <w:tcPr>
            <w:tcW w:w="19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6a21e15cb741baa6dee69bcf11e47e_223">
              <w:r>
                <w:rPr>
                  <w:rStyle w:val="InternetLink"/>
                  <w:rFonts w:ascii="Times New Roman;sans-serif" w:hAnsi="Times New Roman;sans-serif"/>
                  <w:b w:val="false"/>
                  <w:color w:val="0000FF"/>
                  <w:sz w:val="20"/>
                  <w:u w:val="single"/>
                </w:rPr>
                <w:t>Signatures</w:t>
              </w:r>
            </w:hyperlink>
          </w:p>
        </w:tc>
        <w:tc>
          <w:tcPr>
            <w:tcW w:w="7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d6a21e15cb741baa6dee69bcf11e47e_223">
              <w:r>
                <w:rPr>
                  <w:rStyle w:val="InternetLink"/>
                  <w:rFonts w:ascii="Times New Roman;sans-serif" w:hAnsi="Times New Roman;sans-serif"/>
                  <w:b w:val="false"/>
                  <w:color w:val="0000FF"/>
                  <w:sz w:val="20"/>
                  <w:u w:val="single"/>
                </w:rPr>
                <w:t>111</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8d6a21e15cb741baa6dee69bcf11e47e_7">
        <w:r>
          <w:rPr>
            <w:rStyle w:val="InternetLink"/>
            <w:rFonts w:ascii="Times New Roman;sans-serif" w:hAnsi="Times New Roman;sans-serif"/>
            <w:b w:val="false"/>
            <w:color w:val="0000FF"/>
            <w:sz w:val="20"/>
            <w:u w:val="single"/>
          </w:rPr>
          <w:t>Table of Contents</w:t>
        </w:r>
      </w:hyperlink>
    </w:p>
    <w:p>
      <w:pPr>
        <w:pStyle w:val="TextBody"/>
        <w:bidi w:val="0"/>
        <w:spacing w:lineRule="auto" w:line="417" w:before="0" w:after="0"/>
        <w:ind w:left="0" w:right="0" w:firstLine="720"/>
        <w:jc w:val="center"/>
        <w:rPr>
          <w:rFonts w:ascii="Times New Roman;sans-serif" w:hAnsi="Times New Roman;sans-serif"/>
          <w:b w:val="false"/>
          <w:i/>
          <w:color w:val="000000"/>
          <w:sz w:val="20"/>
        </w:rPr>
      </w:pPr>
      <w:r>
        <w:rPr>
          <w:rFonts w:ascii="Times New Roman;sans-serif" w:hAnsi="Times New Roman;sans-serif"/>
          <w:b w:val="false"/>
          <w:i/>
          <w:color w:val="000000"/>
          <w:sz w:val="20"/>
        </w:rPr>
        <w:t xml:space="preserve">SPECIAL NOTE ABOUT FORWARD-LOOKING STATEMENTS; SUMMARY OF RISK FACTORS </w:t>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This Annual Report on Form 10-K and related statements by the Company contain forward-looking statements, including statements based upon or relating to our expectations, assumptions, estimates, and projections. In some cases, you can identify forward-looking statements by terms such as "may," "might," "will," "objective," "intend," "should," "could," "can," "would," "expect," "believe," "design," "anticipate," "estimate," "predict," "potential," "plan" or the negative of these terms, and similar expressions. Forward-looking statements may include, but are not limited to, statements concerning acquisitions by the Company, including the acquisition of SpotX, Inc. ("SpotX," and such acquisition the "SpotX Acquisition"), the acquisition of SpringServe, LLC ("SpringServe," and such acquisition the "SpringServe Acquisition"), and the merger with Telaria, Inc. ("Telaria," and such merger the "Telaria Merger"), or the anticipated benefits thereof; statements concerning potential synergies from the Company's acquisitions; statements concerning macroeconomic conditions or concerns related thereto; our anticipated financial performance; key strategic objectives; industry growth rates for ad-supported connected television ("CTV") and the shift in video consumption from linear TV to CTV; anticipated benefits of new offerings, including the introduction of our new Magnite Streaming platform and our ClearLine solution; the success of the consolidation of our two CTV platforms; the effects of our cost reduction initiatives; scope and duration of client relationships; the fees we may charge in the future; business mix; sales growth; benefits from supply path optimization; the development of identity solutions; client utilization of our offerings; our competitive differentiation; our market share and leadership position in the industry; market conditions, trends, and opportunities; certain statements regarding future operational performance measures; and other statements that are not historical facts. These statements are not guarantees of future performance; they reflect our current views with respect to future events and are based on assumptions and estimates and subject to known and unknown risks, uncertainties and other factors that may cause our actual results, performance or achievements to be materially different from expectations or results projected or implied by forward-looking statements. </w:t>
      </w:r>
    </w:p>
    <w:p>
      <w:pPr>
        <w:pStyle w:val="TextBody"/>
        <w:bidi w:val="0"/>
        <w:spacing w:lineRule="auto" w:line="288" w:before="100" w:after="10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Risks that our business faces include, but are not limited to, the following:</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i/>
          <w:color w:val="000000"/>
          <w:sz w:val="20"/>
        </w:rPr>
        <w:t>our ability to realize the anticipated benefits of the SpotX Acquisition, SpringServe Acquisition, and other acquisitions;</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i/>
          <w:color w:val="000000"/>
          <w:sz w:val="20"/>
        </w:rPr>
        <w:t>the impact of macroeconomic challenges on the overall demand for advertising and the advertising marketplace;</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i/>
          <w:color w:val="000000"/>
          <w:sz w:val="20"/>
        </w:rPr>
        <w:t>CTV spend on our platform may grow more slowly than we expect if growth occurs disproportionately through platforms that we cannot access, industry growth rates for ad supported CTV are not accurate, if CTV sellers fail to adopt programmatic advertising solutions or if we are unable to maintain or increase access to CTV advertising inventory;</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i/>
          <w:color w:val="000000"/>
          <w:sz w:val="20"/>
        </w:rPr>
        <w:t>we may be unsuccessful in our supply path optimization efforts with buyers;</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i/>
          <w:color w:val="000000"/>
          <w:sz w:val="20"/>
        </w:rPr>
        <w:t>our ability to introduce new offerings and bring them to market in a timely manner, and potential responses or reactions of clients, vendors, and competitors to the announcement of new products and offerings;</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i/>
          <w:color w:val="000000"/>
          <w:sz w:val="20"/>
        </w:rPr>
        <w:t xml:space="preserve">uncertainty of our estimates and expectations associated with new offerings, including our SpringServe ad server, ClearLine solution, and our developing identity solutions; </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i/>
          <w:color w:val="000000"/>
          <w:sz w:val="20"/>
        </w:rPr>
        <w:t>potential negative impacts associated with the integration of our CTV platforms and the introduction of Magnite Streaming;</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i/>
          <w:color w:val="000000"/>
          <w:sz w:val="20"/>
        </w:rPr>
        <w:t>we must increase the scale and efficiency of our technology infrastructure to support our growth and recent developments in artificial intelligence and machine-learning may accelerate or exacerbate potential risks related to technological developments;</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i/>
          <w:color w:val="000000"/>
          <w:sz w:val="20"/>
        </w:rPr>
        <w:t>the emergence of header bidding has increased competition from other demand sources and may cause infrastructure strain and added costs;</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i/>
          <w:color w:val="000000"/>
          <w:sz w:val="20"/>
        </w:rPr>
        <w:t>our access to mobile inventory may be limited by third-party technology or lack of direct relationships with mobile sellers;</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i/>
          <w:color w:val="000000"/>
          <w:sz w:val="20"/>
        </w:rPr>
        <w:t>we may experience lower take rates, which may not be offset by increases in ad spend;</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i/>
          <w:color w:val="000000"/>
          <w:sz w:val="20"/>
        </w:rPr>
        <w:t>the impact of requests for discounts, fee concessions, rebates, refunds or favorable payment terms;</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i/>
          <w:color w:val="000000"/>
          <w:sz w:val="20"/>
        </w:rPr>
        <w:t>our business may be subject to sales and use tax, advertising and other taxes;</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i/>
          <w:color w:val="000000"/>
          <w:sz w:val="20"/>
        </w:rPr>
        <w:t>failure by us or our clients to meet advertising and inventory content standards;</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i/>
          <w:color w:val="000000"/>
          <w:sz w:val="20"/>
        </w:rPr>
        <w:t>the freedom of buyers and sellers to direct their spending and inventory to competing sources of inventory and demand, and to establish direct relationships and integrations without the use of our platform;</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i/>
          <w:color w:val="000000"/>
          <w:sz w:val="20"/>
        </w:rPr>
        <w:t>our reliance on large aggregators of advertising inventory, and the concentration of CTV among a small number of large sellers that enjoy significant negotiating leverage with respect to take rates and other terms;</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i/>
          <w:color w:val="000000"/>
          <w:sz w:val="20"/>
        </w:rPr>
        <w:t>our ability to provide value to both buyers and sellers of advertising without being perceived as favoring one over the other or being perceived as competing with them through our service offerings;</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i/>
          <w:color w:val="000000"/>
          <w:sz w:val="20"/>
        </w:rPr>
        <w:t>our reliance on large sources of advertising demand, including demand side platforms ("DSPs") that may have or develop high-risk credit profiles or fail to pay invoices when due;</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i/>
          <w:color w:val="000000"/>
          <w:sz w:val="20"/>
        </w:rPr>
        <w:t>our sales efforts may require significant time and expense and may not yield the results we seek;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8d6a21e15cb741baa6dee69bcf11e47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i/>
          <w:color w:val="000000"/>
          <w:sz w:val="20"/>
        </w:rPr>
        <w:t>we may be exposed to claims from clients for breach of contract;</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i/>
          <w:color w:val="000000"/>
          <w:sz w:val="20"/>
        </w:rPr>
        <w:t>the effects of seasonal trends on our results of operations;</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i/>
          <w:color w:val="000000"/>
          <w:sz w:val="20"/>
        </w:rPr>
        <w:t>we operate in an intensely competitive market that includes companies that have greater financial, technical and marketing resources than we do;</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i/>
          <w:color w:val="000000"/>
          <w:sz w:val="20"/>
        </w:rPr>
        <w:t>the effects of consolidation in the ad tech industry or among our publisher clients;</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i/>
          <w:color w:val="000000"/>
          <w:sz w:val="20"/>
        </w:rPr>
        <w:t>our ability to differentiate our offerings and compete effectively to combat commodification and disintermediation;</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i/>
          <w:color w:val="000000"/>
          <w:sz w:val="20"/>
        </w:rPr>
        <w:t>potential limitations on our ability to collect or use data as a result of consumer tools, regulatory restrictions and technological limitations;</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i/>
          <w:color w:val="000000"/>
          <w:sz w:val="20"/>
        </w:rPr>
        <w:t>the deprecation of third-party cookies and other identifiers, and the development of new targeting and identity solutions, may disrupt the programmatic ecosystem, cause reduced CPMs and fill rates, result in a shift of ad spend towards "walled gardens," require additional investment and resources, and cause the overall performance of our platform to decline;</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i/>
          <w:color w:val="000000"/>
          <w:sz w:val="20"/>
        </w:rPr>
        <w:t>the industry may not adopt or may be slow to adopt the use of first-party publisher segments as an alternative to third-party cookies;</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i/>
          <w:color w:val="000000"/>
          <w:sz w:val="20"/>
        </w:rPr>
        <w:t>the impact of antitrust regulations or enforcement actions targeting the digital advertising ecosystem;</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i/>
          <w:color w:val="000000"/>
          <w:sz w:val="20"/>
        </w:rPr>
        <w:t xml:space="preserve">our ability to comply with, and the effect on our business of, evolving legal standards and regulations, particularly concerning data protection and privacy; </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i/>
          <w:color w:val="000000"/>
          <w:sz w:val="20"/>
        </w:rPr>
        <w:t>evolving corporate governance and public disclosure regulations and expectations, including with respect to cyber security, environmental, social and governance matters;</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i/>
          <w:color w:val="000000"/>
          <w:sz w:val="20"/>
        </w:rPr>
        <w:t>errors or failures in the operation of our solution, interruptions in our access to network infrastructure or data, and breaches of our computer systems including as a result of cyber security incidents;</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i/>
          <w:color w:val="000000"/>
          <w:sz w:val="20"/>
        </w:rPr>
        <w:t>our ability to ensure a high level of brand safety for our clients and to detect "bot" traffic and other fraudulent or malicious activity;</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i/>
          <w:color w:val="000000"/>
          <w:sz w:val="20"/>
        </w:rPr>
        <w:t>our ability to attract and retain qualified employees and key personnel;</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i/>
          <w:color w:val="000000"/>
          <w:sz w:val="20"/>
        </w:rPr>
        <w:t>costs associated with enforcing our intellectual property rights or defending intellectual property infringement;</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i/>
          <w:color w:val="000000"/>
          <w:sz w:val="20"/>
        </w:rPr>
        <w:t xml:space="preserve">our ability to comply with the terms of our financing arrangements; </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i/>
          <w:color w:val="000000"/>
          <w:sz w:val="20"/>
        </w:rPr>
        <w:t>restrictions in our Credit Agreement may limit our ability to make strategic investments, respond to changing market conditions, or otherwise operate our business;</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i/>
          <w:color w:val="000000"/>
          <w:sz w:val="20"/>
        </w:rPr>
        <w:t>increases in our debt leverage may put us at greater risk of defaulting on our debt obligations, subject us to additional operating restrictions and make it more difficult to obtain future financing on favorable terms;</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i/>
          <w:color w:val="000000"/>
          <w:sz w:val="20"/>
        </w:rPr>
        <w:t>conversion of our Convertible Senior Notes would dilute the ownership interest of existing stockholders;</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i/>
          <w:color w:val="000000"/>
          <w:sz w:val="20"/>
        </w:rPr>
        <w:t>the Capped Call Transactions subject us to counterparty risk and may affect the value of the Convertible Senior Notes and our common stock;</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i/>
          <w:color w:val="000000"/>
          <w:sz w:val="20"/>
        </w:rPr>
        <w:t>the conditional conversion feature of the Convertible Senior Notes, if triggered, may adversely affect our financial condition and operating result;</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i/>
          <w:color w:val="000000"/>
          <w:sz w:val="20"/>
        </w:rPr>
        <w:t>failure to successfully execute our international growth plans;</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i/>
          <w:color w:val="000000"/>
          <w:sz w:val="20"/>
        </w:rPr>
        <w:t>failure to maintain an effective system of internal control over financial reporting, which could adversely affect investor confidence;</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i/>
          <w:color w:val="000000"/>
          <w:sz w:val="20"/>
        </w:rPr>
        <w:t>the use of our net operating losses and tax credit carryforwards may be subject to certain limitations;</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i/>
          <w:color w:val="000000"/>
          <w:sz w:val="20"/>
        </w:rPr>
        <w:t>our ability to raise additional capital if needed;</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i/>
          <w:color w:val="000000"/>
          <w:sz w:val="20"/>
        </w:rPr>
        <w:t>volatility in the price of our common stock;</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i/>
          <w:color w:val="000000"/>
          <w:sz w:val="20"/>
        </w:rPr>
        <w:t>the impact of our repurchase program on our stock price and cash reserves;</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i/>
          <w:color w:val="000000"/>
          <w:sz w:val="20"/>
        </w:rPr>
        <w:t>competition for investors and the impact of negative analyst or investor research reports; and</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i/>
          <w:color w:val="000000"/>
          <w:sz w:val="20"/>
        </w:rPr>
        <w:t>provisions of our charter documents and Delaware law may inhibit a potential acquisition of the company and limit the ability of stockholders to cause changes in company management.</w:t>
      </w:r>
    </w:p>
    <w:p>
      <w:pPr>
        <w:pStyle w:val="TextBody"/>
        <w:bidi w:val="0"/>
        <w:spacing w:lineRule="auto" w:line="276" w:before="100" w:after="10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We discuss many of these risks and additional factors that could cause actual results to differ materially from those anticipated by our forward-looking statements under the headings "Risk Factors" and "Management's Discussion and Analysis of Financial Condition and Results of Operations," and elsewhere in this report and in other filings we have made and will make from time to time with the Securities and Exchange Commission, or SEC. These forward-looking statements represent our estimates and assumptions only as of the date of the report in which they are included. Unless required by federal securities laws, we assume no obligation to update any of these forward-looking statements, or to update the reasons actual results could differ materially from those anticipated, to reflect circumstances or events that occur after the statements are made. Without limiting the foregoing, any guidance we may provide will generally be given only in connection with quarterly and annual earnings announcements, without interim updates, and we may appear at industry conferences or make other public statements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8d6a21e15cb741baa6dee69bcf11e47e_7">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100" w:after="10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without disclosing material nonpublic information in our possession. Given these uncertainties, investors should not place undue reliance on these forward-looking statements. </w:t>
      </w:r>
    </w:p>
    <w:p>
      <w:pPr>
        <w:pStyle w:val="TextBody"/>
        <w:bidi w:val="0"/>
        <w:spacing w:lineRule="auto" w:line="288" w:before="100" w:after="10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Investors should read this Annual Report on Form 10-K and the documents that we reference in this report and have filed or will file with the SEC completely and with the understanding that our actual future results may be materially different from what we expect. We qualify all of our forward-looking statements by these cautionary statements.</w:t>
      </w:r>
    </w:p>
    <w:p>
      <w:pPr>
        <w:pStyle w:val="TextBody"/>
        <w:bidi w:val="0"/>
        <w:spacing w:lineRule="auto" w:line="417" w:before="0" w:after="0"/>
        <w:ind w:left="0" w:right="0" w:firstLine="720"/>
        <w:jc w:val="center"/>
        <w:rPr>
          <w:rFonts w:ascii="Times New Roman;sans-serif" w:hAnsi="Times New Roman;sans-serif"/>
          <w:b w:val="false"/>
          <w:i/>
          <w:color w:val="000000"/>
          <w:sz w:val="20"/>
        </w:rPr>
      </w:pPr>
      <w:r>
        <w:rPr>
          <w:rFonts w:ascii="Times New Roman;sans-serif" w:hAnsi="Times New Roman;sans-serif"/>
          <w:b w:val="false"/>
          <w:i/>
          <w:color w:val="000000"/>
          <w:sz w:val="20"/>
        </w:rPr>
        <w:t>NOTE REGARDING THIRD-PARTY INFORMATION</w:t>
      </w:r>
    </w:p>
    <w:p>
      <w:pPr>
        <w:pStyle w:val="TextBody"/>
        <w:bidi w:val="0"/>
        <w:spacing w:lineRule="auto" w:line="288" w:before="0" w:after="10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This Annual Report on Form 10-K includes data that we obtained from industry publications and third-party research, surveys and studies. While we believe the industry publications and third-party research, surveys and studies are reliable, we have not independently verified such data. Such third-party data and our internal estimates and research are necessarily subject to a high degree of uncertainty and risk due to a variety of factors, including those described in "Item 1A. Risk Factors" in this Annual Report on Form 10-K. These and other factors could cause results to differ materially from those included in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8d6a21e15cb741baa6dee69bcf11e47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00"/>
        <w:jc w:val="left"/>
        <w:rPr>
          <w:rFonts w:ascii="Times New Roman;sans-serif" w:hAnsi="Times New Roman;sans-serif"/>
          <w:b/>
          <w:color w:val="000000"/>
          <w:sz w:val="20"/>
        </w:rPr>
      </w:pPr>
      <w:r>
        <w:rPr>
          <w:rFonts w:ascii="Times New Roman;sans-serif" w:hAnsi="Times New Roman;sans-serif"/>
          <w:b/>
          <w:color w:val="000000"/>
          <w:sz w:val="20"/>
        </w:rPr>
        <w:t>Item 1. Business</w:t>
      </w: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 xml:space="preserve">Overview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Magnite, Inc., ("we," or "us"), provides technology solutions to automate the purchase and sale of digital advertising inventory.</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April 30, 2021, we completed the acquisition of SpotX, Inc. ("SpotX" and such acquisition the "SpotX Acquisition"), a leading platform shaping connected television ("CTV") and video advertising globally. On July 1, 2021, we acquired SpringServe, LLC ("SpringServe"), a leading ad serving platform for video and CTV.</w:t>
      </w:r>
    </w:p>
    <w:p>
      <w:pPr>
        <w:pStyle w:val="TextBody"/>
        <w:bidi w:val="0"/>
        <w:spacing w:lineRule="auto" w:line="288" w:before="100" w:after="100"/>
        <w:ind w:left="0" w:right="0" w:firstLine="720"/>
        <w:jc w:val="left"/>
        <w:rPr/>
      </w:pPr>
      <w:r>
        <w:rPr>
          <w:rFonts w:ascii="Times New Roman;sans-serif" w:hAnsi="Times New Roman;sans-serif"/>
          <w:b w:val="false"/>
          <w:color w:val="000000"/>
          <w:sz w:val="20"/>
        </w:rPr>
        <w:t xml:space="preserve">Following these transactions, we believe that we are the world's largest independent omni-channel sell-side advertising platform ("SSP"), offering a single partner for transacting globally across all channels, formats and auction types, and </w:t>
      </w:r>
      <w:r>
        <w:rPr>
          <w:rFonts w:ascii="Times New Roman;sans-serif" w:hAnsi="Times New Roman;sans-serif"/>
          <w:b w:val="false"/>
          <w:color w:val="000000"/>
          <w:sz w:val="20"/>
          <w:shd w:fill="FFFFFF" w:val="clear"/>
        </w:rPr>
        <w:t xml:space="preserve">the largest independent programmatic CTV marketplace, making </w:t>
      </w:r>
      <w:r>
        <w:rPr>
          <w:rFonts w:ascii="Times New Roman;sans-serif" w:hAnsi="Times New Roman;sans-serif"/>
          <w:b w:val="false"/>
          <w:color w:val="000000"/>
          <w:sz w:val="20"/>
        </w:rPr>
        <w:t>it easier for buyers to reach CTV audiences at scale from industry-leading streaming content providers, broadcasters, platforms and device manufacturers.</w:t>
      </w:r>
      <w:r>
        <w:rPr>
          <w:color w:val="000000"/>
        </w:rPr>
        <w:t xml:space="preserve">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platform features applications and services for sellers of digital advertising inventory, or publishers, that own and operate CTV channels, applications, websites and other digital media properties, to manage and monetize their inventory; applications and services for buyers, including advertisers, agencies, agency trading desks, and demand side platforms, ("DSPs"), to buy digital advertising inventory; and a transparent, independent marketplace that brings buyers and sellers together and facilitates intelligent decision making and automated transaction execution at scale. Our clients include many of the world’s leading buyers and sellers of digital advertising inventory. Our platform processes trillions of ad requests per month allowing buyers access to a global, scaled, independent alternative to "walled gardens," who both own and sell inventory and maintain control on the demand side.</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streaming SSP platform and ad server offers CTV sellers a holistic solution for workflow, yield management and monetization, across both programmatic and direct-sold video inventory. We provide sellers with a full suite of tools to protect the consumer viewing experience and brand safety expectations, while increasing revenue opportunities, including forecasting tools, customized ad experiences and ad formats, and advanced podding logic. These tools are particularly important to CTV sellers who need to provide a TV-like viewing and advertising experience for consumers. For instance, our ad-pod feature provides publishers with a tool analogous to commercial breaks in traditional linear television so that they can request and manage several ads at once from different demand sources. Using this tool, publishers can establish business rules such as competitive separation of advertisers so that competing brand ads do not appear during the same commercial break. Other tools we offer include audio normalization tools to control for the volume of an ad relative to content, frequency capping to avoid exposing viewers to repetitive ad placements, and creative review so that a publisher can review and approve the ad units being served to its properties.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Buyers leverage our platform to manage their advertising spend and reach their target audiences on brand-safe premium inventory, simplify order management and campaign tracking, obtain actionable insights into audiences for their advertising, and access impression-level purchasing from thousands of sellers. We believe that our scale, platform features, and omni-channel offering makes us an essential partner for buyers.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operate our business on a worldwide basis, with an established operating presence in North America, Australia and Europe, and a developing presence in Asia and South America. Our non-U.S. subsidiaries and operations perform primarily sales, marketing, and service functions.</w:t>
      </w:r>
    </w:p>
    <w:p>
      <w:pPr>
        <w:pStyle w:val="TextBody"/>
        <w:bidi w:val="0"/>
        <w:spacing w:before="100" w:after="100"/>
        <w:ind w:left="0" w:right="0" w:firstLine="720"/>
        <w:jc w:val="left"/>
        <w:rPr/>
      </w:pPr>
      <w:r>
        <w:rPr/>
      </w:r>
    </w:p>
    <w:p>
      <w:pPr>
        <w:pStyle w:val="TextBody"/>
        <w:bidi w:val="0"/>
        <w:spacing w:lineRule="auto" w:line="288" w:before="100" w:after="100"/>
        <w:jc w:val="left"/>
        <w:rPr>
          <w:rFonts w:ascii="Times New Roman;sans-serif" w:hAnsi="Times New Roman;sans-serif"/>
          <w:b/>
          <w:color w:val="000000"/>
          <w:sz w:val="20"/>
        </w:rPr>
      </w:pPr>
      <w:r>
        <w:rPr>
          <w:rFonts w:ascii="Times New Roman;sans-serif" w:hAnsi="Times New Roman;sans-serif"/>
          <w:b/>
          <w:color w:val="000000"/>
          <w:sz w:val="20"/>
        </w:rPr>
        <w:t>Industry Trends</w:t>
      </w:r>
    </w:p>
    <w:p>
      <w:pPr>
        <w:pStyle w:val="TextBody"/>
        <w:bidi w:val="0"/>
        <w:spacing w:lineRule="auto" w:line="288" w:before="100" w:after="100"/>
        <w:ind w:left="0" w:right="0" w:firstLine="72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Continued Shift Toward Digital Advertising</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Consumers are rapidly shifting their viewing habits towards digital mediums and expect to be able to consume content seamlessly across multiple devices, including computers, tablets, smartphones, and CTVs whenever and wherever they want. As digital content consumption continues to proliferate, we believe the percentage of advertising dollars spent through digital channels will continue to grow.</w:t>
      </w:r>
    </w:p>
    <w:p>
      <w:pPr>
        <w:pStyle w:val="TextBody"/>
        <w:bidi w:val="0"/>
        <w:spacing w:lineRule="auto" w:line="288" w:before="100" w:after="10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Automation of Buying and Selling</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Due to the size and complexity of the advertising ecosystem and purchasing process, manual processes cannot effectively manage digital advertising inventory at scale. In addition, both buyers and sellers are demanding more transparency, better controls and more relevant insights from their advertising inventory purchases and sales. This has created a need for software solutions, known as programmatic advertising, that automate the process for planning, buying, selling and measuring digital advertising across screens. Programmatic advertising allows buyers and sellers to transact on an impression-by-impression basis through the use of real-time bidding technology, and allows for the use of advanced data and identity solutions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8d6a21e15cb741baa6dee69bcf11e47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to better target ad campaigns. Programmatic transactions include open auctions, where multiple buyers bid against each other in a real-time auction for the right to purchase a publisher's inventory, as well as reserve auctions, where publishers establish direct deals or private marketplaces with select buyers. These reserve auctions may be “guaranteed,” where a buyer has negotiated a pre-established price and volume with a seller.</w:t>
      </w:r>
    </w:p>
    <w:p>
      <w:pPr>
        <w:pStyle w:val="TextBody"/>
        <w:bidi w:val="0"/>
        <w:spacing w:lineRule="auto" w:line="288" w:before="100" w:after="10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Convergence of TV and Digital</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CTV viewership is growing rapidly and the pace of adoption is accelerating the transition of linear television to CTV programming. As the number of CTV channels continues to proliferate, we believe that ad-supported models or hybrid models that rely on a combination of subscription fees and advertising revenue will continue to gain traction. In turn, we believe brand advertisers looking to engage with streaming viewers will continue to shift their budgets from linear to CTV. Furthermore, as the CTV market continues to mature, we believe that a greater percentage of CTV advertising inventory will be sold programmatically, and through biddable environments rather than programmatic guaranteed, similar to trends that occurred in desktop and mobile. As such, we expect CTV to be a significant driver of our revenue growth for the foreseeable future.</w:t>
      </w:r>
    </w:p>
    <w:p>
      <w:pPr>
        <w:pStyle w:val="TextBody"/>
        <w:bidi w:val="0"/>
        <w:spacing w:lineRule="auto" w:line="288" w:before="100" w:after="10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Identity Solutions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number of participants in the advertising technology ecosystem have taken or are expected to take action to eliminate or restrict the use of third-party cookies and other primary identifiers that have historically been used to deliver targeted advertisements. For instance, Google has announced plans to fully deprecate third-party cookies by the end of 2024. While we generally support third-party cookie deprecation in favor of more transparent identity solutions, these efforts could lead to significant uncertainty and instability in the short term as the industry adjusts to a new targeting paradigm, as well as a decrease in CPMs and a shift of advertising spend to large walled gardens that have access to large amounts of first party data. Moreover, alternative solutions proposed by Google, such as Privacy Sandbox, are unreleased and unproven, will require substantial development and commercial changes for us to support and may ultimately be self preferential.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Despite these potential near-term challenges, in the longer term we believe that the elimination of third-party cookies has the potential to shift the programmatic ecosystem from an identity model powered by buyers that are able to aggregate and target audiences through cookies to one enabled by sellers that have direct relationships with consumers and are therefore better positioned to obtain user data and consent for implementing first party identifiers. In CTV, this identity model already largely exists with publishers more tightly controlling access to identifiers and user data, while offering proprietary first party data segments for reaching desired audiences. We believe that our scale and expertise in CTV position us well to take a leadership position in advancing this shift to a first party identity model and creating additional value opportunities for our clients. Accordingly, we have invested and intend to further invest in the development and enhancement of industry leading identity and audience solutions. </w:t>
      </w:r>
    </w:p>
    <w:p>
      <w:pPr>
        <w:pStyle w:val="TextBody"/>
        <w:bidi w:val="0"/>
        <w:spacing w:lineRule="auto" w:line="288" w:before="100" w:after="10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Supply Path Optimization</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Supply Path Optimization ("SPO") refers to efforts by buyers to consolidate the number of vendors with which they work to find the most effective and cost-efficient paths to procure media. SPO is important to buyers because it can increase the proportion of their advertising ultimately spent on working media, with the goal of increasing return on their advertising spend, and can help them gain efficiencies by reducing the number of vendors with which they work in a complex ecosystem. In furtherance of these goals, in April 2023 we announced the launch of ClearLine, a self-service solution that provides agencies direct access to premium advertising on our platform. This solution helps agencies maximize the spend going towards working media, makes it easier for sellers and agencies to securely share data, improves workflow for campaigns traditionally transacted manually, and helps publishers generate more revenue and develop new sources of unique demand. We believe we are well positioned to benefit from SPO in the long run as a result of our transparency, our broad and unique inventory supply across all channels and formats, including CTV, buyer tools, such as traffic shaping and ClearLine that reduce the cost of working with us, and our brand safety measures. </w:t>
      </w:r>
    </w:p>
    <w:p>
      <w:pPr>
        <w:pStyle w:val="TextBody"/>
        <w:bidi w:val="0"/>
        <w:spacing w:lineRule="auto" w:line="288" w:before="100" w:after="10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Header Bidding and Data Processing</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Header bidding is a programmatic technique by which sellers offer inventory to multiple ad exchanges and supply side platforms, such as our platform, simultaneously. Header bidding has been rapidly adopted in recent years in the desktop and mobile channels and has experienced modest adoption in CTV. The adoption of header bidding has created a number of challenges and technical complexities for both sellers and buyers, which require sophisticated tools to manage. In addition, header bidding has led to a significant increase in the number of ad impressions to be processed and analyzed through our platform as well as by DSPs, which can lead to increased costs if not properly addressed. We have invested in technology solutions, such as Demand Manager, to help desktop and mobile publishers manage their header-bidding inventory.</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While header-bidding technologies have not been largely adopted by CTV sellers, such solutions or similar solutions geared towards increasing demand competition have become more prevalent. We have addressed this, in part, through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8d6a21e15cb741baa6dee69bcf11e47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SpringServe ad server, which offers sellers a unified programmatic demand solution for CTV that leverages our existing programmatic SSP capabilities as well as connects with third party programmatic demand sources.</w:t>
      </w:r>
    </w:p>
    <w:p>
      <w:pPr>
        <w:pStyle w:val="TextBody"/>
        <w:bidi w:val="0"/>
        <w:spacing w:before="100" w:after="100"/>
        <w:jc w:val="left"/>
        <w:rPr/>
      </w:pPr>
      <w:r>
        <w:rPr/>
      </w:r>
    </w:p>
    <w:p>
      <w:pPr>
        <w:pStyle w:val="TextBody"/>
        <w:bidi w:val="0"/>
        <w:spacing w:lineRule="auto" w:line="288" w:before="100" w:after="100"/>
        <w:jc w:val="left"/>
        <w:rPr/>
      </w:pPr>
      <w:r>
        <w:rPr>
          <w:rFonts w:ascii="Times New Roman;sans-serif" w:hAnsi="Times New Roman;sans-serif"/>
          <w:b/>
          <w:color w:val="000000"/>
          <w:sz w:val="20"/>
        </w:rPr>
        <w:t xml:space="preserve">Magnite: Competitive Strengths of Our Platform. </w:t>
      </w:r>
      <w:r>
        <w:rPr>
          <w:rFonts w:ascii="Times New Roman;sans-serif" w:hAnsi="Times New Roman;sans-serif"/>
          <w:b w:val="false"/>
          <w:color w:val="000000"/>
          <w:sz w:val="20"/>
        </w:rPr>
        <w:t>Key competitive strengths of our platform include:</w:t>
      </w:r>
    </w:p>
    <w:p>
      <w:pPr>
        <w:pStyle w:val="TextBody"/>
        <w:bidi w:val="0"/>
        <w:spacing w:lineRule="auto" w:line="288" w:before="100" w:after="10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Leadership in CTV</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Magnite Streaming platform has been strategically built to meet the unique requirements of CTV sellers. Many of these sellers have their roots in linear television and it is important that established business practices in television advertising can be translated to programmatic advertising. The tools we provide include ad podding for commercial breaks, dynamic ad insertion to serve live streaming events, audio normalization tools to control the volume of an ad relative to content, frequency capping to avoid exposing viewers to repetitive ad placements, and creative review so that a publisher can review and approve the ad units being served to its properties.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July 1, 2021, we acquired SpringServe, a leading CTV ad serving platform that manages multiple aspects of video advertising for both programmatic transactions and inventory sold directly by the publisher. Combined with our SSP, the SpringServe ad server provides publishers a holistic yield management solution that works across their entire video advertising business to drive value. We believe the acquisition of SpringServe is highly strategic as it allows us to offer publishers an independent full-stack solution to the walled gardens, which can be leveraged across their entire video advertising business.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have invested significant time and resources in cultivating relationships with CTV sellers and have built a specialized team of CTV experts across our engineering and sales functions to support our clients and evangelize the benefits of CTV advertising. In addition, during 2023 we announced SpringServe Tiles, an innovative product that allows publishers to showcase custom creative and highlight content recommendations within streaming programming guides in any size and a wide variety of formats. SpringServe Tiles combines creative ad capabilities with operational efficiencies and cost savings that come with end-to-end management of monetization, targeting, and reporting all in one platform.</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for certain larger CTV sellers, we may build custom features or functionality to help drive deeper adoption. </w:t>
      </w:r>
    </w:p>
    <w:p>
      <w:pPr>
        <w:pStyle w:val="TextBody"/>
        <w:bidi w:val="0"/>
        <w:spacing w:lineRule="auto" w:line="288" w:before="100" w:after="10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Scaled Omni-Channel Platform</w:t>
      </w:r>
    </w:p>
    <w:p>
      <w:pPr>
        <w:pStyle w:val="TextBody"/>
        <w:bidi w:val="0"/>
        <w:spacing w:lineRule="auto" w:line="288" w:before="100" w:after="100"/>
        <w:ind w:left="0" w:right="0" w:firstLine="720"/>
        <w:jc w:val="left"/>
        <w:rPr/>
      </w:pPr>
      <w:r>
        <w:rPr>
          <w:rFonts w:ascii="Times New Roman;sans-serif" w:hAnsi="Times New Roman;sans-serif"/>
          <w:b w:val="false"/>
          <w:color w:val="000000"/>
          <w:sz w:val="20"/>
        </w:rPr>
        <w:t xml:space="preserve">We offer a scaled omni-channel platform that brings value to both buyers and sellers of ad inventory. For buyers, we offer a </w:t>
      </w:r>
      <w:r>
        <w:rPr>
          <w:rFonts w:ascii="Times New Roman;sans-serif" w:hAnsi="Times New Roman;sans-serif"/>
          <w:b w:val="false"/>
          <w:color w:val="000000"/>
          <w:sz w:val="20"/>
          <w:shd w:fill="FFFFFF" w:val="clear"/>
        </w:rPr>
        <w:t xml:space="preserve">single omni-channel partner to reach target audiences globally across all channels, including CTV, mobile, desktop, and digital out-of-home, and formats, including video, display, and audio. </w:t>
      </w:r>
      <w:r>
        <w:rPr>
          <w:rFonts w:ascii="Times New Roman;sans-serif" w:hAnsi="Times New Roman;sans-serif"/>
          <w:b w:val="false"/>
          <w:color w:val="000000"/>
          <w:sz w:val="20"/>
        </w:rPr>
        <w:t>For sellers, we partner as a one stop shop where they can sell digital advertising across all of their properties, regardless of device or format, and gain instant access to the world’s largest automated digital advertising buyers with the flexibility to sell their advertising inventory in an automated fashion on an impression-by-impression basis. We believe large numbers of diverse sellers on our platform attract more buyers and vice versa, resulting in a self-reinforcing network effect that adds value for all our clients and creates a stickier platform solution.</w:t>
      </w:r>
    </w:p>
    <w:p>
      <w:pPr>
        <w:pStyle w:val="TextBody"/>
        <w:bidi w:val="0"/>
        <w:spacing w:lineRule="auto" w:line="288" w:before="100" w:after="10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Reserve Auctions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significant portion of premium inventory, in particular with respect to CTV, is purchased and sold through reserve auctions where the seller establishes a direct deal with a buyer or group of buyers. These transaction types allow the seller to maintain tighter control over their advertising allocation and are often used by sellers that maintain a direct sales force but still want to experience the benefits of automation to improve pricing, matching, and dynamic ad placement and to automate manual operations such as ad trafficking, quality assurance, and billing and collections. Our deal management and curation tools support sales functions rather than replacing them, which eliminates friction in the sales process. Buyers and sellers can also leverage their first-party data assets and third-party data assets in our platform to increase the value of sellers' inventory and the precision of buyers' targeting efforts.</w:t>
      </w:r>
    </w:p>
    <w:p>
      <w:pPr>
        <w:pStyle w:val="TextBody"/>
        <w:bidi w:val="0"/>
        <w:spacing w:lineRule="auto" w:line="288" w:before="100" w:after="10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Big Data Analytics and Machine-Learning Algorithms; Bid Filtering</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core aspect of our value proposition is our big data and machine-learning platform, a subcategory of artificial intelligence, which is able to discover unique insights from our massive data repositories. Our systems collect and analyze a myriad of information such as historical clearing prices, bid responses, buyer preferences, ad formats, user location, buyer audience preferences, how many ads the user has seen, browser or device information, and sellers’ first party data about users. Our access to data puts us in a unique position to develop differentiated insights to help both buyers and sellers. Our solution utilizes artificial intelligence in order to constantly self-improve as we process more volume and accumulate more data, which in turn helps make our machine-learning algorithms more intelligent and contributes to higher-quality matching between buyers and sellers. This data also fuels our bid filtering technology, allowing us to more aggressively block traffic that is not likely to monetize. We believe that our traffic optimization coupled with bid filtering improves return on investment for buyers and increases revenue for sellers, which in turn attracts more buyers and sellers to our platform creating a dual network effect that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8d6a21e15cb741baa6dee69bcf11e47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makes our platform stickier. These capabilities also help us manage the costs associated with the high volumes of ad requests we receive. </w:t>
      </w:r>
    </w:p>
    <w:p>
      <w:pPr>
        <w:pStyle w:val="TextBody"/>
        <w:bidi w:val="0"/>
        <w:spacing w:lineRule="auto" w:line="288" w:before="100" w:after="10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Identity Solutions</w:t>
      </w:r>
    </w:p>
    <w:p>
      <w:pPr>
        <w:pStyle w:val="TextBody"/>
        <w:bidi w:val="0"/>
        <w:spacing w:lineRule="auto" w:line="288" w:before="100" w:after="100"/>
        <w:ind w:left="0" w:right="0" w:firstLine="720"/>
        <w:jc w:val="left"/>
        <w:rPr/>
      </w:pPr>
      <w:r>
        <w:rPr>
          <w:rFonts w:ascii="Times New Roman;sans-serif" w:hAnsi="Times New Roman;sans-serif"/>
          <w:b w:val="false"/>
          <w:color w:val="000000"/>
          <w:sz w:val="20"/>
          <w:shd w:fill="FFFFFF" w:val="clear"/>
        </w:rPr>
        <w:t>We offer identity solutions that help buyers and sellers create better matches and increase advertising ROI and the value of the underlying impression.</w:t>
      </w:r>
      <w:r>
        <w:rPr>
          <w:color w:val="000000"/>
        </w:rPr>
        <w:t xml:space="preserve"> </w:t>
      </w:r>
      <w:r>
        <w:rPr>
          <w:rFonts w:ascii="Times New Roman;sans-serif" w:hAnsi="Times New Roman;sans-serif"/>
          <w:b w:val="false"/>
          <w:color w:val="000000"/>
          <w:sz w:val="20"/>
          <w:shd w:fill="FFFFFF" w:val="clear"/>
        </w:rPr>
        <w:t>Our tools enable sellers to create audience segments based on first-party data, which makes their advertising inventory more valuable to buyers looking to achieve specific campaign goals.</w:t>
      </w:r>
      <w:r>
        <w:rPr>
          <w:color w:val="000000"/>
        </w:rPr>
        <w:t xml:space="preserve"> </w:t>
      </w:r>
      <w:r>
        <w:rPr>
          <w:rFonts w:ascii="Times New Roman;sans-serif" w:hAnsi="Times New Roman;sans-serif"/>
          <w:b w:val="false"/>
          <w:color w:val="000000"/>
          <w:sz w:val="20"/>
          <w:shd w:fill="FFFFFF" w:val="clear"/>
        </w:rPr>
        <w:t>In addition, our technology is integrated with a number of third party data, attribution and identity vendors, allowing</w:t>
      </w:r>
      <w:r>
        <w:rPr>
          <w:color w:val="000000"/>
        </w:rPr>
        <w:t xml:space="preserve"> </w:t>
      </w:r>
      <w:r>
        <w:rPr>
          <w:rFonts w:ascii="Times New Roman;sans-serif" w:hAnsi="Times New Roman;sans-serif"/>
          <w:b w:val="false"/>
          <w:color w:val="000000"/>
          <w:sz w:val="20"/>
          <w:shd w:fill="FFFFFF" w:val="clear"/>
        </w:rPr>
        <w:t xml:space="preserve">buyers and sellers to leverage these solutions directly through our platform without the need for multiple vendor contracts. </w:t>
      </w:r>
    </w:p>
    <w:p>
      <w:pPr>
        <w:pStyle w:val="TextBody"/>
        <w:bidi w:val="0"/>
        <w:spacing w:lineRule="auto" w:line="288" w:before="100" w:after="10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Header Bidding and Demand Manager Solutions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are integrated with all of the major header-bidding standards, including Prebid.org, which we co-founded, as well as the solutions offered by Google and Amazon. We believe the various header bidding alternatives we offer, our buyer reach and scale, our buying efficiency, and our machine-learning capabilities put us in a strong position to compete for seller impressions monetized through header-bidding solutions, and we expect these header bidding solutions to deliver a meaningful volume of impressions. We also provide a software solution called Demand Manager that helps desktop and mobile sellers manage all of their header-bidding advertising inventory. We believe that adoption and proliferation of these tools will further strengthen our relationship with sellers and contribute to our future revenue growth.</w:t>
      </w:r>
    </w:p>
    <w:p>
      <w:pPr>
        <w:pStyle w:val="TextBody"/>
        <w:bidi w:val="0"/>
        <w:spacing w:lineRule="auto" w:line="288" w:before="100" w:after="10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Transparency and Controls</w:t>
      </w:r>
    </w:p>
    <w:p>
      <w:pPr>
        <w:pStyle w:val="TextBody"/>
        <w:bidi w:val="0"/>
        <w:spacing w:lineRule="auto" w:line="288" w:before="100" w:after="100"/>
        <w:ind w:left="0" w:right="0" w:firstLine="720"/>
        <w:jc w:val="left"/>
        <w:rPr/>
      </w:pPr>
      <w:r>
        <w:rPr>
          <w:rFonts w:ascii="Times New Roman;sans-serif" w:hAnsi="Times New Roman;sans-serif"/>
          <w:b w:val="false"/>
          <w:color w:val="000000"/>
          <w:sz w:val="20"/>
          <w:shd w:fill="FFFFFF" w:val="clear"/>
        </w:rPr>
        <w:t>We generate revenue each time an impression is monetized on our platform based on a simple and transparent fee structure established with our publisher</w:t>
      </w:r>
      <w:r>
        <w:rPr>
          <w:color w:val="000000"/>
        </w:rPr>
        <w:t xml:space="preserve"> </w:t>
      </w:r>
      <w:r>
        <w:rPr>
          <w:rFonts w:ascii="Times New Roman;sans-serif" w:hAnsi="Times New Roman;sans-serif"/>
          <w:b w:val="false"/>
          <w:color w:val="000000"/>
          <w:sz w:val="20"/>
          <w:shd w:fill="FFFFFF" w:val="clear"/>
        </w:rPr>
        <w:t>partners.</w:t>
      </w:r>
      <w:r>
        <w:rPr>
          <w:color w:val="000000"/>
        </w:rPr>
        <w:t xml:space="preserve"> </w:t>
      </w:r>
      <w:r>
        <w:rPr>
          <w:rFonts w:ascii="Times New Roman;sans-serif" w:hAnsi="Times New Roman;sans-serif"/>
          <w:b w:val="false"/>
          <w:color w:val="000000"/>
          <w:sz w:val="20"/>
          <w:shd w:fill="FFFFFF" w:val="clear"/>
        </w:rPr>
        <w:t>Our clients direct the sale and management of ad inventory through our platform, including the ability to define supply hierarchies and demand tiers, set minimum price floors, and establish advertiser and category level blocked and allowed lists.</w:t>
      </w:r>
      <w:r>
        <w:rPr>
          <w:color w:val="000000"/>
        </w:rPr>
        <w:t xml:space="preserve"> </w:t>
      </w:r>
      <w:r>
        <w:rPr>
          <w:rFonts w:ascii="Times New Roman;sans-serif" w:hAnsi="Times New Roman;sans-serif"/>
          <w:b w:val="false"/>
          <w:color w:val="000000"/>
          <w:sz w:val="20"/>
          <w:shd w:fill="FFFFFF" w:val="clear"/>
        </w:rPr>
        <w:t>We provide sellers with detailed analytics, which allows them to effectively monitor buying patterns and make real-time changes to take advantage of market dynamics and maximize their yield.</w:t>
      </w:r>
    </w:p>
    <w:p>
      <w:pPr>
        <w:pStyle w:val="TextBody"/>
        <w:bidi w:val="0"/>
        <w:spacing w:lineRule="auto" w:line="288" w:before="100" w:after="100"/>
        <w:ind w:left="0" w:right="0" w:firstLine="72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Self-Service Model</w:t>
      </w:r>
    </w:p>
    <w:p>
      <w:pPr>
        <w:pStyle w:val="TextBody"/>
        <w:bidi w:val="0"/>
        <w:spacing w:lineRule="auto" w:line="288" w:before="100" w:after="100"/>
        <w:ind w:left="0" w:right="0" w:firstLine="720"/>
        <w:jc w:val="left"/>
        <w:rPr/>
      </w:pPr>
      <w:r>
        <w:rPr>
          <w:rFonts w:ascii="Times New Roman;sans-serif" w:hAnsi="Times New Roman;sans-serif"/>
          <w:b w:val="false"/>
          <w:color w:val="000000"/>
          <w:sz w:val="20"/>
          <w:shd w:fill="FFFFFF" w:val="clear"/>
        </w:rPr>
        <w:t>We offer a self-service model that lets sellers access our platform without extensive involvement by our personnel.</w:t>
      </w:r>
      <w:r>
        <w:rPr>
          <w:color w:val="000000"/>
        </w:rPr>
        <w:t xml:space="preserve"> </w:t>
      </w:r>
      <w:r>
        <w:rPr>
          <w:rFonts w:ascii="Times New Roman;sans-serif" w:hAnsi="Times New Roman;sans-serif"/>
          <w:b w:val="false"/>
          <w:color w:val="000000"/>
          <w:sz w:val="20"/>
          <w:shd w:fill="FFFFFF" w:val="clear"/>
        </w:rPr>
        <w:t>This model allows us to scale efficiently and grow our business at a faster pace than the growth of our sales and support organization. As a result, we are able to achieve a high degree of operating leverage, which positions our business for growing profitability.</w:t>
      </w:r>
    </w:p>
    <w:p>
      <w:pPr>
        <w:pStyle w:val="TextBody"/>
        <w:bidi w:val="0"/>
        <w:spacing w:lineRule="auto" w:line="288" w:before="100" w:after="100"/>
        <w:ind w:left="0" w:right="0" w:firstLine="72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Buyer Tools</w:t>
      </w:r>
    </w:p>
    <w:p>
      <w:pPr>
        <w:pStyle w:val="TextBody"/>
        <w:bidi w:val="0"/>
        <w:spacing w:lineRule="auto" w:line="288" w:before="100" w:after="100"/>
        <w:ind w:left="0" w:right="0" w:firstLine="72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provide a suite of buyer tools designed to help buyers curate inventory, append data and improve ROI in order to meet their campaign strategies. Our curation tools enable agency holding companies and major brands to create their own private label marketplaces and establish direct connections with sellers. Custom auction packages and audience tools give buyers a versatile and cost-effective way to curate and target open market inventory, using categories such as audience, context, and viewability, while our deal discovery platform allows buyers to connect directly with sellers to arrange direct reserve auctions. Finally, our ClearLine product is a self-service solution that provides buyers with direct access to premium CTV and video inventory on our platforms in a more cost effective manner.</w:t>
      </w:r>
    </w:p>
    <w:p>
      <w:pPr>
        <w:pStyle w:val="TextBody"/>
        <w:bidi w:val="0"/>
        <w:spacing w:lineRule="auto" w:line="288" w:before="100" w:after="10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Independence</w:t>
      </w:r>
    </w:p>
    <w:p>
      <w:pPr>
        <w:pStyle w:val="TextBody"/>
        <w:bidi w:val="0"/>
        <w:spacing w:lineRule="auto" w:line="288" w:before="100" w:after="100"/>
        <w:ind w:left="0" w:right="0" w:firstLine="720"/>
        <w:jc w:val="left"/>
        <w:rPr/>
      </w:pPr>
      <w:r>
        <w:rPr>
          <w:rFonts w:ascii="Times New Roman;sans-serif" w:hAnsi="Times New Roman;sans-serif"/>
          <w:b w:val="false"/>
          <w:color w:val="000000"/>
          <w:sz w:val="20"/>
          <w:shd w:fill="FFFFFF" w:val="clear"/>
        </w:rPr>
        <w:t>We are fully aligned with the interests of our publisher clients.</w:t>
      </w:r>
      <w:r>
        <w:rPr>
          <w:color w:val="000000"/>
        </w:rPr>
        <w:t xml:space="preserve"> </w:t>
      </w:r>
      <w:r>
        <w:rPr>
          <w:rFonts w:ascii="Times New Roman;sans-serif" w:hAnsi="Times New Roman;sans-serif"/>
          <w:b w:val="false"/>
          <w:color w:val="000000"/>
          <w:sz w:val="20"/>
        </w:rPr>
        <w:t>Unlike some large industry participants, we do not have our own media properties that compete for advertising spending with our sellers.</w:t>
      </w:r>
      <w:r>
        <w:rPr>
          <w:color w:val="000000"/>
          <w:shd w:fill="FFFFFF" w:val="clear"/>
        </w:rPr>
        <w:t xml:space="preserve"> </w:t>
      </w:r>
      <w:r>
        <w:rPr>
          <w:rFonts w:ascii="Times New Roman;sans-serif" w:hAnsi="Times New Roman;sans-serif"/>
          <w:b w:val="false"/>
          <w:color w:val="000000"/>
          <w:sz w:val="20"/>
          <w:shd w:fill="FFFFFF" w:val="clear"/>
        </w:rPr>
        <w:t xml:space="preserve">Therefore, we are agnostic and have no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8d6a21e15cb741baa6dee69bcf11e47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00" w:after="100"/>
        <w:jc w:val="left"/>
        <w:rPr/>
      </w:pPr>
      <w:r>
        <w:rPr>
          <w:rFonts w:ascii="Times New Roman;sans-serif" w:hAnsi="Times New Roman;sans-serif"/>
          <w:b w:val="false"/>
          <w:color w:val="000000"/>
          <w:sz w:val="20"/>
          <w:shd w:fill="FFFFFF" w:val="clear"/>
        </w:rPr>
        <w:t>preference towards delivering demand to any specific pub</w:t>
      </w:r>
      <w:r>
        <w:rPr>
          <w:rFonts w:ascii="Times New Roman;sans-serif" w:hAnsi="Times New Roman;sans-serif"/>
          <w:b w:val="false"/>
          <w:color w:val="000000"/>
          <w:sz w:val="20"/>
        </w:rPr>
        <w:t xml:space="preserve">lisher. In addition, because we do not offer a dedicated demand side platform, we are able to avoid inherent conflicts of interest that exist when serving both the buy- and sell-side. </w:t>
      </w:r>
    </w:p>
    <w:p>
      <w:pPr>
        <w:pStyle w:val="TextBody"/>
        <w:bidi w:val="0"/>
        <w:spacing w:before="100" w:after="100"/>
        <w:ind w:left="0" w:right="0" w:firstLine="720"/>
        <w:jc w:val="left"/>
        <w:rPr/>
      </w:pPr>
      <w:r>
        <w:rPr/>
      </w:r>
    </w:p>
    <w:p>
      <w:pPr>
        <w:pStyle w:val="TextBody"/>
        <w:bidi w:val="0"/>
        <w:spacing w:lineRule="auto" w:line="288" w:before="100" w:after="100"/>
        <w:jc w:val="left"/>
        <w:rPr>
          <w:rFonts w:ascii="Times New Roman;sans-serif" w:hAnsi="Times New Roman;sans-serif"/>
          <w:b/>
          <w:color w:val="000000"/>
          <w:sz w:val="20"/>
        </w:rPr>
      </w:pPr>
      <w:r>
        <w:rPr>
          <w:rFonts w:ascii="Times New Roman;sans-serif" w:hAnsi="Times New Roman;sans-serif"/>
          <w:b/>
          <w:color w:val="000000"/>
          <w:sz w:val="20"/>
        </w:rPr>
        <w:t xml:space="preserve">How We Generate Revenue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Digital advertising inventory is created when consumers access sellers' content. Sellers provide digital advertising inventory to our platform in the form of advertising requests, or ad requests. When we receive ad requests from sellers, we send bid requests to buyers, which enable buyers to bid on sellers’ digital advertising inventory. Winning bids can create advertising, or paid impressions, for the seller to present to the consumer. The price that buyers pay for each thousand paid impressions purchased is measured in units referred to as CPM, or cost per thousand, and the total volume of spending between buyers and sellers on our platform is referred to as advertising spend.</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generate revenue from the use of our platform for the purchase and sale of digital advertising inventory. Generally, our revenue is based on a percentage of the ad spend that runs through our platform, although for certain clients, services, or transaction types we may receive a fixed CPM for each impression sold, and for advertising campaigns that are transacted through insertion orders, we earn revenue based on the full amount of ad spend that runs through our platform. In addition, we may receive certain fixed monthly fees for the use of our platform or products.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track the performance and revenue of our platform by channel. Our channels include CTV, mobile, and desktop. Consistent with the IAB’s definition of CTV, CTV represents advertising transactions on our platform that are delivered to the end consumer via a television set that is connected to the Internet. Our CTV transactions do not include advertisements viewed on a mobile or desktop device. Mobile and desktop represent advertising transactions on our platform that are delivered to the end consumer via their respective devices’ operating system, that is, a mobile operating system or a traditional desktop operating system, respectively. Mobile devices generally refer to a handset, tablet, or other communication device that runs on a mobile operating system used to access the Internet wirelessly, usually through a mobile carrier or Wi-Fi network. Desktop transactions are those transactions delivered to the end user whose device runs on a traditional PC, laptops, as well as those delivered on mobile devices or tablets that are not running on mobile based operating systems.</w:t>
      </w:r>
    </w:p>
    <w:p>
      <w:pPr>
        <w:pStyle w:val="TextBody"/>
        <w:bidi w:val="0"/>
        <w:spacing w:before="100" w:after="100"/>
        <w:ind w:left="0" w:right="0" w:firstLine="720"/>
        <w:jc w:val="left"/>
        <w:rPr/>
      </w:pPr>
      <w:r>
        <w:rPr/>
      </w:r>
    </w:p>
    <w:p>
      <w:pPr>
        <w:pStyle w:val="TextBody"/>
        <w:bidi w:val="0"/>
        <w:spacing w:lineRule="auto" w:line="288" w:before="100" w:after="100"/>
        <w:jc w:val="left"/>
        <w:rPr/>
      </w:pPr>
      <w:r>
        <w:rPr>
          <w:rFonts w:ascii="Times New Roman;sans-serif" w:hAnsi="Times New Roman;sans-serif"/>
          <w:b/>
          <w:color w:val="000000"/>
          <w:sz w:val="20"/>
        </w:rPr>
        <w:t xml:space="preserve">Magnite: Growth Strategies. </w:t>
      </w:r>
      <w:r>
        <w:rPr>
          <w:rFonts w:ascii="Times New Roman;sans-serif" w:hAnsi="Times New Roman;sans-serif"/>
          <w:b w:val="false"/>
          <w:color w:val="000000"/>
          <w:sz w:val="20"/>
        </w:rPr>
        <w:t>The key elements to our long-term growth strategy include:</w:t>
      </w:r>
    </w:p>
    <w:p>
      <w:pPr>
        <w:pStyle w:val="TextBody"/>
        <w:bidi w:val="0"/>
        <w:spacing w:lineRule="auto" w:line="288" w:before="100" w:after="10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Focus on CTV</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expect CTV to be the biggest driver of our growth. As streaming video continues to become mainstream and ad-supported models become more prevalent, we believe brand advertisers will continue to shift their budgets from linear television to CTV. We plan to invest significant resources in technology, sales and support related to our CTV growth initiatives. Consistent with this growth objective, we introduced Magnite Streaming, which merges leading technology from our legacy Magnite CTV and SpotX CTV platforms. We completed the migration to our unified platform early in the third quarter of 2023.</w:t>
      </w:r>
    </w:p>
    <w:p>
      <w:pPr>
        <w:pStyle w:val="TextBody"/>
        <w:bidi w:val="0"/>
        <w:spacing w:lineRule="auto" w:line="288" w:before="100" w:after="10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Supply Path Optimization</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described above, SPO refers to efforts by buyers to consolidate the number of vendors with which they work to find the most effective and cost-efficient paths to procure media. We believe we are well positioned to benefit from SPO due to the factors described above and that it presents an opportunity for us to capture market share and increase the volume of advertising spend on our platform. To capitalize on SPO opportunities, we have invested in our buyer focused sales team to pursue more direct relationships with advertisers and agencies.</w:t>
      </w:r>
    </w:p>
    <w:p>
      <w:pPr>
        <w:pStyle w:val="TextBody"/>
        <w:bidi w:val="0"/>
        <w:spacing w:lineRule="auto" w:line="288" w:before="100" w:after="10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Identity Solutions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the elimination of third-party cookies has the potential to shift the programmatic ecosystem from an identity model powered by buyers that are able to aggregate and target audiences through cookies to one enabled by sellers that have direct relationships with consumers and are therefore better positioned to obtain user data and consent for implementing first party identifiers. In CTV, this identity model already largely exists with publishers more tightly controlling access to identifiers and user data, while offering proprietary first party data segments for reaching desired audiences. As the largest independent supply side platform, we believe we are well positioned to take a leadership role in advancing the shift to a first party identity model and creating additional value opportunities for our clients. Accordingly, we have invested and intend to further invest in the development and enhancement of industry leading identity and audience solutions.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June 2023 we announced Magnite Access, a suite of products designed to help publishers manage their data assets to generate more revenue. The Magnite Access suite leverages new, custom-built technologies as well as products from recent acquisitions including Nth Party, Ltd. ("Nth Party"), a developer of cryptographic software for secure audience data sharing and analysis, in December 2021, and Carbon (AI) Limited ("Carbon"), a platform that enables publishers to measure, manage,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8d6a21e15cb741baa6dee69bcf11e47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monetize audience segments, in February 2022. Portions of Magnite Access are already available to our clients, while others are in testing and are expected to reach wider availability this year. </w:t>
      </w:r>
    </w:p>
    <w:p>
      <w:pPr>
        <w:pStyle w:val="TextBody"/>
        <w:bidi w:val="0"/>
        <w:spacing w:lineRule="auto" w:line="288" w:before="100" w:after="10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Increase Efficiencies on our Exchange</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aim to increase the operational efficiency of our platform, so as to enable buyers and sellers to achieve their campaign and monetization objectives in a cost-effective manner. Our solution is constantly self-improving as we process more volume and accumulate more data, which in turn helps make our machine-learning algorithms more intelligent and contributes to higher quality matching between buyers and sellers. We are continuing to invest in traffic optimization and bid filtering technology to allow us to monetize a higher proportion of the ad requests on our platform, which reduces costs for us as well as the process costs for buyers. We believe these cost savings make our platform more attractive to buyers, which in turn improves revenue opportunities for sellers.</w:t>
      </w:r>
    </w:p>
    <w:p>
      <w:pPr>
        <w:pStyle w:val="TextBody"/>
        <w:bidi w:val="0"/>
        <w:spacing w:lineRule="auto" w:line="288" w:before="100" w:after="100"/>
        <w:ind w:left="0" w:right="0" w:firstLine="720"/>
        <w:jc w:val="left"/>
        <w:rPr/>
      </w:pPr>
      <w:r>
        <w:rPr>
          <w:rFonts w:ascii="Times New Roman;sans-serif" w:hAnsi="Times New Roman;sans-serif"/>
          <w:b/>
          <w:i/>
          <w:color w:val="000000"/>
          <w:sz w:val="20"/>
        </w:rPr>
        <w:t>Increasing Seller Inventory</w:t>
      </w:r>
      <w:r>
        <w:rPr>
          <w:color w:val="000000"/>
        </w:rPr>
        <w:t xml:space="preserve">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order to increase transaction volume we are continuously looking to add new high quality sellers to our platform and to expand our existing relationships with sellers to increase our share of their inventory, in particular in the CTV and OTT space where inventory is controlled by fewer sellers. Our plan for increasing our inventory volumes includes establishing and deepening our direct relationships with sellers, including through adoption of our SpringServe ad server, custom integrations, expanding our seller tools, capitalizing on our omni-channel capabilities, and leveraging our header bidding integrations, including through Demand Manager.</w:t>
      </w:r>
    </w:p>
    <w:p>
      <w:pPr>
        <w:pStyle w:val="TextBody"/>
        <w:bidi w:val="0"/>
        <w:spacing w:lineRule="auto" w:line="288" w:before="100" w:after="100"/>
        <w:ind w:left="0" w:right="0" w:firstLine="720"/>
        <w:jc w:val="left"/>
        <w:rPr/>
      </w:pPr>
      <w:r>
        <w:rPr>
          <w:rFonts w:ascii="Times New Roman;sans-serif" w:hAnsi="Times New Roman;sans-serif"/>
          <w:b/>
          <w:i/>
          <w:color w:val="000000"/>
          <w:sz w:val="20"/>
        </w:rPr>
        <w:t>Expand our International Footprint</w:t>
      </w:r>
      <w:r>
        <w:rPr>
          <w:color w:val="000000"/>
        </w:rPr>
        <w:t xml:space="preserve">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With established operating presence in North America, Australia and Europe, and a developing presence in Asia and South America, we serve buyers and sellers on a global basis. We plan to continue to expand our international presence and make additional investments in sales, marketing and infrastructure to support our long-term growth and to position ourselves for expected increases in the penetration of programmatic advertising globally. We expect programmatic advertising to grow at different rates in different geographic markets, and are constantly evaluating new markets with a strategy to use our existing infrastructure and adjacent sales offices or by expanding our infrastructure footprint and placing personnel directly in those markets.</w:t>
      </w:r>
    </w:p>
    <w:p>
      <w:pPr>
        <w:pStyle w:val="TextBody"/>
        <w:bidi w:val="0"/>
        <w:spacing w:lineRule="auto" w:line="288" w:before="100" w:after="10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Continue to Innovate and Enhance our Platform</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are working on a number of platform innovations and enhancements designed to improve the value to our clients, such as our recently announced Magnite Streaming platform. We intend to invest in new features that facilitate the creation of first-party publisher segments, improve upon our traffic optimization and bid filtering, enhance our brand safety controls, and help sellers to optimize their yield across both programmatic and directly sold inventory.</w:t>
      </w:r>
    </w:p>
    <w:p>
      <w:pPr>
        <w:pStyle w:val="TextBody"/>
        <w:bidi w:val="0"/>
        <w:spacing w:before="100" w:after="100"/>
        <w:ind w:left="0" w:right="0" w:firstLine="720"/>
        <w:jc w:val="left"/>
        <w:rPr/>
      </w:pPr>
      <w:r>
        <w:rPr/>
      </w:r>
    </w:p>
    <w:p>
      <w:pPr>
        <w:pStyle w:val="TextBody"/>
        <w:bidi w:val="0"/>
        <w:spacing w:lineRule="auto" w:line="288" w:before="100" w:after="100"/>
        <w:jc w:val="left"/>
        <w:rPr>
          <w:rFonts w:ascii="Times New Roman;sans-serif" w:hAnsi="Times New Roman;sans-serif"/>
          <w:b/>
          <w:color w:val="000000"/>
          <w:sz w:val="20"/>
        </w:rPr>
      </w:pPr>
      <w:r>
        <w:rPr>
          <w:rFonts w:ascii="Times New Roman;sans-serif" w:hAnsi="Times New Roman;sans-serif"/>
          <w:b/>
          <w:color w:val="000000"/>
          <w:sz w:val="20"/>
        </w:rPr>
        <w:t xml:space="preserve">Technology and Development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 support a majority of our non-CTV transactions, we have developed a globally distributed infrastructure hosted at on-prem data centers in the U.S., Europe, and Asia that run our proprietary software. Our CTV transactions run primarily on the cloud. We believe these two approaches optimize the type of traffic we handle - hosted data centers for high-frequency, low-latency transactions and cloud-supported for lower frequency transactions subject to more volatile viewing patterns, for example CTV prime-time viewing spikes.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approach supports the volume, diversity, and complexity of buyers’ bidding patterns, which increases market liquidity. Bid efficiency algorithms provide bid prediction (i.e., which buyers are most likely to bid on a given impression) and throttling (i.e., the volume of bid requests a given buyer can process), to improve infrastructure load and execute transactions efficiently by only sending bid requests to those buyers of advertising inventory who can handle the volume and are likely to respond.</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This infrastructure is supported by real-time data pipelines, a system that quickly moves volumes of data generated by our business into reporting and machine-learning systems that allow usage both internally and by buyers and sellers. It also is supported by a 24-hour Network Operations Center, which provides failure protection by monitoring and rerouting traffic in the event of equipment failure or network performance issues between buyers and our marketplace, and our core technology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8d6a21e15cb741baa6dee69bcf11e47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development team, which is responsible for the design, development, operation, and maintenance of our platform, and employs an agile development process that emphasizes frequent, iterative, and incremental development cycles.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continued investment in our platform, including its technologies and functionalities, is critical to our success and long-term growth. </w:t>
      </w:r>
    </w:p>
    <w:p>
      <w:pPr>
        <w:pStyle w:val="TextBody"/>
        <w:bidi w:val="0"/>
        <w:spacing w:before="100" w:after="100"/>
        <w:jc w:val="left"/>
        <w:rPr/>
      </w:pPr>
      <w:r>
        <w:rPr/>
      </w:r>
    </w:p>
    <w:p>
      <w:pPr>
        <w:pStyle w:val="TextBody"/>
        <w:bidi w:val="0"/>
        <w:spacing w:lineRule="auto" w:line="288" w:before="100" w:after="100"/>
        <w:jc w:val="left"/>
        <w:rPr>
          <w:rFonts w:ascii="Times New Roman;sans-serif" w:hAnsi="Times New Roman;sans-serif"/>
          <w:b/>
          <w:color w:val="000000"/>
          <w:sz w:val="20"/>
        </w:rPr>
      </w:pPr>
      <w:r>
        <w:rPr>
          <w:rFonts w:ascii="Times New Roman;sans-serif" w:hAnsi="Times New Roman;sans-serif"/>
          <w:b/>
          <w:color w:val="000000"/>
          <w:sz w:val="20"/>
        </w:rPr>
        <w:t>Sales and Marketing</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market our solution to buyers and sellers through global sales teams that operate from various locations around the world. These teams leverage market knowledge and expertise to demonstrate the benefits of advertising automation and our solution to buyers and sellers. We deploy a professional services team with each seller integration to assist sellers in getting the most value from our solution. Our buyer team, which is separately managed, focuses on collaborating with and increasing spend from DSPs, agencies, and brands, and our client services teams work closely with clients to support and execute campaigns. Our marketing initiatives are focused on managing our brand, increasing market awareness, and driving advertising spend to our platform. We often present at industry conferences, create custom events, and invest in public relations. In addition, our marketing team advertises online, in print, and in other forms of media, creates case studies, sponsors research, writes whitepapers, publishes marketing collateral, generates blog posts, and undertakes client research studies. </w:t>
      </w:r>
    </w:p>
    <w:p>
      <w:pPr>
        <w:pStyle w:val="TextBody"/>
        <w:bidi w:val="0"/>
        <w:spacing w:before="100" w:after="100"/>
        <w:jc w:val="left"/>
        <w:rPr/>
      </w:pPr>
      <w:r>
        <w:rPr/>
      </w:r>
    </w:p>
    <w:p>
      <w:pPr>
        <w:pStyle w:val="TextBody"/>
        <w:bidi w:val="0"/>
        <w:spacing w:lineRule="auto" w:line="288" w:before="100" w:after="100"/>
        <w:jc w:val="left"/>
        <w:rPr>
          <w:rFonts w:ascii="Times New Roman;sans-serif" w:hAnsi="Times New Roman;sans-serif"/>
          <w:b/>
          <w:color w:val="000000"/>
          <w:sz w:val="20"/>
        </w:rPr>
      </w:pPr>
      <w:r>
        <w:rPr>
          <w:rFonts w:ascii="Times New Roman;sans-serif" w:hAnsi="Times New Roman;sans-serif"/>
          <w:b/>
          <w:color w:val="000000"/>
          <w:sz w:val="20"/>
        </w:rPr>
        <w:t>Competition</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industry is highly competitive. Overall digital advertising spending is highly concentrated in a small number of very large companies that have their own inventory, including Google, Facebook, Microsoft, Comcast, and Amazon, with which we compete for digital advertising inventory and demand. These companies are formidable competitors due to their huge resources and direct user relationships, and could become even more dominant as third-party cookie use decreases. Despite the dominance of large companies, there is still a large addressable market that is highly fragmented and includes many providers of transaction services with which we compete, including supply side platforms, video ad servers, and advertising exchanges. As we introduce new offerings, as our existing offerings evolve, or as other companies introduce new products and services, we may be subject to additional competition. There has been rapid evolution and consolidation in the advertising technology industry, and we expect these trends to continue, thereby increasing the capabilities and competitive posture of larger companies, particularly those that are already dominant in various ways, and enabling new or stronger competitors to emerge. There are many ways for buyers and sellers of digital advertising inventory to connect and transact, including directly and through many other exchanges, and buyers are increasingly demanding more transparency and lower transaction costs and establishing relationships directly with sellers of advertising inventory, which puts significant pressure on us. Our offering must remain competitive in scope, ease of use, scalability, speed, data access, price, inventory quality, brand security, customer service, identity protection and other technological features that help sellers monetize their inventory and buyers increase the return on their advertising investment. While our industry is evolving rapidly and becoming increasingly competitive, we believe that our solution enables us to compete favorably on these factors. In addition, we believe we enjoy a number of competitive strengths, as further detailed above.</w:t>
      </w:r>
    </w:p>
    <w:p>
      <w:pPr>
        <w:pStyle w:val="TextBody"/>
        <w:bidi w:val="0"/>
        <w:spacing w:before="100" w:after="100"/>
        <w:ind w:left="0" w:right="0" w:firstLine="720"/>
        <w:jc w:val="left"/>
        <w:rPr/>
      </w:pPr>
      <w:r>
        <w:rPr/>
      </w:r>
    </w:p>
    <w:p>
      <w:pPr>
        <w:pStyle w:val="TextBody"/>
        <w:bidi w:val="0"/>
        <w:spacing w:lineRule="auto" w:line="288" w:before="100" w:after="100"/>
        <w:jc w:val="left"/>
        <w:rPr>
          <w:rFonts w:ascii="Times New Roman;sans-serif" w:hAnsi="Times New Roman;sans-serif"/>
          <w:b/>
          <w:color w:val="000000"/>
          <w:sz w:val="20"/>
        </w:rPr>
      </w:pPr>
      <w:r>
        <w:rPr>
          <w:rFonts w:ascii="Times New Roman;sans-serif" w:hAnsi="Times New Roman;sans-serif"/>
          <w:b/>
          <w:color w:val="000000"/>
          <w:sz w:val="20"/>
        </w:rPr>
        <w:t>Human Capital: Our Team and Culture</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team draws from a broad spectrum of experience, including data science, machine-learning algorithms, infrastructure, software development, and from experienced leadership on the seller and buyer sides, including streaming, mobile and video. In addition to the United States, we have personnel and operations in Australia, Brazil, Canada, France, Germany, India, Italy, Japan, New Zealand, Singapore, Sweden, and the United Kingdom, in order to service buyers and sellers on a global scale.</w:t>
      </w:r>
    </w:p>
    <w:p>
      <w:pPr>
        <w:pStyle w:val="TextBody"/>
        <w:bidi w:val="0"/>
        <w:spacing w:lineRule="auto" w:line="288" w:before="100" w:after="10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Culture</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strive to build a culture that is high-performing and results-oriented while emphasizing growth, collaboration and innovation. Our recruitment team seeks individuals that are committed to seeing the big picture and being catalysts of change. We ask our employees to empower others and commit to making our company a great place to work, not just a "job." </w:t>
      </w:r>
    </w:p>
    <w:p>
      <w:pPr>
        <w:pStyle w:val="TextBody"/>
        <w:bidi w:val="0"/>
        <w:spacing w:lineRule="auto" w:line="288" w:before="100" w:after="100"/>
        <w:ind w:left="0" w:right="0" w:firstLine="720"/>
        <w:jc w:val="left"/>
        <w:rPr/>
      </w:pPr>
      <w:r>
        <w:rPr>
          <w:rFonts w:ascii="Times New Roman;sans-serif" w:hAnsi="Times New Roman;sans-serif"/>
          <w:b/>
          <w:i/>
          <w:color w:val="000000"/>
          <w:sz w:val="20"/>
        </w:rPr>
        <w:t>Diversity</w:t>
      </w:r>
      <w:r>
        <w:rPr>
          <w:rFonts w:ascii="Times New Roman;sans-serif" w:hAnsi="Times New Roman;sans-serif"/>
          <w:b w:val="false"/>
          <w:i/>
          <w:color w:val="000000"/>
          <w:sz w:val="20"/>
        </w:rPr>
        <w:t>,</w:t>
      </w:r>
      <w:r>
        <w:rPr>
          <w:color w:val="000000"/>
        </w:rPr>
        <w:t xml:space="preserve"> </w:t>
      </w:r>
      <w:r>
        <w:rPr>
          <w:rFonts w:ascii="Times New Roman;sans-serif" w:hAnsi="Times New Roman;sans-serif"/>
          <w:b/>
          <w:i/>
          <w:color w:val="000000"/>
          <w:sz w:val="20"/>
        </w:rPr>
        <w:t>Equity and Inclusion</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Diversity, equity and inclusion applies to everything we do, from our platform and brand to the entire employee experience. Our mission is to diversify voices within the Company, cultivate a culture in which employees feel safe as their authentic selves, and invest in strategies to support our local communities. Our objectives, through the support of the Magnify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8d6a21e15cb741baa6dee69bcf11e47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Council, a rotating group of internal employees, are to create an exceptional employee experience, continually deploy programs to develop diverse talent, and support external partners that emphasize the global promotion of diversity, equity and inclusion. </w:t>
      </w:r>
    </w:p>
    <w:p>
      <w:pPr>
        <w:pStyle w:val="TextBody"/>
        <w:bidi w:val="0"/>
        <w:spacing w:lineRule="auto" w:line="288" w:before="100" w:after="10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Talent Retention</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empowerment starts with investing in our employees, both inside and outside the office. We reward team and individual excellence and are committed to creating an exceptional workplace environment in which we seek feedback from our employees in regular engagement surveys. We believe in continual feedback on performance. Our employees set goals at a regular cadence throughout the year and managers provide achievement ratings at year-end. We continually invest in learning and leadership development programs and routinely analyze voluntary employee turnover to understand and address trends. We give equity to our employees to promote alignment and ownership. </w:t>
      </w:r>
    </w:p>
    <w:p>
      <w:pPr>
        <w:pStyle w:val="TextBody"/>
        <w:bidi w:val="0"/>
        <w:spacing w:lineRule="auto" w:line="288" w:before="100" w:after="10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Conduct</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committed to promoting high standards of honest and ethical business conduct and compliance in alignment with our cultural values. We do not tolerate harassment or discrimination. Our employees are required to take annual harassment and discrimination training as well as acknowledge our Code of Business and Ethics Policy.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we had 911 full-time employees. </w:t>
      </w:r>
    </w:p>
    <w:p>
      <w:pPr>
        <w:pStyle w:val="TextBody"/>
        <w:bidi w:val="0"/>
        <w:spacing w:before="100" w:after="100"/>
        <w:ind w:left="0" w:right="0" w:firstLine="720"/>
        <w:jc w:val="left"/>
        <w:rPr/>
      </w:pPr>
      <w:r>
        <w:rPr/>
      </w:r>
    </w:p>
    <w:p>
      <w:pPr>
        <w:pStyle w:val="TextBody"/>
        <w:bidi w:val="0"/>
        <w:spacing w:lineRule="auto" w:line="288" w:before="100" w:after="100"/>
        <w:jc w:val="left"/>
        <w:rPr>
          <w:rFonts w:ascii="Times New Roman;sans-serif" w:hAnsi="Times New Roman;sans-serif"/>
          <w:b/>
          <w:color w:val="000000"/>
          <w:sz w:val="20"/>
        </w:rPr>
      </w:pPr>
      <w:r>
        <w:rPr>
          <w:rFonts w:ascii="Times New Roman;sans-serif" w:hAnsi="Times New Roman;sans-serif"/>
          <w:b/>
          <w:color w:val="000000"/>
          <w:sz w:val="20"/>
        </w:rPr>
        <w:t>Our Intellectual Property</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proprietary technologies are important and we rely upon trade secret, trademark, copyright, and patent laws in the United States and abroad to establish and protect our intellectual property and protect our proprietary technologies.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have several issued patents and pending patent applications, some of which may ultimately be abandoned if we determine that the cost of prosecution or maintenance does not justify the utility of receiving the patent. None of these patents has been litigated and we do not believe that any individual patent or patent application is material to our business. Their importance to our business is uncertain and there are no guarantees that any of the patents will serve as protection for our technology or market in the United States or any other country in which an application has been filed.</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register certain domain names, trademarks and service marks in the United States and in certain locations outside the United States. We also rely upon common law protection for certain trademarks. We generally enter into confidentiality and invention assignment agreements with our employees and contractors, and confidentiality agreements with parties with whom we conduct business, in order to limit access to, and disclosure and use of, our proprietary information. We also use measures designed to control access to our technology and proprietary information. We view our trade secrets and know-how as a significant component of our intellectual property assets, which we believe differentiate us from our competitors.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Any impairment of our intellectual property rights, or any unauthorized disclosure or use of our intellectual property or technology, could harm our business, our ability to compete and our operating results.</w:t>
      </w:r>
    </w:p>
    <w:p>
      <w:pPr>
        <w:pStyle w:val="TextBody"/>
        <w:bidi w:val="0"/>
        <w:spacing w:before="100" w:after="100"/>
        <w:ind w:left="0" w:right="0" w:firstLine="720"/>
        <w:jc w:val="left"/>
        <w:rPr/>
      </w:pPr>
      <w:r>
        <w:rPr/>
      </w:r>
    </w:p>
    <w:p>
      <w:pPr>
        <w:pStyle w:val="TextBody"/>
        <w:bidi w:val="0"/>
        <w:spacing w:lineRule="auto" w:line="288" w:before="100" w:after="100"/>
        <w:jc w:val="left"/>
        <w:rPr>
          <w:rFonts w:ascii="Times New Roman;sans-serif" w:hAnsi="Times New Roman;sans-serif"/>
          <w:b/>
          <w:color w:val="000000"/>
          <w:sz w:val="20"/>
        </w:rPr>
      </w:pPr>
      <w:r>
        <w:rPr>
          <w:rFonts w:ascii="Times New Roman;sans-serif" w:hAnsi="Times New Roman;sans-serif"/>
          <w:b/>
          <w:color w:val="000000"/>
          <w:sz w:val="20"/>
        </w:rPr>
        <w:t>Client Dynamics</w:t>
      </w:r>
    </w:p>
    <w:p>
      <w:pPr>
        <w:pStyle w:val="TextBody"/>
        <w:bidi w:val="0"/>
        <w:spacing w:lineRule="auto" w:line="288" w:before="100" w:after="10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Sellers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Sellers own or operate media properties, websites and applications through which advertisements can be delivered to consumers as they navigate across screens. Sellers use our platform to monetize and manage their advertising inventory.</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While we work with many clients, a relatively small number of them provide a large share of the unique user audiences accessible by buyers. This is particularly true in CTV, where sellers tend to be larger compared to other online sellers. Given the limited number of CTV sellers, we are focused on building deeper, long-term strategic partnerships with these clients through a full-service business development strategy. We have invested significant resources in identifying and cultivating these relationships and our sales executives and account managers often serve a consultative role within a client’s sales organization to help establish best practices and evangelize the benefits of programmatic advertising. This team is further supported by our product and engineering team with deep technical expertise, and for larger clients, we may build out custom features or functionality to help drive deeper adoption of our platform.</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mobile channel, many of the application providers that make inventory available through our platform utilize system development kits ("SDKs") and other proprietary technology of third parties, such as aggregators, and it is those third parties, not the application providers themselves, that contract with us to help monetize the inventory. Termination or diminution of our relationships with these third parties could result in a material reduction of the amount of mobile inventory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8d6a21e15cb741baa6dee69bcf11e47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available through our platform. We encourage application developers to use our own SDK when appropriate, but it is difficult to displace existing SDKs.</w:t>
      </w:r>
    </w:p>
    <w:p>
      <w:pPr>
        <w:pStyle w:val="TextBody"/>
        <w:bidi w:val="0"/>
        <w:spacing w:lineRule="auto" w:line="288" w:before="100" w:after="10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Buyers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the buy-side of our business, we maintain close relationships with brand advertisers and agencies, as well as the technological intermediaries through which they transact on our platform, principally DSPs.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DSPs are directly connected to our technology through server-to-server integrations and are responsible for bidding on and purchasing advertising inventory on our platform pursuant to master service agreements. We have relationships with all of the major DSPs, and because ad spend is highly concentrated among relatively few DSPs, each of these relationships is important to us and represents a source of demand that could be difficult for us to replace.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maintain close relationships with DSPs to maximize the amount of spend being transacted through our platform. For instance, our sales team collaborates with DSPs to create custom private marketplaces that fit specific targeting criteria for a given campaign and our team of technical account managers continually monitors DSP bidding activities and provides recommendations that inform their trading practices.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While the DSP is generally responsible for the direct purchasing of advertising inventory through our platform, the overall direction of an advertising campaign is typically determined by the advertiser or advertising agency that has engaged the DSP. As such, in order to increase the amount of spend transacted on our platform, and in furtherance of our SPO efforts, we expend significant resources establishing and expanding relationships directly with brand advertisers and agencies.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transacting through DSPs, we also offer brands and agencies the ability to access our platform directly, including on a managed service basis through the use of insertion orders and programmatically through our ClearLine product offering. For these managed service campaigns, our team of specialists manages the delivery and execution of the campaign according to an agreed set of objectives with the advertiser or agency, at a negotiated fixed price. For ClearLine, advertisers and agencies use a self-service programmatic solution to directly access premium inventory on our platform. This solution helps advertisers and agencies maximize the spend going towards working media, makes it easier to securely share data, and improves workflow for campaigns traditionally transacted manually.</w:t>
      </w:r>
    </w:p>
    <w:p>
      <w:pPr>
        <w:pStyle w:val="TextBody"/>
        <w:bidi w:val="0"/>
        <w:spacing w:before="100" w:after="100"/>
        <w:ind w:left="0" w:right="0" w:firstLine="720"/>
        <w:jc w:val="left"/>
        <w:rPr/>
      </w:pPr>
      <w:r>
        <w:rPr/>
      </w:r>
    </w:p>
    <w:p>
      <w:pPr>
        <w:pStyle w:val="TextBody"/>
        <w:bidi w:val="0"/>
        <w:spacing w:lineRule="auto" w:line="288" w:before="100" w:after="100"/>
        <w:jc w:val="left"/>
        <w:rPr>
          <w:rFonts w:ascii="Times New Roman;sans-serif" w:hAnsi="Times New Roman;sans-serif"/>
          <w:b/>
          <w:color w:val="000000"/>
          <w:sz w:val="20"/>
        </w:rPr>
      </w:pPr>
      <w:r>
        <w:rPr>
          <w:rFonts w:ascii="Times New Roman;sans-serif" w:hAnsi="Times New Roman;sans-serif"/>
          <w:b/>
          <w:color w:val="000000"/>
          <w:sz w:val="20"/>
        </w:rPr>
        <w:t>Geographic Scope of Our Operations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growth of programmatic advertising is expanding into geographic markets outside of the United States, and in some markets, the adoption rate of programmatic digital advertising is greater than in the United States. We face staffing challenges, including difficulty in recruiting, retaining, and managing a diverse and distributed workforce across time zones, cultures, and languages. We must also adapt our practices to satisfy local requirements and standards (including differing privacy requirements that are sometimes more stringent than in the U.S.), and manage the effects of global and regional pandemics, recessions and economic and political instability. Transactions denominated in various non-U.S. currencies expose us to potentially unfavorable changes in exchange rates and added transaction costs. Foreign operations expose us to potentially adverse tax consequences in the United States and abroad and costs and restrictions affecting the repatriation of funds to the United States. For detailed information regarding our revenue and property and equipment, net by geographical region, see Note 4 and Note 6 of the "Notes to Consolidated Financial Statements."</w:t>
      </w:r>
    </w:p>
    <w:p>
      <w:pPr>
        <w:pStyle w:val="TextBody"/>
        <w:bidi w:val="0"/>
        <w:spacing w:before="100" w:after="100"/>
        <w:ind w:left="0" w:right="0" w:firstLine="720"/>
        <w:jc w:val="left"/>
        <w:rPr/>
      </w:pPr>
      <w:r>
        <w:rPr/>
      </w:r>
    </w:p>
    <w:p>
      <w:pPr>
        <w:pStyle w:val="TextBody"/>
        <w:bidi w:val="0"/>
        <w:spacing w:lineRule="auto" w:line="288" w:before="100" w:after="100"/>
        <w:jc w:val="left"/>
        <w:rPr>
          <w:rFonts w:ascii="Times New Roman;sans-serif" w:hAnsi="Times New Roman;sans-serif"/>
          <w:b/>
          <w:color w:val="000000"/>
          <w:sz w:val="20"/>
        </w:rPr>
      </w:pPr>
      <w:r>
        <w:rPr>
          <w:rFonts w:ascii="Times New Roman;sans-serif" w:hAnsi="Times New Roman;sans-serif"/>
          <w:b/>
          <w:color w:val="000000"/>
          <w:sz w:val="20"/>
        </w:rPr>
        <w:t>Regulation</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is highly susceptible to existing and emerging privacy regulations and oversight concerning the collection, use and sharing of data. Data protection authorities in the United States and around the world continue to focus on the advertising technology ecosystem. Because we, and our clients, rely upon large volumes of such data, it is essential that we monitor developments in this area domestically and globally, and engage in responsible privacy practices.</w:t>
      </w:r>
    </w:p>
    <w:p>
      <w:pPr>
        <w:pStyle w:val="TextBody"/>
        <w:bidi w:val="0"/>
        <w:spacing w:lineRule="auto" w:line="288" w:before="100" w:after="100"/>
        <w:ind w:left="0" w:right="0" w:firstLine="720"/>
        <w:jc w:val="left"/>
        <w:rPr/>
      </w:pPr>
      <w:r>
        <w:rPr>
          <w:rFonts w:ascii="Times New Roman;sans-serif" w:hAnsi="Times New Roman;sans-serif"/>
          <w:b w:val="false"/>
          <w:color w:val="000000"/>
          <w:sz w:val="20"/>
          <w:shd w:fill="FFFFFF" w:val="clear"/>
        </w:rPr>
        <w:t>We do n</w:t>
      </w:r>
      <w:r>
        <w:rPr>
          <w:rFonts w:ascii="Times New Roman;sans-serif" w:hAnsi="Times New Roman;sans-serif"/>
          <w:b w:val="false"/>
          <w:color w:val="000000"/>
          <w:sz w:val="20"/>
        </w:rPr>
        <w:t>ot collect information that can be used to directly identify a real person, such as name, address, or phone number, and we take steps to avoid collecting and storing such information. Instead, we rely on pseudonymous forms of data such as IP addresses, general geo-location information, and persistent identifiers about Internet users and do not attempt to associate this data with other data that can be used to identify real people. However, this type of information is considered "personal" across various jurisdictions and is governed by an increasing number of consumer privacy laws and regulations.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Data collection, use, and disclosure by companies that do not have direct relationships with the consumers whose personal data they process will now be subject to state data broker laws, including in California and Texas. Notably, California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8d6a21e15cb741baa6dee69bcf11e47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recently passed the Delete Act, dramatically increasing obligations and potential penalties relative to the state’s preexisting data broker statute.</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There are also a number of specific laws and regulations governing the collection and use of certain types of consumer data relevant to our business. For example, the Children’s Online Privacy Protection Act ("COPPA"), imposes restrictions on the collection and use of data about users of child-directed websites.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the European Economic Area ("EEA") member states and the United Kingdom (“UK”), the use and transfer of personal data is governed by the General Data Protection Regulation and the UK General Data Protection Regulation (the "GDPR" and "UK GDPR"). The GDPR and UK GDPR set out significant potential liabilities for certain data protection violations and establish significant regulatory requirements resulting in a greater compliance burden for us in the course of delivering our solution in the EEA and UK.</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the GDPR and UK GDPR, state lawmakers in the United States continue to actively focus on consumer privacy regulations. These laws have caused, and will likely continue to cause, us to incur additional compliance costs and impose additional restrictions on us and on our industry partners. Additionally, our compliance with our privacy policies and our general consumer privacy practices are also subject to review by the Federal Trade Commission and certain State Attorneys General. Outside of the United States, our privacy and data practices are subject to regulation by data protection authorities and other regulators in the countries in which we do business.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Beyond laws and regulations, we are members of self-regulatory bodies that set out best practices, principles and codes of conduct related to the collection, use, and disclosure of consumer data, including the Internet Advertising Bureau ("IAB"), the Digital Advertising Alliance, the Network Advertising Initiative, and the Europe Interactive Digital Advertising Alliance. We provide consumers with notice via our privacy policy about our use of cookies and other technologies to collect consumer data, and of our collection and use of consumer data to deliver personalized advertisements. We allow consumers to opt-out or withdraw consent from the use of data we collect for purposes of behavioral advertising through a mechanism on our website, linked through our privacy policy as well as through portals maintained by some of these self-regulatory bodies.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support privacy initiatives and believe they will be beneficial to consumers' confidence in advertising technology, which will ultimately be positive for the advertising ecosystem in the long term. However, until prevailing compliance practices standardize, the impact of worldwide privacy regulations on our business and, consequently, our revenue could be negatively impacted.</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additional information regarding regulatory risks to our business, see "Item 1A. Risk Factors."</w:t>
      </w:r>
    </w:p>
    <w:p>
      <w:pPr>
        <w:pStyle w:val="TextBody"/>
        <w:bidi w:val="0"/>
        <w:spacing w:before="100" w:after="100"/>
        <w:jc w:val="left"/>
        <w:rPr/>
      </w:pPr>
      <w:r>
        <w:rPr/>
      </w:r>
    </w:p>
    <w:p>
      <w:pPr>
        <w:pStyle w:val="TextBody"/>
        <w:bidi w:val="0"/>
        <w:spacing w:lineRule="auto" w:line="288" w:before="100" w:after="100"/>
        <w:jc w:val="left"/>
        <w:rPr>
          <w:rFonts w:ascii="Times New Roman;sans-serif" w:hAnsi="Times New Roman;sans-serif"/>
          <w:b/>
          <w:color w:val="000000"/>
          <w:sz w:val="20"/>
        </w:rPr>
      </w:pPr>
      <w:r>
        <w:rPr>
          <w:rFonts w:ascii="Times New Roman;sans-serif" w:hAnsi="Times New Roman;sans-serif"/>
          <w:b/>
          <w:color w:val="000000"/>
          <w:sz w:val="20"/>
        </w:rPr>
        <w:t>Seasonality</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advertising spend, revenue, cash flow from operations, Adjusted EBITDA, operating results, and other key operating and financial measures may vary from quarter to quarter due to the seasonal nature of buyer spending. For example, many buyers devote a disproportionate amount of their advertising budgets to the fourth quarter of the calendar year to coincide with increased holiday purchasing. We expect our revenue, cash flow, operating results and other key operating and financial measures to fluctuate based on seasonal factors from period to period and expect these measures to be higher in the fourth quarter than in other quarters.</w:t>
      </w:r>
    </w:p>
    <w:p>
      <w:pPr>
        <w:pStyle w:val="TextBody"/>
        <w:bidi w:val="0"/>
        <w:spacing w:before="100" w:after="100"/>
        <w:jc w:val="left"/>
        <w:rPr/>
      </w:pPr>
      <w:r>
        <w:rPr/>
      </w:r>
    </w:p>
    <w:p>
      <w:pPr>
        <w:pStyle w:val="TextBody"/>
        <w:bidi w:val="0"/>
        <w:spacing w:lineRule="auto" w:line="288" w:before="100" w:after="100"/>
        <w:jc w:val="left"/>
        <w:rPr>
          <w:rFonts w:ascii="Times New Roman;sans-serif" w:hAnsi="Times New Roman;sans-serif"/>
          <w:b/>
          <w:color w:val="000000"/>
          <w:sz w:val="20"/>
        </w:rPr>
      </w:pPr>
      <w:r>
        <w:rPr>
          <w:rFonts w:ascii="Times New Roman;sans-serif" w:hAnsi="Times New Roman;sans-serif"/>
          <w:b/>
          <w:color w:val="000000"/>
          <w:sz w:val="20"/>
        </w:rPr>
        <w:t>Available Information</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subject to the reporting requirements of the Securities Exchange Act of 1934, as amended, or the Exchange Act, and accordingly files Annual Reports on Form 10-K, Quarterly Reports on Form 10-Q, Current Reports on Form 8-K, proxy statements, and related amendments and other information with the U.S. Securities and Exchange Commission, or the SEC, pursuant to Sections 13(a) and 15(d) of the Exchange Act. Information filed by the Company with the SEC is available free of charge on the Company’s website at investor.magnite.com as soon as reasonably practicable after such materials are filed with or furnished to the SEC.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0" w:after="200"/>
        <w:ind w:left="0" w:right="0" w:firstLine="54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Investing in our common stock involves a high degree of risk, including the risks described below, each of which may be relevant to decisions regarding an investment in or ownership of our stock. The occurrence of any of these risks could have a significant adverse effect on our reputation, business, financial condition, revenue, results of operations, growth, or ability to accomplish our strategic objectives, and could cause the trading price of our common stock to decline. You should carefully consider the risks set forth below and the other information contained in this report, including our consolidated financial statements and related notes and Management's Discussion and Analysis of Financial Condition and Results of Operations, before making investment decisions related to our common stock. However, this report cannot anticipate and fully address all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8d6a21e15cb741baa6dee69bcf11e47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00"/>
        <w:jc w:val="left"/>
        <w:rPr>
          <w:rFonts w:ascii="Times New Roman;sans-serif" w:hAnsi="Times New Roman;sans-serif"/>
          <w:b w:val="false"/>
          <w:i/>
          <w:color w:val="000000"/>
          <w:sz w:val="20"/>
        </w:rPr>
      </w:pPr>
      <w:r>
        <w:rPr>
          <w:rFonts w:ascii="Times New Roman;sans-serif" w:hAnsi="Times New Roman;sans-serif"/>
          <w:b w:val="false"/>
          <w:i/>
          <w:color w:val="000000"/>
          <w:sz w:val="20"/>
        </w:rPr>
        <w:t>possible risks of investing in our common stock, the risks of investing in our common stock may change over time, and additional risks and uncertainties that we are not aware of, or that we do not consider to be material, may emerge. Accordingly, you are advised to consider additional sources of information and exercise your own judgment in addition to the information we provide.</w:t>
      </w:r>
    </w:p>
    <w:p>
      <w:pPr>
        <w:pStyle w:val="TextBody"/>
        <w:bidi w:val="0"/>
        <w:spacing w:lineRule="auto" w:line="288" w:before="100" w:after="100"/>
        <w:jc w:val="left"/>
        <w:rPr>
          <w:rFonts w:ascii="Times New Roman;sans-serif" w:hAnsi="Times New Roman;sans-serif"/>
          <w:b/>
          <w:color w:val="000000"/>
          <w:sz w:val="20"/>
        </w:rPr>
      </w:pPr>
      <w:r>
        <w:rPr>
          <w:rFonts w:ascii="Times New Roman;sans-serif" w:hAnsi="Times New Roman;sans-serif"/>
          <w:b/>
          <w:color w:val="000000"/>
          <w:sz w:val="20"/>
        </w:rPr>
        <w:t>Risks Related to Our Business, Growth Prospects and Operating Results</w:t>
      </w:r>
    </w:p>
    <w:p>
      <w:pPr>
        <w:pStyle w:val="TextBody"/>
        <w:bidi w:val="0"/>
        <w:spacing w:lineRule="auto" w:line="288" w:before="100" w:after="100"/>
        <w:jc w:val="left"/>
        <w:rPr>
          <w:rFonts w:ascii="Times New Roman;sans-serif" w:hAnsi="Times New Roman;sans-serif"/>
          <w:b/>
          <w:i/>
          <w:color w:val="000000"/>
          <w:sz w:val="20"/>
        </w:rPr>
      </w:pPr>
      <w:r>
        <w:rPr>
          <w:rFonts w:ascii="Times New Roman;sans-serif" w:hAnsi="Times New Roman;sans-serif"/>
          <w:b/>
          <w:i/>
          <w:color w:val="000000"/>
          <w:sz w:val="20"/>
        </w:rPr>
        <w:t>We may not be able to achieve anticipated cost savings or other anticipated benefits of the SpotX Acquisition and other recent acquisitions.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There could be lingering issues related to the integration of SpotX and other recently acquired companies into our core business, and anticipated long term anticipated benefits may not ultimately be realized, including synergies, cost savings, technological innovation and operational efficiencies from such transactions. For example, in 2023 we introduced our unified CTV platform, Magnite Streaming, which merges leading technology from our legacy Magnite CTV and SpotX CTV platforms. Although we believe our new Magnite Streaming platform represents an industry leading solution, which incorporates cutting edge technology from our legacy platforms, there are certain risks inherent in introducing a new platform. For example, it is possible that our new platform will experience bugs or errors, or clients may not be satisfied with the functionality compared to our legacy CTV platforms, which could lead to a loss of business and negatively impact our results. If we are unable to achieve the anticipated benefits of our recent acquisition or the integration of our CTV platforms, it could negatively affect our business and result of operations. </w:t>
      </w:r>
    </w:p>
    <w:p>
      <w:pPr>
        <w:pStyle w:val="TextBody"/>
        <w:bidi w:val="0"/>
        <w:spacing w:lineRule="auto" w:line="268" w:before="100" w:after="120"/>
        <w:jc w:val="left"/>
        <w:rPr>
          <w:rFonts w:ascii="Times New Roman;sans-serif" w:hAnsi="Times New Roman;sans-serif"/>
          <w:b/>
          <w:i/>
          <w:color w:val="000000"/>
          <w:sz w:val="20"/>
        </w:rPr>
      </w:pPr>
      <w:r>
        <w:rPr>
          <w:rFonts w:ascii="Times New Roman;sans-serif" w:hAnsi="Times New Roman;sans-serif"/>
          <w:b/>
          <w:i/>
          <w:color w:val="000000"/>
          <w:sz w:val="20"/>
        </w:rPr>
        <w:t>Any acquisitions we undertake may disrupt our business, adversely affect operations, dilute stockholders, and expose us to costs and liabilities.</w:t>
      </w:r>
    </w:p>
    <w:p>
      <w:pPr>
        <w:pStyle w:val="TextBody"/>
        <w:bidi w:val="0"/>
        <w:spacing w:lineRule="auto" w:line="288" w:before="100" w:after="10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Acquisitions have been an important element of our business strategy, and we may pursue future acquisitions in an effort to increase revenue, expand our market position, add to our service offering and technological capabilities, respond to dynamic market conditions, or for other strategic or financial purposes. However, there is no assurance that we will identify suitable acquisition candidates or complete any acquisitions on favorable terms, or at all. Further, any acquisitions we do complete would involve a number of risks, which may include the following:</w:t>
      </w:r>
    </w:p>
    <w:p>
      <w:pPr>
        <w:pStyle w:val="TextBody"/>
        <w:bidi w:val="0"/>
        <w:spacing w:lineRule="auto" w:line="288" w:before="0" w:after="40"/>
        <w:ind w:left="0" w:right="0" w:hanging="360"/>
        <w:jc w:val="left"/>
        <w:rPr/>
      </w:pPr>
      <w:r>
        <w:rPr>
          <w:color w:val="000000"/>
        </w:rPr>
        <w:t>•</w:t>
      </w:r>
      <w:r>
        <w:rPr>
          <w:rFonts w:ascii="Times New Roman;sans-serif" w:hAnsi="Times New Roman;sans-serif"/>
          <w:b w:val="false"/>
          <w:color w:val="000000"/>
          <w:sz w:val="20"/>
        </w:rPr>
        <w:t>the identification, acquisition, and integration of acquired businesses require substantial attention from management. The diversion of management's attention and any difficulties encountered in the integration process could hurt our business;</w:t>
      </w:r>
    </w:p>
    <w:p>
      <w:pPr>
        <w:pStyle w:val="TextBody"/>
        <w:bidi w:val="0"/>
        <w:spacing w:lineRule="auto" w:line="288" w:before="0" w:after="40"/>
        <w:ind w:left="0" w:right="0" w:hanging="360"/>
        <w:jc w:val="left"/>
        <w:rPr/>
      </w:pPr>
      <w:r>
        <w:rPr>
          <w:color w:val="000000"/>
        </w:rPr>
        <w:t>•</w:t>
      </w:r>
      <w:r>
        <w:rPr>
          <w:rFonts w:ascii="Times New Roman;sans-serif" w:hAnsi="Times New Roman;sans-serif"/>
          <w:b w:val="false"/>
          <w:color w:val="000000"/>
          <w:sz w:val="20"/>
        </w:rPr>
        <w:t>the identification, acquisition, and integration of acquired businesses requires significant investment, including to determine which new service offerings we might wish to acquire, harmonize service offerings, expand management capabilities and market presence, and improve or increase development efforts and technology features and functions;</w:t>
      </w:r>
    </w:p>
    <w:p>
      <w:pPr>
        <w:pStyle w:val="TextBody"/>
        <w:bidi w:val="0"/>
        <w:spacing w:lineRule="auto" w:line="288" w:before="0" w:after="40"/>
        <w:ind w:left="0" w:right="0" w:hanging="360"/>
        <w:jc w:val="left"/>
        <w:rPr/>
      </w:pPr>
      <w:r>
        <w:rPr>
          <w:color w:val="000000"/>
        </w:rPr>
        <w:t>•</w:t>
      </w:r>
      <w:r>
        <w:rPr>
          <w:rFonts w:ascii="Times New Roman;sans-serif" w:hAnsi="Times New Roman;sans-serif"/>
          <w:b w:val="false"/>
          <w:color w:val="000000"/>
          <w:sz w:val="20"/>
        </w:rPr>
        <w:t>the anticipated benefits from the acquisition may not be achieved, including as a result of loss of clients or personnel of the target, other difficulties in supporting and transitioning the target's clients, the inability to realize expected synergies from an acquisition, or negative organizational cultural effects arising from the integration of new personnel;</w:t>
      </w:r>
    </w:p>
    <w:p>
      <w:pPr>
        <w:pStyle w:val="TextBody"/>
        <w:bidi w:val="0"/>
        <w:spacing w:lineRule="auto" w:line="288" w:before="0" w:after="40"/>
        <w:ind w:left="0" w:right="0" w:hanging="360"/>
        <w:jc w:val="left"/>
        <w:rPr/>
      </w:pPr>
      <w:r>
        <w:rPr>
          <w:color w:val="000000"/>
        </w:rPr>
        <w:t>•</w:t>
      </w:r>
      <w:r>
        <w:rPr>
          <w:rFonts w:ascii="Times New Roman;sans-serif" w:hAnsi="Times New Roman;sans-serif"/>
          <w:b w:val="false"/>
          <w:color w:val="000000"/>
          <w:sz w:val="20"/>
        </w:rPr>
        <w:t>we may face difficulties in integrating the personnel, technologies, solutions, operations, and existing contracts of the acquired business;</w:t>
      </w:r>
    </w:p>
    <w:p>
      <w:pPr>
        <w:pStyle w:val="TextBody"/>
        <w:bidi w:val="0"/>
        <w:spacing w:lineRule="auto" w:line="288" w:before="0" w:after="40"/>
        <w:ind w:left="0" w:right="0" w:hanging="360"/>
        <w:jc w:val="left"/>
        <w:rPr/>
      </w:pPr>
      <w:r>
        <w:rPr>
          <w:color w:val="000000"/>
        </w:rPr>
        <w:t>•</w:t>
      </w:r>
      <w:r>
        <w:rPr>
          <w:rFonts w:ascii="Times New Roman;sans-serif" w:hAnsi="Times New Roman;sans-serif"/>
          <w:b w:val="false"/>
          <w:color w:val="000000"/>
          <w:sz w:val="20"/>
        </w:rPr>
        <w:t>we may fail to identify all of the problems, liabilities or other shortcomings or challenges of an acquired company, technology, or solution, including issues related to intellectual property, solution quality or architecture, income or other taxes and other regulatory compliance practices, revenue recognition or other accounting practices, or employee or client issues;</w:t>
      </w:r>
    </w:p>
    <w:p>
      <w:pPr>
        <w:pStyle w:val="TextBody"/>
        <w:bidi w:val="0"/>
        <w:spacing w:lineRule="auto" w:line="288" w:before="0" w:after="40"/>
        <w:ind w:left="0" w:right="0" w:hanging="360"/>
        <w:jc w:val="left"/>
        <w:rPr/>
      </w:pPr>
      <w:r>
        <w:rPr>
          <w:color w:val="000000"/>
        </w:rPr>
        <w:t>•</w:t>
      </w:r>
      <w:r>
        <w:rPr>
          <w:rFonts w:ascii="Times New Roman;sans-serif" w:hAnsi="Times New Roman;sans-serif"/>
          <w:b w:val="false"/>
          <w:color w:val="000000"/>
          <w:sz w:val="20"/>
        </w:rPr>
        <w:t>to pay for future acquisitions, we could issue additional shares of our common stock or pay cash. Issuance of shares would dilute stockholders. Use of cash reserves could diminish our ability to respond to other opportunities or challenges. Borrowing to fund any cash purchase price would result in increased fixed obligations and could also include covenants or other restrictions that would impair our ability to manage our operations;</w:t>
      </w:r>
    </w:p>
    <w:p>
      <w:pPr>
        <w:pStyle w:val="TextBody"/>
        <w:bidi w:val="0"/>
        <w:spacing w:lineRule="auto" w:line="288" w:before="0" w:after="40"/>
        <w:ind w:left="0" w:right="0" w:hanging="360"/>
        <w:jc w:val="left"/>
        <w:rPr/>
      </w:pPr>
      <w:r>
        <w:rPr>
          <w:color w:val="000000"/>
        </w:rPr>
        <w:t>•</w:t>
      </w:r>
      <w:r>
        <w:rPr>
          <w:rFonts w:ascii="Times New Roman;sans-serif" w:hAnsi="Times New Roman;sans-serif"/>
          <w:b w:val="false"/>
          <w:color w:val="000000"/>
          <w:sz w:val="20"/>
        </w:rPr>
        <w:t>acquisitions expose us to the risk of assumed known and unknown liabilities including contract, tax, regulatory or other legal, and other obligations incurred by the acquired business or fines or penalties, for which indemnity obligations, escrow arrangements or insurance may not be available or may not be sufficient to provide coverage;</w:t>
      </w:r>
    </w:p>
    <w:p>
      <w:pPr>
        <w:pStyle w:val="TextBody"/>
        <w:bidi w:val="0"/>
        <w:spacing w:lineRule="auto" w:line="288" w:before="0" w:after="40"/>
        <w:ind w:left="0" w:right="0" w:hanging="360"/>
        <w:jc w:val="left"/>
        <w:rPr/>
      </w:pPr>
      <w:r>
        <w:rPr>
          <w:color w:val="000000"/>
        </w:rPr>
        <w:t>•</w:t>
      </w:r>
      <w:r>
        <w:rPr>
          <w:rFonts w:ascii="Times New Roman;sans-serif" w:hAnsi="Times New Roman;sans-serif"/>
          <w:b w:val="false"/>
          <w:color w:val="000000"/>
          <w:sz w:val="20"/>
        </w:rPr>
        <w:t>new business acquisitions can generate significant intangible assets that result in substantial related amortization charges and possible impairments;</w:t>
      </w:r>
    </w:p>
    <w:p>
      <w:pPr>
        <w:pStyle w:val="TextBody"/>
        <w:bidi w:val="0"/>
        <w:spacing w:lineRule="auto" w:line="288" w:before="0" w:after="40"/>
        <w:ind w:left="0" w:right="0" w:hanging="360"/>
        <w:jc w:val="left"/>
        <w:rPr/>
      </w:pPr>
      <w:r>
        <w:rPr>
          <w:color w:val="000000"/>
        </w:rPr>
        <w:t>•</w:t>
      </w:r>
      <w:r>
        <w:rPr>
          <w:rFonts w:ascii="Times New Roman;sans-serif" w:hAnsi="Times New Roman;sans-serif"/>
          <w:b w:val="false"/>
          <w:color w:val="000000"/>
          <w:sz w:val="20"/>
        </w:rPr>
        <w:t>the operations of acquired businesses, or our adaptation of those operations, may require that we apply revenue recognition or other accounting methodologies, assumptions, and estimates that are different from those we use in our current business, which could complicate our financial statements, expose us to additional accounting and audit costs, and increase the risk of accounting errors;</w:t>
      </w:r>
    </w:p>
    <w:p>
      <w:pPr>
        <w:pStyle w:val="TextBody"/>
        <w:bidi w:val="0"/>
        <w:spacing w:lineRule="auto" w:line="288" w:before="0" w:after="40"/>
        <w:ind w:left="0" w:right="0" w:hanging="360"/>
        <w:jc w:val="left"/>
        <w:rPr/>
      </w:pPr>
      <w:r>
        <w:rPr>
          <w:color w:val="000000"/>
        </w:rPr>
        <w:t>•</w:t>
      </w:r>
      <w:r>
        <w:rPr>
          <w:rFonts w:ascii="Times New Roman;sans-serif" w:hAnsi="Times New Roman;sans-serif"/>
          <w:b w:val="false"/>
          <w:color w:val="000000"/>
          <w:sz w:val="20"/>
        </w:rPr>
        <w:t xml:space="preserve">acquired businesses may have insufficient internal controls that we must remediate, and the integration of acquired businesses may require us to modify or enhance our own internal controls, in each case resulting in increased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8d6a21e15cb741baa6dee69bcf11e47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administrative expense and risk that we fail to comply with the requirements of Section 404 of the Sarbanes-Oxley Act of 2002 (the "Sarbanes-Oxley Act");</w:t>
      </w:r>
    </w:p>
    <w:p>
      <w:pPr>
        <w:pStyle w:val="TextBody"/>
        <w:bidi w:val="0"/>
        <w:spacing w:lineRule="auto" w:line="288" w:before="0" w:after="40"/>
        <w:ind w:left="0" w:right="0" w:hanging="360"/>
        <w:jc w:val="left"/>
        <w:rPr/>
      </w:pPr>
      <w:r>
        <w:rPr>
          <w:color w:val="000000"/>
        </w:rPr>
        <w:t>•</w:t>
      </w:r>
      <w:r>
        <w:rPr>
          <w:rFonts w:ascii="Times New Roman;sans-serif" w:hAnsi="Times New Roman;sans-serif"/>
          <w:b w:val="false"/>
          <w:color w:val="000000"/>
          <w:sz w:val="20"/>
        </w:rPr>
        <w:t>acquisition of businesses based outside the United States would require us to operate in foreign languages and manage non-U.S. currency, billing, and contracting needs, comply with laws and regulations, including labor laws and privacy laws that in some cases may be more restrictive on our operations than laws applicable to our business in the United States;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acquisitions can sometimes lead to disputes with the former owners of the acquired company, which can result in increased legal expenses, management distraction and the risk that we may suffer an adverse judgment if we are not the prevailing party in the dispute.</w:t>
      </w:r>
    </w:p>
    <w:p>
      <w:pPr>
        <w:pStyle w:val="TextBody"/>
        <w:bidi w:val="0"/>
        <w:spacing w:before="0" w:after="0"/>
        <w:jc w:val="left"/>
        <w:rPr/>
      </w:pPr>
      <w:r>
        <w:rPr/>
      </w:r>
    </w:p>
    <w:p>
      <w:pPr>
        <w:pStyle w:val="TextBody"/>
        <w:bidi w:val="0"/>
        <w:spacing w:lineRule="auto" w:line="288" w:before="100" w:after="100"/>
        <w:jc w:val="left"/>
        <w:rPr>
          <w:rFonts w:ascii="Times New Roman;sans-serif" w:hAnsi="Times New Roman;sans-serif"/>
          <w:b/>
          <w:i/>
          <w:color w:val="000000"/>
          <w:sz w:val="20"/>
        </w:rPr>
      </w:pPr>
      <w:r>
        <w:rPr>
          <w:rFonts w:ascii="Times New Roman;sans-serif" w:hAnsi="Times New Roman;sans-serif"/>
          <w:b/>
          <w:i/>
          <w:color w:val="000000"/>
          <w:sz w:val="20"/>
        </w:rPr>
        <w:t>Our revenue and operating results are highly dependent on the overall demand for advertising and any macroeconomic challenges may adversely affect our business, financial position, results of operations and/or cash flows.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depends on the overall demand for advertising and on the economic health of our current and prospective sellers and buyers. If advertisers reduce their overall advertising spending, our revenue and results of operations are directly affected. Accordingly, our business and operations have been, and could in the future be, adversely affected by events beyond our control, such as health epidemics or pandemics, geopolitical events, including the conflicts in Ukraine and the Middle East, and economic and macroeconomic factors like labor strikes, labor shortages, supply chain disruptions, capital market disruptions and instability of financial institutions, inflation and recessionary concerns impacting the markets and communities in which our clients operate.</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has been negatively impacted as a result of macroeconomic challenges, such as inflation, global hostilities, fears of a recession, global pandemics, and other macroeconomic factors, which have generally negatively impacted ad budgets, and in turn led to reduced ad spend through our platform. Any worsening of macroeconomic conditions in future periods would likely have a negative effect on our financial results, the magnitude of which is difficult to predict.</w:t>
      </w:r>
    </w:p>
    <w:p>
      <w:pPr>
        <w:pStyle w:val="TextBody"/>
        <w:bidi w:val="0"/>
        <w:spacing w:before="0" w:after="0"/>
        <w:jc w:val="left"/>
        <w:rPr/>
      </w:pPr>
      <w:r>
        <w:rPr/>
      </w:r>
    </w:p>
    <w:p>
      <w:pPr>
        <w:pStyle w:val="TextBody"/>
        <w:bidi w:val="0"/>
        <w:spacing w:lineRule="auto" w:line="288" w:before="100" w:after="100"/>
        <w:jc w:val="left"/>
        <w:rPr>
          <w:rFonts w:ascii="Times New Roman;sans-serif" w:hAnsi="Times New Roman;sans-serif"/>
          <w:b/>
          <w:i/>
          <w:color w:val="000000"/>
          <w:sz w:val="20"/>
        </w:rPr>
      </w:pPr>
      <w:r>
        <w:rPr>
          <w:rFonts w:ascii="Times New Roman;sans-serif" w:hAnsi="Times New Roman;sans-serif"/>
          <w:b/>
          <w:i/>
          <w:color w:val="000000"/>
          <w:sz w:val="20"/>
        </w:rPr>
        <w:t>If CTV advertising spend grows more slowly than we expect, or growth occurs disproportionately through platforms that we cannot access, our operating results and growth prospects could be harmed.</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growth of our business is dependent, in part, on the continued growth in CTV advertising spend. Growth in the CTV advertising market is dependent on a number of factors, including the pace of cord-cutting (the replacement of tradition linear TV for CTV streaming), the continued proliferation of digital content and CTV providers, the adoption of ad-supported models by CTV sellers in lieu of, or in addition to, subscription models, and an acceleration in the shift of ad dollars from traditional linear TV to CTV to keep pace with changing viewership habits.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if CTV sellers that have traditionally utilized subscription models were to adopt additional ad-supported models or tiers, there is no guarantee that we would have access to such inventory, as they may rely on proprietary solutions or enter into preferred or exclusive arrangements with third parties. Moreover, if we are able to access such inventory it may be on less favorable terms or at a reduced take rate. There is the additional risk that these CTV sellers will represent a disproportionate amount of the overall ad spend growth in CTV and that a substantial increase in available CTV ad inventory will result in an overall decline in CPMs.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If the market for ad-supported CTV develops more slowly than we expect or fails to develop our operating results and growth prospects could be harmed. In addition, to the extent that CTV advertising spend growth is concentrated among inventory that is not available to us or not available on favorable terms it could hurt our overall growth prospects.</w:t>
      </w:r>
    </w:p>
    <w:p>
      <w:pPr>
        <w:pStyle w:val="TextBody"/>
        <w:bidi w:val="0"/>
        <w:spacing w:before="100" w:after="100"/>
        <w:ind w:left="0" w:right="0" w:firstLine="720"/>
        <w:jc w:val="left"/>
        <w:rPr/>
      </w:pPr>
      <w:r>
        <w:rPr/>
      </w:r>
    </w:p>
    <w:p>
      <w:pPr>
        <w:pStyle w:val="TextBody"/>
        <w:bidi w:val="0"/>
        <w:spacing w:lineRule="auto" w:line="288" w:before="0" w:after="200"/>
        <w:jc w:val="left"/>
        <w:rPr>
          <w:rFonts w:ascii="Times New Roman;sans-serif" w:hAnsi="Times New Roman;sans-serif"/>
          <w:b/>
          <w:i/>
          <w:color w:val="000000"/>
          <w:sz w:val="20"/>
        </w:rPr>
      </w:pPr>
      <w:r>
        <w:rPr>
          <w:rFonts w:ascii="Times New Roman;sans-serif" w:hAnsi="Times New Roman;sans-serif"/>
          <w:b/>
          <w:i/>
          <w:color w:val="000000"/>
          <w:sz w:val="20"/>
        </w:rPr>
        <w:t>If CTV sellers fail to adopt programmatic advertising solutions, or adopt such solutions more slowly than we expect, our operating and growth prospects could be harmed.</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digital advertising has continued to scale and evolve, the amount of advertising being bought and sold programmatically has increased dramatically. Despite the opportunities created by programmatic advertising, CTV sellers have been slower to adopt programmatic solutions compared to desktop and mobile video sellers. Many CTV sellers have backgrounds in cable or broadcast television and have limited experience with digital advertising, and in particular programmatic advertising. For these sellers, it is extremely important to protect the quality of the viewer experience to maintain brand goodwill and ensure that online advertising efforts do not create sales channel conflicts or otherwise detract from their direct sales force. In this regard, programmatic advertising presents a number of potential challenges, including the ability to ensure that ads are brand safe, comply with business rules around competitive separation, are not overly repetitive, are played at the appropriate volume and do not cause delays in load-time of content. Our platform was designed to address these challenges and we have invested significant time and resources cultivating relationships with CTV sellers to establish best practices and evangelize the benefits of programmatic CTV.</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8d6a21e15cb741baa6dee69bcf11e47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While we believe that programmatic advertising will continue to grow as a percentage of overall CTV advertising, there can be no assurance that CTV sellers will adopt programmatic solutions or the speed at which they may adopt such solutions. Any such failure or delay in adoption could negatively impact our finance results and growth prospects.</w:t>
      </w:r>
    </w:p>
    <w:p>
      <w:pPr>
        <w:pStyle w:val="TextBody"/>
        <w:bidi w:val="0"/>
        <w:spacing w:lineRule="auto" w:line="288" w:before="0" w:after="200"/>
        <w:jc w:val="left"/>
        <w:rPr>
          <w:rFonts w:ascii="Times New Roman;sans-serif" w:hAnsi="Times New Roman;sans-serif"/>
          <w:b/>
          <w:i/>
          <w:color w:val="000000"/>
          <w:sz w:val="20"/>
        </w:rPr>
      </w:pPr>
      <w:r>
        <w:rPr>
          <w:rFonts w:ascii="Times New Roman;sans-serif" w:hAnsi="Times New Roman;sans-serif"/>
          <w:b/>
          <w:i/>
          <w:color w:val="000000"/>
          <w:sz w:val="20"/>
        </w:rPr>
        <w:t>We may not be able to maintain or increase access to the CTV advertising inventory monetized through our platform on terms acceptable to us.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success requires us to maintain and expand our access to premium and unique advertising inventory. We do not own or control the ad inventory upon which our business depends and do not own or create content. Sellers are generally not required to offer a specified level of inventory on our platform, and we cannot be assured that any publisher will continue to make their ad inventory available on our platform. Sellers may seek to change the terms on which they offer inventory on our platform, including with respect to pricing, or may elect to make advertising inventory available to our competitors who offer more favorable economic terms. Sellers may also require us to take increased risks in some of our commercial agreements in the form of offering revenue guarantees or minimum spend commitments. Furthermore, sellers may enter into exclusive relationships with our competitors, which preclude us from offering their inventory.</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These risks are particularly pronounced with CTV sellers. CTV inventory is highly sought after, and unlike desktop or mobile advertising, which may come from disparate sources, CTV inventory tends to be concentrated on a smaller number of larger sellers that enjoy significant negotiating leverage. In addition, CTV sellers may be more likely to rely on proprietary technology to power their ad business given their additional resources. This dynamic has been exacerbated by consolidation in the industry, as a number of digital-first CTV sellers have been acquired by larger established television and media brands. We expect consolidation to continue among CTV sellers, and in some instances this consolidation may result in the loss of business with an existing client (for example, if an acquiror has a preferred relationship with one of our competitors or has a proprietary solution). Because of the concentration among CTV sellers, the loss of a CTV client may result in a significant decrease in the amount of CTV inventory available through our platform. Any decrease in our ability to access CTV inventory could negatively impact our results, as we view CTV revenue as a key differentiator and driver for our growth.</w:t>
      </w:r>
    </w:p>
    <w:p>
      <w:pPr>
        <w:pStyle w:val="TextBody"/>
        <w:bidi w:val="0"/>
        <w:spacing w:lineRule="auto" w:line="288" w:before="100" w:after="100"/>
        <w:jc w:val="left"/>
        <w:rPr>
          <w:rFonts w:ascii="Times New Roman;sans-serif" w:hAnsi="Times New Roman;sans-serif"/>
          <w:b/>
          <w:i/>
          <w:color w:val="000000"/>
          <w:sz w:val="20"/>
        </w:rPr>
      </w:pPr>
      <w:r>
        <w:rPr>
          <w:rFonts w:ascii="Times New Roman;sans-serif" w:hAnsi="Times New Roman;sans-serif"/>
          <w:b/>
          <w:i/>
          <w:color w:val="000000"/>
          <w:sz w:val="20"/>
        </w:rPr>
        <w:t>We may be unsuccessful in our Supply Path Optimization efforts.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SPO refers to efforts by buyers to consolidate the number of vendors with which they work to find the most effective and cost-efficient paths to procure media. There are a number of criteria that buyers use to evaluate supply partners. While we believe we are well positioned to benefit from supply path optimization in the long run as a result of our transparency, our pricing tools, which reduce the overall cost of working with us, our broad and unique inventory supply across all channels and formats, buyer tools such as traffic shaping that reduce the cost of working with us, and our brand safety measures, we compete for demand with a number of well-established companies, and we must continue to adapt and improve our offerings to win buyers' business.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in order to achieve increased advertising spend or prevent loss of business to a competitor, we may negotiate discounts, rebates, or similar incentives with advertisers or agencies. We believe that because our business has many fixed costs, increases in advertising spend volume generally create opportunities to disproportionately improve our bottom line results, even with increased discounts, rebates or other buyer incentives. However, our revenue could be negatively impacted by discounts, rebates and other buyer incentives, notwithstanding an increase in ad spend.</w:t>
      </w:r>
    </w:p>
    <w:p>
      <w:pPr>
        <w:pStyle w:val="TextBody"/>
        <w:bidi w:val="0"/>
        <w:spacing w:lineRule="auto" w:line="288" w:before="100" w:after="100"/>
        <w:jc w:val="left"/>
        <w:rPr>
          <w:rFonts w:ascii="Times New Roman;sans-serif" w:hAnsi="Times New Roman;sans-serif"/>
          <w:b/>
          <w:i/>
          <w:color w:val="000000"/>
          <w:sz w:val="20"/>
        </w:rPr>
      </w:pPr>
      <w:r>
        <w:rPr>
          <w:rFonts w:ascii="Times New Roman;sans-serif" w:hAnsi="Times New Roman;sans-serif"/>
          <w:b/>
          <w:i/>
          <w:color w:val="000000"/>
          <w:sz w:val="20"/>
        </w:rPr>
        <w:t>Our technology development efforts may be inefficient or ineffective, which may impair our ability to attract buyers and sellers.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face intense competition in the marketplace and are confronted by rapidly changing technology (including advancements in artificial intelligence), evolving industry standards and consumer needs, regulatory changes, and the frequent introduction of new solutions by our competitors to which we must adapt and respond. Our future success will depend in part upon our ability to enhance our existing solution and to develop and introduce competing new solutions in a timely manner with features and pricing that meet changing client and market requirements. Our solutions are complex and require a significant investment of time and resources to develop, test, introduce, and enhance. We schedule and prioritize our development efforts according to a variety of factors, including our perceptions of market trends, client requirements, and resource availability; however, we may encounter unanticipated difficulties that require us to re-direct, scale back, or modify our efforts. If development of our solution becomes significantly more expensive due to changes in regulatory requirements or industry practices, or other factors, we may find ourselves at a disadvantage to larger competitors with more resources to devote to development. These factors place significant demands upon our engineering organization, require complex planning, and can result in acceleration of some initiatives and delay of others. We use outsourced software development for certain development efforts, which may put the company at greater risk with respect to our technology development because we may have less control over the performance of outside programmers and we may be at greater risk of losing their services. To the extent we do not manage our development efforts efficiently and effectively, we may fail to produce solutions that respond appropriately to the needs of buyers and sellers, and competitors may more successfully develop responsive offerings. If our solution is not competitive, buyers and sellers can be expected to shift their business to competing solutions. Buyers and sellers may also resist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8d6a21e15cb741baa6dee69bcf11e47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adopting our new solutions for various reasons, including reluctance to disrupt existing relationships and business practices or to invest in necessary technological integration. Clients, vendors, and competitors may also react negatively to the announcement of new products and offerings, which may have a harmful effect on our relationships and our business.</w:t>
      </w:r>
    </w:p>
    <w:p>
      <w:pPr>
        <w:pStyle w:val="TextBody"/>
        <w:bidi w:val="0"/>
        <w:spacing w:lineRule="auto" w:line="288" w:before="100" w:after="100"/>
        <w:jc w:val="left"/>
        <w:rPr>
          <w:rFonts w:ascii="Times New Roman;sans-serif" w:hAnsi="Times New Roman;sans-serif"/>
          <w:b/>
          <w:i/>
          <w:color w:val="000000"/>
          <w:sz w:val="20"/>
        </w:rPr>
      </w:pPr>
      <w:r>
        <w:rPr>
          <w:rFonts w:ascii="Times New Roman;sans-serif" w:hAnsi="Times New Roman;sans-serif"/>
          <w:b/>
          <w:i/>
          <w:color w:val="000000"/>
          <w:sz w:val="20"/>
        </w:rPr>
        <w:t xml:space="preserve">The emergence of header bidding has increased competition from other demand sources and may cause infrastructure strain and added cost.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the mobile and desktop channels, the vast majority of sellers have embraced header bidding technology, a solution by which impressions that would have previously been exposed to different potential sources of demand in a sequence dictated by ad server priorities are instead available for concurrent competitive bidding by demand sources. This can help sellers increase revenue by exposing their inventory to more bidders, thereby allocating more inventory to demand sources that value it most highly. While header bidding has increased our access to certain pools of inventory that otherwise would have been allocated first to other exchanges, thus increasing our revenue opportunity, it has also resulted in a number of challenges for our business. For instance, some sellers may choose not to integrate with us as a header-bidding demand source, or may prioritize other sources of demand, including owners of the header bidding solutions, leaving us at a competitive disadvantage in the auction. In addition, header-bidding has vastly increased the volume of ad requests that need to be processed and analyzed through our system, resulting in increased infrastructure costs.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If we are unable to improve the efficiency and effectiveness of our header bidding solutions and installations, we may not fully offset these increased infrastructure costs, and we will not be able to take full advantage of the opportunities made available through current header bidding technology to access a larger addressable market and increase our revenue by capturing a greater share of inventory. In addition, our success in monetizing impressions through header-bidding solutions is dependent on the interoperability of our platform with proprietary header-bidding solutions, some of which are owned by our competitors, including Google. As a result, we may be susceptible to evolution in technology and changes in business practices by the owners of such header-bidding solutions that we cannot predict.</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While header-bidding technologies have not been largely adopted by CTV sellers, such solutions or similar solutions geared towards increasing demand competition may become more prevalent in the future. If we are not able to effectively offer or adapt our technology to such solutions, it may lead to increased competition for CTV inventory, resulting in reduced opportunities or higher costs to monetize such inventory. We have addressed the market need for such requirements in part, through our ad server, SpringServe, which offers a unified programmatic demand solution for CTV, which leverages our existing programmatic SSP capabilities and connects with third party programmatic demand sources. However, this is a new offering and it may not be adopted by clients, or such clients may adopt competing solutions. While still relatively nascent, as the programmatic market for CTV advertising continues to mature, other ad serving or similar technology platforms are likely to enter the market and/or gain market share, creating additional competitive pressure and attendant risks. </w:t>
      </w:r>
    </w:p>
    <w:p>
      <w:pPr>
        <w:pStyle w:val="TextBody"/>
        <w:bidi w:val="0"/>
        <w:spacing w:lineRule="auto" w:line="288" w:before="100" w:after="100"/>
        <w:jc w:val="left"/>
        <w:rPr>
          <w:rFonts w:ascii="Times New Roman;sans-serif" w:hAnsi="Times New Roman;sans-serif"/>
          <w:b/>
          <w:i/>
          <w:color w:val="000000"/>
          <w:sz w:val="20"/>
        </w:rPr>
      </w:pPr>
      <w:r>
        <w:rPr>
          <w:rFonts w:ascii="Times New Roman;sans-serif" w:hAnsi="Times New Roman;sans-serif"/>
          <w:b/>
          <w:i/>
          <w:color w:val="000000"/>
          <w:sz w:val="20"/>
        </w:rPr>
        <w:t xml:space="preserve">We must increase the scale and efficiency of our technology infrastructure to support our growth and transaction volumes.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technology must scale to process the increased ad requests on our platform. Additionally, for each individual advertising impression created when a user visits a website or uses an application where our auctions technology is integrated, our technology must send bid requests to appropriate buyers, receive and process their responses, select a winner, and, increasingly, integrate with downstream decisioning systems. It must perform these transactions end-to-end within milliseconds. We must continue to increase the capacity of our platform to support our high-volume strategy, to cope with increased data volumes and parties resulting from header bidding and an increasing variety of advertising formats and platforms, and to maintain a stable service infrastructure and reliable service delivery. To the extent we are unable, for cost or other reasons, to effectively increase the capacity of our platform, continue to process transactions at fast enough speeds, and support emerging advertising formats or services preferred by buyers, our revenue will suffer. We expect to continue to invest in our platform to meet increasing demand. Such investment may negatively affect our profitability and results of operations.</w:t>
      </w:r>
    </w:p>
    <w:p>
      <w:pPr>
        <w:pStyle w:val="TextBody"/>
        <w:bidi w:val="0"/>
        <w:spacing w:lineRule="auto" w:line="288" w:before="100" w:after="100"/>
        <w:jc w:val="left"/>
        <w:rPr>
          <w:rFonts w:ascii="Times New Roman;sans-serif" w:hAnsi="Times New Roman;sans-serif"/>
          <w:b/>
          <w:i/>
          <w:color w:val="000000"/>
          <w:sz w:val="20"/>
        </w:rPr>
      </w:pPr>
      <w:r>
        <w:rPr>
          <w:rFonts w:ascii="Times New Roman;sans-serif" w:hAnsi="Times New Roman;sans-serif"/>
          <w:b/>
          <w:i/>
          <w:color w:val="000000"/>
          <w:sz w:val="20"/>
        </w:rPr>
        <w:t>To the extent our access to mobile inventory is limited by third-party technology or lack of direct relationships with mobile sellers, our ability to grow our business will be impaired.</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success in the mobile channel depends upon the ability of our technology solution to provide advertising for most mobile-connected devices, as well as the major operating systems or Internet browsers that run on them and the thousands of applications that are downloaded onto them. The design of mobile devices and operating systems, applications, or Internet browsers is controlled by third parties. These parties frequently introduce new devices and applications, and from time to time they may introduce new operating systems or Internet browsers or modify existing ones in ways that may significantly affect our business, such as by providing ad-blocking capabilities or by limiting access to Internet user data. Network carriers may also affect the ability to access specified content on mobile devices. To the extent our solution is unable to work on these devices, operating systems, applications, or Internet browsers for any reason, our ability to generate revenue through mobile advertising is significantly impaired, and that impairment may be material.</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mobile applications to be the largest driver of our mobile business. Many mobile apps utilize software development kits, or SDKs, and other proprietary technology of third parties, such as aggregators, and it is those third parties,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8d6a21e15cb741baa6dee69bcf11e47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not the application providers themselves, that contract with us to provide exchange services to help monetize the inventory. Due to this consolidation, if our relationships with these third parties decline or are terminated, it may result in a larger than usual loss of access to mobile inventory. Any rapid and/or significant decline in the availability of mobile inventory can adversely affect our mobile advertising spend and growth prospects.</w:t>
      </w:r>
    </w:p>
    <w:p>
      <w:pPr>
        <w:pStyle w:val="TextBody"/>
        <w:bidi w:val="0"/>
        <w:spacing w:lineRule="auto" w:line="288" w:before="100" w:after="100"/>
        <w:jc w:val="left"/>
        <w:rPr>
          <w:rFonts w:ascii="Times New Roman;sans-serif" w:hAnsi="Times New Roman;sans-serif"/>
          <w:b/>
          <w:i/>
          <w:color w:val="000000"/>
          <w:sz w:val="20"/>
        </w:rPr>
      </w:pPr>
      <w:r>
        <w:rPr>
          <w:rFonts w:ascii="Times New Roman;sans-serif" w:hAnsi="Times New Roman;sans-serif"/>
          <w:b/>
          <w:i/>
          <w:color w:val="000000"/>
          <w:sz w:val="20"/>
        </w:rPr>
        <w:t>Fee issues have in the past and could in the future have a material adverse effect on our business.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majority of our revenue comes from buyers purchasing advertising inventory made available by sellers on our platform. We experience requests from buyers for discounts, fee concessions or revisions, rebates or other forms of consideration, refunds, and greater levels of pricing transparency and specificity, in some cases as a condition to maintain the relationship or to increase the amount of advertising spend that the buyer sends to our platform. In addition, we charge fees to sellers for use of our technology, typically as a percentage of the cost of media, and we may decide to offer discounts or other pricing concessions in order to attract more inventory or demand, or to compete effectively with other providers that have different or lower pricing structures and may be able to undercut our pricing due to greater scale or other factors.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These fee concessions may be more prevalent among CTV publishers where inventory is scarce and concentrated among large sellers with significant negotiating leverage. Moreover, the majority of CTV transactions are currently executed through reserve auctions and we expect reserve auctions to grow as a percentage of revenue in mobile and desktop as well. Reserve auctions generally involve lower fees than we can charge for open marketplace transactions and we may experience additional fee pressure as more competitors, including new entrants as well as sellers themselves, build their own technology and infrastructure to enable reserve auctions.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revenue, take rate (our fee as a percentage of advertising spend), the value of our business, and the price of our stock could be adversely affected if we cannot maintain and grow our revenue and profitability through volume increases that compensate for price reductions, or if we are forced to make significant fee concessions, rebates, or refunds, or if buyers reduce spending with us or sellers reduce inventory available through our exchange due to fee disputes or pricing issues.</w:t>
      </w:r>
    </w:p>
    <w:p>
      <w:pPr>
        <w:pStyle w:val="TextBody"/>
        <w:bidi w:val="0"/>
        <w:spacing w:lineRule="auto" w:line="288" w:before="100" w:after="100"/>
        <w:jc w:val="left"/>
        <w:rPr>
          <w:rFonts w:ascii="Times New Roman;sans-serif" w:hAnsi="Times New Roman;sans-serif"/>
          <w:b/>
          <w:i/>
          <w:color w:val="000000"/>
          <w:sz w:val="20"/>
        </w:rPr>
      </w:pPr>
      <w:r>
        <w:rPr>
          <w:rFonts w:ascii="Times New Roman;sans-serif" w:hAnsi="Times New Roman;sans-serif"/>
          <w:b/>
          <w:i/>
          <w:color w:val="000000"/>
          <w:sz w:val="20"/>
        </w:rPr>
        <w:t>Our take rates may be difficult to forecast and may decrease in future periods; any decrease in our take rates may result in a decrease in our revenue notwithstanding an increase in the amount of spend transacted through our platform.</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generate revenue through our platform on a transactional basis where we are paid by a publisher each time an impression is monetized on our platform. Typically, this fee is structured as a percentage of advertising spend that the publisher receives for its inventory. Our take rate varies by publisher and transaction type. For instance, our take rate tends to be lower for reserve auctions compared to open auctions, and tends to be lower on CTV transactions compared to other channels. Additionally, take rates tend to be higher for our managed service business where we are responsible for delivering a campaign at a fixed price. We may also negotiate lower take rates with large sellers to win additional business or share of inventory.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these factors, even if we are able to accurately forecast the anticipated total advertising spend transacted by buyers across our platform, we may have limited visibility regarding the revenue or Contribution ex-TAC (as defined in section "Key Operating and Financial Performance Metrics") we will generate. Any decrease in our take rate could cause our revenue and Contribution ex-TAC to decrease notwithstanding an increase in the total spend transacted through our seller platform. </w:t>
      </w:r>
    </w:p>
    <w:p>
      <w:pPr>
        <w:pStyle w:val="TextBody"/>
        <w:bidi w:val="0"/>
        <w:spacing w:lineRule="auto" w:line="288" w:before="100" w:after="100"/>
        <w:jc w:val="left"/>
        <w:rPr>
          <w:rFonts w:ascii="Times New Roman;sans-serif" w:hAnsi="Times New Roman;sans-serif"/>
          <w:b/>
          <w:i/>
          <w:color w:val="000000"/>
          <w:sz w:val="20"/>
        </w:rPr>
      </w:pPr>
      <w:r>
        <w:rPr>
          <w:rFonts w:ascii="Times New Roman;sans-serif" w:hAnsi="Times New Roman;sans-serif"/>
          <w:b/>
          <w:i/>
          <w:color w:val="000000"/>
          <w:sz w:val="20"/>
        </w:rPr>
        <w:t>We have a history of losses and we face many risks that may prevent us from achieving or sustaining profitability in the future.</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reported net loss of $159.2 million, net loss of $130.3 million, and net income of $0.1 million during the years ended December 31, 2023, 2022, and 2021, respectively. As of December 31, 2023, we had an accumulated deficit of $684.0 million. We have implemented strategic plans designed to improve our financial performance and continue to increase revenue, and have taken steps to reduce unnecessary expenses and redirect spending to areas we expect to produce higher growth; however, these plans and steps may ultimately prove to be unsuccessful.</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Notwithstanding these measures, revenue could decrease due to competitive pressures, maturation of our business, macroeconomic or other factors, and additional cost-reduction measures may be required even as we must continue to increase investment in technology in response to industry developments and to retain competitiveness. We may not be able to sustain growth or to achieve or sustain profitability in the future. </w:t>
      </w:r>
    </w:p>
    <w:p>
      <w:pPr>
        <w:pStyle w:val="TextBody"/>
        <w:bidi w:val="0"/>
        <w:spacing w:lineRule="auto" w:line="288" w:before="100" w:after="100"/>
        <w:jc w:val="left"/>
        <w:rPr>
          <w:rFonts w:ascii="Times New Roman;sans-serif" w:hAnsi="Times New Roman;sans-serif"/>
          <w:b/>
          <w:i/>
          <w:color w:val="000000"/>
          <w:sz w:val="20"/>
        </w:rPr>
      </w:pPr>
      <w:r>
        <w:rPr>
          <w:rFonts w:ascii="Times New Roman;sans-serif" w:hAnsi="Times New Roman;sans-serif"/>
          <w:b/>
          <w:i/>
          <w:color w:val="000000"/>
          <w:sz w:val="20"/>
        </w:rPr>
        <w:t>Our business and the businesses of our advertiser clients may be subject to sales and use tax, advertising and other taxes.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application of sales and use tax, goods and services tax, business tax and gross receipt tax on our digital services is complex and evolving. In general, sales of tangible personal property are subject to sales and use tax unless a specific exemption applies, while services generally are not subject to sales tax unless specifically enumerated. Advertising services are considered a service and are generally not subject to sales and use tax, except in certain states. Additionally, Maryland adopted a tax on gross revenues from digital advertising. While the law is being challenged in the courts, the law took effect and we are technically subject to the tax, which increases our cost of doing business. Other states are looking to follow suit and tax either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8d6a21e15cb741baa6dee69bcf11e47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digital advertising or other goods or services. In addition, the continual evolution of our services and the expansion of our business offerings may further complicate the determination of the sales taxability of our services in certain jurisdictions. </w:t>
      </w:r>
    </w:p>
    <w:p>
      <w:pPr>
        <w:pStyle w:val="TextBody"/>
        <w:bidi w:val="0"/>
        <w:spacing w:lineRule="auto" w:line="288" w:before="100" w:after="100"/>
        <w:jc w:val="left"/>
        <w:rPr>
          <w:rFonts w:ascii="Times New Roman;sans-serif" w:hAnsi="Times New Roman;sans-serif"/>
          <w:b/>
          <w:i/>
          <w:color w:val="000000"/>
          <w:sz w:val="20"/>
        </w:rPr>
      </w:pPr>
      <w:r>
        <w:rPr>
          <w:rFonts w:ascii="Times New Roman;sans-serif" w:hAnsi="Times New Roman;sans-serif"/>
          <w:b/>
          <w:i/>
          <w:color w:val="000000"/>
          <w:sz w:val="20"/>
        </w:rPr>
        <w:t>As a result of various factors, our operating results have in the past and may in the future fluctuate significantly, be difficult to predict, and fall below analysts' and investors' expectations.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operating results are difficult to predict, particularly because we generally do not have long-term contracts with buyers or sellers. We have experienced significant variations in revenue and operating results from period to period, and operating results may continue to fluctuate and be difficult to predict due to a number of factors, including:</w:t>
      </w:r>
    </w:p>
    <w:p>
      <w:pPr>
        <w:pStyle w:val="TextBody"/>
        <w:bidi w:val="0"/>
        <w:spacing w:lineRule="auto" w:line="288" w:before="0" w:after="40"/>
        <w:ind w:left="0" w:right="0" w:hanging="360"/>
        <w:jc w:val="left"/>
        <w:rPr/>
      </w:pPr>
      <w:r>
        <w:rPr>
          <w:color w:val="000000"/>
        </w:rPr>
        <w:t>•</w:t>
      </w:r>
      <w:r>
        <w:rPr>
          <w:rFonts w:ascii="Times New Roman;sans-serif" w:hAnsi="Times New Roman;sans-serif"/>
          <w:b w:val="false"/>
          <w:color w:val="000000"/>
          <w:sz w:val="20"/>
        </w:rPr>
        <w:t>seasonality in demand for digital advertising, as many advertisers devote a disproportionate amount of their advertising budgets to the fourth quarter of the calendar year to coincide with increased holiday purchasing, and advertising inventory in the fourth quarter may be more expensive due to increased demand for advertising inventory;</w:t>
      </w:r>
    </w:p>
    <w:p>
      <w:pPr>
        <w:pStyle w:val="TextBody"/>
        <w:bidi w:val="0"/>
        <w:spacing w:lineRule="auto" w:line="288" w:before="0" w:after="40"/>
        <w:ind w:left="0" w:right="0" w:hanging="360"/>
        <w:jc w:val="left"/>
        <w:rPr/>
      </w:pPr>
      <w:r>
        <w:rPr>
          <w:color w:val="000000"/>
        </w:rPr>
        <w:t>•</w:t>
      </w:r>
      <w:r>
        <w:rPr>
          <w:rFonts w:ascii="Times New Roman;sans-serif" w:hAnsi="Times New Roman;sans-serif"/>
          <w:b w:val="false"/>
          <w:color w:val="000000"/>
          <w:sz w:val="20"/>
        </w:rPr>
        <w:t>changes in pricing of advertising inventory or pricing for our solution and our competitors' offerings, including potential further reductions in our pricing and overall take rate as a result of competitive pressure, changes in supply, improvements in technology and extension of automation to higher-value inventory, uncertainty regarding rate of adoption, changes in the allocation of demand spend by buyers, changes in revenue mix, auction dynamics, pricing discussions or negotiations with clients and potential clients, header bidding and other factors;</w:t>
      </w:r>
    </w:p>
    <w:p>
      <w:pPr>
        <w:pStyle w:val="TextBody"/>
        <w:bidi w:val="0"/>
        <w:spacing w:lineRule="auto" w:line="288" w:before="0" w:after="40"/>
        <w:ind w:left="0" w:right="0" w:hanging="360"/>
        <w:jc w:val="left"/>
        <w:rPr/>
      </w:pPr>
      <w:r>
        <w:rPr>
          <w:color w:val="000000"/>
        </w:rPr>
        <w:t>•</w:t>
      </w:r>
      <w:r>
        <w:rPr>
          <w:rFonts w:ascii="Times New Roman;sans-serif" w:hAnsi="Times New Roman;sans-serif"/>
          <w:b w:val="false"/>
          <w:color w:val="000000"/>
          <w:sz w:val="20"/>
        </w:rPr>
        <w:t>diversification of our revenue mix to include new services, some of which may have lower pricing or may cannibalize existing business;</w:t>
      </w:r>
    </w:p>
    <w:p>
      <w:pPr>
        <w:pStyle w:val="TextBody"/>
        <w:bidi w:val="0"/>
        <w:spacing w:lineRule="auto" w:line="288" w:before="0" w:after="40"/>
        <w:ind w:left="0" w:right="0" w:hanging="360"/>
        <w:jc w:val="left"/>
        <w:rPr/>
      </w:pPr>
      <w:r>
        <w:rPr>
          <w:color w:val="000000"/>
        </w:rPr>
        <w:t>•</w:t>
      </w:r>
      <w:r>
        <w:rPr>
          <w:rFonts w:ascii="Times New Roman;sans-serif" w:hAnsi="Times New Roman;sans-serif"/>
          <w:b w:val="false"/>
          <w:color w:val="000000"/>
          <w:sz w:val="20"/>
        </w:rPr>
        <w:t>the addition or loss of buyers or sellers;</w:t>
      </w:r>
    </w:p>
    <w:p>
      <w:pPr>
        <w:pStyle w:val="TextBody"/>
        <w:bidi w:val="0"/>
        <w:spacing w:lineRule="auto" w:line="288" w:before="0" w:after="40"/>
        <w:ind w:left="0" w:right="0" w:hanging="360"/>
        <w:jc w:val="left"/>
        <w:rPr/>
      </w:pPr>
      <w:r>
        <w:rPr>
          <w:color w:val="000000"/>
        </w:rPr>
        <w:t>•</w:t>
      </w:r>
      <w:r>
        <w:rPr>
          <w:rFonts w:ascii="Times New Roman;sans-serif" w:hAnsi="Times New Roman;sans-serif"/>
          <w:b w:val="false"/>
          <w:color w:val="000000"/>
          <w:sz w:val="20"/>
        </w:rPr>
        <w:t>general economic conditions and the economic health of our current and prospective sellers and buyers;</w:t>
      </w:r>
    </w:p>
    <w:p>
      <w:pPr>
        <w:pStyle w:val="TextBody"/>
        <w:bidi w:val="0"/>
        <w:spacing w:lineRule="auto" w:line="288" w:before="0" w:after="40"/>
        <w:ind w:left="0" w:right="0" w:hanging="360"/>
        <w:jc w:val="left"/>
        <w:rPr/>
      </w:pPr>
      <w:r>
        <w:rPr>
          <w:color w:val="000000"/>
        </w:rPr>
        <w:t>•</w:t>
      </w:r>
      <w:r>
        <w:rPr>
          <w:rFonts w:ascii="Times New Roman;sans-serif" w:hAnsi="Times New Roman;sans-serif"/>
          <w:b w:val="false"/>
          <w:color w:val="000000"/>
          <w:sz w:val="20"/>
        </w:rPr>
        <w:t>changes in the advertising strategies or budgets or financial condition of advertisers;</w:t>
      </w:r>
    </w:p>
    <w:p>
      <w:pPr>
        <w:pStyle w:val="TextBody"/>
        <w:bidi w:val="0"/>
        <w:spacing w:lineRule="auto" w:line="288" w:before="0" w:after="40"/>
        <w:ind w:left="0" w:right="0" w:hanging="360"/>
        <w:jc w:val="left"/>
        <w:rPr/>
      </w:pPr>
      <w:r>
        <w:rPr>
          <w:color w:val="000000"/>
        </w:rPr>
        <w:t>•</w:t>
      </w:r>
      <w:r>
        <w:rPr>
          <w:rFonts w:ascii="Times New Roman;sans-serif" w:hAnsi="Times New Roman;sans-serif"/>
          <w:b w:val="false"/>
          <w:color w:val="000000"/>
          <w:sz w:val="20"/>
        </w:rPr>
        <w:t>the performance of our technology and the cost, timeliness, and results of our technology innovation efforts;</w:t>
      </w:r>
    </w:p>
    <w:p>
      <w:pPr>
        <w:pStyle w:val="TextBody"/>
        <w:bidi w:val="0"/>
        <w:spacing w:lineRule="auto" w:line="288" w:before="0" w:after="40"/>
        <w:ind w:left="0" w:right="0" w:hanging="360"/>
        <w:jc w:val="left"/>
        <w:rPr/>
      </w:pPr>
      <w:r>
        <w:rPr>
          <w:color w:val="000000"/>
        </w:rPr>
        <w:t>•</w:t>
      </w:r>
      <w:r>
        <w:rPr>
          <w:rFonts w:ascii="Times New Roman;sans-serif" w:hAnsi="Times New Roman;sans-serif"/>
          <w:b w:val="false"/>
          <w:color w:val="000000"/>
          <w:sz w:val="20"/>
        </w:rPr>
        <w:t>advertising technology and digital media industry conditions and the overall demand for advertising, or changes and uncertainty in the regulatory environment for us or buyers or sellers, including with respect to privacy regulation;</w:t>
      </w:r>
    </w:p>
    <w:p>
      <w:pPr>
        <w:pStyle w:val="TextBody"/>
        <w:bidi w:val="0"/>
        <w:spacing w:lineRule="auto" w:line="288" w:before="0" w:after="40"/>
        <w:ind w:left="0" w:right="0" w:hanging="360"/>
        <w:jc w:val="left"/>
        <w:rPr/>
      </w:pPr>
      <w:r>
        <w:rPr>
          <w:color w:val="000000"/>
        </w:rPr>
        <w:t>•</w:t>
      </w:r>
      <w:r>
        <w:rPr>
          <w:rFonts w:ascii="Times New Roman;sans-serif" w:hAnsi="Times New Roman;sans-serif"/>
          <w:b w:val="false"/>
          <w:color w:val="000000"/>
          <w:sz w:val="20"/>
        </w:rPr>
        <w:t>the introduction of new technologies or service offerings by our competitors and market acceptance of such technologies or services;</w:t>
      </w:r>
    </w:p>
    <w:p>
      <w:pPr>
        <w:pStyle w:val="TextBody"/>
        <w:bidi w:val="0"/>
        <w:spacing w:lineRule="auto" w:line="288" w:before="0" w:after="40"/>
        <w:ind w:left="0" w:right="0" w:hanging="360"/>
        <w:jc w:val="left"/>
        <w:rPr/>
      </w:pPr>
      <w:r>
        <w:rPr>
          <w:color w:val="000000"/>
        </w:rPr>
        <w:t>•</w:t>
      </w:r>
      <w:r>
        <w:rPr>
          <w:rFonts w:ascii="Times New Roman;sans-serif" w:hAnsi="Times New Roman;sans-serif"/>
          <w:b w:val="false"/>
          <w:color w:val="000000"/>
          <w:sz w:val="20"/>
        </w:rPr>
        <w:t xml:space="preserve">the phasing out of third-party cookies throughout the industry; </w:t>
      </w:r>
    </w:p>
    <w:p>
      <w:pPr>
        <w:pStyle w:val="TextBody"/>
        <w:bidi w:val="0"/>
        <w:spacing w:lineRule="auto" w:line="288" w:before="0" w:after="40"/>
        <w:ind w:left="0" w:right="0" w:hanging="360"/>
        <w:jc w:val="left"/>
        <w:rPr/>
      </w:pPr>
      <w:r>
        <w:rPr>
          <w:color w:val="000000"/>
        </w:rPr>
        <w:t>•</w:t>
      </w:r>
      <w:r>
        <w:rPr>
          <w:rFonts w:ascii="Times New Roman;sans-serif" w:hAnsi="Times New Roman;sans-serif"/>
          <w:b w:val="false"/>
          <w:color w:val="000000"/>
          <w:sz w:val="20"/>
        </w:rPr>
        <w:t>our level of expenses, including investment required to support our technology development, scale our technology infrastructure and business expansion efforts, including acquisitions, hiring and capital expenditures, or expenses related to litigation;</w:t>
      </w:r>
    </w:p>
    <w:p>
      <w:pPr>
        <w:pStyle w:val="TextBody"/>
        <w:bidi w:val="0"/>
        <w:spacing w:lineRule="auto" w:line="288" w:before="0" w:after="40"/>
        <w:ind w:left="0" w:right="0" w:hanging="360"/>
        <w:jc w:val="left"/>
        <w:rPr/>
      </w:pPr>
      <w:r>
        <w:rPr>
          <w:color w:val="000000"/>
        </w:rPr>
        <w:t>•</w:t>
      </w:r>
      <w:r>
        <w:rPr>
          <w:rFonts w:ascii="Times New Roman;sans-serif" w:hAnsi="Times New Roman;sans-serif"/>
          <w:b w:val="false"/>
          <w:color w:val="000000"/>
          <w:sz w:val="20"/>
        </w:rPr>
        <w:t>the impact of changes in our stock price on valuation of stock-based compensation or other instruments that are marked to market;</w:t>
      </w:r>
    </w:p>
    <w:p>
      <w:pPr>
        <w:pStyle w:val="TextBody"/>
        <w:bidi w:val="0"/>
        <w:spacing w:lineRule="auto" w:line="288" w:before="0" w:after="40"/>
        <w:ind w:left="0" w:right="0" w:hanging="360"/>
        <w:jc w:val="left"/>
        <w:rPr/>
      </w:pPr>
      <w:r>
        <w:rPr>
          <w:color w:val="000000"/>
        </w:rPr>
        <w:t>•</w:t>
      </w:r>
      <w:r>
        <w:rPr>
          <w:rFonts w:ascii="Times New Roman;sans-serif" w:hAnsi="Times New Roman;sans-serif"/>
          <w:b w:val="false"/>
          <w:color w:val="000000"/>
          <w:sz w:val="20"/>
        </w:rPr>
        <w:t>the effectiveness of our financial and information technology infrastructure and controls;</w:t>
      </w:r>
    </w:p>
    <w:p>
      <w:pPr>
        <w:pStyle w:val="TextBody"/>
        <w:bidi w:val="0"/>
        <w:spacing w:lineRule="auto" w:line="288" w:before="0" w:after="40"/>
        <w:ind w:left="0" w:right="0" w:hanging="360"/>
        <w:jc w:val="left"/>
        <w:rPr/>
      </w:pPr>
      <w:r>
        <w:rPr>
          <w:color w:val="000000"/>
        </w:rPr>
        <w:t>•</w:t>
      </w:r>
      <w:r>
        <w:rPr>
          <w:rFonts w:ascii="Times New Roman;sans-serif" w:hAnsi="Times New Roman;sans-serif"/>
          <w:b w:val="false"/>
          <w:color w:val="000000"/>
          <w:sz w:val="20"/>
        </w:rPr>
        <w:t>geopolitical and social factors, such as concerns regarding negative, unstable or changing economic conditions in the countries and regions where we operate, global and regional recessions, political instability, and trade disputes;</w:t>
      </w:r>
    </w:p>
    <w:p>
      <w:pPr>
        <w:pStyle w:val="TextBody"/>
        <w:bidi w:val="0"/>
        <w:spacing w:lineRule="auto" w:line="288" w:before="0" w:after="40"/>
        <w:ind w:left="0" w:right="0" w:hanging="360"/>
        <w:jc w:val="left"/>
        <w:rPr/>
      </w:pPr>
      <w:r>
        <w:rPr>
          <w:color w:val="000000"/>
        </w:rPr>
        <w:t>•</w:t>
      </w:r>
      <w:r>
        <w:rPr>
          <w:rFonts w:ascii="Times New Roman;sans-serif" w:hAnsi="Times New Roman;sans-serif"/>
          <w:b w:val="false"/>
          <w:color w:val="000000"/>
          <w:sz w:val="20"/>
        </w:rPr>
        <w:t>foreign exchange rate fluctuations; and</w:t>
      </w:r>
    </w:p>
    <w:p>
      <w:pPr>
        <w:pStyle w:val="TextBody"/>
        <w:bidi w:val="0"/>
        <w:spacing w:lineRule="auto" w:line="288" w:before="0" w:after="40"/>
        <w:ind w:left="0" w:right="0" w:hanging="360"/>
        <w:jc w:val="left"/>
        <w:rPr/>
      </w:pPr>
      <w:r>
        <w:rPr>
          <w:color w:val="000000"/>
        </w:rPr>
        <w:t>•</w:t>
      </w:r>
      <w:r>
        <w:rPr>
          <w:rFonts w:ascii="Times New Roman;sans-serif" w:hAnsi="Times New Roman;sans-serif"/>
          <w:b w:val="false"/>
          <w:color w:val="000000"/>
          <w:sz w:val="20"/>
        </w:rPr>
        <w:t>changes in accounting policies and principles and the significant judgments and estimates made by management in the application of these policies and principles.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Because significant portions of our expenses are relatively fixed, variation in our quarterly revenue can cause significant variations in operating results and resulting stock price volatility from period to period. Period-to-period comparisons of our historical results of operations are not necessarily meaningful, and historical operating results may not be indicative of future performance. If our revenue or operating results fall below the expectations of investors or securities analysts, or below any guidance we may provide to the market, the price of our common stock could decline substantially.</w:t>
      </w:r>
    </w:p>
    <w:p>
      <w:pPr>
        <w:pStyle w:val="TextBody"/>
        <w:bidi w:val="0"/>
        <w:spacing w:before="100" w:after="100"/>
        <w:jc w:val="left"/>
        <w:rPr/>
      </w:pPr>
      <w:r>
        <w:rPr/>
      </w:r>
    </w:p>
    <w:p>
      <w:pPr>
        <w:pStyle w:val="TextBody"/>
        <w:bidi w:val="0"/>
        <w:spacing w:lineRule="auto" w:line="288" w:before="100" w:after="100"/>
        <w:jc w:val="left"/>
        <w:rPr>
          <w:rFonts w:ascii="Times New Roman;sans-serif" w:hAnsi="Times New Roman;sans-serif"/>
          <w:b/>
          <w:color w:val="000000"/>
          <w:sz w:val="20"/>
        </w:rPr>
      </w:pPr>
      <w:r>
        <w:rPr>
          <w:rFonts w:ascii="Times New Roman;sans-serif" w:hAnsi="Times New Roman;sans-serif"/>
          <w:b/>
          <w:color w:val="000000"/>
          <w:sz w:val="20"/>
        </w:rPr>
        <w:t>Risks Related to Our Relationships with Buyers and Sellers and Other Strategic Relationships</w:t>
      </w:r>
    </w:p>
    <w:p>
      <w:pPr>
        <w:pStyle w:val="TextBody"/>
        <w:bidi w:val="0"/>
        <w:spacing w:lineRule="auto" w:line="288" w:before="100" w:after="100"/>
        <w:jc w:val="left"/>
        <w:rPr>
          <w:rFonts w:ascii="Times New Roman;sans-serif" w:hAnsi="Times New Roman;sans-serif"/>
          <w:b/>
          <w:i/>
          <w:color w:val="000000"/>
          <w:sz w:val="20"/>
        </w:rPr>
      </w:pPr>
      <w:r>
        <w:rPr>
          <w:rFonts w:ascii="Times New Roman;sans-serif" w:hAnsi="Times New Roman;sans-serif"/>
          <w:b/>
          <w:i/>
          <w:color w:val="000000"/>
          <w:sz w:val="20"/>
        </w:rPr>
        <w:t>We rely on buyers and sellers to abide by contractual requirements and relevant laws, rules, and regulations when using our solution. The acts or omissions of buyers or sellers, or our own failure to meet advertising and inventory content standards and provide services that our buyers and sellers trust, could harm our brand and reputation and those of our partners, and negatively impact our business, financial condition and results of operations.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Though we contractually require buyers and sellers to abide by relevant laws, rules and regulations, as well as restrictions by their counterparties, when transacting on our platform, we do not control the content of the advertisements that we serve or the content of the websites providing the inventory, and there are many circumstances in which it is difficult or impossible for us to monitor or evaluate the compliance of our buyers and sellers. If buyers or sellers fail to abide by relevant laws, rules and regulations, or contract requirements, we could potentially face liability for such misuse.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8d6a21e15cb741baa6dee69bcf11e47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both advertisers and inventory suppliers are concerned about being associated with content they consider inappropriate, competitive or inconsistent with their brands, or illegal, and they are hesitant to spend money or make inventory available, respectively, without some guarantee of brand security. Consequently, our reputation depends in part on providing services that our buyers and sellers trust, and we have contractual obligations to meet content and inventory standards. We contractually prohibit the misuse of our platform by our buyers and sellers and actively monitor inventory against our quality guidelines. Despite such efforts, we may provide access to inventory that is objectionable to our buyers or serve advertising that contains objectionable content, which could harm our or our clients’ brand and reputation, decrease their trust in our platform, and negatively impact our business, financial condition and results of operations. Furthermore, we may receive public pressure to discontinue working with certain sellers or buyers on our platform and our determination whether to continue or cease working with a given client may subject us to reputational risk. </w:t>
      </w:r>
    </w:p>
    <w:p>
      <w:pPr>
        <w:pStyle w:val="TextBody"/>
        <w:bidi w:val="0"/>
        <w:spacing w:lineRule="auto" w:line="288" w:before="100" w:after="100"/>
        <w:jc w:val="left"/>
        <w:rPr>
          <w:rFonts w:ascii="Times New Roman;sans-serif" w:hAnsi="Times New Roman;sans-serif"/>
          <w:b/>
          <w:i/>
          <w:color w:val="000000"/>
          <w:sz w:val="20"/>
        </w:rPr>
      </w:pPr>
      <w:r>
        <w:rPr>
          <w:rFonts w:ascii="Times New Roman;sans-serif" w:hAnsi="Times New Roman;sans-serif"/>
          <w:b/>
          <w:i/>
          <w:color w:val="000000"/>
          <w:sz w:val="20"/>
        </w:rPr>
        <w:t>Our contracts with buyers and sellers are generally not exclusive, may be terminated upon relatively short notice, and generally do not require minimum volumes or long-term commitments. If buyers or sellers representing a significant portion of the demand or inventory in our marketplace decide to materially reduce the use of our solution, we could experience an immediate and significant decline in our revenue and profitability and harm to our business.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Generally, our buyers and sellers are not obligated to provide us with any minimum volumes of business, may do business with our competitors as well as with us, may reduce or cancel their business with us or terminate our contracts without penalty, and may bypass us and transact directly with each other or through other intermediaries that compete with us. Accordingly, our business is highly vulnerable to changes in the macro environment, price competition, and development of new or more compelling offerings by our competitors, which could reduce business generally or motivate buyers or sellers to migrate to competitors’ offerings.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Sellers and buyers may seek to change the terms on which they do business with us, or allocate their advertising inventory or demand to our competitors who provide advertising demand and supply to them on more favorable terms or whose offerings are considered more beneficial. Supply of advertising inventory is also limited for some sellers, such as special sites or new technologies, and sellers may request higher prices, fixed price arrangements or guarantees that we cannot provide as effectively as our competitors, or that would reduce the profitability of that business. In addition, sellers sometimes place significant restrictions on the sale of their advertising inventory, such as strict security requirements, limitations on data sharing, prohibitions on advertisements from specific advertisers or specific industries, and restrictions on the use of specified creative content or format. Finally, with the proliferation of header bidding, sellers' inventory is available for purchase through multiple exchanges simultaneously. Buyers, in turn, are free to direct their spend to us or one or more of our competitors, and increasingly are seeking price concessions, rebates, or other consideration to direct more spend towards us.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serve many buyers and sellers, but certain large buyers and sellers have accounted for and will continue to account for a disproportionate share of business transacted through our solution. In 2023, there were two buyers of advertising inventory that indirectly contributed to approximately 37% of revenue through their buying activity from sellers on our platform. If a buyer or group of buyers representing a significant portion of the demand in our marketplace, or a seller or group of sellers representing a significant portion of the inventory in our marketplace decides to materially reduce use of our solutions, it could cause an immediate and significant decline in our revenue and profitability and harm to our business. In addition, loss of substantial inventory or demand could degrade our marketplace. Loss of major DSP sources of demand could adversely affect bid density or pricing in our auctions, and reduction in fees if we are not able to redirect inventory to other demand sources. Loss of important unique inventory could reduce fees from demand that cannot be shifted to other sellers and make it harder to differentiate ourselves from our competitors. The number of large media buyers and sellers in the market is finite, and it could be difficult for us to replace the losses from any buyers or sellers whose relationships with us diminish or terminate.</w:t>
      </w:r>
    </w:p>
    <w:p>
      <w:pPr>
        <w:pStyle w:val="TextBody"/>
        <w:bidi w:val="0"/>
        <w:spacing w:lineRule="auto" w:line="288" w:before="100" w:after="100"/>
        <w:jc w:val="left"/>
        <w:rPr>
          <w:rFonts w:ascii="Times New Roman;sans-serif" w:hAnsi="Times New Roman;sans-serif"/>
          <w:b/>
          <w:i/>
          <w:color w:val="000000"/>
          <w:sz w:val="20"/>
        </w:rPr>
      </w:pPr>
      <w:r>
        <w:rPr>
          <w:rFonts w:ascii="Times New Roman;sans-serif" w:hAnsi="Times New Roman;sans-serif"/>
          <w:b/>
          <w:i/>
          <w:color w:val="000000"/>
          <w:sz w:val="20"/>
        </w:rPr>
        <w:t>We must provide value to both buyers and sellers of advertising without being perceived as favoring one over the other or being perceived as competing with them through our service offerings.</w:t>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interposed between buyers and sellers, and to be successful, we must continue to find ways of providing value to both without being perceived as favoring one at the expense of the other. For example, our proprietary auction algorithms, which are designed to improve auction outcomes, influence the allocation and pricing of impressions and must do so in ways that add value to both buyers and sellers. Continued technological evolution in the availability and use of more data to inform buying and selling decisions necessitates that we, as an intermediary, use data in a manner that complies with the expectations of both our seller and buyer clients. Furthermore, because new business models continue to emerge, we must constantly adapt our relationship with buyers and sellers and how we market ourselves to each. Consistent with our goal of connecting buyers and sellers, we seek to grow our connections to each, and we must take care that our deeper connections with buyers, on the one hand, or sellers, on the other hand, do not come at the expense of the other's interests. In addition, as our own capabilities evolve, we may be perceived by clients, particularly buyers, as competing with them, which could result in a loss of their business or otherwise negatively impact our relationships. For instance, we recently introduced ClearLine, a self-service buying tool that provides agencies direct access to premium advertising on our platform. This solution helps agencies maximize the spend going towards working media, makes it easier for sellers and agencies to securely share data, improves workflow for campaigns traditionally transacted manually, and helps publishers generate more revenue and develop new sources of unique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8d6a21e15cb741baa6dee69bcf11e47e_7">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demand. If we fail to balance our clients' interests appropriately, our ability to provide a full suite of services and our growth prospects may be compromised.</w:t>
      </w:r>
    </w:p>
    <w:p>
      <w:pPr>
        <w:pStyle w:val="TextBody"/>
        <w:bidi w:val="0"/>
        <w:spacing w:lineRule="auto" w:line="288" w:before="100" w:after="100"/>
        <w:jc w:val="left"/>
        <w:rPr>
          <w:rFonts w:ascii="Times New Roman;sans-serif" w:hAnsi="Times New Roman;sans-serif"/>
          <w:b/>
          <w:i/>
          <w:color w:val="000000"/>
          <w:sz w:val="20"/>
        </w:rPr>
      </w:pPr>
      <w:r>
        <w:rPr>
          <w:rFonts w:ascii="Times New Roman;sans-serif" w:hAnsi="Times New Roman;sans-serif"/>
          <w:b/>
          <w:i/>
          <w:color w:val="000000"/>
          <w:sz w:val="20"/>
        </w:rPr>
        <w:t>We rely on buyers to purchase advertising on behalf of advertisers. Such buyers may have or develop high-risk credit profiles or pay slowly, which may result in credit risk to us or require additional working capital to fund our accounts payable. In addition, direct billing arrangements between buyers and sellers may result in unfavorable fee dynamics and increased working capital demands.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Generally, we invoice and collect from buyers the full purchase price for impressions they have purchased, retain our fees, and remit the balance to sellers. However, in some cases, we may be required or choose to pay sellers for impressions delivered before we have collected, or even if we are unable to collect, from the buyer of those impressions. There can be no assurances that we will not experience bad debt in the future, and write-offs for bad debt could have a materially negative effect on our results of operations for the periods in which the write-offs occur. This is particularly true in the case of buyers that act as technological intermediaries, such as DSPs, since those DSPs control large amounts of spend across various advertisers and agencies. In addition to posing their own credit risk, such DSPs may not be required to pay us for specific inventory in the event the DSP is not able to collect payment from the underlying advertiser directing the campaign.</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we attempt to coordinate collections from our buyers so as to fund our payment obligations to our sellers. However, some buyers and sellers may require direct billing and collection arrangements between themselves, and some providers of header bidding wrappers or other downstream decisioning mechanisms in which we participate (such as Google EB) may control billing and collection for transactions we win through their platforms.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the past, some buyers have experienced financial pressures that have motivated them to slow the timing of their payments to us. If buyers slow their payments to us or our cash collections are significantly diminished as a result of these dynamics, our revenue and/or cash flow could be adversely affected and we may need to use working capital to fund our accounts payable pending collection from the buyers. This may result in additional costs and cause us to forgo or defer other more productive uses of that working capital.</w:t>
      </w:r>
    </w:p>
    <w:p>
      <w:pPr>
        <w:pStyle w:val="TextBody"/>
        <w:bidi w:val="0"/>
        <w:spacing w:lineRule="auto" w:line="288" w:before="100" w:after="100"/>
        <w:jc w:val="left"/>
        <w:rPr>
          <w:rFonts w:ascii="Times New Roman;sans-serif" w:hAnsi="Times New Roman;sans-serif"/>
          <w:b/>
          <w:i/>
          <w:color w:val="000000"/>
          <w:sz w:val="20"/>
        </w:rPr>
      </w:pPr>
      <w:r>
        <w:rPr>
          <w:rFonts w:ascii="Times New Roman;sans-serif" w:hAnsi="Times New Roman;sans-serif"/>
          <w:b/>
          <w:i/>
          <w:color w:val="000000"/>
          <w:sz w:val="20"/>
        </w:rPr>
        <w:t>Our sales efforts with buyers and sellers may require significant time and expense and may not yield the results we seek.</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Attracting new buyers and sellers and increasing our business with existing buyers and sellers involves substantial time, expense, and personnel investments, and we may not be successful in our efforts. This is particularly true with respect to our managed service business, which relies on direct relationships with advertisers, and is therefore more resource intensive. Certain of our product offerings require a significant amount of time and costs in the initial client setup and implementation, and we generally do not recognize revenue from such clients until we commence services. This process can be costly and time-consuming, and is complicated by us having to spend time integrating our solution with software of buyers and sellers. If we are not successful in targeting, supporting and streamlining our sales processes, our ability to grow our business may be adversely affected. In addition, because of competitive market conditions and negotiating leverage enjoyed by large buyers and sellers, we are sometimes forced to choose between loss of business or contracting on terms that allocate more risk to us than we would prefer to accept.</w:t>
      </w:r>
    </w:p>
    <w:p>
      <w:pPr>
        <w:pStyle w:val="TextBody"/>
        <w:bidi w:val="0"/>
        <w:spacing w:lineRule="auto" w:line="288" w:before="100" w:after="100"/>
        <w:jc w:val="left"/>
        <w:rPr>
          <w:rFonts w:ascii="Times New Roman;sans-serif" w:hAnsi="Times New Roman;sans-serif"/>
          <w:b/>
          <w:i/>
          <w:color w:val="000000"/>
          <w:sz w:val="20"/>
        </w:rPr>
      </w:pPr>
      <w:r>
        <w:rPr>
          <w:rFonts w:ascii="Times New Roman;sans-serif" w:hAnsi="Times New Roman;sans-serif"/>
          <w:b/>
          <w:i/>
          <w:color w:val="000000"/>
          <w:sz w:val="20"/>
        </w:rPr>
        <w:t>Our business relationships expose us to risk of substantial liability for contract breach, violation of laws and regulations, intellectual property infringement and other losses, and our contractual indemnities and limitations of liability may not protect us adequately.</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agreements with sellers, buyers and other third parties typically obligate us to provide indemnity and defense for losses resulting from claims of intellectual property infringement, damages to property or persons, business losses or other liabilities. Generally, these indemnity and defense obligations relate to our own business operations, obligations and acts or omissions. However, under some circumstances, we agree to indemnify and defend contract counterparties against losses resulting from their own business operations, obligations and acts or omissions, or the business operations, obligations and acts or omissions of third parties. For example, because our business interposes us between buyers and sellers in various ways, buyers often require us to indemnify them against acts and omissions of sellers, and sellers often require us to indemnify them against acts and omissions of buyers. Large indemnity obligations, or obligations to third parties not adequately covered by the indemnity obligations of our contract counterparties, could expose us to significant costs.</w:t>
      </w:r>
    </w:p>
    <w:p>
      <w:pPr>
        <w:pStyle w:val="TextBody"/>
        <w:bidi w:val="0"/>
        <w:spacing w:lineRule="auto" w:line="288" w:before="100" w:after="100"/>
        <w:jc w:val="left"/>
        <w:rPr>
          <w:rFonts w:ascii="Times New Roman;sans-serif" w:hAnsi="Times New Roman;sans-serif"/>
          <w:b/>
          <w:i/>
          <w:color w:val="000000"/>
          <w:sz w:val="20"/>
        </w:rPr>
      </w:pPr>
      <w:r>
        <w:rPr>
          <w:rFonts w:ascii="Times New Roman;sans-serif" w:hAnsi="Times New Roman;sans-serif"/>
          <w:b/>
          <w:i/>
          <w:color w:val="000000"/>
          <w:sz w:val="20"/>
        </w:rPr>
        <w:t>Our solution relies on third-party open source software components. Failure to comply with the terms of the underlying open source software licenses could expose us to liabilities, and the combination of certain open source software with code that we develop could compromise the proprietary nature of our solution.</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solution utilizes software licensed to us by third-party authors under "open source" licenses. The use of open source software may entail greater risks than the use of third-party commercial software, as open source licensors generally do not provide warranties or other contractual protections regarding infringement claims or the quality of the code. If we combine our proprietary software with open source software in a certain manner, we could, under certain open source licenses, be required to release the source code of our proprietary software to the public. This would allow our competitors to create similar solutions with lower development effort and time and ultimately put us at a competitive disadvantage.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8d6a21e15cb741baa6dee69bcf11e47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terms of many open source licenses have not been interpreted by U.S. courts, and there is a risk that these licenses could be construed in a way that could impose unanticipated conditions or restrictions on us. Moreover, we cannot guarantee that our processes for controlling our use of open source software will be effective. If we are held to have breached the terms of an open source software license, we could be required to seek licenses from third parties to continue operating using our solution on terms that are not economically feasible, to re-engineer our solution or the supporting computational infrastructure to discontinue use of certain code, or to make generally available, in source code form, portions of our proprietary code.</w:t>
      </w:r>
    </w:p>
    <w:p>
      <w:pPr>
        <w:pStyle w:val="TextBody"/>
        <w:bidi w:val="0"/>
        <w:spacing w:before="100" w:after="100"/>
        <w:jc w:val="left"/>
        <w:rPr/>
      </w:pPr>
      <w:r>
        <w:rPr/>
      </w:r>
    </w:p>
    <w:p>
      <w:pPr>
        <w:pStyle w:val="TextBody"/>
        <w:bidi w:val="0"/>
        <w:spacing w:lineRule="auto" w:line="288" w:before="100" w:after="100"/>
        <w:jc w:val="left"/>
        <w:rPr>
          <w:rFonts w:ascii="Times New Roman;sans-serif" w:hAnsi="Times New Roman;sans-serif"/>
          <w:b/>
          <w:color w:val="000000"/>
          <w:sz w:val="20"/>
        </w:rPr>
      </w:pPr>
      <w:r>
        <w:rPr>
          <w:rFonts w:ascii="Times New Roman;sans-serif" w:hAnsi="Times New Roman;sans-serif"/>
          <w:b/>
          <w:color w:val="000000"/>
          <w:sz w:val="20"/>
        </w:rPr>
        <w:t>Risks Related to the Advertising Technology Industry, Market, and Competition</w:t>
      </w:r>
    </w:p>
    <w:p>
      <w:pPr>
        <w:pStyle w:val="TextBody"/>
        <w:bidi w:val="0"/>
        <w:spacing w:lineRule="auto" w:line="288" w:before="100" w:after="100"/>
        <w:jc w:val="left"/>
        <w:rPr>
          <w:rFonts w:ascii="Times New Roman;sans-serif" w:hAnsi="Times New Roman;sans-serif"/>
          <w:b/>
          <w:i/>
          <w:color w:val="000000"/>
          <w:sz w:val="20"/>
        </w:rPr>
      </w:pPr>
      <w:r>
        <w:rPr>
          <w:rFonts w:ascii="Times New Roman;sans-serif" w:hAnsi="Times New Roman;sans-serif"/>
          <w:b/>
          <w:i/>
          <w:color w:val="000000"/>
          <w:sz w:val="20"/>
        </w:rPr>
        <w:t>The digital advertising market may develop more slowly or differently than we expect, if so our business, growth prospects and financial condition would be adversely affected.</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future growth will be constrained if we are not able to adapt successfully to market evolution. It is difficult to predict adoption rates, demand for our solution, the future growth rate and size of the digital advertising solutions market or the entry of competitive solutions. Any expansion of the market for digital advertising solutions depends on a number of factors, including social and regulatory acceptance, the growth of the overall digital advertising market and the growth of specific sectors including CTV, social, mobile, video, and out-of-home as well as the actual or perceived technological viability, quality, cost, performance and value associated with emerging digital advertising solutions. If digital marketing does not develop in the manner we expect, our business and financial condition would be adversely affected. </w:t>
      </w:r>
    </w:p>
    <w:p>
      <w:pPr>
        <w:pStyle w:val="TextBody"/>
        <w:bidi w:val="0"/>
        <w:spacing w:lineRule="auto" w:line="288" w:before="100" w:after="100"/>
        <w:jc w:val="left"/>
        <w:rPr>
          <w:rFonts w:ascii="Times New Roman;sans-serif" w:hAnsi="Times New Roman;sans-serif"/>
          <w:b/>
          <w:i/>
          <w:color w:val="000000"/>
          <w:sz w:val="20"/>
        </w:rPr>
      </w:pPr>
      <w:r>
        <w:rPr>
          <w:rFonts w:ascii="Times New Roman;sans-serif" w:hAnsi="Times New Roman;sans-serif"/>
          <w:b/>
          <w:i/>
          <w:color w:val="000000"/>
          <w:sz w:val="20"/>
        </w:rPr>
        <w:t>We operate in an intensely competitive market that includes companies that have greater financial, technical and marketing resources than we do.</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face intense competition in the marketplace. We compete for advertising spending against competitors that, in some cases, are also buyers and/or sellers on our platform. We also compete for supply of advertising inventory against a variety of competitors. Some of our existing and potential competitors are better established, benefit from greater name recognition, may have offerings and technology that we do not have or have significantly more financial, technical, sales, and marketing resources than we do. In addition, some competitors, particularly those with greater scale or a more diversified revenue base and a broader offering, have greater flexibility than we do to compete aggressively on the basis of price and other contract terms, or to compete with us by including in their product offerings services that we may not provide. Some existing and potential buyers have their own direct relationships with sellers or are seeking to establish such relationships, and many sellers are investing in capabilities that enable them to connect more effectively directly with buyers without the use of intermediaries such as us. Our business suffers to the extent that buyers and sellers purchase and sell advertising inventory directly from one another or through intermediaries other than us, reducing the amount of advertising spend on our platform. New or stronger competitors may emerge through acquisitions and industry consolidation or through development of disruptive technologies. If our offerings are not perceived as competitively differentiated, we could lose clients, market share or be compelled to reduce our prices, making it more difficult to grow our business profitably.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There has been rapid evolution and consolidation in the advertising technology industry, and we expect these trends to continue, thereby increasing the capabilities and competitive posture of larger companies, particularly those that are already dominant in various ways, and enabling new or stronger competitors to emerge. There is a finite number of large buyers and sellers in our target markets, and any consolidation of buyers or sellers may give the resulting enterprises greater bargaining power or result in the loss of buyers and sellers that use our platform, and thus reduce our potential base of buyers and sellers, each of which would lead to erosion of our revenue.</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technology continues to improve and market factors continue to attract investment, competition and pricing pressure may increase and market saturation may change the competitive landscape in favor of larger competitors with greater scale and broader offerings, including those that can afford to spend more than we can to grow more quickly and strengthen their competitive position. Competition may be further impacted by advancements in artificial intelligence, and our ability to compete in the future may be dependent, in part, on our ability to further develop artificial intelligence into our solutions. In addition, our competitors or potential competitors may adopt certain aspects of our business model, which could reduce our ability to differentiate our solutions.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all of these reasons, we may not be able to compete successfully against our current and future competitors.</w:t>
      </w:r>
    </w:p>
    <w:p>
      <w:pPr>
        <w:pStyle w:val="TextBody"/>
        <w:bidi w:val="0"/>
        <w:spacing w:before="100" w:after="100"/>
        <w:jc w:val="left"/>
        <w:rPr/>
      </w:pPr>
      <w:r>
        <w:rPr/>
      </w:r>
    </w:p>
    <w:p>
      <w:pPr>
        <w:pStyle w:val="TextBody"/>
        <w:bidi w:val="0"/>
        <w:spacing w:lineRule="auto" w:line="288" w:before="100" w:after="100"/>
        <w:jc w:val="left"/>
        <w:rPr>
          <w:rFonts w:ascii="Times New Roman;sans-serif" w:hAnsi="Times New Roman;sans-serif"/>
          <w:b/>
          <w:color w:val="000000"/>
          <w:sz w:val="20"/>
        </w:rPr>
      </w:pPr>
      <w:r>
        <w:rPr>
          <w:rFonts w:ascii="Times New Roman;sans-serif" w:hAnsi="Times New Roman;sans-serif"/>
          <w:b/>
          <w:color w:val="000000"/>
          <w:sz w:val="20"/>
        </w:rPr>
        <w:t>Risks Related to Our Collection, Use and Disclosure of Data</w:t>
      </w:r>
    </w:p>
    <w:p>
      <w:pPr>
        <w:pStyle w:val="TextBody"/>
        <w:bidi w:val="0"/>
        <w:spacing w:lineRule="auto" w:line="288" w:before="100" w:after="100"/>
        <w:jc w:val="left"/>
        <w:rPr>
          <w:rFonts w:ascii="Times New Roman;sans-serif" w:hAnsi="Times New Roman;sans-serif"/>
          <w:b/>
          <w:i/>
          <w:color w:val="000000"/>
          <w:sz w:val="20"/>
        </w:rPr>
      </w:pPr>
      <w:r>
        <w:rPr>
          <w:rFonts w:ascii="Times New Roman;sans-serif" w:hAnsi="Times New Roman;sans-serif"/>
          <w:b/>
          <w:i/>
          <w:color w:val="000000"/>
          <w:sz w:val="20"/>
        </w:rPr>
        <w:t>Our business depends on our ability to collect, use, and disclose data to deliver advertisements. Any limitation imposed on our collection, use or disclosure of this data could significantly diminish the value of our solution and cause us to lose sellers, buyers, and revenue. Proliferation of consumer tools, regulatory restrictions and technological limitations all threaten our ability to use and disclose data.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8d6a21e15cb741baa6dee69bcf11e47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more informed advertising is about its audience, the more valuable it is. Programmatic advertising enables more precise audience targeting based on the interests and actions of the user. Targeted advertising is generally more effective and valuable for buyers than other types of advertising, resulting in more revenue for sellers. In order to target advertising, we and our clients must collect and use data in a variety of ways. Our ability to collect, use, and share data about advertising purchase and sale transactions and user behavior and interaction with content is critical to the value of our services, and any limitation on our data practices could impair our ability to deliver effective solutions to our clients. Any restriction on the types of data we collect could make placement of advertising through our solution less valuable, with commensurate reductions in revenue.</w:t>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Consumers can, with increasing ease, implement practices or technologies that limit our ability, or that of our sellers, buyers and business partners, to collect data. For example, users may delete or block the use of the cookies and similar technologies used to collect data, including through their browser or mobile device settings. Consumers may also download "ad blocking" software that prevents certain cookies and other tracking technologies from being stored on a user’s computer or mobile device or from making calls to advertising partners. This may prevent the display of targeted or other advertisements. In addition, device manufacturers, browsers and other tools are increasingly promoting features that allow users to disable the collection of data. For example, Apple now requires user opt-in before permitting access to Apple’s unique identifier, or IDFA. Further, Google has announced that it will deprecate the mobile advertising identifier used on Android devices. These shifts have had, and will likely continue to have, a substantial impact on the mobile advertising ecosystem and could harm growth in this channel. User privacy features of other channels of programmatic advertising are growing, such as use of browser-based opt out signals like Global Privacy Control (“GPC”) on web browsers, and privacy features on CTV or over-the-top video. Technical or policy changes, including regulation or industry self-regulation, could also harm our growth in those channels. In addition, as further described in the risk factors below, current and potential future privacy laws and regulations in the U.S. and abroad already restrict, and could further restrict, the ability to collect and process certain types of user data.</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Further, much of the data we collect and use belongs to our buyers or sellers, and we receive their permission to use it. Although our sellers and buyers generally permit us to aggregate and use data from advertising placements, subject to certain restrictions, sellers or buyers might decide to restrict our collection or use of their data. There could be various reasons for this, including perceptions by buyers that their data can be used by sellers to extract higher prices for impressions, or perceptions by sellers that their data can be used by buyers to bid tactically to reduce pricing for impressions. As consumers continue to increase their use of digital technology and to incorporate multiple devices into their lives, linking and using data across such devices is increasingly important. Various challenges affect our ability to link data relating to discrete devices or browsers, including different technologies, increased user awareness and sensitivity regarding use of data about their device usage, and evolving regulatory and self-regulatory standards. These challenges may slow growth, and if we are not able to cope with these challenges as effectively as other companies, we will be competitively disadvantaged. Any limitation on our ability to collect data about user behavior and interaction with content could make it more difficult for us to deliver effective solutions that meet the needs of sellers and buyers.</w:t>
      </w:r>
    </w:p>
    <w:p>
      <w:pPr>
        <w:pStyle w:val="TextBody"/>
        <w:bidi w:val="0"/>
        <w:spacing w:lineRule="auto" w:line="288" w:before="100" w:after="100"/>
        <w:jc w:val="left"/>
        <w:rPr>
          <w:rFonts w:ascii="Times New Roman;sans-serif" w:hAnsi="Times New Roman;sans-serif"/>
          <w:b/>
          <w:i/>
          <w:color w:val="000000"/>
          <w:sz w:val="20"/>
        </w:rPr>
      </w:pPr>
      <w:r>
        <w:rPr>
          <w:rFonts w:ascii="Times New Roman;sans-serif" w:hAnsi="Times New Roman;sans-serif"/>
          <w:b/>
          <w:i/>
          <w:color w:val="000000"/>
          <w:sz w:val="20"/>
        </w:rPr>
        <w:t>As cookies are replaced by alternative tracking mechanisms, our performance may decline and we may lose buyers and revenue.</w:t>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Industry participants in the advertising technology ecosystem have taken or may take action to eliminate or restrict the use of cookies and other identifiers, and we expect the use of third-party cookies to be largely phased out by the end of 2024. For instance, Google has announced plans to fully eliminate support for third-party cookies in the Chrome browser by the end of 2024. While Magnite generally supports the notion of third-party cookie deprecation, these efforts could lead to significant uncertainty and instability in the short term as well as a decrease in CPMs and a shift in advertising spend, as the industry adjusts to a new targeting paradigm.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the absence of third-party cookies, it is possible that other companies in our ecosystem that we work with, or with which we may compete, may develop alternative solutions to target users, including through the use of first party data, proprietary algorithms or statistical methods or other proprietary identifiers. These solutions may favor walled gardens or other owned properties that have access to large amounts of first party data and may build solutions into their widely-used web browsers or social platforms. For instance, Google has announced its Privacy Sandbox, which is intended to create web standards for websites to access user information without compromising privacy.</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absence of third-party cookies, it is possible that other companies in our ecosystem that we work with, or with which we may compete, may develop alternative solutions to target users, including through the use of first party data, proprietary algorithms or statistical methods or other proprietary identifiers. While new identification solutions will likely provide some level of consistency and compatibility with our platform, they are unreleased and unproven, and may require substantial development and commercial changes for us to support. In addition, these solutions may favor walled gardens or other owned properties that have access to large amounts of first party data and may build solutions into their widely-used web browsers or social platforms. For instance, Google has announced its Privacy Sandbox, which is intended to facilitate audience targeting for personalized advertising without the use of third party cookies. This tool set is still being tested in the industry, but its current design does not support all current ad tech use cases and business practices, and may be less effective than solutions based on third-party cookies.There is also a substantial risk that the Privacy Sandbox is developed in a way that self-preferences Google’s own ad tech solutions, including products which are competitive with our SSP. Even if third-party cookies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8d6a21e15cb741baa6dee69bcf11e47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effectively replaced by open industry-wide tracking standards rather than proprietary standards, we may still incur substantial re-engineering costs to replace cookies with these new technologies. This may also diminish the quality or value of our services to buyers if such new technologies do not provide us with the quality or timeliness of the data that we currently generate from cookies.</w:t>
      </w:r>
    </w:p>
    <w:p>
      <w:pPr>
        <w:pStyle w:val="TextBody"/>
        <w:bidi w:val="0"/>
        <w:spacing w:before="0" w:after="0"/>
        <w:jc w:val="left"/>
        <w:rPr/>
      </w:pPr>
      <w:r>
        <w:rPr/>
      </w:r>
    </w:p>
    <w:p>
      <w:pPr>
        <w:pStyle w:val="TextBody"/>
        <w:bidi w:val="0"/>
        <w:spacing w:lineRule="auto" w:line="288" w:before="100" w:after="100"/>
        <w:jc w:val="left"/>
        <w:rPr>
          <w:rFonts w:ascii="Times New Roman;sans-serif" w:hAnsi="Times New Roman;sans-serif"/>
          <w:b/>
          <w:i/>
          <w:color w:val="000000"/>
          <w:sz w:val="20"/>
        </w:rPr>
      </w:pPr>
      <w:r>
        <w:rPr>
          <w:rFonts w:ascii="Times New Roman;sans-serif" w:hAnsi="Times New Roman;sans-serif"/>
          <w:b/>
          <w:i/>
          <w:color w:val="000000"/>
          <w:sz w:val="20"/>
        </w:rPr>
        <w:t>Our belief that the elimination of third-party cookies will lead to an increased use of first-party publisher data may be incorrect.</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the elimination of third-party cookies has the potential to shift the programmatic ecosystem from an identity model powered by buyers that are able to aggregate and target audiences through cookies and other tracking technologies to one enabled by sellers that have direct relationships with consumers and are therefore better positioned to obtain user data and consent for implementing first party identifiers. While we believe that our platform and scale position us well to provide the infrastructure and tools needed for a publisher-centric identity model to succeed, there is no guarantee that our efforts will lead to an increase of the use of first-party publisher segments in the ecosystem. It is also possible that the increased use of first-party publisher segments will disproportionately benefit sellers or the large walled gardens that have access to large amounts of first party data. Additionally, these changes could create some variability in our revenue across certain buyers or sellers, depending on the timing of changes and developed solutions, and even if there is an increase in the proliferation of first-party publisher segments, we may still incur substantial re-engineering costs to optimize our solution for use with such segments.</w:t>
      </w:r>
    </w:p>
    <w:p>
      <w:pPr>
        <w:pStyle w:val="TextBody"/>
        <w:bidi w:val="0"/>
        <w:spacing w:before="100" w:after="100"/>
        <w:jc w:val="left"/>
        <w:rPr/>
      </w:pPr>
      <w:r>
        <w:rPr/>
      </w:r>
    </w:p>
    <w:p>
      <w:pPr>
        <w:pStyle w:val="TextBody"/>
        <w:bidi w:val="0"/>
        <w:spacing w:lineRule="auto" w:line="288" w:before="100" w:after="100"/>
        <w:jc w:val="left"/>
        <w:rPr>
          <w:rFonts w:ascii="Times New Roman;sans-serif" w:hAnsi="Times New Roman;sans-serif"/>
          <w:b/>
          <w:color w:val="000000"/>
          <w:sz w:val="20"/>
        </w:rPr>
      </w:pPr>
      <w:r>
        <w:rPr>
          <w:rFonts w:ascii="Times New Roman;sans-serif" w:hAnsi="Times New Roman;sans-serif"/>
          <w:b/>
          <w:color w:val="000000"/>
          <w:sz w:val="20"/>
        </w:rPr>
        <w:t>Risks Related to Regulation</w:t>
      </w:r>
    </w:p>
    <w:p>
      <w:pPr>
        <w:pStyle w:val="TextBody"/>
        <w:bidi w:val="0"/>
        <w:spacing w:lineRule="auto" w:line="288" w:before="100" w:after="100"/>
        <w:jc w:val="left"/>
        <w:rPr>
          <w:rFonts w:ascii="Times New Roman;sans-serif" w:hAnsi="Times New Roman;sans-serif"/>
          <w:b/>
          <w:i/>
          <w:color w:val="000000"/>
          <w:sz w:val="20"/>
        </w:rPr>
      </w:pPr>
      <w:r>
        <w:rPr>
          <w:rFonts w:ascii="Times New Roman;sans-serif" w:hAnsi="Times New Roman;sans-serif"/>
          <w:b/>
          <w:i/>
          <w:color w:val="000000"/>
          <w:sz w:val="20"/>
        </w:rPr>
        <w:t>More legislation and regulation of digital businesses, including privacy and data protection regimes, could create unexpected additional costs, subject us to enforcement actions for compliance failures, or cause us to change our technology solution or business model, which may have an adverse effect on the demand for our solution.</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Many local, state, federal, and international laws and regulations apply to the collection, use, retention, protection, disclosure, transfer, and other processing of data collected from and about consumers and devices, and the regulatory framework for privacy issues is evolving worldwide. Various U.S. and foreign governments, consumer agencies, self-regulatory bodies, and public advocacy groups have called for or implemented new regulation directly impacting the digital advertising industry.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While California was the first state to enact an omnibus consumer privacy law in 2018, similar laws enacted by four other states became enforceable in 2023, each of which affect the digital advertising ecosystem. Numerous other states have recently passed similar laws, which go into effect throughout 2024 and beyond. In the coming months and years, we expect to see more state regulation, as well as potential federal regulation, aimed at the collection and use of data to target advertisements and communicate with consumers. Such legislation or regulation could affect the costs of doing business online and may adversely affect the demand for or the effectiveness and value of our solution. Recently enacted state laws define “personal information” or “personal data” in ways that capture the types of data that we collect, such as device identifiers and IP addresses. Under these laws, consumers have broad privacy rights (including rights of access and deletion), which bear similarity to some of the data subject rights granted to EEA and UK residents under the GDPR and UK GDPR. In addition, these laws require all businesses that engage in certain advertising uses of consumer personal information to offer and honor an opt-out of such activities, including, in some states, through browser or device-based preference signals. The implementation of these state laws and any corresponding regulations will cause us to incur additional compliance costs and may impose additional restrictions on us and on our industry partners.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Separate from these comprehensive state consumer privacy laws, lawmakers continue to focus their efforts on data collection, processing, and disclosures by companies that do not have direct relationships with the consumers whose personal data they process. Several states, including California and Texas, have recently enacted or updated laws restricting the activities of data brokers. Notably, California recently passed the Delete Act, dramatically increasing obligations and potential penalties relative to the state’s preexisting data broker statute. Beyond additional transparency requirements, beginning in August 2026, companies registered as data brokers in California (including Magnite), must honor universal deletion requests consumers make of all data brokers via a deletion mechanism the state will create. Beginning in 2028, data brokers must undergo audits verifying their compliance with the Delete Act. These obligations may reduce the data available to Magnite, require us to develop complex and expensive compliance tools and procedures, and may result in reductions in revenue.</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European Economic Area ("EEA") and the United Kingdom ("UK"), the General Data Protection Regulation, Regulation (EU) 2016/679 ("GDPR") and UK General Data Protection Regulation ("UK GDPR") respectively treat much of the end-user information that is critical to programmatic digital advertising as "personal data", subject to significant conditions and restrictions on its collection, use, transfer and disclosure. The GDPR and UK GDPR also set out substantial potential liabilities for certain data protection violations and create a compliance burden for us in the course of delivering our solution in Europe.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8d6a21e15cb741baa6dee69bcf11e47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Compliance stakes are high because penalties for violation of the law can reach up to the greater of 20 million Euros (GDPR)/£17.5 million (UK GDPR) or 4% of total worldwide annual turnover (revenue).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Further, many governments are restricting the transmission or storage of information about individuals beyond their national borders. Such restrictions could, depending upon their scope, limit our ability to utilize technology infrastructure consolidation, redundancy, and load-balancing techniques, resulting in increased infrastructure costs, decreased operational efficiencies and performance, and increased risk of system failure.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These laws and regulations are continually evolving, not always clear, and not always consistent across the jurisdictions in which we do business. Any failure to protect, and comply with applicable laws and regulations or industry standards applicable to, personal data or other data relating to consumers could result in enforcement action against us, including fines, imprisonment of our officers, and public censure, claims for damages by consumers and other affected individuals, damage to our reputation, and loss of goodwill.</w:t>
      </w:r>
    </w:p>
    <w:p>
      <w:pPr>
        <w:pStyle w:val="TextBody"/>
        <w:bidi w:val="0"/>
        <w:spacing w:lineRule="auto" w:line="288" w:before="100" w:after="100"/>
        <w:jc w:val="left"/>
        <w:rPr>
          <w:rFonts w:ascii="Times New Roman;sans-serif" w:hAnsi="Times New Roman;sans-serif"/>
          <w:b/>
          <w:i/>
          <w:color w:val="000000"/>
          <w:sz w:val="20"/>
        </w:rPr>
      </w:pPr>
      <w:r>
        <w:rPr>
          <w:rFonts w:ascii="Times New Roman;sans-serif" w:hAnsi="Times New Roman;sans-serif"/>
          <w:b/>
          <w:i/>
          <w:color w:val="000000"/>
          <w:sz w:val="20"/>
        </w:rPr>
        <w:t>The GDPR and UK GDPR impose strict requirements for transferring personal data from the European Economic Area and United Kingdom to the United States and other countries, and regulatory guidance and case law on international transfers is continually evolving; this increases uncertainty and may require us to change our EEA and UK data practices and/or change our technology solution or business model, which may in turn adversely affect demand for our solution.</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GDPR and UK GDPR generally prohibit the transfer of personal data of EEA and UK subjects outside of the European Economic Area and the UK to countries whose laws do not ensure an adequate level of protection, unless a lawful data transfer solution has been implemented. On July 16, 2020, in a case known as "Schrems II," the Court of Justice of the European Union ("CJEU") ruled on the validity of two of the primary data transfer solutions. The first method, EU-U.S. Privacy Shield operated by the U.S. Department of Commerce, was declared invalid as a legal mechanism to transfer data from the EEA and UK to the U.S. A successor agreement, the Data Privacy Framework (“DPF”), is now in place, but numerous lawsuits against the DPF have already been filed, and it is uncertain whether DPF will stand up to judicial scrutiny by the CJEU or, like its predecessor agreement, be declared invalid.</w:t>
      </w:r>
    </w:p>
    <w:p>
      <w:pPr>
        <w:pStyle w:val="TextBody"/>
        <w:bidi w:val="0"/>
        <w:spacing w:lineRule="auto" w:line="288" w:before="100" w:after="100"/>
        <w:jc w:val="left"/>
        <w:rPr>
          <w:rFonts w:ascii="Times New Roman;sans-serif" w:hAnsi="Times New Roman;sans-serif"/>
          <w:b/>
          <w:i/>
          <w:color w:val="000000"/>
          <w:sz w:val="20"/>
        </w:rPr>
      </w:pPr>
      <w:r>
        <w:rPr>
          <w:rFonts w:ascii="Times New Roman;sans-serif" w:hAnsi="Times New Roman;sans-serif"/>
          <w:b/>
          <w:i/>
          <w:color w:val="000000"/>
          <w:sz w:val="20"/>
        </w:rPr>
        <w:t>The GDPR imposes requirements for end user consent or opt-out that may cause us to incur additional or unexpected costs, subject us to enforcement actions for compliance failures, or cause us to change our service or business model, which may have a material adverse effect on our business.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European Union Privacy and Electronic Communications Directive (Directive 2002/58/EC), commonly referred to as the "ePrivacy Directive," and the GDPR require consent or another legal basis in order to process personal data for purposes of behavioral advertising, and there is currently significant risk and uncertainty regarding the standard for obtaining valid consent. Current regulatory developments indicate stricter interpretation of the ePrivacy Directive, meaning that data processing without consent will continue to decrease.</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End-user consent is difficult for ad tech intermediaries like us to obtain because we do not have direct relationships with such end users, so we have historically relied upon sellers to obtain consent for use of our technology. To the extent any seller does not adequately satisfy its consent obligations for our technology, we may face regulatory risk. Further, emerging regulatory guidance in the EU has challenged this method of obtaining consent.</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2018, IAB Europe released a tool, the Transparency and Consent Framework (the "TCF"), in order to assist sellers, advertisers and advertising technology providers, with passing signals related to the legal basis obtained for processing personal data. For example, the TCF is used to indicate in the bidstream when there is consent from end users in accordance with the ePrivacy Directive and GDPR. Following a decision by the Belgian Data Protection Authority ("ADP"), the TCF was revised in 2023.</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There is still significant uncertainty as to whether the new TCF (or any other) tool to convey legal basis (including consent) is acceptable to regulators as an appropriate mechanism to provide transparency and establish lawful grounds for processing, and a referral case is pending before the CJEU. Depending on its outcome, it may become difficult or impossible for us to rely on standardized solutions to provide transparency and compliance with consent requirements, which may increase costs and risks related to compliance. This legal uncertainty and evolving guidance may result in certain sellers removing personal data from their inventory, which would reduce the value to buyers.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Legal standards and regulatory guidance will continue to evolve. National regulators in the UK and EU are evolving their guidance on the use of advertising technologies and compliance with the GDPR and ePrivacy Directive. This guidance may be burdensome or inconsistent across countries, and present challenges to the way we operate.</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all of the factors set forth above, our or our clients’ ability to serve target advertisements may become significantly impaired or complicated in certain jurisdictions. </w:t>
      </w:r>
    </w:p>
    <w:p>
      <w:pPr>
        <w:pStyle w:val="TextBody"/>
        <w:bidi w:val="0"/>
        <w:spacing w:lineRule="auto" w:line="288" w:before="100" w:after="100"/>
        <w:jc w:val="left"/>
        <w:rPr>
          <w:rFonts w:ascii="Times New Roman;sans-serif" w:hAnsi="Times New Roman;sans-serif"/>
          <w:b/>
          <w:i/>
          <w:color w:val="000000"/>
          <w:sz w:val="20"/>
        </w:rPr>
      </w:pPr>
      <w:r>
        <w:rPr>
          <w:rFonts w:ascii="Times New Roman;sans-serif" w:hAnsi="Times New Roman;sans-serif"/>
          <w:b/>
          <w:i/>
          <w:color w:val="000000"/>
          <w:sz w:val="20"/>
        </w:rPr>
        <w:t>We are subject to regulation with respect to political advertising, which lacks clarity and uniformity.</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regulation with respect to political advertising activities, which are governed by various federal and state laws in the U.S., and national and provincial laws worldwide. Online political advertising laws are rapidly evolving and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8d6a21e15cb741baa6dee69bcf11e47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certain jurisdictions we have compliance requirements with respect to political ads delivered on our platform. In some jurisdictions we may determine not to serve political advertisements due to uncertainty around these requirements and potential burdens of compliance. In addition, our sellers may impose restrictions on receiving political advertising. The lack of uniformity and increasing compliance requirements around political advertising may adversely impact the amount of political advertising spent through our platform, increase our operating and compliance costs, and subject us to potential liability from regulatory agencies.</w:t>
      </w:r>
    </w:p>
    <w:p>
      <w:pPr>
        <w:pStyle w:val="TextBody"/>
        <w:bidi w:val="0"/>
        <w:spacing w:lineRule="auto" w:line="288" w:before="100" w:after="100"/>
        <w:jc w:val="left"/>
        <w:rPr>
          <w:rFonts w:ascii="Times New Roman;sans-serif" w:hAnsi="Times New Roman;sans-serif"/>
          <w:b/>
          <w:i/>
          <w:color w:val="000000"/>
          <w:sz w:val="20"/>
        </w:rPr>
      </w:pPr>
      <w:r>
        <w:rPr>
          <w:rFonts w:ascii="Times New Roman;sans-serif" w:hAnsi="Times New Roman;sans-serif"/>
          <w:b/>
          <w:i/>
          <w:color w:val="000000"/>
          <w:sz w:val="20"/>
        </w:rPr>
        <w:t>Issues related to industry self-regulation could harm our brand, reputation, and our business.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compliance with government regulations, we voluntarily participate in trade associations and industry self-regulatory groups that promulgate best practices or codes of conduct addressing privacy and the provision of digital advertising. If we encounter difficulties abiding by these principles, we may be subject to negative publicity, as well as investigation and litigation by governmental authorities, self-regulatory bodies or other accountability groups, buyers, sellers, or other private parties. Any such action against us could be costly and time consuming, require us to change our business practices, divert management's attention and our resources, and be damaging to our reputation and our business. In addition, we could be adversely affected by new or altered self-regulatory guidelines that are inconsistent with our practices.</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business is subject to evolving corporate governance and public disclosure regulations and expectations, including with respect to environmental, social and governance matters that could expose us to numerous risks.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Increasingly, regulators, customers, investors, employees and other stakeholders are focusing on environmental, social and governance ("ESG") matters and related disclosures. These changing rules, regulations and stakeholder expectations have resulted in, and are likely to continue to result in, increased general and administrative expenses and increased management time and attention spent complying with or meeting such regulations and expectations.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may also communicate certain initiatives and goals regarding environmental matters, diversity, responsible advertising, social investments and other ESG matters in our SEC filings or in other public disclosures. We could face scrutiny from certain stakeholders for the scope or nature of such initiatives or goals, or for any revisions to these goals. If our ESG related data, processes and reporting are incomplete or inaccurate, or if we fail to achieve progress with respect to our ESG goals on a timely basis, or at all, our business, financial performance and growth could be adversely affected.</w:t>
      </w:r>
    </w:p>
    <w:p>
      <w:pPr>
        <w:pStyle w:val="TextBody"/>
        <w:bidi w:val="0"/>
        <w:spacing w:before="0" w:after="0"/>
        <w:jc w:val="left"/>
        <w:rPr/>
      </w:pPr>
      <w:r>
        <w:rPr/>
      </w:r>
    </w:p>
    <w:p>
      <w:pPr>
        <w:pStyle w:val="TextBody"/>
        <w:bidi w:val="0"/>
        <w:spacing w:lineRule="auto" w:line="288" w:before="100" w:after="100"/>
        <w:jc w:val="left"/>
        <w:rPr>
          <w:rFonts w:ascii="Times New Roman;sans-serif" w:hAnsi="Times New Roman;sans-serif"/>
          <w:b/>
          <w:color w:val="000000"/>
          <w:sz w:val="20"/>
        </w:rPr>
      </w:pPr>
      <w:r>
        <w:rPr>
          <w:rFonts w:ascii="Times New Roman;sans-serif" w:hAnsi="Times New Roman;sans-serif"/>
          <w:b/>
          <w:color w:val="000000"/>
          <w:sz w:val="20"/>
        </w:rPr>
        <w:t>Risks Related to Our Operations</w:t>
      </w:r>
    </w:p>
    <w:p>
      <w:pPr>
        <w:pStyle w:val="TextBody"/>
        <w:bidi w:val="0"/>
        <w:spacing w:lineRule="auto" w:line="288" w:before="100" w:after="100"/>
        <w:jc w:val="left"/>
        <w:rPr>
          <w:rFonts w:ascii="Times New Roman;sans-serif" w:hAnsi="Times New Roman;sans-serif"/>
          <w:b/>
          <w:i/>
          <w:color w:val="000000"/>
          <w:sz w:val="20"/>
        </w:rPr>
      </w:pPr>
      <w:r>
        <w:rPr>
          <w:rFonts w:ascii="Times New Roman;sans-serif" w:hAnsi="Times New Roman;sans-serif"/>
          <w:b/>
          <w:i/>
          <w:color w:val="000000"/>
          <w:sz w:val="20"/>
        </w:rPr>
        <w:t>Real or perceived errors or failures in the operation of our solution could damage our reputation and impair our sales.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must operate our technology infrastructure without interruption to support the needs of sellers and buyers. Because our software is complex, undetected errors and failures may occur, especially when new versions or updates are made to our software or network infrastructure, changes are made to sellers' or buyers' software interfacing with our solution, or as we further integrate acquired technologies. For example, our Magnite Streaming platform is relatively new, and unknown errors or bugs in our software, faulty algorithms, technical or infrastructure problems, or updates to our systems could lead to an inability to effect transactions or process data to place advertisements or price inventory effectively, cause the inadvertent disclosure of proprietary data, or cause advertisements to display improperly or be placed in proximity to inappropriate content. Such errors or failures could also result in negative publicity, disclosure of confidential information, damage to our reputation, loss of or delay in market acceptance of our solution, increased costs or loss of revenue, loss of competitive position, or claims by advertisers for losses sustained by them. We may make errors in the measurement of transactions conducted through our solution, causing discrepancies with the measurements of buyers and sellers, which can lead to a lack of confidence in us and require us to reduce our fees or provide refunds to buyers and sellers. Alleviating problems resulting from errors in our software could require significant expenditures of capital and other resources and could cause interruptions, delays, or the cessation of our business.</w:t>
      </w:r>
    </w:p>
    <w:p>
      <w:pPr>
        <w:pStyle w:val="TextBody"/>
        <w:bidi w:val="0"/>
        <w:spacing w:lineRule="auto" w:line="288" w:before="100" w:after="100"/>
        <w:jc w:val="left"/>
        <w:rPr>
          <w:rFonts w:ascii="Times New Roman;sans-serif" w:hAnsi="Times New Roman;sans-serif"/>
          <w:b/>
          <w:i/>
          <w:color w:val="000000"/>
          <w:sz w:val="20"/>
        </w:rPr>
      </w:pPr>
      <w:r>
        <w:rPr>
          <w:rFonts w:ascii="Times New Roman;sans-serif" w:hAnsi="Times New Roman;sans-serif"/>
          <w:b/>
          <w:i/>
          <w:color w:val="000000"/>
          <w:sz w:val="20"/>
        </w:rPr>
        <w:t>Various risks could interrupt access to our network infrastructure or data, exposing us to significant costs and other liabilities.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revenue depends on the technological ability of our solution to deliver and measure advertising impressions, and the operation of our exchange and our ability to place impressions depend on the continuing and uninterrupted performance of our IT systems. Our platform operates on our data processing equipment that is housed in third-party commercial data centers that we do not control or on servers owned and operated by cloud-based service providers. We rely on multiple bandwidth providers, multiple internet service providers, as well as content delivery network, or CDN providers, and domain name systems, or DNS providers, and mobile networks to deliver video ads. In addition, our systems interact with systems of buyers and sellers and their contractors. Any damage to, or failure of, these systems could result in interruptions to the availability or functionality of our service. Moreover, the failure of our data center hosting facilities or any other third-party providers to meet our capacity requirements, or dramatically increased costs of such resources, could result in interruptions in the availability or functionality of our solutions or impede our ability to scale our operations. All of these facilities and systems are vulnerable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8d6a21e15cb741baa6dee69bcf11e47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interruption and/or damage from a number of sources, many of which are beyond our control, including, without limitation: (i) loss of adequate power or cooling and telecommunications failures; (ii) fire, flood, earthquake, hurricane, and other natural disasters; (iii) software and hardware errors, failures, or crashes; (iv) financial insolvency; and (v) computer viruses, malware, hacking, terrorism, and similar disruptive problems. In particular, intentional cyber-attacks present a serious issue because they are difficult to prevent and remediate and can be used to defraud our buyers and sellers and their clients and to steal confidential or proprietary data from us, our clients, or their users. The use of artificial intelligence has the potential to further exacerbate these cyber security threats. Further, because our Los Angeles office and San Francisco offices and our California data center sites are in seismically active areas, earthquakes present a particularly serious risk of business disruption. These vulnerabilities may increase with the complexity and scope of our systems and their interactions with buyer and seller systems. Malfunction or failure of our systems, or other systems that interact with our systems, or inaccessibility or corruption of data, could disrupt our operations and negatively affect our business and results of operations to a level in excess of any applicable business interruption insurance, result in potential liability to buyers and sellers, and negatively affect our reputation and ability to sell our solution.</w:t>
      </w:r>
    </w:p>
    <w:p>
      <w:pPr>
        <w:pStyle w:val="TextBody"/>
        <w:bidi w:val="0"/>
        <w:spacing w:lineRule="auto" w:line="288" w:before="100" w:after="100"/>
        <w:jc w:val="left"/>
        <w:rPr>
          <w:rFonts w:ascii="Times New Roman;sans-serif" w:hAnsi="Times New Roman;sans-serif"/>
          <w:b/>
          <w:i/>
          <w:color w:val="000000"/>
          <w:sz w:val="20"/>
        </w:rPr>
      </w:pPr>
      <w:r>
        <w:rPr>
          <w:rFonts w:ascii="Times New Roman;sans-serif" w:hAnsi="Times New Roman;sans-serif"/>
          <w:b/>
          <w:i/>
          <w:color w:val="000000"/>
          <w:sz w:val="20"/>
        </w:rPr>
        <w:t>Any breach of our computer systems or confidential data in our possession could expose us to significant expense and liabilities and harm our reputation.</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maintain our own confidential and proprietary information in our IT systems, and we control or have access to confidential, proprietary, and personal data belonging or related to buyers, sellers, and their clients and users, as well as vendors and business partners. Our clients and various third parties have access to our confidential and proprietary information. There is no guarantee that inadvertent or unauthorized use or disclosure will not occur or that third parties will not gain unauthorized access to this data despite our efforts to protect this data. Though we undertake robust security measures, any security incident could disrupt computer systems or networks, interfere with services to our sellers, buyers, or their clients, and result in unauthorized access to personally identifiable information, intellectual property, and other confidential business information owned by us or our buyers, sellers, or vendors. As a result, we could be exposed to legal claims and litigation, indemnity obligations, regulatory fines and penalties, contractual obligations, other liabilities, significant costs for remediation and re-engineering to prevent future occurrences, significant distraction to our business, and damage to our reputation, our relationships with buyers and sellers, and our ability to retain and attract new buyers and sellers. Particularly, if information subject to breach notice statuses is compromised, we may be required to undertake notification and remediation procedures, provide indemnity, and undergo regulatory investigations and penalties, all of which can be extremely costly and result in adverse publicity. If the breach is material, we will be subject to additional SEC disclosure requirements, which may harm our brand, reputation, or overall business.</w:t>
      </w:r>
    </w:p>
    <w:p>
      <w:pPr>
        <w:pStyle w:val="TextBody"/>
        <w:bidi w:val="0"/>
        <w:spacing w:lineRule="auto" w:line="288" w:before="100" w:after="100"/>
        <w:jc w:val="left"/>
        <w:rPr>
          <w:rFonts w:ascii="Times New Roman;sans-serif" w:hAnsi="Times New Roman;sans-serif"/>
          <w:b/>
          <w:i/>
          <w:color w:val="000000"/>
          <w:sz w:val="20"/>
        </w:rPr>
      </w:pPr>
      <w:r>
        <w:rPr>
          <w:rFonts w:ascii="Times New Roman;sans-serif" w:hAnsi="Times New Roman;sans-serif"/>
          <w:b/>
          <w:i/>
          <w:color w:val="000000"/>
          <w:sz w:val="20"/>
        </w:rPr>
        <w:t>Failure to detect or prevent fraud, intrusion of malware through our platform into the systems or devices of our clients and their customers, or other actions that impact the integrity of our solution or advertisement performance, could cause sellers and buyers to lose confidence in our solution and expose us to legal claims, which would cause our business to suffer. If we terminate relationships with sellers as a result of our screening efforts, our volume of paid impressions may decline.</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in the past, and may in the future, be subject to fraudulent and malicious activities undertaken by persons seeking to use our platform for improper purposes, including to divert or artificially inflate purchases by buyers through our platform, or to disrupt or divert the operation of the systems and devices of our clients and their customers to misappropriate information, generate fraudulent billings, stage hostile attacks, or for other illicit purposes. Examples of such activities include the use of bots or other automated or manual mechanisms to generate fraudulent impressions that are delivered through our platform, which could overstate the performance of advertising impressions. Such activities could also include the introduction of malware through our platform by persons seeking to commandeer, or gain access to information on, consumers' devices. We use proprietary and third party technology to identify non-human inventory and traffic, as well as malware, and we generally terminate relationships with parties that appear to be engaging in such activities, which may result in fewer paid impressions in the year the relationships are terminated than would have otherwise occurred. Despite our efforts, it can be difficult to detect fraudulent or malicious activity for various reasons and advancements in artificial intelligence are likely to exacerbate these challenges. If we fail to detect or prevent fraudulent or other malicious activity, we could face legal claims from clients and/or consumers and the affected advertisers may experience or perceive a reduced return on their investment or heightened risk associated with use of our solution, resulting in dissatisfaction with our solution, refusals to pay, refund demands, loss of confidence of buyers or sellers, or withdrawal of future business. We also face claims from sellers that we terminate because of known or perceived fraudulent activity, and any such claim could be material. </w:t>
      </w:r>
    </w:p>
    <w:p>
      <w:pPr>
        <w:pStyle w:val="TextBody"/>
        <w:bidi w:val="0"/>
        <w:spacing w:lineRule="auto" w:line="288" w:before="100" w:after="100"/>
        <w:jc w:val="left"/>
        <w:rPr>
          <w:rFonts w:ascii="Times New Roman;sans-serif" w:hAnsi="Times New Roman;sans-serif"/>
          <w:b/>
          <w:i/>
          <w:color w:val="000000"/>
          <w:sz w:val="20"/>
        </w:rPr>
      </w:pPr>
      <w:r>
        <w:rPr>
          <w:rFonts w:ascii="Times New Roman;sans-serif" w:hAnsi="Times New Roman;sans-serif"/>
          <w:b/>
          <w:i/>
          <w:color w:val="000000"/>
          <w:sz w:val="20"/>
        </w:rPr>
        <w:t>Failure to maintain the brand security features of our solution or handle viewability issues well could harm our reputation and expose us to liabilities.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It is important to sellers that the advertising placed on their media not conflict with existing seller arrangements and be of high quality, consistent with applicable seller standards and compliant with applicable legal and regulatory requirements. It is important to buyers that their advertisements are placed on appropriate media, in proximity with appropriate content, that the impressions for which they are charged are legitimate, and that their advertising campaigns yield their desired results. We use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8d6a21e15cb741baa6dee69bcf11e47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various measures, including proprietary technology, in an effort to store, manage and process rules set by buyers and sellers and to ensure the quality and integrity of the results delivered to sellers and buyers through our solution. If we fail to properly implement or honor rules established by buyers and sellers, or if our measures are not adequate, advertisements may be improperly placed through our platform, which can result in harm to our reputation as well as the need to pay refunds and other potential legal liabilities.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Moreover, viewability of digital advertising (i.e. whether an advertisement that can be seen is actually seen, in whole or part, or for how long) represents a way of assessing the value of particular inventory as a means to reach a target audience. If we do not handle viewability well, or if we are not positioned to transact the higher viewability inventory competitively, our revenue and profitability could be adversely affected and we could be competitively disadvantaged.</w:t>
      </w:r>
    </w:p>
    <w:p>
      <w:pPr>
        <w:pStyle w:val="TextBody"/>
        <w:bidi w:val="0"/>
        <w:spacing w:lineRule="auto" w:line="288" w:before="100" w:after="100"/>
        <w:jc w:val="left"/>
        <w:rPr>
          <w:rFonts w:ascii="Times New Roman;sans-serif" w:hAnsi="Times New Roman;sans-serif"/>
          <w:b/>
          <w:i/>
          <w:color w:val="000000"/>
          <w:sz w:val="20"/>
        </w:rPr>
      </w:pPr>
      <w:r>
        <w:rPr>
          <w:rFonts w:ascii="Times New Roman;sans-serif" w:hAnsi="Times New Roman;sans-serif"/>
          <w:b/>
          <w:i/>
          <w:color w:val="000000"/>
          <w:sz w:val="20"/>
        </w:rPr>
        <w:t>If we fail to attract, motivate, train, and retain highly qualified engineering, marketing, sales and management personnel, our ability to execute our business strategy could be impaired.</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 technology-driven company and it is imperative that we have highly skilled computer scientists, data scientists, engineers and engineering management to innovate and deliver our complex solutions. Increasing our base of buyers and sellers depends to a significant extent on our ability to expand our sales and marketing operations and activities, and our solution requires a sophisticated sales force with specific sales skills and specialized technical knowledge that takes time to develop. In particular, it may be difficult to find qualified sales personnel in international markets, or sales personnel with experience in emerging segments of the market. Skilled and experienced management is critical to our ability to achieve revenue growth, execute against our strategic vision and maintain our performance through the growth and change we anticipate.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success depends significantly upon our ability to recruit, train, motivate, and retain key technology, engineering, sales, and management personnel, and competition for employees with experience in our industry can be intense, particularly in New York, California, Denver, London and Sydney, where our operations and the operations of other digital media companies are concentrated and where other technology companies compete for management and engineering talent. Other employers may be able to provide better compensation, more diverse opportunities and better chances for career advancement. None of our officers or other key employees have an employment agreement for a specific term, and any of such individuals may terminate his or her employment with us at any time.</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It can be difficult, time-consuming, and expensive to recruit personnel with the combination of skills and attributes required to execute our business strategy, and we may be unable to hire or retain sufficient numbers of qualified individuals in the markets where we do business or plan to do business. New hires require significant training and it may take significant time (often six months or more) before they achieve full productivity. As a result, we may incur significant costs to attract and retain employees, including significant expenditures related to salaries and benefits and compensation expenses related to equity awards before new hires contribute to sales or productivity, and we may lose new employees to our competitors or other companies before we realize the benefit of our investment in recruiting and training. Moreover, new employees may not be or become as productive as we expect, and we may face challenges in adequately or appropriately integrating them into our workforce and culture. At times we have experienced elevated levels of unwanted attrition, and as our organization grows and changes and competition for talent increases, this type of attrition may increase.</w:t>
      </w:r>
    </w:p>
    <w:p>
      <w:pPr>
        <w:pStyle w:val="TextBody"/>
        <w:bidi w:val="0"/>
        <w:spacing w:lineRule="auto" w:line="288" w:before="100" w:after="100"/>
        <w:jc w:val="left"/>
        <w:rPr>
          <w:rFonts w:ascii="Times New Roman;sans-serif" w:hAnsi="Times New Roman;sans-serif"/>
          <w:b/>
          <w:i/>
          <w:color w:val="000000"/>
          <w:sz w:val="20"/>
        </w:rPr>
      </w:pPr>
      <w:r>
        <w:rPr>
          <w:rFonts w:ascii="Times New Roman;sans-serif" w:hAnsi="Times New Roman;sans-serif"/>
          <w:b/>
          <w:i/>
          <w:color w:val="000000"/>
          <w:sz w:val="20"/>
        </w:rPr>
        <w:t>Our proprietary rights may be difficult to enforce, which could enable others to copy or use aspects of our solution without compensating us, thereby eroding our competitive advantages and harming our business.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success depends, in part, on our ability to protect proprietary methods and technologies that we develop or otherwise acquire, so that we can prevent others from using our inventions and proprietary information. Establishing trade secret, copyright, trademark, domain name, and patent protection is difficult and expensive. We rely on trademark, copyright, trade secret laws, confidentiality procedures and contractual provisions to protect our proprietary methods and technologies. It may be possible for unauthorized third parties to copy or reverse engineer aspects of our technology or otherwise obtain and use information that we regard as proprietary, or to develop technologies similar or superior to our technology or design around our proprietary rights, despite the steps we have taken to protect our proprietary rights. From time to time, we may take legal action to enforce our intellectual property rights, protect our trade secrets, determine the validity and scope of the proprietary rights of others, or defend against claims of infringement. Such litigation could result in substantial costs and the diversion of limited resources, and might not be successful. If we are unable to protect our proprietary rights (including aspects of our technology solution) we may find ourselves at a competitive disadvantage.</w:t>
      </w:r>
    </w:p>
    <w:p>
      <w:pPr>
        <w:pStyle w:val="TextBody"/>
        <w:bidi w:val="0"/>
        <w:spacing w:lineRule="auto" w:line="288" w:before="100" w:after="100"/>
        <w:jc w:val="left"/>
        <w:rPr>
          <w:rFonts w:ascii="Times New Roman;sans-serif" w:hAnsi="Times New Roman;sans-serif"/>
          <w:b/>
          <w:i/>
          <w:color w:val="000000"/>
          <w:sz w:val="20"/>
        </w:rPr>
      </w:pPr>
      <w:r>
        <w:rPr>
          <w:rFonts w:ascii="Times New Roman;sans-serif" w:hAnsi="Times New Roman;sans-serif"/>
          <w:b/>
          <w:i/>
          <w:color w:val="000000"/>
          <w:sz w:val="20"/>
        </w:rPr>
        <w:t>We may be subject to intellectual property rights claims by third parties, which are costly to defend, could require us to pay significant damages and could limit our ability to use certain technologies and intellectual property.</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Third parties may assert claims of infringement or misappropriation of intellectual property rights against us or buyers, sellers, or third parties with which we work; we cannot be certain that we are not infringing any third-party intellectual property rights, and we may have liability or indemnification obligations as a result of such claims. Regardless of whether claims that we are infringing patents or infringing or misappropriating other intellectual property rights have any merit, these claims are time-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8d6a21e15cb741baa6dee69bcf11e47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consuming and costly to evaluate and defend, and can impose a significant burden on management and employees. The outcome of any claim is inherently uncertain, and we may receive unfavorable interim or preliminary rulings in the course of litigation, or we may decide to settle lawsuits and disputes on terms that are unfavorable to us. We may also have no way of remediating intellectual property violations, and failure to do so could cause our business, results of operations or financial condition to be materially and adversely affected. </w:t>
      </w:r>
    </w:p>
    <w:p>
      <w:pPr>
        <w:pStyle w:val="TextBody"/>
        <w:bidi w:val="0"/>
        <w:spacing w:before="100" w:after="100"/>
        <w:jc w:val="left"/>
        <w:rPr/>
      </w:pPr>
      <w:r>
        <w:rPr/>
      </w:r>
    </w:p>
    <w:p>
      <w:pPr>
        <w:pStyle w:val="TextBody"/>
        <w:bidi w:val="0"/>
        <w:spacing w:lineRule="auto" w:line="288" w:before="100" w:after="100"/>
        <w:jc w:val="left"/>
        <w:rPr>
          <w:rFonts w:ascii="Times New Roman;sans-serif" w:hAnsi="Times New Roman;sans-serif"/>
          <w:b/>
          <w:color w:val="000000"/>
          <w:sz w:val="20"/>
        </w:rPr>
      </w:pPr>
      <w:r>
        <w:rPr>
          <w:rFonts w:ascii="Times New Roman;sans-serif" w:hAnsi="Times New Roman;sans-serif"/>
          <w:b/>
          <w:color w:val="000000"/>
          <w:sz w:val="20"/>
        </w:rPr>
        <w:t>Risks Related to Financing Arrangements</w:t>
      </w:r>
    </w:p>
    <w:p>
      <w:pPr>
        <w:pStyle w:val="TextBody"/>
        <w:bidi w:val="0"/>
        <w:spacing w:lineRule="auto" w:line="288" w:before="100" w:after="100"/>
        <w:jc w:val="left"/>
        <w:rPr>
          <w:rFonts w:ascii="Times New Roman;sans-serif" w:hAnsi="Times New Roman;sans-serif"/>
          <w:b/>
          <w:i/>
          <w:color w:val="000000"/>
          <w:sz w:val="20"/>
        </w:rPr>
      </w:pPr>
      <w:r>
        <w:rPr>
          <w:rFonts w:ascii="Times New Roman;sans-serif" w:hAnsi="Times New Roman;sans-serif"/>
          <w:b/>
          <w:i/>
          <w:color w:val="000000"/>
          <w:sz w:val="20"/>
        </w:rPr>
        <w:t>Our financing of the SpotX Acquisition and subsequent refinancing significantly increased our leverage, which may put us at greater risk of defaulting on our debt obligations and limit our ability to conduct necessary operating activities, make strategic investments, respond to changing market conditions, or obtain future financing on favorable terms.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financed the cash portion of the SpotX Acquisition consideration in part through borrowings under a credit agreement (the "Credit Agreement") with Goldman Sachs Bank USA as administrative and collateral agent, and other lending parties thereto for a $360.0 million seven-year senior secured term loan facility ("Term Loan B Facility"), a $65.0 million senior secured revolving credit facility ("Revolving Credit Facility"), and the sale of $400.0 million of convertible senior notes ("Convertible Senior Notes"). As part of Term Loan B Facility, the Company received $325 million in proceeds, net of discounts and fees, which were used to finance the SpotX Acquisition and related transactions, and for general corporate purposes. The majority of the net proceeds from the offering of Convertible Senior Notes was also used to finance the SpotX Acquisition.</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6, 2024, we refinanced and terminated our existing Credit Agreement and entered into a new credit agreement with Morgan Stanley Senior Funding, Inc., as term facility administrative agent, Citibank, N.A., as revolving facility administrative agent and collateral agent, and other lending parties (the “New Credit Agreement”) for a $365.0 million term loan that matures in February 2031 and a $175.0 million revolving facility that matures February 2029.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debt leverage could adversely affect our business and operating results by:</w:t>
      </w:r>
    </w:p>
    <w:p>
      <w:pPr>
        <w:pStyle w:val="TextBody"/>
        <w:bidi w:val="0"/>
        <w:spacing w:lineRule="auto" w:line="288" w:before="0" w:after="40"/>
        <w:ind w:left="0" w:right="0" w:hanging="360"/>
        <w:jc w:val="left"/>
        <w:rPr/>
      </w:pPr>
      <w:r>
        <w:rPr>
          <w:color w:val="000000"/>
        </w:rPr>
        <w:t>•</w:t>
      </w:r>
      <w:r>
        <w:rPr>
          <w:rFonts w:ascii="Times New Roman;sans-serif" w:hAnsi="Times New Roman;sans-serif"/>
          <w:b w:val="false"/>
          <w:color w:val="000000"/>
          <w:sz w:val="20"/>
        </w:rPr>
        <w:t>making it more difficult for us to make payments on our indebtedness and comply with applicable financial metrics and covenants;</w:t>
      </w:r>
    </w:p>
    <w:p>
      <w:pPr>
        <w:pStyle w:val="TextBody"/>
        <w:bidi w:val="0"/>
        <w:spacing w:lineRule="auto" w:line="288" w:before="0" w:after="40"/>
        <w:ind w:left="0" w:right="0" w:hanging="360"/>
        <w:jc w:val="left"/>
        <w:rPr/>
      </w:pPr>
      <w:r>
        <w:rPr>
          <w:color w:val="000000"/>
        </w:rPr>
        <w:t>•</w:t>
      </w:r>
      <w:r>
        <w:rPr>
          <w:rFonts w:ascii="Times New Roman;sans-serif" w:hAnsi="Times New Roman;sans-serif"/>
          <w:b w:val="false"/>
          <w:color w:val="000000"/>
          <w:sz w:val="20"/>
        </w:rPr>
        <w:t>requiring us to use a substantial portion of our cash flow to pay interest and principal, which reduces the amount available for operations, distributions, acquisitions and capital expenditures;</w:t>
      </w:r>
    </w:p>
    <w:p>
      <w:pPr>
        <w:pStyle w:val="TextBody"/>
        <w:bidi w:val="0"/>
        <w:spacing w:lineRule="auto" w:line="288" w:before="0" w:after="40"/>
        <w:ind w:left="0" w:right="0" w:hanging="360"/>
        <w:jc w:val="left"/>
        <w:rPr/>
      </w:pPr>
      <w:r>
        <w:rPr>
          <w:color w:val="000000"/>
        </w:rPr>
        <w:t>•</w:t>
      </w:r>
      <w:r>
        <w:rPr>
          <w:rFonts w:ascii="Times New Roman;sans-serif" w:hAnsi="Times New Roman;sans-serif"/>
          <w:b w:val="false"/>
          <w:color w:val="000000"/>
          <w:sz w:val="20"/>
        </w:rPr>
        <w:t>making us more vulnerable to economic and industry downturns and reducing our flexibility to respond to changing business and economic conditions;</w:t>
      </w:r>
    </w:p>
    <w:p>
      <w:pPr>
        <w:pStyle w:val="TextBody"/>
        <w:bidi w:val="0"/>
        <w:spacing w:lineRule="auto" w:line="288" w:before="0" w:after="40"/>
        <w:ind w:left="0" w:right="0" w:hanging="360"/>
        <w:jc w:val="left"/>
        <w:rPr/>
      </w:pPr>
      <w:r>
        <w:rPr>
          <w:color w:val="000000"/>
        </w:rPr>
        <w:t>•</w:t>
      </w:r>
      <w:r>
        <w:rPr>
          <w:rFonts w:ascii="Times New Roman;sans-serif" w:hAnsi="Times New Roman;sans-serif"/>
          <w:b w:val="false"/>
          <w:color w:val="000000"/>
          <w:sz w:val="20"/>
        </w:rPr>
        <w:t>requiring us to agree to less favorable terms, including higher interest rates, in order to incur additional debt, and otherwise limiting our ability to borrow for operations, working capital or to finance acquisitions in the future; or</w:t>
      </w:r>
    </w:p>
    <w:p>
      <w:pPr>
        <w:pStyle w:val="TextBody"/>
        <w:bidi w:val="0"/>
        <w:spacing w:lineRule="auto" w:line="288" w:before="0" w:after="40"/>
        <w:ind w:left="0" w:right="0" w:hanging="360"/>
        <w:jc w:val="left"/>
        <w:rPr/>
      </w:pPr>
      <w:r>
        <w:rPr>
          <w:color w:val="000000"/>
        </w:rPr>
        <w:t>•</w:t>
      </w:r>
      <w:r>
        <w:rPr>
          <w:rFonts w:ascii="Times New Roman;sans-serif" w:hAnsi="Times New Roman;sans-serif"/>
          <w:b w:val="false"/>
          <w:color w:val="000000"/>
          <w:sz w:val="20"/>
        </w:rPr>
        <w:t>limiting our flexibility in conducting our business, which may place us at a disadvantage compared to competitors with less debt or debt with less restrictive terms.</w:t>
      </w:r>
    </w:p>
    <w:p>
      <w:pPr>
        <w:pStyle w:val="TextBody"/>
        <w:bidi w:val="0"/>
        <w:spacing w:lineRule="auto" w:line="288" w:before="100" w:after="100"/>
        <w:jc w:val="left"/>
        <w:rPr>
          <w:rFonts w:ascii="Times New Roman;sans-serif" w:hAnsi="Times New Roman;sans-serif"/>
          <w:b/>
          <w:i/>
          <w:color w:val="000000"/>
          <w:sz w:val="20"/>
        </w:rPr>
      </w:pPr>
      <w:r>
        <w:rPr>
          <w:rFonts w:ascii="Times New Roman;sans-serif" w:hAnsi="Times New Roman;sans-serif"/>
          <w:b/>
          <w:i/>
          <w:color w:val="000000"/>
          <w:sz w:val="20"/>
        </w:rPr>
        <w:t>Our New Credit Agreement subjects us to operating restrictions and financial covenants that impose risk of default and may restrict our business and financing activities.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obligations under our New Credit Agreement are secured by substantially all of the assets of the Company and those of its subsidiaries that are guarantors. The covenants of the New Credit Agreement include customary negative covenants that, among other things, restrict the Company’s ability to incur additional indebtedness, grant liens and make certain acquisitions, investments, asset dispositions and restricted payments. In addition, the New Credit Agreement contains a springing financial covenant, tested on the last day of any fiscal quarter if utilization of the Revolving Credit Facility exceeds 35% of the total revolving commitments, that requires the Company to maintain a first lien net leverage ratio not greater than 3.25 to 1.00.</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These covenants may restrict our ability to finance our operations and to pursue our business activities and strategies. Our ability to comply with these covenants may be affected by events beyond our control. If a default were to occur and not be waived, such default could cause, among other remedies, all of the outstanding indebtedness under our New Credit Agreement to become immediately due and payable. In such an event, our liquid assets might not be sufficient to meet our repayment obligations, and we might be forced to liquidate collateral assets at unfavorable prices or our assets may be foreclosed upon and sold at unfavorable valuations.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If we do not have or are unable to generate sufficient cash available to repay our debt obligations when they become due and payable, either upon maturity or in the event of a default, we may not be able to obtain additional debt or equity financing on favorable terms, if at all. Our inability to obtain financing may negatively impact our ability to operate and continue our business as a going concern.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8d6a21e15cb741baa6dee69bcf11e47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00" w:after="100"/>
        <w:jc w:val="left"/>
        <w:rPr>
          <w:rFonts w:ascii="Times New Roman;sans-serif" w:hAnsi="Times New Roman;sans-serif"/>
          <w:b/>
          <w:i/>
          <w:color w:val="000000"/>
          <w:sz w:val="20"/>
        </w:rPr>
      </w:pPr>
      <w:r>
        <w:rPr>
          <w:rFonts w:ascii="Times New Roman;sans-serif" w:hAnsi="Times New Roman;sans-serif"/>
          <w:b/>
          <w:i/>
          <w:color w:val="000000"/>
          <w:sz w:val="20"/>
        </w:rPr>
        <w:t>Conversion of our Convertible Senior Notes will dilute the ownership interest of existing stockholders, including holders who had previously converted their Convertible Senior Notes, or may otherwise depress the price of our common stock.</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March 2021, we sold Convertible Senior Notes for gross proceeds of $400.0 million. The conversion of some or all of the Convertible Senior Notes will dilute the ownership interests of existing stockholders to the extent we deliver shares of common stock upon conversion of any of the Convertible Senior Notes. The Convertible Senior Notes are not currently convertible but may from time to time in the future be convertible at the option of their holders prior to their scheduled terms under certain circumstances. Any sales in the public market of the common stock issuable upon such conversion could adversely affect prevailing market prices of our common stock. In addition, the existence of the Convertible Senior Notes may encourage short selling by market participants because the conversion of the Convertible Senior Notes could be used to satisfy short positions, or anticipated conversion of the Convertible Senior Notes into shares of our common stock could depress the price of our common stock.</w:t>
      </w:r>
    </w:p>
    <w:p>
      <w:pPr>
        <w:pStyle w:val="TextBody"/>
        <w:bidi w:val="0"/>
        <w:spacing w:lineRule="auto" w:line="288" w:before="100" w:after="100"/>
        <w:jc w:val="left"/>
        <w:rPr>
          <w:rFonts w:ascii="Times New Roman;sans-serif" w:hAnsi="Times New Roman;sans-serif"/>
          <w:b/>
          <w:i/>
          <w:color w:val="000000"/>
          <w:sz w:val="20"/>
        </w:rPr>
      </w:pPr>
      <w:r>
        <w:rPr>
          <w:rFonts w:ascii="Times New Roman;sans-serif" w:hAnsi="Times New Roman;sans-serif"/>
          <w:b/>
          <w:i/>
          <w:color w:val="000000"/>
          <w:sz w:val="20"/>
        </w:rPr>
        <w:t>The Capped Call Transactions may affect the value of the Convertible Senior Notes and our common stock.</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pricing of the Convertible Senior Notes, we entered into privately negotiated capped call transactions with various financial institutions (the "Capped Call Transactions"). The Capped Call Transactions are expected generally to reduce or offset the potential dilution upon conversion of the Convertible Senior Notes and/or offset any cash payments we are required to make in excess of the principal amount of converted Convertible Senior Notes, as the case may be, with such reduction and/or offset subject to a cap.</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establishing their initial hedges of the Capped Call Transactions, financial institutions or their respective affiliates likely purchased shares of our common stock and/or entered into various derivative transactions with respect to our common stock concurrently with or shortly after the pricing of the Convertible Senior Notes. These financial institutions or their respective affiliates may modify their hedge positions by entering into or unwinding various derivatives with respect to our common stock and/or purchasing or selling our common stock or other securities in secondary market transactions prior to the maturity of the Convertible Senior Notes (and are likely to do so during any observation period related to a conversion of Convertible Senior Notes). This activity could also cause or avoid an increase or a decrease in the market price of our common stock or the Convertible Senior Notes.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potential effect, if any, of these transactions and activities on the price of our common stock or the Convertible Senior Notes will depend in part on market conditions and cannot be ascertained at this time. Any of these activities could adversely affect the value of our common stock and the value of the Convertible Senior Notes (and as a result, the amount and value of consideration that a holder would receive upon conversion of any Convertible Senior Notes) and, under certain circumstances, a holder’s ability to convert his or her Convertible Senior Notes.</w:t>
      </w:r>
    </w:p>
    <w:p>
      <w:pPr>
        <w:pStyle w:val="TextBody"/>
        <w:bidi w:val="0"/>
        <w:spacing w:lineRule="auto" w:line="288" w:before="100" w:after="100"/>
        <w:jc w:val="left"/>
        <w:rPr>
          <w:rFonts w:ascii="Times New Roman;sans-serif" w:hAnsi="Times New Roman;sans-serif"/>
          <w:b/>
          <w:i/>
          <w:color w:val="000000"/>
          <w:sz w:val="20"/>
        </w:rPr>
      </w:pPr>
      <w:r>
        <w:rPr>
          <w:rFonts w:ascii="Times New Roman;sans-serif" w:hAnsi="Times New Roman;sans-serif"/>
          <w:b/>
          <w:i/>
          <w:color w:val="000000"/>
          <w:sz w:val="20"/>
        </w:rPr>
        <w:t>We are subject to counterparty risk with respect to the Capped Call Transactions.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counterparties to the Capped Call Transactions are financial institutions, and we are subject to the risk that one or more of the counterparties may default or otherwise fail to perform, or may exercise certain rights to terminate, their obligations under the Capped Call Transactions. Our exposure to the credit risk of the option counterparties is not secured by any collateral. Global economic conditions have in the past resulted in the actual or perceived failure or financial difficulties of many financial institutions. If any option counterparty becomes subject to proceedings, we will become an unsecured creditor in those proceedings with a claim equal to our exposure at the time under any Capped Call Transactions with that option counterparty. Our exposure will depend on many factors but, generally, our exposure will increase if the market price or the volatility of our common stock increases. In addition, upon a default or other failure to perform, or a termination of obligations, by a counterparty, the counterparty may fail to deliver the shares of common stock required to be delivered to us under the Capped Call Transactions and we may suffer adverse tax consequences or experience more dilution than we currently anticipate with respect to our common stock. We can provide no assurances as to the financial stability or viability of the counterparties. </w:t>
      </w:r>
    </w:p>
    <w:p>
      <w:pPr>
        <w:pStyle w:val="TextBody"/>
        <w:bidi w:val="0"/>
        <w:spacing w:lineRule="auto" w:line="288" w:before="100" w:after="100"/>
        <w:jc w:val="left"/>
        <w:rPr>
          <w:rFonts w:ascii="Times New Roman;sans-serif" w:hAnsi="Times New Roman;sans-serif"/>
          <w:b/>
          <w:i/>
          <w:color w:val="000000"/>
          <w:sz w:val="20"/>
        </w:rPr>
      </w:pPr>
      <w:r>
        <w:rPr>
          <w:rFonts w:ascii="Times New Roman;sans-serif" w:hAnsi="Times New Roman;sans-serif"/>
          <w:b/>
          <w:i/>
          <w:color w:val="000000"/>
          <w:sz w:val="20"/>
        </w:rPr>
        <w:t>The conditional conversion feature of the Convertible Senior Notes, if triggered, may adversely affect our financial condition and operating results.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the event the conditional conversion feature of the Convertible Senior Notes is triggered, holders of the Convertible Senior Notes will be entitled to convert their Convertible Senior Notes at any time during specified periods at their option. If one or more holders elect to convert their Convertible Senior Notes, unless we elect to satisfy our conversion obligation by delivering solely shares of our common stock (other than paying cash in lieu of delivering any fractional share), we would be required to settle a portion or all of our conversion obligation in cash, which could adversely affect our liquidity.</w:t>
      </w:r>
    </w:p>
    <w:p>
      <w:pPr>
        <w:pStyle w:val="TextBody"/>
        <w:bidi w:val="0"/>
        <w:spacing w:lineRule="auto" w:line="288" w:before="100" w:after="100"/>
        <w:jc w:val="left"/>
        <w:rPr>
          <w:rFonts w:ascii="Times New Roman;sans-serif" w:hAnsi="Times New Roman;sans-serif"/>
          <w:b/>
          <w:i/>
          <w:color w:val="000000"/>
          <w:sz w:val="20"/>
        </w:rPr>
      </w:pPr>
      <w:r>
        <w:rPr>
          <w:rFonts w:ascii="Times New Roman;sans-serif" w:hAnsi="Times New Roman;sans-serif"/>
          <w:b/>
          <w:i/>
          <w:color w:val="000000"/>
          <w:sz w:val="20"/>
        </w:rPr>
        <w:t>Provisions in the indenture for the Convertible Senior Notes may deter or prevent a business combination that may be favorable to our stockholders.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a fundamental change occurs prior to the maturity date of the Convertible Senior Notes, holders of the Convertible Senior Notes will have the right, at their option, to require us to repurchase all or a portion of their Convertible Senior Notes. In addition, if a "make-whole fundamental change" (as defined in the Indenture) occurs prior the maturity date, we will in some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8d6a21e15cb741baa6dee69bcf11e47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cases be required to increase the conversion rate of the Convertible Senior Notes for a holder that elects to convert its Convertible Senior Notes in connection with such make-whole fundamental change.</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Furthermore, the Indenture prohibits us from engaging in certain mergers or acquisitions unless, among other things, the surviving entity assumes our obligations under the Convertible Senior Notes. These and other provisions in the Indenture could deter or prevent a third party from acquiring the Company even when the acquisition may be favorable to our stockholders.</w:t>
      </w:r>
    </w:p>
    <w:p>
      <w:pPr>
        <w:pStyle w:val="TextBody"/>
        <w:bidi w:val="0"/>
        <w:spacing w:before="100" w:after="100"/>
        <w:ind w:left="0" w:right="0" w:firstLine="720"/>
        <w:jc w:val="left"/>
        <w:rPr/>
      </w:pPr>
      <w:r>
        <w:rPr/>
      </w:r>
    </w:p>
    <w:p>
      <w:pPr>
        <w:pStyle w:val="TextBody"/>
        <w:bidi w:val="0"/>
        <w:spacing w:lineRule="auto" w:line="288" w:before="100" w:after="100"/>
        <w:jc w:val="left"/>
        <w:rPr>
          <w:rFonts w:ascii="Times New Roman;sans-serif" w:hAnsi="Times New Roman;sans-serif"/>
          <w:b/>
          <w:color w:val="000000"/>
          <w:sz w:val="20"/>
        </w:rPr>
      </w:pPr>
      <w:r>
        <w:rPr>
          <w:rFonts w:ascii="Times New Roman;sans-serif" w:hAnsi="Times New Roman;sans-serif"/>
          <w:b/>
          <w:color w:val="000000"/>
          <w:sz w:val="20"/>
        </w:rPr>
        <w:t>Risks Related to Our International Business Strategy.</w:t>
      </w:r>
    </w:p>
    <w:p>
      <w:pPr>
        <w:pStyle w:val="TextBody"/>
        <w:bidi w:val="0"/>
        <w:spacing w:lineRule="auto" w:line="288" w:before="100" w:after="100"/>
        <w:jc w:val="left"/>
        <w:rPr>
          <w:rFonts w:ascii="Times New Roman;sans-serif" w:hAnsi="Times New Roman;sans-serif"/>
          <w:b/>
          <w:i/>
          <w:color w:val="000000"/>
          <w:sz w:val="20"/>
        </w:rPr>
      </w:pPr>
      <w:r>
        <w:rPr>
          <w:rFonts w:ascii="Times New Roman;sans-serif" w:hAnsi="Times New Roman;sans-serif"/>
          <w:b/>
          <w:i/>
          <w:color w:val="000000"/>
          <w:sz w:val="20"/>
        </w:rPr>
        <w:t>Our international operations require increased expenditures and impose additional risks and compliance imperatives, and failure to successfully execute our international plans will adversely affect our growth and operating results.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have operations outside of North America, in the UK, EU, Australia, New Zealand, Japan, Singapore, India, and Brazil, and achievement of our international objectives will require a significant amount of attention from our management, finance, legal, analytics, operations, sales, and engineering teams, as well as significant investment in developing the technology infrastructure necessary to deliver our solution and maintain sales, delivery, support, and administrative capabilities in the countries where we operate. Attracting new buyers and sellers outside the United States may require more time and expense than in the United States, in part due to language barriers and the need to educate such buyers and sellers about our solution, and we may not be successful in establishing and maintaining these relationships. The data center and telecommunications infrastructure in some overseas markets may not be as reliable as in North America and Europe, which could disrupt our operations. In addition, our international operations will require us to develop and administer our internal controls and legal and compliance practices in countries with different cultural norms, languages, currencies, legal requirements, and business practices than the United States.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 operations also impose risks and challenges in addition to those faced in the United States, including management of a distributed workforce; the need to adapt our offering to satisfy local requirements and standards (including differing privacy policies and labor laws that are sometimes more stringent); laws and business practices that may favor local competitors; legal requirements or business expectations that agreements be drafted and negotiated in the local language and disputes be resolved in local courts according to local laws; the need to enable transactions in local currencies; longer accounts receivable payment cycles and other collection difficulties; the effect of global and regional recessions and economic and political instability; potentially adverse tax consequences in the United States and abroad; staffing challenges, including difficulty in recruiting and retaining qualified personnel as well as managing such a diversity in personnel; reduced or ineffective protection of our intellectual property rights in some countries; and costs and restrictions affecting the repatriation of funds to the United States.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One or more of these requirements and risks may make our international operations more difficult and expensive or less successful than we expect, and may preclude us from operating in some markets. There is no assurance that our international expansion efforts will be successful, and we may not generate sufficient revenue or margins from our international business to cover our expenses or contribute to our growth.</w:t>
      </w:r>
    </w:p>
    <w:p>
      <w:pPr>
        <w:pStyle w:val="TextBody"/>
        <w:bidi w:val="0"/>
        <w:spacing w:lineRule="auto" w:line="288" w:before="100" w:after="100"/>
        <w:jc w:val="left"/>
        <w:rPr>
          <w:rFonts w:ascii="Times New Roman;sans-serif" w:hAnsi="Times New Roman;sans-serif"/>
          <w:b/>
          <w:i/>
          <w:color w:val="000000"/>
          <w:sz w:val="20"/>
        </w:rPr>
      </w:pPr>
      <w:r>
        <w:rPr>
          <w:rFonts w:ascii="Times New Roman;sans-serif" w:hAnsi="Times New Roman;sans-serif"/>
          <w:b/>
          <w:i/>
          <w:color w:val="000000"/>
          <w:sz w:val="20"/>
        </w:rPr>
        <w:t>Operating in multiple countries requires us to comply with different legal and regulatory requirements.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international operations subject us to laws and regulations of multiple jurisdictions, as well as U.S. laws governing international operations, which are often evolving and sometimes conflict. For example, the Foreign Corrupt Practices Act ("FCPA"), and comparable foreign laws and regulations (including the U.K. Bribery Act) prohibit improper payments or offers of payments to foreign governments and their officials and political parties by U.S. and other business entities for the purpose of obtaining or retaining business. Other laws and regulations prohibit bribery of private parties and other forms of corruption. As we expand our international operations, there is some risk of unauthorized payment or offers of payment or other inappropriate conduct by one of our employees, consultants, agents, or other contractors, including by persons engaged or employed by a business we acquire, which could result in violation by us of various laws, including the FCPA. Safeguards we implement to discourage these practices may prove to be ineffective and violations of the FCPA and other laws may result in severe criminal or civil sanctions, or other liabilities or proceedings against us, including class action lawsuits and enforcement actions from the SEC, Department of Justice, and foreign regulators. Other laws applicable to our international business include local employment, tax, privacy, data security, and intellectual property protection laws and regulations, including restrictions on movement of information about individuals beyond national borders. In particular, as explained in more detail elsewhere in this report, the GDPR imposes substantial compliance obligations and increases the risks associated with collection and processing of personal data. In some cases, buyers and sellers operating in non-U.S. markets may impose additional requirements on our non-U.S. business in efforts to comply with their interpretation of their own or our legal obligations. These requirements may differ significantly from the requirements applicable to our business in the United States and may require engineering, infrastructure and other costly resources to accommodate, and may result in decreased operational efficiencies and performance.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8d6a21e15cb741baa6dee69bcf11e47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As these laws continue to evolve and we expand to more jurisdictions or acquire new businesses, compliance will become more complex and expensive, and the risk of non-compliance will increase.</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Compliance with complex foreign and U.S. laws and regulations that apply to our international operations increases our cost of doing business abroad, and violation of these laws or regulations may interfere with our ability to offer our solution competitively in one or more countries, expose us or our employees to fines and penalties, and result in the limitation or prohibition of our conduct of business. In addition, we have recently received numerous inquiries from foreign regulators asking for information about advertising technology generally and our business specifically. These investigations are costly and time consuming to respond to and divert management attention. </w:t>
      </w:r>
    </w:p>
    <w:p>
      <w:pPr>
        <w:pStyle w:val="TextBody"/>
        <w:bidi w:val="0"/>
        <w:spacing w:before="100" w:after="100"/>
        <w:jc w:val="left"/>
        <w:rPr/>
      </w:pPr>
      <w:r>
        <w:rPr/>
      </w:r>
    </w:p>
    <w:p>
      <w:pPr>
        <w:pStyle w:val="TextBody"/>
        <w:bidi w:val="0"/>
        <w:spacing w:lineRule="auto" w:line="288" w:before="100" w:after="100"/>
        <w:jc w:val="left"/>
        <w:rPr>
          <w:rFonts w:ascii="Times New Roman;sans-serif" w:hAnsi="Times New Roman;sans-serif"/>
          <w:b/>
          <w:color w:val="000000"/>
          <w:sz w:val="20"/>
        </w:rPr>
      </w:pPr>
      <w:r>
        <w:rPr>
          <w:rFonts w:ascii="Times New Roman;sans-serif" w:hAnsi="Times New Roman;sans-serif"/>
          <w:b/>
          <w:color w:val="000000"/>
          <w:sz w:val="20"/>
        </w:rPr>
        <w:t>Risks Related to Our Internal Controls and Finances</w:t>
      </w:r>
    </w:p>
    <w:p>
      <w:pPr>
        <w:pStyle w:val="TextBody"/>
        <w:bidi w:val="0"/>
        <w:spacing w:lineRule="auto" w:line="288" w:before="100" w:after="100"/>
        <w:jc w:val="left"/>
        <w:rPr>
          <w:rFonts w:ascii="Times New Roman;sans-serif" w:hAnsi="Times New Roman;sans-serif"/>
          <w:b/>
          <w:i/>
          <w:color w:val="000000"/>
          <w:sz w:val="20"/>
        </w:rPr>
      </w:pPr>
      <w:r>
        <w:rPr>
          <w:rFonts w:ascii="Times New Roman;sans-serif" w:hAnsi="Times New Roman;sans-serif"/>
          <w:b/>
          <w:i/>
          <w:color w:val="000000"/>
          <w:sz w:val="20"/>
        </w:rPr>
        <w:t>If we fail to maintain an effective system of internal control over financial reporting in the future, we may not be able to accurately or timely report our financial condition or results of operations. If our internal control over financial reporting is not effective, it may adversely affect investor confidence in us and the price of our common stock.</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a public company, we are required to maintain internal control over financial reporting and to report any material weaknesses in such internal control. Section 404 of the Sarbanes-Oxley Act requires that we evaluate and determine the effectiveness of our internal control over financial reporting and provide a management report on our internal control over financial reporting.</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platform system applications are complex, multi-faceted and include applications that are highly customized in order to serve and support our clients, advertising inventory and data suppliers, as well as support our financial reporting obligations. We regularly make improvements to our platform to maintain and enhance our competitive position. In the future, we may implement new offerings and engage in business transactions, such as acquisitions, reorganizations or implementation of new information systems. These factors require us to develop and maintain our internal controls, processes and reporting systems, and we expect to incur ongoing costs in this effort. We may not be successful in developing and maintaining effective internal controls, and any failure to develop or maintain effective controls, or any difficulties encountered in their implementation or improvement, could harm our operating results or cause us to fail to meet our reporting obligations and may result in a restatement of our financial statements for prior periods.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If we identify material weaknesses in our internal control over financial reporting, we will be unable to assert that our internal control over financial reporting is effective. If we are unable to assert that our internal control over financial reporting is effective, if our independent registered public accounting firm is unable to express an unqualified opinion as to the effectiveness of our internal control over financial reporting, or if we are unable to comply with the requirements of the Sarbanes-Oxley Act in a timely manner, then, we may be late with the filing of our periodic reports, investors may lose confidence in the accuracy and completeness of our financial reports and the market price of our common stock could be negatively affected. Such failures could also subject us to investigations by Nasdaq, the stock exchange on which our securities are listed, the SEC or other regulatory authorities, and to litigation from stockholders, which could harm our reputation, financial condition or divert financial and management resources from our core business.</w:t>
      </w:r>
    </w:p>
    <w:p>
      <w:pPr>
        <w:pStyle w:val="TextBody"/>
        <w:bidi w:val="0"/>
        <w:spacing w:lineRule="auto" w:line="288" w:before="100" w:after="100"/>
        <w:jc w:val="left"/>
        <w:rPr>
          <w:rFonts w:ascii="Times New Roman;sans-serif" w:hAnsi="Times New Roman;sans-serif"/>
          <w:b/>
          <w:i/>
          <w:color w:val="000000"/>
          <w:sz w:val="20"/>
        </w:rPr>
      </w:pPr>
      <w:r>
        <w:rPr>
          <w:rFonts w:ascii="Times New Roman;sans-serif" w:hAnsi="Times New Roman;sans-serif"/>
          <w:b/>
          <w:i/>
          <w:color w:val="000000"/>
          <w:sz w:val="20"/>
        </w:rPr>
        <w:t>Our ability to use our net operating losses and tax credit carryforwards to offset future taxable income may be subject to certain limitations, which could result in higher tax liabilities.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ability to fully utilize our net operating loss and tax credit carryforwards to offset future taxable income may be limited.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 December 31, 2023, we had U.S. federal net operating loss carryforwards, or NOLs, of approximately $324.1 million, state NOLs of approximately $227.9 million, foreign NOLs of approximately $23.3 million, federal research and development tax credit carryforwards of approximately $4.4 million, and state research and development tax credit carryforwards of approximately $10.5 million. A lack of future taxable income would adversely affect our ability to utilize these NOLs and credit carryforwards. In addition, under Sections 382 and 383 of the Internal Revenue Code of 1986, as amended, or the Code, and comparable state income tax laws, a corporation that undergoes an "ownership change" is subject to limitations on its ability to utilize its NOLs and credit carryforwards to offset future taxable income following the ownership change. As a result, future changes in our stock ownership, including because of issuance of shares of common stock in connection with acquisitions or other direct or indirect changes in our ownership that may be outside of our control, could result in limitations on our ability to fully utilize our NOLs and credit carryforwards. The Company had an ownership change on December 31, 2016 subjecting the federal and state NOLs to annual limitations that have expired. Additionally, the Company had an ownership change in January 2008 resulting in not material limitation of federal and state NOLs under Section 382 of the Code and comparable state income tax laws. Moreover, not material federal and state NOLs and federal research and development tax credits were generated during the pre-acquisition period by corporations that we acquired, and thus those NOLs already are subject to limitation under Section 382 and 383 of the Code and comparable state income tax laws. Also,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8d6a21e15cb741baa6dee69bcf11e47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prior to the merger, Telaria acquired corporations with pre-acquisition NOLs that are subject to limitation under Section 382 of the Code and comparable state income tax laws.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Company and Telaria both underwent ownership changes for tax purposes (i.e. a more than 50% change in stock ownership in aggregated 5% shareholders) on April 1, 2020 due to the Merger. As a result, the use of the Company’s total domestic NOL carryforwards and tax credits generated prior to the ownership change will be subject to annual use limitations under Section 382 and Section 383 of the Code and comparable state income tax laws. The Company believes that the ownership changes will not impact the ability to utilize substantially all of our NOLs and state research and development tax credits to the extent we generate taxable income that can be offset by such losses. The Company reasonably expects its federal research and development tax credits will not be recovered prior to expiration.</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Also, depending on the timing and level of our taxable income, a portion of our NOLs may expire unutilized, which could prevent us from offsetting future taxable income we may generate by the amount of our NOLs and credit carryforwards generated in tax years beginning before December 31, 2018. U.S. federal NOLs generated for tax years beginning before December 31, 2018 can offset 100% of taxable income, however, these NOLs can only be carried forward for 20 years. U.S. federal NOLs generated for tax years beginning after December 31, 2018 can offset 80% of taxable income, however, these NOLs can be carried forward indefinitely. We maintain a partial valuation allowance related to our NOLs, credit carryforwards, and other net deferred tax assets due to the uncertainty of the ultimate realization of the future benefits of those assets. To the extent we determine that all, or a portion of, our valuation allowance is no longer necessary, we will reverse the valuation allowance and recognize an income tax benefit in the reported financial statement earnings in that period. Once the valuation allowance is eliminated or reduced, its reversal will no longer be available to offset our current financial statement income tax provision in future periods. Release of the valuation allowance would result in the recognition of certain net deferred tax assets and a decrease to income tax expense for the period the release is recorded. However, the exact timing and amount of the valuation allowance release are subject to change on the basis of the level of profitability that we are able to actually achieve and the impact of Section 382.</w:t>
      </w:r>
    </w:p>
    <w:p>
      <w:pPr>
        <w:pStyle w:val="TextBody"/>
        <w:bidi w:val="0"/>
        <w:spacing w:lineRule="auto" w:line="288" w:before="100" w:after="100"/>
        <w:jc w:val="left"/>
        <w:rPr>
          <w:rFonts w:ascii="Times New Roman;sans-serif" w:hAnsi="Times New Roman;sans-serif"/>
          <w:b/>
          <w:i/>
          <w:color w:val="000000"/>
          <w:sz w:val="20"/>
        </w:rPr>
      </w:pPr>
      <w:r>
        <w:rPr>
          <w:rFonts w:ascii="Times New Roman;sans-serif" w:hAnsi="Times New Roman;sans-serif"/>
          <w:b/>
          <w:i/>
          <w:color w:val="000000"/>
          <w:sz w:val="20"/>
        </w:rPr>
        <w:t>We may require additional capital to support our business or to refinance our existing debt obligations as they come due, and such capital might not be available on terms acceptable to us, if at all. Inability to obtain financing could limit our ability to conduct necessary operating activities, make strategic investments or repay or refinance our existing debt obligations.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Various business challenges and opportunities may require additional funds, including the need to respond to competitive threats or market evolution by developing new solutions and improving our operating infrastructure through additional hiring or acquisition of complementary businesses or technologies, or both. In addition, we could incur significant expenses or shortfalls in anticipated cash generated as a result of unanticipated events in our business or competitive, regulatory, or other changes in our market, or longer payment cycles required or imposed by our buyers.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available cash and cash equivalents, any cash we may generate from operations, and our available line of credit under our credit facility may not be adequate to meet our capital needs, and therefore we may need to engage in equity or debt financings to secure additional funds. We may not be able to obtain additional financing on terms favorable to us, if at all. If we are unable to obtain adequate financing on terms satisfactory to us when we require it or are unable to renew our credit facility when it matures or enter into a new one or we are unable to refinance our Convertible Senior Notes before they come due, on terms satisfactory to us or at all, our ability to continue to support our business growth and respond to business challenges could be significantly impaired, and our business and financial condition may be adversely affected.</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If we do raise additional funds through future issuances of equity or convertible debt securities, our existing stockholders could suffer significant dilution, and any new equity securities we issue could have rights, preferences and privileges superior to those of holders of our common stock. Any debt financing that we secure in the future could involve restrictive covenants relating to our capital raising activities and other financial and operational matters, including the ability to pay dividends. This may make it more difficult for us to obtain additional capital and to pursue business opportunities, including potential acquisitions. In addition, if we issue debt, the holders of that debt would have prior claims on the Company's assets, and in case of insolvency, the claims of creditors would be satisfied before distribution of value to equity holders, which would result in significant reduction or total loss of the value of our equity.</w:t>
      </w:r>
    </w:p>
    <w:p>
      <w:pPr>
        <w:pStyle w:val="TextBody"/>
        <w:bidi w:val="0"/>
        <w:spacing w:before="100" w:after="100"/>
        <w:jc w:val="left"/>
        <w:rPr/>
      </w:pPr>
      <w:r>
        <w:rPr/>
      </w:r>
    </w:p>
    <w:p>
      <w:pPr>
        <w:pStyle w:val="TextBody"/>
        <w:bidi w:val="0"/>
        <w:spacing w:lineRule="auto" w:line="288" w:before="100" w:after="100"/>
        <w:jc w:val="left"/>
        <w:rPr>
          <w:rFonts w:ascii="Times New Roman;sans-serif" w:hAnsi="Times New Roman;sans-serif"/>
          <w:b/>
          <w:color w:val="000000"/>
          <w:sz w:val="20"/>
        </w:rPr>
      </w:pPr>
      <w:r>
        <w:rPr>
          <w:rFonts w:ascii="Times New Roman;sans-serif" w:hAnsi="Times New Roman;sans-serif"/>
          <w:b/>
          <w:color w:val="000000"/>
          <w:sz w:val="20"/>
        </w:rPr>
        <w:t>Risks Related to the Securities Markets and Ownership of our Common Stock</w:t>
      </w:r>
    </w:p>
    <w:p>
      <w:pPr>
        <w:pStyle w:val="TextBody"/>
        <w:bidi w:val="0"/>
        <w:spacing w:lineRule="auto" w:line="288" w:before="100" w:after="100"/>
        <w:jc w:val="left"/>
        <w:rPr>
          <w:rFonts w:ascii="Times New Roman;sans-serif" w:hAnsi="Times New Roman;sans-serif"/>
          <w:b/>
          <w:i/>
          <w:color w:val="000000"/>
          <w:sz w:val="20"/>
        </w:rPr>
      </w:pPr>
      <w:r>
        <w:rPr>
          <w:rFonts w:ascii="Times New Roman;sans-serif" w:hAnsi="Times New Roman;sans-serif"/>
          <w:b/>
          <w:i/>
          <w:color w:val="000000"/>
          <w:sz w:val="20"/>
        </w:rPr>
        <w:t>The price of our common stock has been and may continue to be volatile and the value of an investment in our common stock could decline.</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trading price of our common stock has fluctuated substantially and may continue to do so. These fluctuations could result in significant decreases in the value of an investment in our common stock. Factors that could cause fluctuations in the trading price of our common stock include the following: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8d6a21e15cb741baa6dee69bcf11e47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40"/>
        <w:ind w:left="0" w:right="0" w:hanging="360"/>
        <w:jc w:val="left"/>
        <w:rPr/>
      </w:pPr>
      <w:r>
        <w:rPr>
          <w:color w:val="000000"/>
        </w:rPr>
        <w:t>•</w:t>
      </w:r>
      <w:r>
        <w:rPr>
          <w:rFonts w:ascii="Times New Roman;sans-serif" w:hAnsi="Times New Roman;sans-serif"/>
          <w:b w:val="false"/>
          <w:color w:val="000000"/>
          <w:sz w:val="20"/>
        </w:rPr>
        <w:t>announcements of new offerings, products, services or technologies, commercial relationships, acquisitions, or other events by us or our competitors;</w:t>
      </w:r>
    </w:p>
    <w:p>
      <w:pPr>
        <w:pStyle w:val="TextBody"/>
        <w:bidi w:val="0"/>
        <w:spacing w:lineRule="auto" w:line="288" w:before="0" w:after="40"/>
        <w:ind w:left="0" w:right="0" w:hanging="360"/>
        <w:jc w:val="left"/>
        <w:rPr/>
      </w:pPr>
      <w:r>
        <w:rPr>
          <w:color w:val="000000"/>
        </w:rPr>
        <w:t>•</w:t>
      </w:r>
      <w:r>
        <w:rPr>
          <w:rFonts w:ascii="Times New Roman;sans-serif" w:hAnsi="Times New Roman;sans-serif"/>
          <w:b w:val="false"/>
          <w:color w:val="000000"/>
          <w:sz w:val="20"/>
        </w:rPr>
        <w:t>price and volume fluctuations in the overall stock market from time to time;</w:t>
      </w:r>
    </w:p>
    <w:p>
      <w:pPr>
        <w:pStyle w:val="TextBody"/>
        <w:bidi w:val="0"/>
        <w:spacing w:lineRule="auto" w:line="288" w:before="0" w:after="40"/>
        <w:ind w:left="0" w:right="0" w:hanging="360"/>
        <w:jc w:val="left"/>
        <w:rPr/>
      </w:pPr>
      <w:r>
        <w:rPr>
          <w:color w:val="000000"/>
        </w:rPr>
        <w:t>•</w:t>
      </w:r>
      <w:r>
        <w:rPr>
          <w:rFonts w:ascii="Times New Roman;sans-serif" w:hAnsi="Times New Roman;sans-serif"/>
          <w:b w:val="false"/>
          <w:color w:val="000000"/>
          <w:sz w:val="20"/>
        </w:rPr>
        <w:t>significant volatility in the market price and trading volume of technology companies in general and of companies in the digital advertising industry in particular;</w:t>
      </w:r>
    </w:p>
    <w:p>
      <w:pPr>
        <w:pStyle w:val="TextBody"/>
        <w:bidi w:val="0"/>
        <w:spacing w:lineRule="auto" w:line="288" w:before="0" w:after="40"/>
        <w:ind w:left="0" w:right="0" w:hanging="360"/>
        <w:jc w:val="left"/>
        <w:rPr/>
      </w:pPr>
      <w:r>
        <w:rPr>
          <w:color w:val="000000"/>
        </w:rPr>
        <w:t>•</w:t>
      </w:r>
      <w:r>
        <w:rPr>
          <w:rFonts w:ascii="Times New Roman;sans-serif" w:hAnsi="Times New Roman;sans-serif"/>
          <w:b w:val="false"/>
          <w:color w:val="000000"/>
          <w:sz w:val="20"/>
        </w:rPr>
        <w:t>fluctuations in the trading volume of our shares or the size of our public float;</w:t>
      </w:r>
    </w:p>
    <w:p>
      <w:pPr>
        <w:pStyle w:val="TextBody"/>
        <w:bidi w:val="0"/>
        <w:spacing w:lineRule="auto" w:line="288" w:before="0" w:after="40"/>
        <w:ind w:left="0" w:right="0" w:hanging="360"/>
        <w:jc w:val="left"/>
        <w:rPr/>
      </w:pPr>
      <w:r>
        <w:rPr>
          <w:color w:val="000000"/>
        </w:rPr>
        <w:t>•</w:t>
      </w:r>
      <w:r>
        <w:rPr>
          <w:rFonts w:ascii="Times New Roman;sans-serif" w:hAnsi="Times New Roman;sans-serif"/>
          <w:b w:val="false"/>
          <w:color w:val="000000"/>
          <w:sz w:val="20"/>
        </w:rPr>
        <w:t>actual or anticipated changes or fluctuations in our results of operations;</w:t>
      </w:r>
    </w:p>
    <w:p>
      <w:pPr>
        <w:pStyle w:val="TextBody"/>
        <w:bidi w:val="0"/>
        <w:spacing w:lineRule="auto" w:line="288" w:before="0" w:after="40"/>
        <w:ind w:left="0" w:right="0" w:hanging="360"/>
        <w:jc w:val="left"/>
        <w:rPr/>
      </w:pPr>
      <w:r>
        <w:rPr>
          <w:color w:val="000000"/>
        </w:rPr>
        <w:t>•</w:t>
      </w:r>
      <w:r>
        <w:rPr>
          <w:rFonts w:ascii="Times New Roman;sans-serif" w:hAnsi="Times New Roman;sans-serif"/>
          <w:b w:val="false"/>
          <w:color w:val="000000"/>
          <w:sz w:val="20"/>
        </w:rPr>
        <w:t>actual or anticipated changes in the expectations of investors or securities analysts, and whether our results of operations meet these expectations;</w:t>
      </w:r>
    </w:p>
    <w:p>
      <w:pPr>
        <w:pStyle w:val="TextBody"/>
        <w:bidi w:val="0"/>
        <w:spacing w:lineRule="auto" w:line="288" w:before="0" w:after="40"/>
        <w:ind w:left="0" w:right="0" w:hanging="360"/>
        <w:jc w:val="left"/>
        <w:rPr/>
      </w:pPr>
      <w:r>
        <w:rPr>
          <w:color w:val="000000"/>
        </w:rPr>
        <w:t>•</w:t>
      </w:r>
      <w:r>
        <w:rPr>
          <w:rFonts w:ascii="Times New Roman;sans-serif" w:hAnsi="Times New Roman;sans-serif"/>
          <w:b w:val="false"/>
          <w:color w:val="000000"/>
          <w:sz w:val="20"/>
        </w:rPr>
        <w:t>issuance of research reports by analysts or investors;</w:t>
      </w:r>
    </w:p>
    <w:p>
      <w:pPr>
        <w:pStyle w:val="TextBody"/>
        <w:bidi w:val="0"/>
        <w:spacing w:lineRule="auto" w:line="288" w:before="0" w:after="40"/>
        <w:ind w:left="0" w:right="0" w:hanging="360"/>
        <w:jc w:val="left"/>
        <w:rPr/>
      </w:pPr>
      <w:r>
        <w:rPr>
          <w:color w:val="000000"/>
        </w:rPr>
        <w:t>•</w:t>
      </w:r>
      <w:r>
        <w:rPr>
          <w:rFonts w:ascii="Times New Roman;sans-serif" w:hAnsi="Times New Roman;sans-serif"/>
          <w:b w:val="false"/>
          <w:color w:val="000000"/>
          <w:sz w:val="20"/>
        </w:rPr>
        <w:t>litigation involving us, our industry, or both;</w:t>
      </w:r>
    </w:p>
    <w:p>
      <w:pPr>
        <w:pStyle w:val="TextBody"/>
        <w:bidi w:val="0"/>
        <w:spacing w:lineRule="auto" w:line="288" w:before="0" w:after="40"/>
        <w:ind w:left="0" w:right="0" w:hanging="360"/>
        <w:jc w:val="left"/>
        <w:rPr/>
      </w:pPr>
      <w:r>
        <w:rPr>
          <w:color w:val="000000"/>
        </w:rPr>
        <w:t>•</w:t>
      </w:r>
      <w:r>
        <w:rPr>
          <w:rFonts w:ascii="Times New Roman;sans-serif" w:hAnsi="Times New Roman;sans-serif"/>
          <w:b w:val="false"/>
          <w:color w:val="000000"/>
          <w:sz w:val="20"/>
        </w:rPr>
        <w:t>regulatory developments in the United States, foreign countries, or both;</w:t>
      </w:r>
    </w:p>
    <w:p>
      <w:pPr>
        <w:pStyle w:val="TextBody"/>
        <w:bidi w:val="0"/>
        <w:spacing w:lineRule="auto" w:line="288" w:before="0" w:after="40"/>
        <w:ind w:left="0" w:right="0" w:hanging="360"/>
        <w:jc w:val="left"/>
        <w:rPr/>
      </w:pPr>
      <w:r>
        <w:rPr>
          <w:color w:val="000000"/>
        </w:rPr>
        <w:t>•</w:t>
      </w:r>
      <w:r>
        <w:rPr>
          <w:rFonts w:ascii="Times New Roman;sans-serif" w:hAnsi="Times New Roman;sans-serif"/>
          <w:b w:val="false"/>
          <w:color w:val="000000"/>
          <w:sz w:val="20"/>
        </w:rPr>
        <w:t>general economic conditions and trends;</w:t>
      </w:r>
    </w:p>
    <w:p>
      <w:pPr>
        <w:pStyle w:val="TextBody"/>
        <w:bidi w:val="0"/>
        <w:spacing w:lineRule="auto" w:line="288" w:before="0" w:after="40"/>
        <w:ind w:left="0" w:right="0" w:hanging="360"/>
        <w:jc w:val="left"/>
        <w:rPr/>
      </w:pPr>
      <w:r>
        <w:rPr>
          <w:color w:val="000000"/>
        </w:rPr>
        <w:t>•</w:t>
      </w:r>
      <w:r>
        <w:rPr>
          <w:rFonts w:ascii="Times New Roman;sans-serif" w:hAnsi="Times New Roman;sans-serif"/>
          <w:b w:val="false"/>
          <w:color w:val="000000"/>
          <w:sz w:val="20"/>
        </w:rPr>
        <w:t>major catastrophic events;</w:t>
      </w:r>
    </w:p>
    <w:p>
      <w:pPr>
        <w:pStyle w:val="TextBody"/>
        <w:bidi w:val="0"/>
        <w:spacing w:lineRule="auto" w:line="288" w:before="0" w:after="40"/>
        <w:ind w:left="0" w:right="0" w:hanging="360"/>
        <w:jc w:val="left"/>
        <w:rPr/>
      </w:pPr>
      <w:r>
        <w:rPr>
          <w:color w:val="000000"/>
        </w:rPr>
        <w:t>•</w:t>
      </w:r>
      <w:r>
        <w:rPr>
          <w:rFonts w:ascii="Times New Roman;sans-serif" w:hAnsi="Times New Roman;sans-serif"/>
          <w:b w:val="false"/>
          <w:color w:val="000000"/>
          <w:sz w:val="20"/>
        </w:rPr>
        <w:t>political uncertainty;</w:t>
      </w:r>
    </w:p>
    <w:p>
      <w:pPr>
        <w:pStyle w:val="TextBody"/>
        <w:bidi w:val="0"/>
        <w:spacing w:lineRule="auto" w:line="288" w:before="0" w:after="40"/>
        <w:ind w:left="0" w:right="0" w:hanging="360"/>
        <w:jc w:val="left"/>
        <w:rPr/>
      </w:pPr>
      <w:r>
        <w:rPr>
          <w:color w:val="000000"/>
        </w:rPr>
        <w:t>•</w:t>
      </w:r>
      <w:r>
        <w:rPr>
          <w:rFonts w:ascii="Times New Roman;sans-serif" w:hAnsi="Times New Roman;sans-serif"/>
          <w:b w:val="false"/>
          <w:color w:val="000000"/>
          <w:sz w:val="20"/>
        </w:rPr>
        <w:t>breaches or system outages;</w:t>
      </w:r>
    </w:p>
    <w:p>
      <w:pPr>
        <w:pStyle w:val="TextBody"/>
        <w:bidi w:val="0"/>
        <w:spacing w:lineRule="auto" w:line="288" w:before="0" w:after="40"/>
        <w:ind w:left="0" w:right="0" w:hanging="360"/>
        <w:jc w:val="left"/>
        <w:rPr/>
      </w:pPr>
      <w:r>
        <w:rPr>
          <w:color w:val="000000"/>
        </w:rPr>
        <w:t>•</w:t>
      </w:r>
      <w:r>
        <w:rPr>
          <w:rFonts w:ascii="Times New Roman;sans-serif" w:hAnsi="Times New Roman;sans-serif"/>
          <w:b w:val="false"/>
          <w:color w:val="000000"/>
          <w:sz w:val="20"/>
        </w:rPr>
        <w:t>departures of officers or other key employees; or</w:t>
      </w:r>
    </w:p>
    <w:p>
      <w:pPr>
        <w:pStyle w:val="TextBody"/>
        <w:bidi w:val="0"/>
        <w:spacing w:lineRule="auto" w:line="288" w:before="0" w:after="40"/>
        <w:ind w:left="0" w:right="0" w:hanging="360"/>
        <w:jc w:val="left"/>
        <w:rPr/>
      </w:pPr>
      <w:r>
        <w:rPr>
          <w:color w:val="000000"/>
        </w:rPr>
        <w:t>•</w:t>
      </w:r>
      <w:r>
        <w:rPr>
          <w:rFonts w:ascii="Times New Roman;sans-serif" w:hAnsi="Times New Roman;sans-serif"/>
          <w:b w:val="false"/>
          <w:color w:val="000000"/>
          <w:sz w:val="20"/>
        </w:rPr>
        <w:t>an adverse impact on the company resulting from other causes, including any of the other risks described in this report.</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if the market for advertising technology stocks or the stock market, in general, experiences a loss of investor confidence, the trading price of our common stock could decline for reasons unrelated to our business. The trading price of our common stock might also decline in reaction to events that affect other companies in our industry even if these events do not directly affect us. Declines in the price of our common stock, even following increases, may result in securities litigation against us, which would result in substantial costs and divert our management's attention and resources from our business.</w:t>
      </w:r>
    </w:p>
    <w:p>
      <w:pPr>
        <w:pStyle w:val="TextBody"/>
        <w:bidi w:val="0"/>
        <w:spacing w:lineRule="auto" w:line="288" w:before="100" w:after="100"/>
        <w:jc w:val="left"/>
        <w:rPr>
          <w:rFonts w:ascii="Times New Roman;sans-serif" w:hAnsi="Times New Roman;sans-serif"/>
          <w:b/>
          <w:i/>
          <w:color w:val="000000"/>
          <w:sz w:val="20"/>
        </w:rPr>
      </w:pPr>
      <w:r>
        <w:rPr>
          <w:rFonts w:ascii="Times New Roman;sans-serif" w:hAnsi="Times New Roman;sans-serif"/>
          <w:b/>
          <w:i/>
          <w:color w:val="000000"/>
          <w:sz w:val="20"/>
        </w:rPr>
        <w:t>We cannot guarantee that our repurchase program will enhance shareholder value, and repurchases could affect the price of our common stock and Convertible Senior Notes.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1, 2024, our Board of Directors approved a repurchase program (the "Repurchase Plan"), under which we are authorized to repurchase common stock or Convertible Senior Notes, with an aggregate market value of up to $125.0 million, through February 2026. The Repurchase Plan allows us to repurchase our common stock or Convertible Senior Notes using open market stock purchases, privately negotiated transactions, block trades or other means in accordance with U.S. securities laws. The number of securities repurchased and the timing of repurchases will depend on a number of factors, including, but not limited to, share price, trading volume and general market conditions, along with working capital requirements, general business conditions, other opportunities that we may have for the use or investment of our capital and other factors. The Repurchase Plan does not obligate us to repurchase any particular amount of common stock or Convertible Senior Notes and may be suspended, modified or discontinued at any time at our discretion. The Repurchase Plan could affect the price of our common stock and Convertible Senior Notes, increase volatility and diminish our cash reserves.</w:t>
      </w:r>
    </w:p>
    <w:p>
      <w:pPr>
        <w:pStyle w:val="TextBody"/>
        <w:bidi w:val="0"/>
        <w:spacing w:lineRule="auto" w:line="288" w:before="100" w:after="100"/>
        <w:jc w:val="left"/>
        <w:rPr>
          <w:rFonts w:ascii="Times New Roman;sans-serif" w:hAnsi="Times New Roman;sans-serif"/>
          <w:b/>
          <w:i/>
          <w:color w:val="000000"/>
          <w:sz w:val="20"/>
        </w:rPr>
      </w:pPr>
      <w:r>
        <w:rPr>
          <w:rFonts w:ascii="Times New Roman;sans-serif" w:hAnsi="Times New Roman;sans-serif"/>
          <w:b/>
          <w:i/>
          <w:color w:val="000000"/>
          <w:sz w:val="20"/>
        </w:rPr>
        <w:t>If securities or industry analysts do not publish, or cease publishing, research or reports about us, our business or our market, if they publish negative evaluations of our stock, or if we fail to meet the expectations of analysts, the price of our stock and trading volume could decline.</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trading market for our common stock will be influenced by the research and reports that industry or securities analysts may publish about us, our business, our market or our competitors. We do not have any control over these analysts, and their reports or analysts' consensus may not reflect our guidance, plans or expectations. If one or more of the analysts covering our business issues an adverse opinion of our company because we fail to meet their expectations or otherwise, the price of our stock could decline. If one or more of these analysts cease to cover our stock, we could lose visibility in the market for our stock, which in turn could cause our stock price to decline.</w:t>
      </w:r>
    </w:p>
    <w:p>
      <w:pPr>
        <w:pStyle w:val="TextBody"/>
        <w:bidi w:val="0"/>
        <w:spacing w:lineRule="auto" w:line="288" w:before="100" w:after="100"/>
        <w:jc w:val="left"/>
        <w:rPr>
          <w:rFonts w:ascii="Times New Roman;sans-serif" w:hAnsi="Times New Roman;sans-serif"/>
          <w:b/>
          <w:i/>
          <w:color w:val="000000"/>
          <w:sz w:val="20"/>
        </w:rPr>
      </w:pPr>
      <w:r>
        <w:rPr>
          <w:rFonts w:ascii="Times New Roman;sans-serif" w:hAnsi="Times New Roman;sans-serif"/>
          <w:b/>
          <w:i/>
          <w:color w:val="000000"/>
          <w:sz w:val="20"/>
        </w:rPr>
        <w:t>Provisions of our charter documents and Delaware law may inhibit a potential acquisition of the company and limit the ability of stockholders to cause changes in company management.</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amended and restated certificate of incorporation and amended and restated bylaws include provisions, as described below, that could delay or prevent a change in control of the company, and make it difficult for stockholders to elect directors who are not nominated by the current members of our board of directors or take other actions to change company management.</w:t>
      </w:r>
    </w:p>
    <w:p>
      <w:pPr>
        <w:pStyle w:val="TextBody"/>
        <w:bidi w:val="0"/>
        <w:spacing w:lineRule="auto" w:line="288" w:before="0" w:after="40"/>
        <w:ind w:left="0" w:right="0" w:hanging="360"/>
        <w:jc w:val="left"/>
        <w:rPr/>
      </w:pPr>
      <w:r>
        <w:rPr>
          <w:color w:val="000000"/>
        </w:rPr>
        <w:t>•</w:t>
      </w:r>
      <w:r>
        <w:rPr>
          <w:rFonts w:ascii="Times New Roman;sans-serif" w:hAnsi="Times New Roman;sans-serif"/>
          <w:b w:val="false"/>
          <w:color w:val="000000"/>
          <w:sz w:val="20"/>
        </w:rPr>
        <w:t xml:space="preserve">Our certificate of incorporation gives our board of directors the authority to issue shares of preferred stock in one or more series, and to establish the number of shares in each series and to fix the price, designations, powers, preferences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8d6a21e15cb741baa6dee69bcf11e47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and relative, participating, optional or other rights, if any, and the qualifications, limitations, or restrictions of each series of the preferred stock without any further vote or action by stockholders. The issuance of shares of preferred stock may discourage, delay or prevent a merger or acquisition of the company by significantly diluting the ownership of a hostile acquirer, resulting in the loss of voting power and reduced ability to cause a takeover or effect other changes.</w:t>
      </w:r>
    </w:p>
    <w:p>
      <w:pPr>
        <w:pStyle w:val="TextBody"/>
        <w:bidi w:val="0"/>
        <w:spacing w:lineRule="auto" w:line="288" w:before="0" w:after="40"/>
        <w:ind w:left="0" w:right="0" w:hanging="360"/>
        <w:jc w:val="left"/>
        <w:rPr/>
      </w:pPr>
      <w:r>
        <w:rPr>
          <w:color w:val="000000"/>
        </w:rPr>
        <w:t>•</w:t>
      </w:r>
      <w:r>
        <w:rPr>
          <w:rFonts w:ascii="Times New Roman;sans-serif" w:hAnsi="Times New Roman;sans-serif"/>
          <w:b w:val="false"/>
          <w:color w:val="000000"/>
          <w:sz w:val="20"/>
        </w:rPr>
        <w:t>Our certificate of incorporation provides that our board of directors is classified, with only one of its three classes elected each year, and directors may be removed only for cause and only with the vote of 66</w:t>
      </w:r>
      <w:r>
        <w:rPr>
          <w:color w:val="000000"/>
        </w:rPr>
        <w:t xml:space="preserve"> </w:t>
      </w:r>
      <w:r>
        <w:rPr>
          <w:rFonts w:ascii="Times New Roman;sans-serif" w:hAnsi="Times New Roman;sans-serif"/>
          <w:b w:val="false"/>
          <w:color w:val="000000"/>
          <w:sz w:val="13"/>
        </w:rPr>
        <w:t>2</w:t>
      </w:r>
      <w:r>
        <w:rPr>
          <w:rFonts w:ascii="Times New Roman;sans-serif" w:hAnsi="Times New Roman;sans-serif"/>
          <w:b w:val="false"/>
          <w:color w:val="000000"/>
          <w:sz w:val="20"/>
        </w:rPr>
        <w:t>/</w:t>
      </w:r>
      <w:r>
        <w:rPr>
          <w:rFonts w:ascii="Times New Roman;sans-serif" w:hAnsi="Times New Roman;sans-serif"/>
          <w:b w:val="false"/>
          <w:color w:val="000000"/>
          <w:sz w:val="13"/>
        </w:rPr>
        <w:t>3</w:t>
      </w:r>
      <w:r>
        <w:rPr>
          <w:rFonts w:ascii="Times New Roman;sans-serif" w:hAnsi="Times New Roman;sans-serif"/>
          <w:b w:val="false"/>
          <w:color w:val="000000"/>
          <w:sz w:val="20"/>
        </w:rPr>
        <w:t>% of the voting power of stock outstanding and entitled to vote thereon. Further, the number of directors is determined solely by our board of directors, and because we do not allow for cumulative voting rights, holders of a majority of shares of common stock entitled to vote may elect all of the directors standing for election. These provisions could delay the ability of stockholders to change the membership of a majority of our board of directors.</w:t>
      </w:r>
    </w:p>
    <w:p>
      <w:pPr>
        <w:pStyle w:val="TextBody"/>
        <w:bidi w:val="0"/>
        <w:spacing w:lineRule="auto" w:line="288" w:before="0" w:after="40"/>
        <w:ind w:left="0" w:right="0" w:hanging="360"/>
        <w:jc w:val="left"/>
        <w:rPr/>
      </w:pPr>
      <w:r>
        <w:rPr>
          <w:color w:val="000000"/>
        </w:rPr>
        <w:t>•</w:t>
      </w:r>
      <w:r>
        <w:rPr>
          <w:rFonts w:ascii="Times New Roman;sans-serif" w:hAnsi="Times New Roman;sans-serif"/>
          <w:b w:val="false"/>
          <w:color w:val="000000"/>
          <w:sz w:val="20"/>
        </w:rPr>
        <w:t>Under our bylaws, only the board of directors or a majority of remaining directors, even if less than a quorum, may fill vacancies resulting from an increase in the authorized number of directors or the resignation, death or removal of a director.</w:t>
      </w:r>
    </w:p>
    <w:p>
      <w:pPr>
        <w:pStyle w:val="TextBody"/>
        <w:bidi w:val="0"/>
        <w:spacing w:lineRule="auto" w:line="288" w:before="0" w:after="40"/>
        <w:ind w:left="0" w:right="0" w:hanging="360"/>
        <w:jc w:val="left"/>
        <w:rPr/>
      </w:pPr>
      <w:r>
        <w:rPr>
          <w:color w:val="000000"/>
        </w:rPr>
        <w:t>•</w:t>
      </w:r>
      <w:r>
        <w:rPr>
          <w:rFonts w:ascii="Times New Roman;sans-serif" w:hAnsi="Times New Roman;sans-serif"/>
          <w:b w:val="false"/>
          <w:color w:val="000000"/>
          <w:sz w:val="20"/>
        </w:rPr>
        <w:t>Our certificate of incorporation prohibits stockholder action by written consent, so any action by stockholders may only be taken at an annual or special meeting.</w:t>
      </w:r>
    </w:p>
    <w:p>
      <w:pPr>
        <w:pStyle w:val="TextBody"/>
        <w:bidi w:val="0"/>
        <w:spacing w:lineRule="auto" w:line="288" w:before="0" w:after="40"/>
        <w:ind w:left="0" w:right="0" w:hanging="360"/>
        <w:jc w:val="left"/>
        <w:rPr/>
      </w:pPr>
      <w:r>
        <w:rPr>
          <w:color w:val="000000"/>
        </w:rPr>
        <w:t>•</w:t>
      </w:r>
      <w:r>
        <w:rPr>
          <w:rFonts w:ascii="Times New Roman;sans-serif" w:hAnsi="Times New Roman;sans-serif"/>
          <w:b w:val="false"/>
          <w:color w:val="000000"/>
          <w:sz w:val="20"/>
        </w:rPr>
        <w:t>Our certificate of incorporation provides that a special meeting of stockholders may be called only by the board of directors. This could delay any effort by stockholders to force consideration of a proposal or to take action, including the removal of directors.</w:t>
      </w:r>
    </w:p>
    <w:p>
      <w:pPr>
        <w:pStyle w:val="TextBody"/>
        <w:bidi w:val="0"/>
        <w:spacing w:lineRule="auto" w:line="288" w:before="0" w:after="40"/>
        <w:ind w:left="0" w:right="0" w:hanging="360"/>
        <w:jc w:val="left"/>
        <w:rPr/>
      </w:pPr>
      <w:r>
        <w:rPr>
          <w:color w:val="000000"/>
        </w:rPr>
        <w:t>•</w:t>
      </w:r>
      <w:r>
        <w:rPr>
          <w:rFonts w:ascii="Times New Roman;sans-serif" w:hAnsi="Times New Roman;sans-serif"/>
          <w:b w:val="false"/>
          <w:color w:val="000000"/>
          <w:sz w:val="20"/>
        </w:rPr>
        <w:t>Under our bylaws, advance notice must be given to nominate directors or submit proposals for consideration at stockholders' meetings. This gives our board of directors time to defend against takeover attempts and could discourage or deter a potential acquirer from soliciting proxies or making proposals related to an unsolicited takeover attempt.</w:t>
      </w:r>
    </w:p>
    <w:p>
      <w:pPr>
        <w:pStyle w:val="TextBody"/>
        <w:bidi w:val="0"/>
        <w:spacing w:lineRule="auto" w:line="288" w:before="0" w:after="40"/>
        <w:ind w:left="0" w:right="0" w:hanging="360"/>
        <w:jc w:val="left"/>
        <w:rPr/>
      </w:pPr>
      <w:r>
        <w:rPr>
          <w:color w:val="000000"/>
        </w:rPr>
        <w:t>•</w:t>
      </w:r>
      <w:r>
        <w:rPr>
          <w:rFonts w:ascii="Times New Roman;sans-serif" w:hAnsi="Times New Roman;sans-serif"/>
          <w:b w:val="false"/>
          <w:color w:val="000000"/>
          <w:sz w:val="20"/>
        </w:rPr>
        <w:t>The provisions of our certificate of incorporation noted above may be amended only with the affirmative vote of holders of at least 66</w:t>
      </w:r>
      <w:r>
        <w:rPr>
          <w:color w:val="000000"/>
        </w:rPr>
        <w:t xml:space="preserve"> </w:t>
      </w:r>
      <w:r>
        <w:rPr>
          <w:rFonts w:ascii="Times New Roman;sans-serif" w:hAnsi="Times New Roman;sans-serif"/>
          <w:b w:val="false"/>
          <w:color w:val="000000"/>
          <w:sz w:val="13"/>
        </w:rPr>
        <w:t>2</w:t>
      </w:r>
      <w:r>
        <w:rPr>
          <w:rFonts w:ascii="Times New Roman;sans-serif" w:hAnsi="Times New Roman;sans-serif"/>
          <w:b w:val="false"/>
          <w:color w:val="000000"/>
          <w:sz w:val="20"/>
        </w:rPr>
        <w:t>/</w:t>
      </w:r>
      <w:r>
        <w:rPr>
          <w:rFonts w:ascii="Times New Roman;sans-serif" w:hAnsi="Times New Roman;sans-serif"/>
          <w:b w:val="false"/>
          <w:color w:val="000000"/>
          <w:sz w:val="13"/>
        </w:rPr>
        <w:t>3</w:t>
      </w:r>
      <w:r>
        <w:rPr>
          <w:rFonts w:ascii="Times New Roman;sans-serif" w:hAnsi="Times New Roman;sans-serif"/>
          <w:b w:val="false"/>
          <w:color w:val="000000"/>
          <w:sz w:val="20"/>
        </w:rPr>
        <w:t>% of the voting power of all of the then-outstanding shares of the company's voting stock, voting together as a single class. The same two-thirds vote is required to amend the provision of our certificate of incorporation imposing these supermajority voting requirements. Further, our bylaws may be amended only by our board of directors or by the same percentage vote of stockholders noted above as required to amend our certificate of incorporation. These supermajority voting requirements may inhibit the ability of a potential acquirer to effect such amendments to facilitate an unsolicited takeover attempt.</w:t>
      </w:r>
    </w:p>
    <w:p>
      <w:pPr>
        <w:pStyle w:val="TextBody"/>
        <w:bidi w:val="0"/>
        <w:spacing w:lineRule="auto" w:line="288" w:before="0" w:after="40"/>
        <w:ind w:left="0" w:right="0" w:hanging="360"/>
        <w:jc w:val="left"/>
        <w:rPr/>
      </w:pPr>
      <w:r>
        <w:rPr>
          <w:color w:val="000000"/>
        </w:rPr>
        <w:t>•</w:t>
      </w:r>
      <w:r>
        <w:rPr>
          <w:rFonts w:ascii="Times New Roman;sans-serif" w:hAnsi="Times New Roman;sans-serif"/>
          <w:b w:val="false"/>
          <w:color w:val="000000"/>
          <w:sz w:val="20"/>
        </w:rPr>
        <w:t>Our board of directors may amend our bylaws by majority vote. This could allow the board to use bylaw amendments to delay or prevent an unsolicited takeover, and limits the ability of an acquirer to amend the bylaws to facilitate an unsolicited takeover attempt.</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are also subject to Section 203 of the Delaware General Corporation Law, which prohibits us from engaging in any business combination with an interested stockholder for a period of three years from the date the person became an interested stockholder, unless certain conditions are met. These provisions make it more difficult for stockholders or potential acquirers to acquire the company without negotiation and may apply even if some of our stockholders consider the proposed transaction beneficial to them. For example, these provisions might discourage a potential acquisition proposal or tender offer, even if the acquisition proposal or tender offer were to be at a premium over the then-current market price for our common stock. These provisions could also limit the price that investors are willing to pay in the future for shares of our common stock.    </w:t>
      </w:r>
    </w:p>
    <w:p>
      <w:pPr>
        <w:pStyle w:val="TextBody"/>
        <w:bidi w:val="0"/>
        <w:spacing w:before="0" w:after="2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Item 1B. Unresolved Staff Comments</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8d6a21e15cb741baa6dee69bcf11e47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Item 1C. Cybersecurity</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Cybersecurity is a critical aspect of our business. As the world's largest independent omni-channel sell-side advertising platform, we face a multitude of cybersecurity threats, and our customers rely on us to safeguard their data. These challenges make it imperative that we take information security seriously, and we expend considerable resources on cybersecurity. We have implemented a comprehensive cybersecurity program to assess, identify, and manage risks from cybersecurity threats that may result in adverse effects on the confidentiality, integrity, and availability of our information systems.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Cybersecurity matters are overseen by our board of directors, which meets quarterly to review the measures implemented by the Company to identify and mitigate cybersecurity risks. Our chief information security officer (“CISO”) reports to the board quarterly on cybersecurity matters. These reports and presentations are prepared with input from members of our senior management team responsible for overseeing the company’s cybersecurity risk management, including the Chief Technology Officer, Chief Financial Officer, Chief Legal Officer and Chief People Officer. In addition, cybersecurity risks and associated mitigation efforts are assessed by senior management as part of the enterprise risk assessment process that includes reporting to and discussion with the audit committee and our board of directors. In addition, cybersecurity controls have been integrated into our disclosure controls and procedures.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CISO, who has extensive cybersecurity knowledge and skills gained from extensive information technology and engineering experience, heads the team responsible for implementing, monitoring and maintaining cybersecurity and data protection practices across our business. The CISO receives reports on cybersecurity threats from other internal information security personnel on an ongoing basis and in conjunction with management, regularly reviews risk management measures implemented by the Company to identify and mitigate cybersecurity risks. The CISO also attends meetings of the board of directors to report on any material developments. We have protocols by which certain cybersecurity incidents are reported promptly to management and the legal team.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maintains a general security policy, which outlines the relationship between employees and information technologies and systems within the Company, and sets guidelines on how such technologies and systems should and should not be used. This policy is revised regularly by the CISO and reviewed and acknowledged by all Company employees in conjunction with annual cybersecurity training. The Company also has a Systems Security Policy in place, which outlines the requirements for system configuration and administration of systems within the Company, and includes steps for reporting cybersecurity incidents and keeping senior management and other key stakeholders informed and involved as appropriate.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With respect to incident response, we have adopted an Incident Response Playbook that applies in the event of a cybersecurity threat or incident (an “IRP”) to provide a standardized framework for responding to security incidents, including malware, hacking, data breach (including third-party data breach), and other types of vulnerabilities. The IRP sets out a coordinated approach to investigating, containing, documenting and mitigating incidents, and provides triage workflows for individuals to follow. Our incident response process is generally based on the NIST framework and focuses on four phases: preparation; detection and analysis; containment, eradication and recovery; and post-incident remediation. The IRP applies to all Company personnel (including third-party contractors, vendors and partners) that perform functions or services requiring access to secure Company information, and to all devices and network services that are owned or managed by the Company. Our incident response team includes our CISO and the information security team, along with various business units, as applicable, and undergoes periodic training which includes exercises on monitoring and detection tools.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Security incidents are reviewed by the CISO and the information security team as soon as they are discovered or reported. The initial review of a security incident is conducted immediately, in order to appropriately determine the severity and urgency of the event. Key stakeholders and any technical owners of the impacted systems or processes are included in the incident review process and are brought in immediately in the case of potentially critical incidents. All phases of the review process are led by the CISO or another member of the security team, as appropriate.</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perform regular vulnerability scanning of our systems in order to ensure appropriate security controls are in place and function in accordance with established policies. We also have ongoing engagements with security consultants and other third parties as required to assist with assessing, identifying, and managing cybersecurity risks. These vendors help us with annual penetration testing and other items as needed. We have a robust internal controls framework and process and issue annual SOC 1 Type 2 reports covering our DV+, Streaming, and SpringServe platforms. In addition to our internal audit team, we have a dedicated compliance manager within the engineering department who helps ensure compliance with our control framework.</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detailed elsewhere in this Annual Report on Form 10-K, we also rely on information technology and third-party vendors to support our operations, including our secure processing of personal, confidential, proprietary and other types of information. We use state of the art systems with respect to the type of information processed, and employ processes designed to oversee, identify, and reduce the potential impact of a security incident with a third-party vendor or customer or otherwise implicating the third-party technology and systems we use. Despite ongoing efforts to continue improvement of our and our vendors’ ability to protect against cyber-attacks, we may not be able to protect all information systems. Any incidents may lead to reputational harm, revenue and client loss, legal actions, statutory penalties, among other consequences.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8d6a21e15cb741baa6dee69bcf11e47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Although we maintain a robust cybersecurity program, due to evolving cybersecurity threats, it has and will continue to be difficult to prevent, detect, mitigate, and remediate cybersecurity incidents. While we are not aware of having experienced any material cybersecurity threats or incidents, there can be no guarantee that we will not be the subject of future successful attacks, threats or incidents. To mitigate against such risks, the company carries information security risk insurance that provides protection against potential losses arising from a cybersecurity incident. Refer to Item 1A. "Risk Factors" for additional information related to cybersecurity risks and the impact they may have on our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8d6a21e15cb741baa6dee69bcf11e47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Item 2. Properties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corporate headquarters are located in New York, New York, where we occupy office space totaling approximately 41,946 square feet under a lease that expires in 2030. We use these facilities for our principal administration, sales and marketing, technology and development, and engineering activities.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also have an office in Los Angeles under a lease that expires in 2031 that is approximately 38,754 square feet and lease additional offices and maintain data centers in other locations in North America, South America, Europe, Australia, and Asia. We believe that our current facilities are adequate to meet our current needs, and that, if we require additional space, we will be able to obtain additional facilities on commercially reasonable terms.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Item 3. Legal Proceedings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and our subsidiaries may from time to time be parties to legal or regulatory proceedings, lawsuits and other claims incident to our business activities and to our status as a public company. Such routine matters may include, among other things, assertions of contract breach or intellectual property infringement, claims for indemnity arising in the course of our business, regulatory investigations, audits by taxing authorities, or enforcement proceedings, and claims by persons whose employment has been terminated. Such matters are subject to many uncertainties, and outcomes are not predictable with assurance. Consequently, we are unable to ascertain the ultimate aggregate amount of monetary liability, amounts which may be covered by insurance or recoverable from third parties, or the financial impact with respect to such matters as of December 31, 2023. However, based on our knowledge as of December 31, 2023, we believe that the final resolution of such matters pending at the time of this report, individually and in the aggregate, will not have a material adverse effect upon our consolidated financial position, results of operations or cash flows.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Refer to Note 16—"Commitments and Contingencies" for additional information related to legal proceedings.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8d6a21e15cb741baa6dee69bcf11e47e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PART II</w:t>
      </w: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Item 5. Market for Registrant's Common Equity, Related Stockholder Matters and Issuer Purchases of Equity Securities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common stock is listed on the Nasdaq Global Select Market of the Nasdaq Stock Market LLC ("Nasdaq") under the symbol "MGNI."</w:t>
      </w:r>
    </w:p>
    <w:p>
      <w:pPr>
        <w:pStyle w:val="TextBody"/>
        <w:bidi w:val="0"/>
        <w:spacing w:lineRule="auto" w:line="288" w:before="100" w:after="100"/>
        <w:jc w:val="left"/>
        <w:rPr>
          <w:rFonts w:ascii="Times New Roman;sans-serif" w:hAnsi="Times New Roman;sans-serif"/>
          <w:b/>
          <w:color w:val="000000"/>
          <w:sz w:val="20"/>
        </w:rPr>
      </w:pPr>
      <w:r>
        <w:rPr>
          <w:rFonts w:ascii="Times New Roman;sans-serif" w:hAnsi="Times New Roman;sans-serif"/>
          <w:b/>
          <w:color w:val="000000"/>
          <w:sz w:val="20"/>
        </w:rPr>
        <w:t>Holders of Record</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February 20, 2024, there were approximately 53 holders of record of our common stock. The actual number of stockholders is greater than this number of record holders and includes stockholders who are beneficial owners but whose shares are held in street name by brokers and other nominees. This number of holders also does not include stockholders whose shares may be held in trust by other entities.</w:t>
      </w:r>
    </w:p>
    <w:p>
      <w:pPr>
        <w:pStyle w:val="TextBody"/>
        <w:bidi w:val="0"/>
        <w:spacing w:lineRule="auto" w:line="288" w:before="100" w:after="100"/>
        <w:jc w:val="left"/>
        <w:rPr>
          <w:rFonts w:ascii="Times New Roman;sans-serif" w:hAnsi="Times New Roman;sans-serif"/>
          <w:b/>
          <w:color w:val="000000"/>
          <w:sz w:val="20"/>
        </w:rPr>
      </w:pPr>
      <w:r>
        <w:rPr>
          <w:rFonts w:ascii="Times New Roman;sans-serif" w:hAnsi="Times New Roman;sans-serif"/>
          <w:b/>
          <w:color w:val="000000"/>
          <w:sz w:val="20"/>
        </w:rPr>
        <w:t>Dividend Policy</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have never declared or paid any dividends and we do not anticipate paying any cash dividends in the foreseeable future. In addition, our credit facility contains restrictions on our ability to pay dividends.</w:t>
      </w:r>
    </w:p>
    <w:p>
      <w:pPr>
        <w:pStyle w:val="TextBody"/>
        <w:bidi w:val="0"/>
        <w:spacing w:lineRule="auto" w:line="288" w:before="100" w:after="100"/>
        <w:jc w:val="left"/>
        <w:rPr>
          <w:rFonts w:ascii="Times New Roman;sans-serif" w:hAnsi="Times New Roman;sans-serif"/>
          <w:b/>
          <w:color w:val="000000"/>
          <w:sz w:val="20"/>
        </w:rPr>
      </w:pPr>
      <w:r>
        <w:rPr>
          <w:rFonts w:ascii="Times New Roman;sans-serif" w:hAnsi="Times New Roman;sans-serif"/>
          <w:b/>
          <w:color w:val="000000"/>
          <w:sz w:val="20"/>
        </w:rPr>
        <w:t>Recent Sales of Unregistered Securities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lineRule="auto" w:line="288" w:before="100" w:after="100"/>
        <w:jc w:val="left"/>
        <w:rPr>
          <w:rFonts w:ascii="Times New Roman;sans-serif" w:hAnsi="Times New Roman;sans-serif"/>
          <w:b/>
          <w:color w:val="000000"/>
          <w:sz w:val="20"/>
        </w:rPr>
      </w:pPr>
      <w:r>
        <w:rPr>
          <w:rFonts w:ascii="Times New Roman;sans-serif" w:hAnsi="Times New Roman;sans-serif"/>
          <w:b/>
          <w:color w:val="000000"/>
          <w:sz w:val="20"/>
        </w:rPr>
        <w:t>Purchases of Equity Securities by the Issuer and Affiliated Purchasers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repurchases during the quarter ended December 31, 2023 were as follows (in thousands, except per share amounts):</w:t>
      </w:r>
    </w:p>
    <w:tbl>
      <w:tblPr>
        <w:tblW w:w="9558" w:type="dxa"/>
        <w:jc w:val="left"/>
        <w:tblInd w:w="0" w:type="dxa"/>
        <w:tblLayout w:type="fixed"/>
        <w:tblCellMar>
          <w:top w:w="28" w:type="dxa"/>
          <w:left w:w="28" w:type="dxa"/>
          <w:bottom w:w="28" w:type="dxa"/>
          <w:right w:w="28" w:type="dxa"/>
        </w:tblCellMar>
      </w:tblPr>
      <w:tblGrid>
        <w:gridCol w:w="1068"/>
        <w:gridCol w:w="939"/>
        <w:gridCol w:w="948"/>
        <w:gridCol w:w="109"/>
        <w:gridCol w:w="109"/>
        <w:gridCol w:w="109"/>
        <w:gridCol w:w="1019"/>
        <w:gridCol w:w="1019"/>
        <w:gridCol w:w="1022"/>
        <w:gridCol w:w="109"/>
        <w:gridCol w:w="109"/>
        <w:gridCol w:w="109"/>
        <w:gridCol w:w="556"/>
        <w:gridCol w:w="1347"/>
        <w:gridCol w:w="287"/>
        <w:gridCol w:w="109"/>
        <w:gridCol w:w="109"/>
        <w:gridCol w:w="109"/>
        <w:gridCol w:w="109"/>
        <w:gridCol w:w="109"/>
        <w:gridCol w:w="154"/>
      </w:tblGrid>
      <w:tr>
        <w:trPr/>
        <w:tc>
          <w:tcPr>
            <w:tcW w:w="1068"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Average Price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October 1 - October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Equity withholding</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November 1 - November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Equity withholding</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December 1 -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Equity withholding</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9.56 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269 </w:t>
            </w:r>
          </w:p>
        </w:tc>
        <w:tc>
          <w:tcPr>
            <w:tcW w:w="10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 xml:space="preserve">Upon vesting of most restricted stock units or stock awards, we are required to deposit minimum statutory employee withholding taxes on behalf of the holders of the vested awards. As reimbursement for these tax deposits, we have the option to withhold from shares otherwise issuable upon vesting a portion of those shares with a fair market value equal to the amount of the deposits we paid. Withholding of shares in this manner is accounted for as a repurchase of common stock. </w:t>
      </w:r>
    </w:p>
    <w:p>
      <w:pPr>
        <w:pStyle w:val="TextBody"/>
        <w:bidi w:val="0"/>
        <w:spacing w:before="100" w:after="100"/>
        <w:jc w:val="left"/>
        <w:rPr/>
      </w:pPr>
      <w:r>
        <w:rPr/>
      </w:r>
    </w:p>
    <w:p>
      <w:pPr>
        <w:pStyle w:val="TextBody"/>
        <w:bidi w:val="0"/>
        <w:spacing w:lineRule="auto" w:line="288" w:before="100" w:after="100"/>
        <w:jc w:val="left"/>
        <w:rPr>
          <w:rFonts w:ascii="Times New Roman;sans-serif" w:hAnsi="Times New Roman;sans-serif"/>
          <w:b/>
          <w:color w:val="000000"/>
          <w:sz w:val="20"/>
        </w:rPr>
      </w:pPr>
      <w:r>
        <w:rPr>
          <w:rFonts w:ascii="Times New Roman;sans-serif" w:hAnsi="Times New Roman;sans-serif"/>
          <w:b/>
          <w:color w:val="000000"/>
          <w:sz w:val="20"/>
        </w:rPr>
        <w:t>Stock Performance Graph</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This performance graph shall not be deemed "soliciting material" or to be "filed" with the SEC for purposes of Section 18 of the Exchange Act, or otherwise subject to the liabilities under that Section, and shall not be deemed to be incorporated by reference into any filing of ours under the Securities Act of 1933, as amended, except as shall be expressly set forth by specific reference in such filing.</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graph compares the cumulative total stockholder return on an initial investment of $100 in our common stock between December 31, 2018 and December 31, 2023, with the comparative cumulative total returns of the S&amp;P 500 Index, Nasdaq Composite, Nasdaq Internet Index, S&amp;P Internet Select Industry Index, and Russell 2000 Index over the same period. As previously discussed, we have not paid any cash dividends and, therefore, the cumulative total return calculation for us is based solely upon stock price appreciation (depreciation) and not reinvestment of cash dividends, whereas the data for the comparative indexes assumes reinvestments of dividends. The returns shown are based on historical results and are not necessarily indicative of, nor intended to forecast, future stock price performance.</w:t>
      </w:r>
    </w:p>
    <w:p>
      <w:pPr>
        <w:pStyle w:val="TextBody"/>
        <w:bidi w:val="0"/>
        <w:spacing w:before="100" w:after="10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8d6a21e15cb741baa6dee69bcf11e47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00" w:after="10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COMPARISON OF CUMULATIVE TOTAL RETURN</w:t>
      </w:r>
    </w:p>
    <w:p>
      <w:pPr>
        <w:pStyle w:val="TextBody"/>
        <w:bidi w:val="0"/>
        <w:spacing w:before="0" w:after="0"/>
        <w:ind w:left="0" w:right="0" w:firstLine="720"/>
        <w:jc w:val="center"/>
        <w:rPr/>
      </w:pPr>
      <w:r>
        <w:rPr/>
        <w:drawing>
          <wp:inline distT="0" distB="0" distL="0" distR="0">
            <wp:extent cx="6667500" cy="3200400"/>
            <wp:effectExtent l="0" t="0" r="0" b="0"/>
            <wp:docPr id="4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1" descr=""/>
                    <pic:cNvPicPr>
                      <a:picLocks noChangeAspect="1" noChangeArrowheads="1"/>
                    </pic:cNvPicPr>
                  </pic:nvPicPr>
                  <pic:blipFill>
                    <a:blip r:embed="rId2"/>
                    <a:stretch>
                      <a:fillRect/>
                    </a:stretch>
                  </pic:blipFill>
                  <pic:spPr bwMode="auto">
                    <a:xfrm>
                      <a:off x="0" y="0"/>
                      <a:ext cx="6667500" cy="3200400"/>
                    </a:xfrm>
                    <a:prstGeom prst="rect">
                      <a:avLst/>
                    </a:prstGeom>
                  </pic:spPr>
                </pic:pic>
              </a:graphicData>
            </a:graphic>
          </wp:inline>
        </w:drawing>
      </w:r>
    </w:p>
    <w:p>
      <w:pPr>
        <w:pStyle w:val="TextBody"/>
        <w:bidi w:val="0"/>
        <w:spacing w:before="0" w:after="0"/>
        <w:jc w:val="center"/>
        <w:rPr/>
      </w:pPr>
      <w:r>
        <w:rPr/>
      </w:r>
    </w:p>
    <w:p>
      <w:pPr>
        <w:pStyle w:val="TextBody"/>
        <w:bidi w:val="0"/>
        <w:spacing w:before="0" w:after="0"/>
        <w:ind w:left="0" w:right="0" w:firstLine="7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Item 6. 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8d6a21e15cb741baa6dee69bcf11e47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7. Management's Discussion and Analysis of Financial Condition and Results of Operations</w:t>
      </w:r>
    </w:p>
    <w:p>
      <w:pPr>
        <w:pStyle w:val="TextBody"/>
        <w:bidi w:val="0"/>
        <w:spacing w:lineRule="auto" w:line="288" w:before="100" w:after="283"/>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You should read the following discussion and analysis of our financial condition and results of operations in conjunction with the consolidated financial statements and the related notes to those statements included in Item 8 to this Annual Report on Form 10-K. In addition to historical financial information, the following discussion contains forward-looking statements that reflect our plans, estimates, beliefs, and expectations and that involve risks and uncertainties. Our actual results and the timing of events could differ materially from those discussed in these forward-looking statements. Factors that could cause or contribute to these differences include those discussed below and elsewhere in this Annual Report on Form 10-K, particularly in "Item 1A. Risk Factors" and the "Special Note About Forward-Looking Statements."</w:t>
      </w:r>
    </w:p>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 xml:space="preserve">Overview and Trends </w:t>
      </w:r>
    </w:p>
    <w:p>
      <w:pPr>
        <w:pStyle w:val="TextBody"/>
        <w:bidi w:val="0"/>
        <w:spacing w:lineRule="auto" w:line="288" w:before="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See "Item 1. Business" for an overview of our business, the industry in which we operate, and important industry trends.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100"/>
        <w:jc w:val="left"/>
        <w:rPr>
          <w:rFonts w:ascii="Times New Roman;sans-serif" w:hAnsi="Times New Roman;sans-serif"/>
          <w:b/>
          <w:color w:val="000000"/>
          <w:sz w:val="20"/>
        </w:rPr>
      </w:pPr>
      <w:r>
        <w:rPr>
          <w:rFonts w:ascii="Times New Roman;sans-serif" w:hAnsi="Times New Roman;sans-serif"/>
          <w:b/>
          <w:color w:val="000000"/>
          <w:sz w:val="20"/>
        </w:rPr>
        <w:t>Recent Developments</w:t>
      </w:r>
    </w:p>
    <w:p>
      <w:pPr>
        <w:pStyle w:val="TextBody"/>
        <w:bidi w:val="0"/>
        <w:spacing w:lineRule="auto" w:line="288" w:before="100" w:after="10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SpotX and SpringServe Acquisitions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April 30, 2021, we completed the acquisition of SpotX, Inc. ("SpotX" and such acquisition the "SpotX Acquisition"), a leading platform shaping connected television ("CTV") and video advertising globally. On July 1, 2021, we acquired SpringServe, LLC ("SpringServe"), a leading ad serving platform for CTV.</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Following these transactions, we believe that we are the world's largest independent omni-channel sell-side advertising platform ("SSP"), offering a single partner for transacting globally across all channels, formats and auction types, and the largest independent programmatic CTV marketplace, making it easier for buyers to reach CTV audiences at scale from industry-leading streaming content providers, broadcasters, platforms and device manufacturers.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CTV viewership is growing rapidly and the pace of adoption is accelerating the shift of advertising budgets from linear television to CTV, these transactions have strategically positioned us to take advantage of this trend, and we believe that CTV will be our biggest growth driver for 2024.</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SpotX Acquisition resulted in a significant increase in our revenue and Contribution ex-TAC (as defined in section "Key Operating and Financial Performance Metrics"), in particular in CTV and online video. Following the transaction, the percentage of our revenue attributable to CTV increased significantly, and because CTV is largely transacted through reserve auctions, these types of auctions have become a more significant portion of the transactions on our platform. In addition, as newer entrants to programmatic advertising, the largest publishers and broadcasters have tended to transact almost exclusively through reserve auctions and have lower overall take rates. These publishers have continued to increase their focus and investment in programmatic CTV, and in recent periods have grown as a percentage of our CTV business. Accordingly, the increase in share among these publishers on our platform has driven a decrease in our aggregate CTV take rates. The acquisition also resulted in an increase in related operating expenses, primarily associated with costs for personnel, data center and hosting costs, facilities, payments to sellers for revenue reported on a gross basis, and other ancillary costs to support the business. We have been able to offset some of these increases through cost saving activities and the achievement of acquisition synergies. As part of our integration efforts, we introduced our unified CTV platform, Magnite Steaming, which merges leading technology from the legacy Magnite CTV and SpotX CTV platforms. We completed the migration to our unified platform early in the third quarter of 2023.</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SpringServe Acquisition expanded our video and CTV offering to include ad server functionality in addition to our programmatic SSP capabilities. The SpringServe ad server manages multiple aspects of video advertising for both programmatic transactions and inventory sold directly by the publisher, including forecasting, routing, customized ad experiences and ad formats, and advanced podding logic. This is of particular importance for CTV publishers. The combination of our SSP and ad server provides publishers a holistic yield management solution that works across their entire video advertising business to drive value. We believe the acquisition of SpringServe is highly strategic as it allows us to offer publishers an independent full-stack solution to the walled gardens, which can be leveraged across their entire video advertising business.</w:t>
      </w:r>
    </w:p>
    <w:p>
      <w:pPr>
        <w:pStyle w:val="TextBody"/>
        <w:bidi w:val="0"/>
        <w:spacing w:lineRule="auto" w:line="288" w:before="10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Macroeconomic Developments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has been negatively impacted as a result of macroeconomic challenges, such as the global COVID-19 pandemic, inflation, global conflict, capital market disruptions and instability of financial institutions, the risk of a recession, labor strikes, and other macroeconomic factors, which have generally negatively impacted ad budgets, and in turn have led to slower ad spend growth through our platform. Any worsening of macroeconomic conditions in future periods would likely have a negative effect on our financial results, the magnitude of which is difficult to predict. In addition, continued inflation could result in an increase in our cost base relative to our revenue.</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Refer to Item 1A. "Risk Factors" for additional information related to risks associated with macroeconomic challenges.</w:t>
      </w:r>
    </w:p>
    <w:p>
      <w:pPr>
        <w:pStyle w:val="TextBody"/>
        <w:bidi w:val="0"/>
        <w:spacing w:before="100" w:after="10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8d6a21e15cb741baa6dee69bcf11e47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00" w:after="100"/>
        <w:jc w:val="left"/>
        <w:rPr>
          <w:rFonts w:ascii="Times New Roman;sans-serif" w:hAnsi="Times New Roman;sans-serif"/>
          <w:b/>
          <w:color w:val="000000"/>
          <w:sz w:val="20"/>
        </w:rPr>
      </w:pPr>
      <w:r>
        <w:rPr>
          <w:rFonts w:ascii="Times New Roman;sans-serif" w:hAnsi="Times New Roman;sans-serif"/>
          <w:b/>
          <w:color w:val="000000"/>
          <w:sz w:val="20"/>
        </w:rPr>
        <w:t xml:space="preserve">Components of Our Results of Operations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report our financial results as one operating segment. Our consolidated operating results are regularly reviewed by our chief operating decision maker, principally to make decisions about how we allocate our resources and to measure our consolidated operating performance. </w:t>
      </w:r>
    </w:p>
    <w:p>
      <w:pPr>
        <w:pStyle w:val="TextBody"/>
        <w:bidi w:val="0"/>
        <w:spacing w:lineRule="auto" w:line="288" w:before="100" w:after="10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 xml:space="preserve">Revenue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generate revenue from the use of our platform for the purchase and sale of digital advertising inventory. Generally, our revenue is based on a percentage of the ad spend that runs through our platform, although for certain clients, services, or transaction types we may receive a fixed CPM for each impression sold, and for advertising campaigns that are transacted through insertion orders, we earn revenue based on the full amount of ad spend that runs through our platform. In addition, we may receive certain fixed monthly fees for the use of our platform or products. We recognize revenue upon the fulfillment of our contractual obligations in connection with a completed transaction, subject to satisfying all other revenue recognition criteria. For the majority of transactions executed through our platform, we act as an agent on behalf of the publisher that is monetizing its inventory, and revenue is recognized net of any advertising inventory costs that we remit to sellers. With respect to certain revenue streams for managed advertising campaigns that are transacted through insertion orders, we report revenue on a gross basis, based primarily on our determination that the Company acts as the primary obligor in the delivery of advertising campaigns for our buyer clients with respect to such transactions. </w:t>
      </w:r>
    </w:p>
    <w:p>
      <w:pPr>
        <w:pStyle w:val="TextBody"/>
        <w:bidi w:val="0"/>
        <w:spacing w:lineRule="auto" w:line="288" w:before="100" w:after="1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years ended December 31, 2023, 2022, and 2021, our revenue reported on a gross basis was 18%, 18%, and 17% of total revenue for the respective periods. Any mix shift that causes an increase in the relative percentage of our revenue accounted for on a gross basis would result in a higher revenue contribution and an associated decrease in our gross margin percentage (with no underlying impact on gross profit or Contribution ex-TAC, as defined in section "Key Operating and Financial Performance Metrics"). Our revenue recognition policies are discussed in more detail in Note 4 of the "Notes to the Consolidated Financial Statements." </w:t>
      </w:r>
    </w:p>
    <w:p>
      <w:pPr>
        <w:pStyle w:val="TextBody"/>
        <w:bidi w:val="0"/>
        <w:spacing w:lineRule="auto" w:line="288" w:before="100" w:after="1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track the performance and revenue of our platform by channel. Our channels include CTV, mobile, and desktop. Consistent with the IAB’s definition of CTV, CTV represents advertising transactions on our platform that are delivered to the end consumer via a television set that is connected to the Internet. Our CTV transactions do not include advertisements viewed on a mobile or desktop device. Mobile and desktop represent advertising transactions on our platform that are delivered to the end consumer via their respective devices’ operating system, that is, a mobile operating system or a traditional desktop operating system, respectively. Mobile devices generally refer to a handset, tablet, or other communication device that runs on a mobile operating system used to access the Internet wirelessly, usually through a mobile carrier or Wi-Fi network. Desktop transactions are those transactions delivered to the end user whose device runs on a traditional PC, laptops, as well as those delivered on mobile devices or tablets that are not running on mobile based operating systems.</w:t>
      </w:r>
    </w:p>
    <w:p>
      <w:pPr>
        <w:pStyle w:val="TextBody"/>
        <w:bidi w:val="0"/>
        <w:spacing w:lineRule="auto" w:line="288" w:before="100" w:after="10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 xml:space="preserve">Expenses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classify our expenses into the following categories: </w:t>
      </w:r>
    </w:p>
    <w:p>
      <w:pPr>
        <w:pStyle w:val="TextBody"/>
        <w:bidi w:val="0"/>
        <w:spacing w:lineRule="auto" w:line="288" w:before="100" w:after="100"/>
        <w:ind w:left="0" w:right="0" w:firstLine="720"/>
        <w:jc w:val="left"/>
        <w:rPr/>
      </w:pPr>
      <w:r>
        <w:rPr>
          <w:rFonts w:ascii="Times New Roman;sans-serif" w:hAnsi="Times New Roman;sans-serif"/>
          <w:b w:val="false"/>
          <w:i/>
          <w:color w:val="000000"/>
          <w:sz w:val="20"/>
        </w:rPr>
        <w:t>Cost of Revenue</w:t>
      </w:r>
      <w:r>
        <w:rPr>
          <w:rFonts w:ascii="Times New Roman;sans-serif" w:hAnsi="Times New Roman;sans-serif"/>
          <w:b w:val="false"/>
          <w:color w:val="000000"/>
          <w:sz w:val="20"/>
        </w:rPr>
        <w:t>. Our cost of revenue consists primarily of cloud hosting, data center, and bandwidth costs, ad protection costs, depreciation and maintenance expense of hardware supporting our revenue-producing platform, amortization of software costs for the development of our revenue-producing platform, amortization expense associated with acquired developed technologies, and personnel costs. In addition, for revenue booked on a gross basis, cost of revenue includes traffic acquisition costs. Personnel costs included in cost of revenue include salaries, bonuses, and stock-based compensation, and are primarily attributable to personnel in our network operations group who support our platform. We capitalize costs associated with software that is developed or obtained for internal use and amortize the costs associated with our revenue-producing platform in cost of revenue over their estimated useful lives. We amortize acquired developed technologies over their estimated useful lives.</w:t>
      </w:r>
    </w:p>
    <w:p>
      <w:pPr>
        <w:pStyle w:val="TextBody"/>
        <w:bidi w:val="0"/>
        <w:spacing w:lineRule="auto" w:line="288" w:before="100" w:after="100"/>
        <w:ind w:left="0" w:right="0" w:firstLine="720"/>
        <w:jc w:val="left"/>
        <w:rPr/>
      </w:pPr>
      <w:r>
        <w:rPr>
          <w:rFonts w:ascii="Times New Roman;sans-serif" w:hAnsi="Times New Roman;sans-serif"/>
          <w:b w:val="false"/>
          <w:i/>
          <w:color w:val="000000"/>
          <w:sz w:val="20"/>
        </w:rPr>
        <w:t>Sales and Marketing</w:t>
      </w:r>
      <w:r>
        <w:rPr>
          <w:rFonts w:ascii="Times New Roman;sans-serif" w:hAnsi="Times New Roman;sans-serif"/>
          <w:b w:val="false"/>
          <w:color w:val="000000"/>
          <w:sz w:val="20"/>
        </w:rPr>
        <w:t>. Our sales and marketing expenses consist primarily of personnel costs, including salaries, bonuses, and stock-based compensation, as well as marketing expenses such as brand marketing, travel expenses, trade shows and marketing materials, amortization expense associated with client relationships, backlog, and non-compete agreements from our business acquisitions, professional services, facilities-related costs, and depreciation expense. Our sales and support organization focuses on increasing the adoption of our solution by existing and new buyers and sellers and supports ongoing client relationships. We amortize acquired intangibles associated with client relationships and backlog from our business acquisitions over their estimated useful lives.</w:t>
      </w:r>
    </w:p>
    <w:p>
      <w:pPr>
        <w:pStyle w:val="TextBody"/>
        <w:bidi w:val="0"/>
        <w:spacing w:lineRule="auto" w:line="288" w:before="100" w:after="100"/>
        <w:ind w:left="0" w:right="0" w:firstLine="720"/>
        <w:jc w:val="left"/>
        <w:rPr/>
      </w:pPr>
      <w:r>
        <w:rPr>
          <w:rFonts w:ascii="Times New Roman;sans-serif" w:hAnsi="Times New Roman;sans-serif"/>
          <w:b w:val="false"/>
          <w:i/>
          <w:color w:val="000000"/>
          <w:sz w:val="20"/>
        </w:rPr>
        <w:t>Technology and Development</w:t>
      </w:r>
      <w:r>
        <w:rPr>
          <w:rFonts w:ascii="Times New Roman;sans-serif" w:hAnsi="Times New Roman;sans-serif"/>
          <w:b w:val="false"/>
          <w:color w:val="000000"/>
          <w:sz w:val="20"/>
        </w:rPr>
        <w:t xml:space="preserve">. Our technology and development expenses consist primarily of personnel costs, including salaries, bonuses, and stock-based compensation, as well as professional services associated with the ongoing development and maintenance of our solution, third-party software license costs, facilities-related costs, and depreciation and amortization expense. These expenses include costs incurred in the development, implementation, and maintenance of internal use software, including platform and related infrastructure. Technology and development costs are expensed as incurred, except to the extent that such costs are associated with internal use software development that qualifies for capitalization, which are then recorded as internal use software development costs, net on our consolidated balance sheets. We amortize internal use software development costs that relate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8d6a21e15cb741baa6dee69bcf11e47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to our revenue-producing activities on our platform to cost of revenue and amortize other internal use software development costs to technology and development costs or general and administrative expenses, depending on the nature of the related project. We amortize acquired intangibles associated with technology and development functions from our business acquisitions over their estimated useful lives.</w:t>
      </w:r>
    </w:p>
    <w:p>
      <w:pPr>
        <w:pStyle w:val="TextBody"/>
        <w:bidi w:val="0"/>
        <w:spacing w:lineRule="auto" w:line="288" w:before="100" w:after="100"/>
        <w:ind w:left="0" w:right="0" w:firstLine="720"/>
        <w:jc w:val="left"/>
        <w:rPr/>
      </w:pPr>
      <w:r>
        <w:rPr>
          <w:rFonts w:ascii="Times New Roman;sans-serif" w:hAnsi="Times New Roman;sans-serif"/>
          <w:b w:val="false"/>
          <w:i/>
          <w:color w:val="000000"/>
          <w:sz w:val="20"/>
        </w:rPr>
        <w:t>General and Administrative</w:t>
      </w:r>
      <w:r>
        <w:rPr>
          <w:rFonts w:ascii="Times New Roman;sans-serif" w:hAnsi="Times New Roman;sans-serif"/>
          <w:b w:val="false"/>
          <w:color w:val="000000"/>
          <w:sz w:val="20"/>
        </w:rPr>
        <w:t>. Our general and administrative expenses consist primarily of personnel costs, including salaries, bonuses, and stock-based compensation, associated with our executive, finance, legal, human resources, compliance, and other administrative personnel, as well as accounting and legal professional services fees, facilities-related costs, depreciation expense, bad debt expense, and other corporate-related expenses.</w:t>
      </w:r>
    </w:p>
    <w:p>
      <w:pPr>
        <w:pStyle w:val="TextBody"/>
        <w:bidi w:val="0"/>
        <w:spacing w:lineRule="auto" w:line="288" w:before="100" w:after="100"/>
        <w:ind w:left="0" w:right="0" w:firstLine="720"/>
        <w:jc w:val="left"/>
        <w:rPr/>
      </w:pPr>
      <w:r>
        <w:rPr>
          <w:rFonts w:ascii="Times New Roman;sans-serif" w:hAnsi="Times New Roman;sans-serif"/>
          <w:b w:val="false"/>
          <w:i/>
          <w:color w:val="000000"/>
          <w:sz w:val="20"/>
        </w:rPr>
        <w:t>Merger, Acquisition, and Restructuring Costs.</w:t>
      </w:r>
      <w:r>
        <w:rPr>
          <w:color w:val="000000"/>
        </w:rPr>
        <w:t xml:space="preserve"> </w:t>
      </w:r>
      <w:r>
        <w:rPr>
          <w:rFonts w:ascii="Times New Roman;sans-serif" w:hAnsi="Times New Roman;sans-serif"/>
          <w:b w:val="false"/>
          <w:color w:val="000000"/>
          <w:sz w:val="20"/>
        </w:rPr>
        <w:t>Our merger, acquisition, and restructuring costs consist primarily of professional service fees associated with merger and acquisition activities, cash-based employee termination costs, related stock-based compensation charges, and other restructuring activities, including facility closures, relocation costs, contract termination costs, and impairment costs of abandoned technology associated with restructuring activities.</w:t>
      </w:r>
    </w:p>
    <w:p>
      <w:pPr>
        <w:pStyle w:val="TextBody"/>
        <w:bidi w:val="0"/>
        <w:spacing w:lineRule="auto" w:line="288" w:before="100" w:after="10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Other (Income) Expense</w:t>
      </w:r>
    </w:p>
    <w:p>
      <w:pPr>
        <w:pStyle w:val="TextBody"/>
        <w:bidi w:val="0"/>
        <w:spacing w:lineRule="auto" w:line="288" w:before="100" w:after="100"/>
        <w:ind w:left="0" w:right="0" w:firstLine="720"/>
        <w:jc w:val="left"/>
        <w:rPr/>
      </w:pPr>
      <w:r>
        <w:rPr>
          <w:rFonts w:ascii="Times New Roman;sans-serif" w:hAnsi="Times New Roman;sans-serif"/>
          <w:b w:val="false"/>
          <w:i/>
          <w:color w:val="000000"/>
          <w:sz w:val="20"/>
        </w:rPr>
        <w:t>Interest (Income) Expense, Net.</w:t>
      </w:r>
      <w:r>
        <w:rPr>
          <w:color w:val="000000"/>
        </w:rPr>
        <w:t xml:space="preserve"> </w:t>
      </w:r>
      <w:r>
        <w:rPr>
          <w:rFonts w:ascii="Times New Roman;sans-serif" w:hAnsi="Times New Roman;sans-serif"/>
          <w:b w:val="false"/>
          <w:color w:val="000000"/>
          <w:sz w:val="20"/>
        </w:rPr>
        <w:t>Interest expense consists of interest expense associated with our Prior Term Loan B Facility (defined below) and Convertible Senior Notes (defined below), and their related amortization of debt issuance costs and debt discount. Interest income consists of interest earned on our cash equivalents.</w:t>
      </w:r>
    </w:p>
    <w:p>
      <w:pPr>
        <w:pStyle w:val="TextBody"/>
        <w:bidi w:val="0"/>
        <w:spacing w:lineRule="auto" w:line="288" w:before="100" w:after="100"/>
        <w:ind w:left="0" w:right="0" w:firstLine="720"/>
        <w:jc w:val="left"/>
        <w:rPr/>
      </w:pPr>
      <w:r>
        <w:rPr>
          <w:rFonts w:ascii="Times New Roman;sans-serif" w:hAnsi="Times New Roman;sans-serif"/>
          <w:b w:val="false"/>
          <w:i/>
          <w:color w:val="000000"/>
          <w:sz w:val="20"/>
        </w:rPr>
        <w:t>Foreign Currency Exchange (Gain) Loss, Net</w:t>
      </w:r>
      <w:r>
        <w:rPr>
          <w:rFonts w:ascii="Times New Roman;sans-serif" w:hAnsi="Times New Roman;sans-serif"/>
          <w:b w:val="false"/>
          <w:color w:val="000000"/>
          <w:sz w:val="20"/>
        </w:rPr>
        <w:t xml:space="preserve">. Foreign currency exchange (gain) loss, net consists primarily of gains and losses on foreign currency transactions and remeasurement of monetary assets and liabilities on our balance sheet denominated in foreign currencies. Foreign currency monetary assets and liabilities consist primarily of cash and cash equivalents, accounts receivable, accounts payable, and various intercompany balances held between our subsidiaries. Our primary foreign currency exposures are currencies other than the U.S. Dollar, principally the Australian Dollar, British Pound, Canadian Dollar, Euro, Japanese Yen, and New Zealand Dollar. </w:t>
      </w:r>
    </w:p>
    <w:p>
      <w:pPr>
        <w:pStyle w:val="TextBody"/>
        <w:bidi w:val="0"/>
        <w:spacing w:lineRule="auto" w:line="288" w:before="100" w:after="100"/>
        <w:ind w:left="0" w:right="0" w:firstLine="720"/>
        <w:jc w:val="left"/>
        <w:rPr/>
      </w:pPr>
      <w:r>
        <w:rPr>
          <w:rFonts w:ascii="Times New Roman;sans-serif" w:hAnsi="Times New Roman;sans-serif"/>
          <w:b w:val="false"/>
          <w:i/>
          <w:color w:val="000000"/>
          <w:sz w:val="20"/>
        </w:rPr>
        <w:t>Gain on Extinguishment of Debt</w:t>
      </w:r>
      <w:r>
        <w:rPr>
          <w:rFonts w:ascii="Times New Roman;sans-serif" w:hAnsi="Times New Roman;sans-serif"/>
          <w:b w:val="false"/>
          <w:color w:val="000000"/>
          <w:sz w:val="20"/>
        </w:rPr>
        <w:t>. Gain on extinguishment of debt consists of gains or losses associated with the repurchases of Convertible Senior Notes at a discount or premium, respectively, including unamortized issuance costs, accrued interest expense, and commissions associated with the extinguished debt.</w:t>
      </w:r>
    </w:p>
    <w:p>
      <w:pPr>
        <w:pStyle w:val="TextBody"/>
        <w:bidi w:val="0"/>
        <w:spacing w:lineRule="auto" w:line="288" w:before="100" w:after="100"/>
        <w:ind w:left="0" w:right="0" w:firstLine="720"/>
        <w:jc w:val="left"/>
        <w:rPr/>
      </w:pPr>
      <w:r>
        <w:rPr>
          <w:rFonts w:ascii="Times New Roman;sans-serif" w:hAnsi="Times New Roman;sans-serif"/>
          <w:b w:val="false"/>
          <w:i/>
          <w:color w:val="000000"/>
          <w:sz w:val="20"/>
        </w:rPr>
        <w:t xml:space="preserve">Other Income. </w:t>
      </w:r>
      <w:r>
        <w:rPr>
          <w:rFonts w:ascii="Times New Roman;sans-serif" w:hAnsi="Times New Roman;sans-serif"/>
          <w:b w:val="false"/>
          <w:color w:val="000000"/>
          <w:sz w:val="20"/>
        </w:rPr>
        <w:t>Other income consists primarily of rental income from commercial office space we hold under lease and have sublet to other tenants.</w:t>
      </w:r>
    </w:p>
    <w:p>
      <w:pPr>
        <w:pStyle w:val="TextBody"/>
        <w:bidi w:val="0"/>
        <w:spacing w:lineRule="auto" w:line="288" w:before="100" w:after="10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 xml:space="preserve">Provision (Benefit) for Income Taxes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are subject to income taxes in the U.S. (federal and state) and numerous foreign jurisdictions. Tax laws, regulations, administrative practices, principles, and interpretations in various jurisdictions may be subject to significant change, with or without notice, due to economic, political, and other conditions, and significant judgment is required in evaluating and estimating our provision and accruals for these taxes. There are many transactions that occur during the ordinary course of business for which the ultimate tax determination is uncertain. Our effective tax rates could be affected by numerous factors, such as changes in our business operations, acquisitions, investments, entry into new businesses and geographies, intercompany transactions, the relative amount of our foreign earnings, including earnings being lower than anticipated in jurisdictions where we have lower statutory rates and higher than anticipated in jurisdictions where we have higher statutory rates, losses incurred in jurisdictions for which we are not able to realize related income tax benefits, the applicability of special tax regimes, changes in foreign currency exchange rates, changes in our stock price, changes in our deferred tax assets ("DTAs") and liabilities and their valuation, changes in the laws, regulations, administrative practices, principles, and interpretations related to tax, including changes to the global tax framework, competition, and other laws and accounting rules in various jurisdictions.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8d6a21e15cb741baa6dee69bcf11e47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00" w:after="283"/>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sets forth our consolidated results of operations: </w:t>
      </w:r>
    </w:p>
    <w:tbl>
      <w:tblPr>
        <w:tblW w:w="10205" w:type="dxa"/>
        <w:jc w:val="center"/>
        <w:tblInd w:w="0" w:type="dxa"/>
        <w:tblLayout w:type="fixed"/>
        <w:tblCellMar>
          <w:top w:w="28" w:type="dxa"/>
          <w:left w:w="28" w:type="dxa"/>
          <w:bottom w:w="28" w:type="dxa"/>
          <w:right w:w="28" w:type="dxa"/>
        </w:tblCellMar>
      </w:tblPr>
      <w:tblGrid>
        <w:gridCol w:w="729"/>
        <w:gridCol w:w="289"/>
        <w:gridCol w:w="291"/>
        <w:gridCol w:w="109"/>
        <w:gridCol w:w="109"/>
        <w:gridCol w:w="109"/>
        <w:gridCol w:w="109"/>
        <w:gridCol w:w="109"/>
        <w:gridCol w:w="831"/>
        <w:gridCol w:w="211"/>
        <w:gridCol w:w="841"/>
        <w:gridCol w:w="109"/>
        <w:gridCol w:w="276"/>
        <w:gridCol w:w="276"/>
        <w:gridCol w:w="277"/>
        <w:gridCol w:w="211"/>
        <w:gridCol w:w="841"/>
        <w:gridCol w:w="109"/>
        <w:gridCol w:w="276"/>
        <w:gridCol w:w="276"/>
        <w:gridCol w:w="277"/>
        <w:gridCol w:w="211"/>
        <w:gridCol w:w="826"/>
        <w:gridCol w:w="109"/>
        <w:gridCol w:w="156"/>
        <w:gridCol w:w="156"/>
        <w:gridCol w:w="157"/>
        <w:gridCol w:w="255"/>
        <w:gridCol w:w="226"/>
        <w:gridCol w:w="271"/>
        <w:gridCol w:w="156"/>
        <w:gridCol w:w="156"/>
        <w:gridCol w:w="157"/>
        <w:gridCol w:w="187"/>
        <w:gridCol w:w="189"/>
        <w:gridCol w:w="328"/>
      </w:tblGrid>
      <w:tr>
        <w:trPr/>
        <w:tc>
          <w:tcPr>
            <w:tcW w:w="72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r>
      <w:tr>
        <w:trPr/>
        <w:tc>
          <w:tcPr>
            <w:tcW w:w="1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1"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w:t>
            </w:r>
          </w:p>
        </w:tc>
        <w:tc>
          <w:tcPr>
            <w:tcW w:w="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7"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Change %</w:t>
            </w:r>
          </w:p>
        </w:tc>
        <w:tc>
          <w:tcPr>
            <w:tcW w:w="1173" w:type="dxa"/>
            <w:gridSpan w:val="6"/>
            <w:tcBorders/>
          </w:tcPr>
          <w:p>
            <w:pPr>
              <w:pStyle w:val="TableContents"/>
              <w:bidi w:val="0"/>
              <w:spacing w:before="0" w:after="283"/>
              <w:jc w:val="left"/>
              <w:rPr>
                <w:sz w:val="4"/>
                <w:szCs w:val="4"/>
              </w:rPr>
            </w:pPr>
            <w:r>
              <w:rPr>
                <w:sz w:val="4"/>
                <w:szCs w:val="4"/>
              </w:rPr>
            </w:r>
          </w:p>
        </w:tc>
      </w:tr>
      <w:tr>
        <w:trPr/>
        <w:tc>
          <w:tcPr>
            <w:tcW w:w="1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2021</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2023 vs 2022</w:t>
            </w:r>
          </w:p>
        </w:tc>
        <w:tc>
          <w:tcPr>
            <w:tcW w:w="7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2022 vs 2021</w:t>
            </w:r>
          </w:p>
        </w:tc>
        <w:tc>
          <w:tcPr>
            <w:tcW w:w="704" w:type="dxa"/>
            <w:gridSpan w:val="3"/>
            <w:tcBorders/>
          </w:tcPr>
          <w:p>
            <w:pPr>
              <w:pStyle w:val="TableContents"/>
              <w:bidi w:val="0"/>
              <w:spacing w:before="0" w:after="283"/>
              <w:jc w:val="left"/>
              <w:rPr>
                <w:sz w:val="4"/>
                <w:szCs w:val="4"/>
              </w:rPr>
            </w:pPr>
            <w:r>
              <w:rPr>
                <w:sz w:val="4"/>
                <w:szCs w:val="4"/>
              </w:rPr>
            </w:r>
          </w:p>
        </w:tc>
      </w:tr>
      <w:tr>
        <w:trPr/>
        <w:tc>
          <w:tcPr>
            <w:tcW w:w="1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1" w:type="dxa"/>
            <w:gridSpan w:val="1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6"/>
            <w:tcBorders/>
          </w:tcPr>
          <w:p>
            <w:pPr>
              <w:pStyle w:val="TableContents"/>
              <w:bidi w:val="0"/>
              <w:spacing w:before="0" w:after="283"/>
              <w:jc w:val="left"/>
              <w:rPr>
                <w:sz w:val="4"/>
                <w:szCs w:val="4"/>
              </w:rPr>
            </w:pPr>
            <w:r>
              <w:rPr>
                <w:sz w:val="4"/>
                <w:szCs w:val="4"/>
              </w:rPr>
            </w:r>
          </w:p>
        </w:tc>
      </w:tr>
      <w:tr>
        <w:trPr/>
        <w:tc>
          <w:tcPr>
            <w:tcW w:w="1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577,069 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468,413 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3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Expenses </w:t>
            </w:r>
            <w:r>
              <w:rPr>
                <w:rFonts w:ascii="Times New Roman;sans-serif" w:hAnsi="Times New Roman;sans-serif"/>
                <w:b w:val="false"/>
                <w:color w:val="000000"/>
                <w:sz w:val="13"/>
              </w:rPr>
              <w:t>(1)(2)</w:t>
            </w: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409,906 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201,662 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3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3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3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3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Merger, acquisition, and restructuring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c>
          <w:tcPr>
            <w:tcW w:w="3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774,719 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689,853 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549,483 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3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(155,009)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(112,784)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(81,070)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3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3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(157,547)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(135,597)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(94,988)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3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(benefit)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w:t>
            </w:r>
          </w:p>
        </w:tc>
        <w:tc>
          <w:tcPr>
            <w:tcW w:w="3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(159,184)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(130,323)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bl>
    <w:p>
      <w:pPr>
        <w:pStyle w:val="TextBody"/>
        <w:bidi w:val="0"/>
        <w:spacing w:before="0" w:after="20"/>
        <w:jc w:val="center"/>
        <w:rPr/>
      </w:pPr>
      <w:r>
        <w:rPr/>
      </w:r>
    </w:p>
    <w:p>
      <w:pPr>
        <w:pStyle w:val="TextBody"/>
        <w:bidi w:val="0"/>
        <w:spacing w:lineRule="auto" w:line="288"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NM means Not Meaningful</w:t>
      </w:r>
    </w:p>
    <w:tbl>
      <w:tblPr>
        <w:tblW w:w="10205" w:type="dxa"/>
        <w:jc w:val="center"/>
        <w:tblInd w:w="0" w:type="dxa"/>
        <w:tblLayout w:type="fixed"/>
        <w:tblCellMar>
          <w:top w:w="28" w:type="dxa"/>
          <w:left w:w="28" w:type="dxa"/>
          <w:bottom w:w="28" w:type="dxa"/>
          <w:right w:w="28" w:type="dxa"/>
        </w:tblCellMar>
      </w:tblPr>
      <w:tblGrid>
        <w:gridCol w:w="1114"/>
        <w:gridCol w:w="909"/>
        <w:gridCol w:w="793"/>
        <w:gridCol w:w="295"/>
        <w:gridCol w:w="295"/>
        <w:gridCol w:w="295"/>
        <w:gridCol w:w="295"/>
        <w:gridCol w:w="572"/>
        <w:gridCol w:w="1957"/>
        <w:gridCol w:w="295"/>
        <w:gridCol w:w="109"/>
        <w:gridCol w:w="109"/>
        <w:gridCol w:w="109"/>
        <w:gridCol w:w="271"/>
        <w:gridCol w:w="928"/>
        <w:gridCol w:w="140"/>
        <w:gridCol w:w="109"/>
        <w:gridCol w:w="109"/>
        <w:gridCol w:w="109"/>
        <w:gridCol w:w="269"/>
        <w:gridCol w:w="920"/>
        <w:gridCol w:w="203"/>
      </w:tblGrid>
      <w:tr>
        <w:trPr/>
        <w:tc>
          <w:tcPr>
            <w:tcW w:w="1114"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957"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6820" w:type="dxa"/>
            <w:gridSpan w:val="10"/>
            <w:tcBorders/>
            <w:tcMar>
              <w:top w:w="0" w:type="dxa"/>
              <w:left w:w="0" w:type="dxa"/>
              <w:bottom w:w="0" w:type="dxa"/>
              <w:right w:w="0" w:type="dxa"/>
            </w:tcMar>
            <w:vAlign w:val="center"/>
          </w:tcPr>
          <w:p>
            <w:pPr>
              <w:pStyle w:val="TableContents"/>
              <w:bidi w:val="0"/>
              <w:spacing w:lineRule="auto" w:line="240"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(1) Stock-based compensation expense included in our expenses was as follows:</w:t>
            </w:r>
          </w:p>
        </w:tc>
        <w:tc>
          <w:tcPr>
            <w:tcW w:w="3385" w:type="dxa"/>
            <w:gridSpan w:val="12"/>
            <w:tcBorders/>
          </w:tcPr>
          <w:p>
            <w:pPr>
              <w:pStyle w:val="TableContents"/>
              <w:bidi w:val="0"/>
              <w:spacing w:before="0" w:after="283"/>
              <w:jc w:val="left"/>
              <w:rPr>
                <w:sz w:val="4"/>
                <w:szCs w:val="4"/>
              </w:rPr>
            </w:pPr>
            <w:r>
              <w:rPr>
                <w:sz w:val="4"/>
                <w:szCs w:val="4"/>
              </w:rPr>
            </w:r>
          </w:p>
        </w:tc>
      </w:tr>
      <w:tr>
        <w:trPr/>
        <w:tc>
          <w:tcPr>
            <w:tcW w:w="2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5080"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w:t>
            </w:r>
          </w:p>
        </w:tc>
        <w:tc>
          <w:tcPr>
            <w:tcW w:w="1719" w:type="dxa"/>
            <w:gridSpan w:val="6"/>
            <w:tcBorders/>
          </w:tcPr>
          <w:p>
            <w:pPr>
              <w:pStyle w:val="TableContents"/>
              <w:bidi w:val="0"/>
              <w:spacing w:before="0" w:after="283"/>
              <w:jc w:val="left"/>
              <w:rPr>
                <w:sz w:val="4"/>
                <w:szCs w:val="4"/>
              </w:rPr>
            </w:pPr>
            <w:r>
              <w:rPr>
                <w:sz w:val="4"/>
                <w:szCs w:val="4"/>
              </w:rPr>
            </w:r>
          </w:p>
        </w:tc>
      </w:tr>
      <w:tr>
        <w:trPr/>
        <w:tc>
          <w:tcPr>
            <w:tcW w:w="2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2021</w:t>
            </w:r>
          </w:p>
        </w:tc>
      </w:tr>
      <w:tr>
        <w:trPr/>
        <w:tc>
          <w:tcPr>
            <w:tcW w:w="2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5080" w:type="dxa"/>
            <w:gridSpan w:val="1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1719" w:type="dxa"/>
            <w:gridSpan w:val="6"/>
            <w:tcBorders/>
          </w:tcPr>
          <w:p>
            <w:pPr>
              <w:pStyle w:val="TableContents"/>
              <w:bidi w:val="0"/>
              <w:spacing w:before="0" w:after="283"/>
              <w:jc w:val="left"/>
              <w:rPr>
                <w:sz w:val="4"/>
                <w:szCs w:val="4"/>
              </w:rPr>
            </w:pPr>
            <w:r>
              <w:rPr>
                <w:sz w:val="4"/>
                <w:szCs w:val="4"/>
              </w:rPr>
            </w:r>
          </w:p>
        </w:tc>
      </w:tr>
      <w:tr>
        <w:trPr/>
        <w:tc>
          <w:tcPr>
            <w:tcW w:w="281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5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1,809 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1,666 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27,263 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21,558 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15,718 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development</w:t>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20,542 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19,961 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11,857 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22,860 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18,929 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11,297 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Merger, acquisition, and restructuring costs</w:t>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2,004 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1,071 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w:t>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5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72,617 </w:t>
            </w:r>
          </w:p>
        </w:tc>
        <w:tc>
          <w:tcPr>
            <w:tcW w:w="2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64,118 </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40,735 </w:t>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112"/>
        <w:gridCol w:w="891"/>
        <w:gridCol w:w="758"/>
        <w:gridCol w:w="277"/>
        <w:gridCol w:w="277"/>
        <w:gridCol w:w="277"/>
        <w:gridCol w:w="277"/>
        <w:gridCol w:w="537"/>
        <w:gridCol w:w="2104"/>
        <w:gridCol w:w="277"/>
        <w:gridCol w:w="109"/>
        <w:gridCol w:w="109"/>
        <w:gridCol w:w="109"/>
        <w:gridCol w:w="249"/>
        <w:gridCol w:w="978"/>
        <w:gridCol w:w="128"/>
        <w:gridCol w:w="109"/>
        <w:gridCol w:w="109"/>
        <w:gridCol w:w="109"/>
        <w:gridCol w:w="248"/>
        <w:gridCol w:w="973"/>
        <w:gridCol w:w="188"/>
      </w:tblGrid>
      <w:tr>
        <w:trPr/>
        <w:tc>
          <w:tcPr>
            <w:tcW w:w="1112"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2104"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6787" w:type="dxa"/>
            <w:gridSpan w:val="10"/>
            <w:tcBorders/>
            <w:tcMar>
              <w:top w:w="0" w:type="dxa"/>
              <w:left w:w="0" w:type="dxa"/>
              <w:bottom w:w="0" w:type="dxa"/>
              <w:right w:w="0" w:type="dxa"/>
            </w:tcMar>
            <w:vAlign w:val="center"/>
          </w:tcPr>
          <w:p>
            <w:pPr>
              <w:pStyle w:val="TableContents"/>
              <w:bidi w:val="0"/>
              <w:spacing w:lineRule="auto" w:line="240"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(2) Depreciation and amortization expense included in our expenses was as follows:</w:t>
            </w:r>
          </w:p>
        </w:tc>
        <w:tc>
          <w:tcPr>
            <w:tcW w:w="3418" w:type="dxa"/>
            <w:gridSpan w:val="12"/>
            <w:tcBorders/>
          </w:tcPr>
          <w:p>
            <w:pPr>
              <w:pStyle w:val="TableContents"/>
              <w:bidi w:val="0"/>
              <w:spacing w:before="0" w:after="283"/>
              <w:jc w:val="left"/>
              <w:rPr>
                <w:sz w:val="4"/>
                <w:szCs w:val="4"/>
              </w:rPr>
            </w:pPr>
            <w:r>
              <w:rPr>
                <w:sz w:val="4"/>
                <w:szCs w:val="4"/>
              </w:rPr>
            </w:r>
          </w:p>
        </w:tc>
      </w:tr>
      <w:tr>
        <w:trPr/>
        <w:tc>
          <w:tcPr>
            <w:tcW w:w="27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154"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w:t>
            </w:r>
          </w:p>
        </w:tc>
        <w:tc>
          <w:tcPr>
            <w:tcW w:w="1736" w:type="dxa"/>
            <w:gridSpan w:val="6"/>
            <w:tcBorders/>
          </w:tcPr>
          <w:p>
            <w:pPr>
              <w:pStyle w:val="TableContents"/>
              <w:bidi w:val="0"/>
              <w:spacing w:before="0" w:after="283"/>
              <w:jc w:val="left"/>
              <w:rPr>
                <w:sz w:val="4"/>
                <w:szCs w:val="4"/>
              </w:rPr>
            </w:pPr>
            <w:r>
              <w:rPr>
                <w:sz w:val="4"/>
                <w:szCs w:val="4"/>
              </w:rPr>
            </w:r>
          </w:p>
        </w:tc>
      </w:tr>
      <w:tr>
        <w:trPr/>
        <w:tc>
          <w:tcPr>
            <w:tcW w:w="2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9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2021</w:t>
            </w:r>
          </w:p>
        </w:tc>
      </w:tr>
      <w:tr>
        <w:trPr/>
        <w:tc>
          <w:tcPr>
            <w:tcW w:w="2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154" w:type="dxa"/>
            <w:gridSpan w:val="1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1736" w:type="dxa"/>
            <w:gridSpan w:val="6"/>
            <w:tcBorders/>
          </w:tcPr>
          <w:p>
            <w:pPr>
              <w:pStyle w:val="TableContents"/>
              <w:bidi w:val="0"/>
              <w:spacing w:before="0" w:after="283"/>
              <w:jc w:val="left"/>
              <w:rPr>
                <w:sz w:val="4"/>
                <w:szCs w:val="4"/>
              </w:rPr>
            </w:pPr>
            <w:r>
              <w:rPr>
                <w:sz w:val="4"/>
                <w:szCs w:val="4"/>
              </w:rPr>
            </w:r>
          </w:p>
        </w:tc>
      </w:tr>
      <w:tr>
        <w:trPr/>
        <w:tc>
          <w:tcPr>
            <w:tcW w:w="276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211,956 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142,616 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78,115 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6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27,584 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71,887 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67,463 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development</w:t>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6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6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depreciation and amortization expense</w:t>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240,820 </w:t>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216,052 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146,886 </w:t>
            </w:r>
          </w:p>
        </w:tc>
        <w:tc>
          <w:tcPr>
            <w:tcW w:w="1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8d6a21e15cb741baa6dee69bcf11e47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our consolidated results of operations for the specified periods as a percentage of our revenue for those periods presented:</w:t>
      </w:r>
    </w:p>
    <w:tbl>
      <w:tblPr>
        <w:tblW w:w="9264" w:type="dxa"/>
        <w:jc w:val="center"/>
        <w:tblInd w:w="0" w:type="dxa"/>
        <w:tblLayout w:type="fixed"/>
        <w:tblCellMar>
          <w:top w:w="28" w:type="dxa"/>
          <w:left w:w="28" w:type="dxa"/>
          <w:bottom w:w="28" w:type="dxa"/>
          <w:right w:w="28" w:type="dxa"/>
        </w:tblCellMar>
      </w:tblPr>
      <w:tblGrid>
        <w:gridCol w:w="1312"/>
        <w:gridCol w:w="1156"/>
        <w:gridCol w:w="1161"/>
        <w:gridCol w:w="109"/>
        <w:gridCol w:w="109"/>
        <w:gridCol w:w="109"/>
        <w:gridCol w:w="109"/>
        <w:gridCol w:w="334"/>
        <w:gridCol w:w="334"/>
        <w:gridCol w:w="832"/>
        <w:gridCol w:w="109"/>
        <w:gridCol w:w="109"/>
        <w:gridCol w:w="109"/>
        <w:gridCol w:w="296"/>
        <w:gridCol w:w="296"/>
        <w:gridCol w:w="908"/>
        <w:gridCol w:w="109"/>
        <w:gridCol w:w="109"/>
        <w:gridCol w:w="109"/>
        <w:gridCol w:w="282"/>
        <w:gridCol w:w="282"/>
        <w:gridCol w:w="981"/>
      </w:tblGrid>
      <w:tr>
        <w:trPr/>
        <w:tc>
          <w:tcPr>
            <w:tcW w:w="1312"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5"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w:t>
            </w:r>
          </w:p>
        </w:tc>
        <w:tc>
          <w:tcPr>
            <w:tcW w:w="1872" w:type="dxa"/>
            <w:gridSpan w:val="6"/>
            <w:tcBorders/>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2021</w:t>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9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9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8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9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9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9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8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9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9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Merger, acquisition, and restructuring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9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9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9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9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9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8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9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9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Provision (benefit)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9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8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9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9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w:t>
            </w:r>
          </w:p>
        </w:tc>
      </w:tr>
      <w:tr>
        <w:trPr/>
        <w:tc>
          <w:tcPr>
            <w:tcW w:w="5565" w:type="dxa"/>
            <w:gridSpan w:val="10"/>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Note: Percentages may not sum due to rounding</w:t>
            </w:r>
          </w:p>
        </w:tc>
        <w:tc>
          <w:tcPr>
            <w:tcW w:w="3699" w:type="dxa"/>
            <w:gridSpan w:val="12"/>
            <w:tcBorders/>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left"/>
        <w:rPr>
          <w:rFonts w:ascii="Times New Roman;sans-serif" w:hAnsi="Times New Roman;sans-serif"/>
          <w:b/>
          <w:color w:val="000000"/>
          <w:sz w:val="20"/>
        </w:rPr>
      </w:pPr>
      <w:r>
        <w:rPr>
          <w:rFonts w:ascii="Times New Roman;sans-serif" w:hAnsi="Times New Roman;sans-serif"/>
          <w:b/>
          <w:color w:val="000000"/>
          <w:sz w:val="20"/>
        </w:rPr>
        <w:t>Comparison of the Years Ended December 31, 2023, 2022, and 2021</w:t>
      </w:r>
    </w:p>
    <w:p>
      <w:pPr>
        <w:pStyle w:val="TextBody"/>
        <w:bidi w:val="0"/>
        <w:spacing w:lineRule="auto" w:line="288" w:before="100" w:after="10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Revenue increased $42.6 million, or 7%, for the year ended December 31, 2023 compared to the prior year. Our revenue growth was driven primarily by growth in mobile and CTV, which was partially offset by a decrease in desktop. Revenue from mobile and CTV increased by $39.7 million, or 21%, and $13.6 million, or 5%, respectively, while desktop decreased by $10.6 million, or 9%. During 2023, our growth rate in CTV was negatively impacted, in part, by a mix shift towards large CTV sellers that transacted primarily through reserve auctions, which carry a lower overall take rate compared to other transaction types.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Revenue increased $108.7 million, or 23%, for the year ended December 31, 2022 compared to the prior year. Our revenue growth was driven primarily by growth in CTV and mobile as well as incremental revenue from full-year results from the SpotX Acquisition, which was completed on April 30, 2021, and the SpringServe Acquisition, which was completed on July 1, 2021. Revenue from CTV and mobile increased by $83.3 million, or 45%, and $27.8 million, or 17%, respectively. On a pro forma basis, including results from SpotX and SpringServe during the relevant pre-acquisition period, revenue increased 7% for the year ended December 31, 2022 compared to the prior period.</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revenue is largely a function of the number of advertising transactions and the price, or CPM, at which the inventory is sold, which results in total advertising spend on our platform, and, with respect to our revenue reported on a net basis, the take rate we charge for our services. Because pricing and take rate vary across publisher, channel, and transaction type, our revenue is subject to changes in publisher-specific take rates, and shifts in the mix of advertising spend on our platform among publishers and transaction types. For instance, managed services tend to have higher take rates while reserve auctions tend to have lower take rates. For 2024, we believe our revenue will increase compared to the prior year period, and although revenue from mobile was the primary driver in revenue growth in 2023, we expect CTV will be our biggest growth driver in 2024.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is dependent in part on the overall health of the advertising market. Our revenue growth has been tempered, and may be negatively impacted in the future, by reductions in revenue resulting from the impact of macroeconomic challenges. If economic conditions were to deteriorate further, we would likely experience a negative impact on our future revenue trends, and the magnitude of these impacts is difficult to predict depending on their scope and duration. Refer to Item 1A. "Risk Factors" for additional information related to these risks and the impact they may have on our business.</w:t>
      </w:r>
    </w:p>
    <w:p>
      <w:pPr>
        <w:pStyle w:val="TextBody"/>
        <w:bidi w:val="0"/>
        <w:spacing w:lineRule="auto" w:line="288" w:before="100" w:after="10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 xml:space="preserve">Cost of Revenue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 increased $102.7 million, or 33%, for the year ended December 31, 2023 compared to the prior year primarily due to an increase of $69.3 million in depreciation and amortization. This increase was primarily driven by incremental amortization due to the acceleration of the remaining lives of certain acquired intangible assets and capitalized software from the integration of our legacy Magnite CTV and SpotX CTV platforms, which started in the fourth quarter of 2022 and was completed in the third quarter of 2023. The year over year increase in amortization due to the acceleration was $64.0 million. Costs of revenue also included increases of $26.2 million in cloud hosting, data center, and bandwidth expenses and $8.1 million in traffic acquisition costs, both primarily due to revenue growth.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8d6a21e15cb741baa6dee69bcf11e47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00" w:after="100"/>
        <w:ind w:left="0" w:right="0" w:firstLine="720"/>
        <w:jc w:val="left"/>
        <w:rPr/>
      </w:pPr>
      <w:r>
        <w:rPr>
          <w:rFonts w:ascii="Times New Roman;sans-serif" w:hAnsi="Times New Roman;sans-serif"/>
          <w:b w:val="false"/>
          <w:color w:val="000000"/>
          <w:sz w:val="20"/>
        </w:rPr>
        <w:t xml:space="preserve">Cost of revenue increased </w:t>
      </w:r>
      <w:r>
        <w:rPr>
          <w:rFonts w:ascii="Times New Roman;sans-serif" w:hAnsi="Times New Roman;sans-serif"/>
          <w:b w:val="false"/>
          <w:color w:val="000000"/>
          <w:sz w:val="20"/>
          <w:shd w:fill="FFFFFF" w:val="clear"/>
        </w:rPr>
        <w:t>$105.5 million</w:t>
      </w:r>
      <w:r>
        <w:rPr>
          <w:rFonts w:ascii="Times New Roman;sans-serif" w:hAnsi="Times New Roman;sans-serif"/>
          <w:b w:val="false"/>
          <w:color w:val="000000"/>
          <w:sz w:val="20"/>
        </w:rPr>
        <w:t>, or 52%, for the year ended December 31, 2022 compared to the prior year primarily due to an increase of $64.5 million in depreciation and amortization. This increase was driven by incremental amortization due to the acceleration of the remaining lives of certain acquired intangible assets and capitalized software from the integration of our legacy Magnite CTV and SpotX CTV platforms, as well as from a full year of amortization expense from the SpotX Acquisition. The incremental amortization due to the acceleration was $35.4 million. Costs of revenue also included increases of $26.9 million in cloud hosting, data center, and bandwidth expenses and $10.5 million in traffic acquisition costs, both primarily due to revenue growth.</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cost of revenue to decrease in 2024 compared to 2023 in absolute dollars primarily due to the completion of the accelerated amortization expense as discussed above.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 may fluctuate from quarter to quarter and period to period, on an absolute dollar basis and as a percentage of revenue, depending on revenue levels and the volume of transactions we process supporting those revenues, and the timing and amounts of depreciation and amortization of equipment and software.</w:t>
      </w:r>
    </w:p>
    <w:p>
      <w:pPr>
        <w:pStyle w:val="TextBody"/>
        <w:bidi w:val="0"/>
        <w:spacing w:lineRule="auto" w:line="288" w:before="100" w:after="10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 xml:space="preserve">Sales and Marketing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 expenses decreased $26.1 million, or 13%, for the year ended December 31, 2023 compared to the prior year primarily due to a decrease of $44.3 million in depreciation and amortization related to certain acquired intangible assets becoming fully amortized in 2022 and 2023. This decrease was partially offset by an increase of $15.3 million of personnel related expenses.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 expenses increased $29.7 million, or 17%, for the year ended December 31, 2022 compared to the prior year primarily due to the impact of the SpotX Acquisition, which resulted in substantial increases in headcount in mid-2021, as well as expenses related to the amortization of acquired intangibles. Compared to the prior year, sales and marketing included an increase of $17.5 million of personnel related expenses and $4.2 million in amortization of acquired intangibles relating to the SpotX Acquisition. In addition, the increase in sales and marketing expenses included $3.3 million related to travel and industry events due to the lifting of travel restrictions during the year.</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expect sales and marketing expenses to decrease in 2024 compared to 2023 in absolute dollars primarily due to decreases in amortization of acquired intangible assets. We expect these decreases to be partially offset by increases in personnel related expenses and increases in travel and entertainment expenses.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 expenses may fluctuate quarter to quarter and period to period, on an absolute dollar basis and as a percentage of revenue, based on revenue levels, the timing of our investments and seasonality in our industry and business.</w:t>
      </w:r>
    </w:p>
    <w:p>
      <w:pPr>
        <w:pStyle w:val="TextBody"/>
        <w:bidi w:val="0"/>
        <w:spacing w:lineRule="auto" w:line="288" w:before="100" w:after="10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 xml:space="preserve">Technology and Development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development expenses increased $0.6 million, or 1%, for the year ended December 31, 2023 compared to the prior year.</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development expenses increased $19.3 million, or 26%, for the year ended December 31, 2022 compared to the prior year, primarily due to an increase of $15.8 million in personnel costs as a result of the increased headcount associated with the SpotX Acquisition.</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expect technology and development expenses to increase in 2024 compared to 2023 in absolute dollars due to increases in personnel related expenses.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timing and amount of our capitalized development and enhancement projects may affect the amount of development costs expensed in any given period. As a percentage of revenue, technology and development expense may fluctuate from quarter to quarter and period to period based on revenue levels, the timing and amounts of technology and development efforts, the timing and the rate of the amortization of capitalized projects and the timing and amounts of future capitalized internal use software development costs.</w:t>
      </w:r>
    </w:p>
    <w:p>
      <w:pPr>
        <w:pStyle w:val="TextBody"/>
        <w:bidi w:val="0"/>
        <w:spacing w:lineRule="auto" w:line="288" w:before="100" w:after="10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General and Administrative</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increased $7.7 million, or 9%, for the year ended December 31, 2023 compared to the prior year, primarily due to increases of $4.8 million in bad debt expense. Bad debt expense was primarily a result of a buyer defaulting on payment obligations and subsequently filing for bankruptcy during the second quarter of 2023, resulting in bad debt expense of $4.2 million. General and administrative expenses also included an increase of $4.2 million in personnel expenses.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increased by $16.6 million, or 26%, for the year ended December 31, 2022 compared to the prior year, primarily due to increases of $10.2 million in personnel expenses mainly due to increases in stock-based compensation year-over-year, $2.0 million in facilities related expenses due to a return to office work environment, $1.8 million in business insurance and taxes, and $1.1 million related to travel and industry events due to the lifting of travel restrictions during the year.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8d6a21e15cb741baa6dee69bcf11e47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general and administrative expenses to increase in 2024 compared to 2023 in absolute dollars primarily due to increases in personnel and travel-related expenses.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may fluctuate from quarter to quarter and period to period based on the timing and amounts of expenditures in our general and administrative functions as they vary in scope and scale over periods. Such fluctuations may not be directly proportional to changes in revenue.</w:t>
      </w:r>
    </w:p>
    <w:p>
      <w:pPr>
        <w:pStyle w:val="TextBody"/>
        <w:bidi w:val="0"/>
        <w:spacing w:lineRule="auto" w:line="288" w:before="100" w:after="10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Merger, Acquisition, and Restructuring Costs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incurred merger, acquisition, and restructuring costs of $7.5 million, $7.5 million, and $38.2 million during the years ended December 31, 2023, 2022, and 2021, respectively, primarily related to the SpotX and SpringServe Acquisitions, which were completed on April 30, 2021 and July 1, 2021, respectively. Merger, acquisition, and restructuring costs incurred during 2023 included $3.4 million of severance related expenses, $2.2 million of facilities related loss contracts, and $1.4 million of exit costs, all due to restructuring activities as a result of consolidating our legacy CTV and SpotX CTV platforms following the SpotX Acquisition.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2022, these costs were primarily due to restructuring activities related to the integration of our recent acquisitions, which included $3.3 million of impairment costs associated with abandoned technology, $2.0 million non-cash stock-based compensation expense associated with the acceleration of unvested equity awards, and $1.2 million of one-time cash-based employee termination costs.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Costs incurred in 2021 included professional fees related to investment banking advisory, legal, and other professional service fees of $28.4 million, one-time cash-based employee termination benefit costs of $6.2 million, facility closure costs of $2.5 million, and non-cash stock-based compensation expense associated with double-trigger accelerations and severance benefits of $1.1 million.</w:t>
      </w:r>
    </w:p>
    <w:p>
      <w:pPr>
        <w:pStyle w:val="TextBody"/>
        <w:bidi w:val="0"/>
        <w:spacing w:lineRule="auto" w:line="288" w:before="100" w:after="10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 xml:space="preserve">Other (Income) Expense, Net </w:t>
      </w:r>
    </w:p>
    <w:tbl>
      <w:tblPr>
        <w:tblW w:w="8440" w:type="dxa"/>
        <w:jc w:val="left"/>
        <w:tblInd w:w="0" w:type="dxa"/>
        <w:tblLayout w:type="fixed"/>
        <w:tblCellMar>
          <w:top w:w="28" w:type="dxa"/>
          <w:left w:w="28" w:type="dxa"/>
          <w:bottom w:w="28" w:type="dxa"/>
          <w:right w:w="28" w:type="dxa"/>
        </w:tblCellMar>
      </w:tblPr>
      <w:tblGrid>
        <w:gridCol w:w="1016"/>
        <w:gridCol w:w="892"/>
        <w:gridCol w:w="897"/>
        <w:gridCol w:w="109"/>
        <w:gridCol w:w="109"/>
        <w:gridCol w:w="109"/>
        <w:gridCol w:w="109"/>
        <w:gridCol w:w="304"/>
        <w:gridCol w:w="1039"/>
        <w:gridCol w:w="157"/>
        <w:gridCol w:w="109"/>
        <w:gridCol w:w="109"/>
        <w:gridCol w:w="109"/>
        <w:gridCol w:w="304"/>
        <w:gridCol w:w="1039"/>
        <w:gridCol w:w="157"/>
        <w:gridCol w:w="109"/>
        <w:gridCol w:w="109"/>
        <w:gridCol w:w="109"/>
        <w:gridCol w:w="300"/>
        <w:gridCol w:w="1026"/>
        <w:gridCol w:w="219"/>
      </w:tblGrid>
      <w:tr>
        <w:trPr/>
        <w:tc>
          <w:tcPr>
            <w:tcW w:w="1016"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5"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w:t>
            </w:r>
          </w:p>
        </w:tc>
        <w:tc>
          <w:tcPr>
            <w:tcW w:w="1872" w:type="dxa"/>
            <w:gridSpan w:val="6"/>
            <w:tcBorders/>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2021</w:t>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5" w:type="dxa"/>
            <w:gridSpan w:val="1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1872" w:type="dxa"/>
            <w:gridSpan w:val="6"/>
            <w:tcBorders/>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32,369 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29,260 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19,848 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(gain) loss,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(1,480)</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Gain on debt extinguishment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(26,480)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(4,450)</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2,538 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22,813 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13,918 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expense, net increased by $3.1 million during the year ended December 31, 2023 compared to the prior year, mainly due to increased interest expense of $11.3 million as a result of increased interest rates on our Prior Term Loan B Facility (defined below), partially offset by an increase in interest income of $8.2 million.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expense, net increased by $9.4 million during the year ended December 31, 2022 compared to the prior year, mainly due to a full year of interest expense associated with the Prior Term Loan B Facility, which the Company entered into during April 2021, as well as increasing interest rates since our Prior Term Loan B Facility carries a variable rate. The increase in interest expense was partially offset by increases in interest income of $2.9 million.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loss, net increased $3.1 million during the year ended December 31, 2023 compared to the prior year, due to movements in foreign currency exchange rates and the amount of foreign currency-denominated cash, receivables, and payables, which were impacted by our billings to buyers, payments to sellers, and intercompany balances. Foreign exchange gain, net decreased $0.4 million during the year ended December 31, 2022 compared to the prior year, for the same reasons above.</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Gain on debt extinguishment increased by $26.5 million during the year ended December 31, 2023 compared to the prior year due to our Convertible Senior Notes (defined below) repurchases.</w:t>
      </w:r>
    </w:p>
    <w:p>
      <w:pPr>
        <w:pStyle w:val="TextBody"/>
        <w:bidi w:val="0"/>
        <w:spacing w:lineRule="auto" w:line="288" w:before="100" w:after="10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Provision (Benefit) for Income Taxes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recorded an income tax expense of $1.6 million for the year ended December 31, 2023 compared to an income tax benefit of $5.3 million and $95.1 million for the years ended December 31, 2022 and 2021, respectively. The income tax expense for the year ended December 31, 2023 was primarily the result of the domestic valuation allowance and the federal, state, and foreign income tax liabilities. We continue to maintain a valuation allowance for our domestic deferred tax assets.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income tax benefit for the year ended December 31, 2022 was primarily the result of recognizing the benefit of deferred tax assets previously subject to the domestic valuation allowance and the foreign income tax liability. The net deferred tax liabilities recorded in connection with the prior year’s acquisitions and current taxable income for the year provided sources of taxable income to support the realization of pre-existing deferred tax assets. The income tax benefit for the year ended December 31,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8d6a21e15cb741baa6dee69bcf11e47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2021 was primarily the result of realizing the benefit of deferred tax assets previously subject to the domestic valuation allowance as a result of the deferred tax liabilities associated with acquisitions that occurred during the year and the tax liability associated with foreign subsidiaries.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00" w:after="100"/>
        <w:jc w:val="left"/>
        <w:rPr/>
      </w:pPr>
      <w:r>
        <w:rPr/>
      </w:r>
    </w:p>
    <w:p>
      <w:pPr>
        <w:pStyle w:val="TextBody"/>
        <w:bidi w:val="0"/>
        <w:spacing w:lineRule="auto" w:line="288" w:before="100" w:after="100"/>
        <w:jc w:val="left"/>
        <w:rPr>
          <w:rFonts w:ascii="Times New Roman;sans-serif" w:hAnsi="Times New Roman;sans-serif"/>
          <w:b/>
          <w:color w:val="000000"/>
          <w:sz w:val="20"/>
        </w:rPr>
      </w:pPr>
      <w:r>
        <w:rPr>
          <w:rFonts w:ascii="Times New Roman;sans-serif" w:hAnsi="Times New Roman;sans-serif"/>
          <w:b/>
          <w:color w:val="000000"/>
          <w:sz w:val="20"/>
        </w:rPr>
        <w:t>Key Operating and Financial Performance Metrics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our GAAP results, we review non-GAAP financial measures, including Contribution ex-TAC and Adjusted EBITDA, to help us evaluate our business on a consistent basis, measure our performance, identify trends affecting our business, establish budgets, measure the effectiveness of investments in our technology and development and sales and marketing, and assess our operational efficiencies. Our non-GAAP financial measures are discussed below. Revenue and net income (loss) are discussed above under the headings "Components of Our Results of Operations" and "Results of Operations." </w:t>
      </w:r>
    </w:p>
    <w:p>
      <w:pPr>
        <w:pStyle w:val="TextBody"/>
        <w:bidi w:val="0"/>
        <w:spacing w:before="100" w:after="100"/>
        <w:jc w:val="left"/>
        <w:rPr/>
      </w:pPr>
      <w:r>
        <w:rPr/>
      </w:r>
    </w:p>
    <w:tbl>
      <w:tblPr>
        <w:tblW w:w="9845" w:type="dxa"/>
        <w:jc w:val="left"/>
        <w:tblInd w:w="0" w:type="dxa"/>
        <w:tblLayout w:type="fixed"/>
        <w:tblCellMar>
          <w:top w:w="28" w:type="dxa"/>
          <w:left w:w="28" w:type="dxa"/>
          <w:bottom w:w="28" w:type="dxa"/>
          <w:right w:w="28" w:type="dxa"/>
        </w:tblCellMar>
      </w:tblPr>
      <w:tblGrid>
        <w:gridCol w:w="1682"/>
        <w:gridCol w:w="1479"/>
        <w:gridCol w:w="1488"/>
        <w:gridCol w:w="276"/>
        <w:gridCol w:w="1081"/>
        <w:gridCol w:w="142"/>
        <w:gridCol w:w="109"/>
        <w:gridCol w:w="109"/>
        <w:gridCol w:w="109"/>
        <w:gridCol w:w="276"/>
        <w:gridCol w:w="1081"/>
        <w:gridCol w:w="142"/>
        <w:gridCol w:w="109"/>
        <w:gridCol w:w="109"/>
        <w:gridCol w:w="109"/>
        <w:gridCol w:w="273"/>
        <w:gridCol w:w="1072"/>
        <w:gridCol w:w="199"/>
      </w:tblGrid>
      <w:tr>
        <w:trPr/>
        <w:tc>
          <w:tcPr>
            <w:tcW w:w="1682"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w:t>
            </w:r>
          </w:p>
        </w:tc>
      </w:tr>
      <w:tr>
        <w:trPr/>
        <w:tc>
          <w:tcPr>
            <w:tcW w:w="4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2021</w:t>
            </w:r>
          </w:p>
        </w:tc>
      </w:tr>
      <w:tr>
        <w:trPr/>
        <w:tc>
          <w:tcPr>
            <w:tcW w:w="4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6"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Measures and non-GAAP Financial Measures:</w:t>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619,710 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577,069 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468,413 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209,804 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269,904 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266,751 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Contribution ex-TAC</w:t>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549,147 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514,615 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416,455 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(159,184)</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(130,323)</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171,364 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178,790 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148,659 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 xml:space="preserve">Contribution ex-TAC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Contribution ex-TAC is calculated as gross profit plus cost of revenue excluding traffic acquisition cost ("TAC"). Traffic acquisition cost, a component of cost of revenue, represents what we must pay sellers for the sale of advertising inventory through our platform for revenue reported on a gross basis. Contribution ex-TAC is a non-GAAP financial measure that is most comparable to gross profit. Our management believes Contribution ex-TAC is a useful measure in assessing the performance of Magnite and facilitates a consistent comparison against our core business without considering the impact of traffic acquisition costs related to revenue reported on a gross basis.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use of Contribution ex-TAC has limitations as an analytical tool and you should not consider it in isolation or as a substitute for analysis of our financial results as reported under GAAP. A potential limitation of this non-GAAP financial measure is that other companies, including companies in our industry which have similar business arrangements, may define Contribution ex-TAC differently, which may make comparisons difficult. Because of these and other limitations, you should consider our non-GAAP measures only as supplemental to GAAP-based financial performance measures, including revenue, gross profit, net income (loss) and cash flows.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the calculation of gross profit and reconciliation of gross profit to Contribution ex-TAC for the years ended December 31, 2023, 2022, and 2021, respectively: </w:t>
      </w:r>
    </w:p>
    <w:tbl>
      <w:tblPr>
        <w:tblW w:w="8825" w:type="dxa"/>
        <w:jc w:val="left"/>
        <w:tblInd w:w="0" w:type="dxa"/>
        <w:tblLayout w:type="fixed"/>
        <w:tblCellMar>
          <w:top w:w="28" w:type="dxa"/>
          <w:left w:w="28" w:type="dxa"/>
          <w:bottom w:w="28" w:type="dxa"/>
          <w:right w:w="28" w:type="dxa"/>
        </w:tblCellMar>
      </w:tblPr>
      <w:tblGrid>
        <w:gridCol w:w="1311"/>
        <w:gridCol w:w="1157"/>
        <w:gridCol w:w="1161"/>
        <w:gridCol w:w="276"/>
        <w:gridCol w:w="1081"/>
        <w:gridCol w:w="142"/>
        <w:gridCol w:w="109"/>
        <w:gridCol w:w="109"/>
        <w:gridCol w:w="109"/>
        <w:gridCol w:w="276"/>
        <w:gridCol w:w="1081"/>
        <w:gridCol w:w="142"/>
        <w:gridCol w:w="109"/>
        <w:gridCol w:w="109"/>
        <w:gridCol w:w="109"/>
        <w:gridCol w:w="273"/>
        <w:gridCol w:w="1072"/>
        <w:gridCol w:w="199"/>
      </w:tblGrid>
      <w:tr>
        <w:trPr/>
        <w:tc>
          <w:tcPr>
            <w:tcW w:w="1311"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w:t>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2021</w:t>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6"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619,710 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577,069 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468,413 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Cost of revenue</w:t>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409,906 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307,165 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201,662 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3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209,804 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269,904 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266,751 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back: Cost of revenue, excluding TAC</w:t>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339,343 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244,711 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149,704 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Contribution ex-TAC</w:t>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549,147 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514,615 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416,455 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8d6a21e15cb741baa6dee69bcf11e47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Sellers use our technology to monetize their content across all digital channels, including CTV, mobile and desktop. Each of these digital channels has its own industry growth rate, with CTV and mobile projected to continue to grow steadily, while desktop growth flattens. MAGNA's October 2023 Programmatic Market forecast has estimated compound annual growth rates from 2023 to 2027 for mobile and desktop at 15% and 3%, respectively, and over the same period, eMarketer projected CTV to grow at a 15% compound annual growth rate.</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track the breakdown of Contribution ex-TAC across channels to better understand how our clients are transacting on our platform, which informs decisions as to business strategy and the allocation of resources and capital. The following table presents Contribution ex-TAC by channel:</w:t>
      </w:r>
    </w:p>
    <w:tbl>
      <w:tblPr>
        <w:tblW w:w="6066" w:type="dxa"/>
        <w:jc w:val="left"/>
        <w:tblInd w:w="0" w:type="dxa"/>
        <w:tblLayout w:type="fixed"/>
        <w:tblCellMar>
          <w:top w:w="28" w:type="dxa"/>
          <w:left w:w="28" w:type="dxa"/>
          <w:bottom w:w="28" w:type="dxa"/>
          <w:right w:w="28" w:type="dxa"/>
        </w:tblCellMar>
      </w:tblPr>
      <w:tblGrid>
        <w:gridCol w:w="315"/>
        <w:gridCol w:w="277"/>
        <w:gridCol w:w="278"/>
        <w:gridCol w:w="276"/>
        <w:gridCol w:w="1081"/>
        <w:gridCol w:w="142"/>
        <w:gridCol w:w="109"/>
        <w:gridCol w:w="109"/>
        <w:gridCol w:w="109"/>
        <w:gridCol w:w="276"/>
        <w:gridCol w:w="1081"/>
        <w:gridCol w:w="142"/>
        <w:gridCol w:w="109"/>
        <w:gridCol w:w="109"/>
        <w:gridCol w:w="109"/>
        <w:gridCol w:w="273"/>
        <w:gridCol w:w="1072"/>
        <w:gridCol w:w="199"/>
      </w:tblGrid>
      <w:tr>
        <w:trPr/>
        <w:tc>
          <w:tcPr>
            <w:tcW w:w="31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6" w:type="dxa"/>
            <w:gridSpan w:val="15"/>
            <w:tcBorders/>
            <w:tcMar>
              <w:top w:w="0" w:type="dxa"/>
              <w:left w:w="0" w:type="dxa"/>
              <w:bottom w:w="0" w:type="dxa"/>
              <w:right w:w="0" w:type="dxa"/>
            </w:tcMar>
            <w:vAlign w:val="center"/>
          </w:tcPr>
          <w:p>
            <w:pPr>
              <w:pStyle w:val="TableContents"/>
              <w:bidi w:val="0"/>
              <w:spacing w:lineRule="auto" w:line="240" w:before="100" w:after="100"/>
              <w:jc w:val="center"/>
              <w:rPr>
                <w:rFonts w:ascii="Times New Roman;sans-serif" w:hAnsi="Times New Roman;sans-serif"/>
                <w:b/>
                <w:color w:val="000000"/>
                <w:sz w:val="16"/>
              </w:rPr>
            </w:pPr>
            <w:r>
              <w:rPr>
                <w:rFonts w:ascii="Times New Roman;sans-serif" w:hAnsi="Times New Roman;sans-serif"/>
                <w:b/>
                <w:color w:val="000000"/>
                <w:sz w:val="16"/>
              </w:rPr>
              <w:t>Contribution ex-TAC</w:t>
            </w:r>
          </w:p>
        </w:tc>
      </w:tr>
      <w:tr>
        <w:trPr/>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w:t>
            </w:r>
          </w:p>
        </w:tc>
      </w:tr>
      <w:tr>
        <w:trPr/>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2021</w:t>
            </w:r>
          </w:p>
        </w:tc>
      </w:tr>
      <w:tr>
        <w:trPr/>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6"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Channel:</w:t>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CTV</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218,494 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214,803 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143,407 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Mobile</w:t>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226,826 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188,116 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160,067 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Desktop</w:t>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103,827 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111,696 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112,981 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549,147 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514,615 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416,455 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Contribution ex-TAC increased $34.5 million, or 7%, for the year ended December 31, 2023 compared to the year ended December 31, 2022. The increase in Contribution ex-TAC was primarily due to the growth drivers described above for revenue.</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Contribution ex-TAC increased $98.2 million, or 24%, for the year ended December 31, 2022 compared to the year ended December 31, 2021. The increase in Contribution ex-TAC was primarily due to incremental revenue from the SpotX Acquisition, which was completed on April 30, 2021, and the SpringServe Acquisition, which was completed on July 1, 2021, as well as organic growth across CTV and mobile. We saw substantial growth in our CTV channel, which benefited from a full year of results from the SpotX and Spring Serve Acquisitions, as well as modest growth in mobile, which was partially offset by a decline in our Contribution ex-TAC from desktop.</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2024, we expect Contribution ex-TAC will increase compared to the prior year period, and although Contribution ex-TAC from mobile was the primary driver in Contribution ex-TAC growth in 2023, we expect CTV will be our biggest growth driver in 2024.</w:t>
      </w:r>
    </w:p>
    <w:p>
      <w:pPr>
        <w:pStyle w:val="TextBody"/>
        <w:bidi w:val="0"/>
        <w:spacing w:lineRule="auto" w:line="288" w:before="100" w:after="10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 xml:space="preserve">Adjusted EBITDA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define Adjusted EBITDA as net income (loss) adjusted to exclude stock-based compensation expense, depreciation and amortization, amortization of acquired intangible assets, impairment charges, interest income or expense, and other cash and non-cash based income or expenses that we do not consider indicative of our core operating performance, including, but not limited to foreign exchange gains and losses, acquisition and related items, gains or losses on extinguishment of debt, non-operational real estate and other expense (income), net, and provision (benefit) for income taxes. We believe Adjusted EBITDA is useful to investors in evaluating our performance for the following reasons:</w:t>
      </w:r>
    </w:p>
    <w:p>
      <w:pPr>
        <w:pStyle w:val="TextBody"/>
        <w:bidi w:val="0"/>
        <w:spacing w:lineRule="auto" w:line="288" w:before="0" w:after="40"/>
        <w:ind w:left="0" w:right="0" w:hanging="360"/>
        <w:jc w:val="left"/>
        <w:rPr/>
      </w:pPr>
      <w:r>
        <w:rPr>
          <w:color w:val="000000"/>
        </w:rPr>
        <w:t>•</w:t>
      </w:r>
      <w:r>
        <w:rPr>
          <w:rFonts w:ascii="Times New Roman;sans-serif" w:hAnsi="Times New Roman;sans-serif"/>
          <w:b w:val="false"/>
          <w:color w:val="000000"/>
          <w:sz w:val="20"/>
        </w:rPr>
        <w:t>Adjusted EBITDA is widely used by investors and securities analysts to measure a company’s performance without regard to items such as those we exclude in calculating this measure, which can vary substantially from company to company depending upon their financing, capital structures, and the method by which assets were acquired.</w:t>
      </w:r>
    </w:p>
    <w:p>
      <w:pPr>
        <w:pStyle w:val="TextBody"/>
        <w:bidi w:val="0"/>
        <w:spacing w:lineRule="auto" w:line="288" w:before="0" w:after="40"/>
        <w:ind w:left="0" w:right="0" w:hanging="360"/>
        <w:jc w:val="left"/>
        <w:rPr/>
      </w:pPr>
      <w:r>
        <w:rPr>
          <w:color w:val="000000"/>
        </w:rPr>
        <w:t>•</w:t>
      </w:r>
      <w:r>
        <w:rPr>
          <w:rFonts w:ascii="Times New Roman;sans-serif" w:hAnsi="Times New Roman;sans-serif"/>
          <w:b w:val="false"/>
          <w:color w:val="000000"/>
          <w:sz w:val="20"/>
        </w:rPr>
        <w:t>Our management uses Adjusted EBITDA in conjunction with GAAP financial measures for planning purposes, including the preparation of our annual operating budget, as a measure of performance and the effectiveness of our business strategies, and in communications with our board of directors concerning our performance. Adjusted EBITDA is also used as a metric for determining payment of cash incentive compensation.</w:t>
      </w:r>
    </w:p>
    <w:p>
      <w:pPr>
        <w:pStyle w:val="TextBody"/>
        <w:bidi w:val="0"/>
        <w:spacing w:lineRule="auto" w:line="288" w:before="0" w:after="40"/>
        <w:ind w:left="0" w:right="0" w:hanging="360"/>
        <w:jc w:val="left"/>
        <w:rPr/>
      </w:pPr>
      <w:r>
        <w:rPr>
          <w:color w:val="000000"/>
        </w:rPr>
        <w:t>•</w:t>
      </w:r>
      <w:r>
        <w:rPr>
          <w:rFonts w:ascii="Times New Roman;sans-serif" w:hAnsi="Times New Roman;sans-serif"/>
          <w:b w:val="false"/>
          <w:color w:val="000000"/>
          <w:sz w:val="20"/>
        </w:rPr>
        <w:t>Adjusted EBITDA provides a measure of consistency and comparability with our past performance that many investors find useful, facilitates period-to-period comparisons of operations, and also facilitates comparisons with other peer companies, many of which use similar non-GAAP financial measures to supplement their GAAP results.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Although Adjusted EBITDA is frequently used by investors and securities analysts in their evaluations of companies, Adjusted EBITDA has limitations as an analytical tool, and should not be considered in isolation or as a substitute for analysis of our results of operations as reported under GAAP. These limitations include:</w:t>
      </w:r>
    </w:p>
    <w:p>
      <w:pPr>
        <w:pStyle w:val="TextBody"/>
        <w:bidi w:val="0"/>
        <w:spacing w:lineRule="auto" w:line="288" w:before="0" w:after="40"/>
        <w:ind w:left="0" w:right="0" w:hanging="360"/>
        <w:jc w:val="left"/>
        <w:rPr/>
      </w:pPr>
      <w:r>
        <w:rPr>
          <w:color w:val="000000"/>
        </w:rPr>
        <w:t>•</w:t>
      </w:r>
      <w:r>
        <w:rPr>
          <w:rFonts w:ascii="Times New Roman;sans-serif" w:hAnsi="Times New Roman;sans-serif"/>
          <w:b w:val="false"/>
          <w:color w:val="000000"/>
          <w:sz w:val="20"/>
        </w:rPr>
        <w:t>Stock-based compensation is a non-cash charge and will remain an element of our long-term incentive compensation package, although we exclude it as an expense when evaluating our ongoing operating performance for a particular period.</w:t>
      </w:r>
    </w:p>
    <w:p>
      <w:pPr>
        <w:pStyle w:val="TextBody"/>
        <w:bidi w:val="0"/>
        <w:spacing w:lineRule="auto" w:line="288" w:before="0" w:after="40"/>
        <w:ind w:left="0" w:right="0" w:hanging="360"/>
        <w:jc w:val="left"/>
        <w:rPr/>
      </w:pPr>
      <w:r>
        <w:rPr>
          <w:color w:val="000000"/>
        </w:rPr>
        <w:t>•</w:t>
      </w:r>
      <w:r>
        <w:rPr>
          <w:rFonts w:ascii="Times New Roman;sans-serif" w:hAnsi="Times New Roman;sans-serif"/>
          <w:b w:val="false"/>
          <w:color w:val="000000"/>
          <w:sz w:val="20"/>
        </w:rPr>
        <w:t>Depreciation and amortization are non-cash charges, and the assets being depreciated or amortized will often have to be replaced in the future, but Adjusted EBITDA does not reflect any cash requirements for these replacements.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8d6a21e15cb741baa6dee69bcf11e47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40"/>
        <w:ind w:left="0" w:right="0" w:hanging="360"/>
        <w:jc w:val="left"/>
        <w:rPr/>
      </w:pPr>
      <w:r>
        <w:rPr>
          <w:color w:val="000000"/>
        </w:rPr>
        <w:t>•</w:t>
      </w:r>
      <w:r>
        <w:rPr>
          <w:rFonts w:ascii="Times New Roman;sans-serif" w:hAnsi="Times New Roman;sans-serif"/>
          <w:b w:val="false"/>
          <w:color w:val="000000"/>
          <w:sz w:val="20"/>
        </w:rPr>
        <w:t>Impairment charges are non-cash charges related to goodwill, intangible assets and/or long-lived assets.</w:t>
      </w:r>
    </w:p>
    <w:p>
      <w:pPr>
        <w:pStyle w:val="TextBody"/>
        <w:bidi w:val="0"/>
        <w:spacing w:lineRule="auto" w:line="288" w:before="0" w:after="40"/>
        <w:ind w:left="0" w:right="0" w:hanging="360"/>
        <w:jc w:val="left"/>
        <w:rPr/>
      </w:pPr>
      <w:r>
        <w:rPr>
          <w:color w:val="000000"/>
        </w:rPr>
        <w:t>•</w:t>
      </w:r>
      <w:r>
        <w:rPr>
          <w:rFonts w:ascii="Times New Roman;sans-serif" w:hAnsi="Times New Roman;sans-serif"/>
          <w:b w:val="false"/>
          <w:color w:val="000000"/>
          <w:sz w:val="20"/>
        </w:rPr>
        <w:t>Adjusted EBITDA does not reflect certain cash and non-cash charges related to acquisition and related items, such as amortization of acquired intangible assets, merger, acquisition, or restructuring related severance costs, and changes in the fair value of contingent consideration.</w:t>
      </w:r>
    </w:p>
    <w:p>
      <w:pPr>
        <w:pStyle w:val="TextBody"/>
        <w:bidi w:val="0"/>
        <w:spacing w:lineRule="auto" w:line="288" w:before="0" w:after="40"/>
        <w:ind w:left="0" w:right="0" w:hanging="360"/>
        <w:jc w:val="left"/>
        <w:rPr/>
      </w:pPr>
      <w:r>
        <w:rPr>
          <w:color w:val="000000"/>
        </w:rPr>
        <w:t>•</w:t>
      </w:r>
      <w:r>
        <w:rPr>
          <w:rFonts w:ascii="Times New Roman;sans-serif" w:hAnsi="Times New Roman;sans-serif"/>
          <w:b w:val="false"/>
          <w:color w:val="000000"/>
          <w:sz w:val="20"/>
        </w:rPr>
        <w:t>Adjusted EBITDA does not reflect cash and non-cash charges and changes in, or cash requirements for, acquisition and related items, such as certain transaction expenses and expenses associated with earn-out amounts.</w:t>
      </w:r>
    </w:p>
    <w:p>
      <w:pPr>
        <w:pStyle w:val="TextBody"/>
        <w:bidi w:val="0"/>
        <w:spacing w:lineRule="auto" w:line="288" w:before="0" w:after="40"/>
        <w:ind w:left="0" w:right="0" w:hanging="360"/>
        <w:jc w:val="left"/>
        <w:rPr/>
      </w:pPr>
      <w:r>
        <w:rPr>
          <w:color w:val="000000"/>
        </w:rPr>
        <w:t>•</w:t>
      </w:r>
      <w:r>
        <w:rPr>
          <w:rFonts w:ascii="Times New Roman;sans-serif" w:hAnsi="Times New Roman;sans-serif"/>
          <w:b w:val="false"/>
          <w:color w:val="000000"/>
          <w:sz w:val="20"/>
        </w:rPr>
        <w:t>Adjusted EBITDA does not reflect changes in our working capital needs, capital expenditures, non-operational real estate expenses or income, or contractual commitments.</w:t>
      </w:r>
    </w:p>
    <w:p>
      <w:pPr>
        <w:pStyle w:val="TextBody"/>
        <w:bidi w:val="0"/>
        <w:spacing w:lineRule="auto" w:line="288" w:before="0" w:after="40"/>
        <w:ind w:left="0" w:right="0" w:hanging="360"/>
        <w:jc w:val="left"/>
        <w:rPr/>
      </w:pPr>
      <w:r>
        <w:rPr>
          <w:color w:val="000000"/>
        </w:rPr>
        <w:t>•</w:t>
      </w:r>
      <w:r>
        <w:rPr>
          <w:rFonts w:ascii="Times New Roman;sans-serif" w:hAnsi="Times New Roman;sans-serif"/>
          <w:b w:val="false"/>
          <w:color w:val="000000"/>
          <w:sz w:val="20"/>
        </w:rPr>
        <w:t>Adjusted EBITDA does not reflect cash requirements for income taxes and the cash impact of other income or expense.</w:t>
      </w:r>
    </w:p>
    <w:p>
      <w:pPr>
        <w:pStyle w:val="TextBody"/>
        <w:bidi w:val="0"/>
        <w:spacing w:lineRule="auto" w:line="288" w:before="0" w:after="40"/>
        <w:ind w:left="0" w:right="0" w:hanging="360"/>
        <w:jc w:val="left"/>
        <w:rPr/>
      </w:pPr>
      <w:r>
        <w:rPr>
          <w:color w:val="000000"/>
        </w:rPr>
        <w:t>•</w:t>
      </w:r>
      <w:r>
        <w:rPr>
          <w:rFonts w:ascii="Times New Roman;sans-serif" w:hAnsi="Times New Roman;sans-serif"/>
          <w:b w:val="false"/>
          <w:color w:val="000000"/>
          <w:sz w:val="20"/>
        </w:rPr>
        <w:t>Other companies may calculate Adjusted EBITDA differently than we do, limiting its usefulness as a comparative measure.</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Adjusted EBITDA is influenced by fluctuations in our revenue, cost of revenue, and the timing and amounts of the cost of our operations. Adjusted EBITDA should not be considered as an alternative to net income (loss), income (loss) from operations, or any other measure of financial performance calculated and presented in accordance with GAAP.</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 reconciliation of net income (loss), the most comparable GAAP measure, to Adjusted EBITDA for the years ended December 31, 2023, 2022, and 2021:</w:t>
      </w:r>
    </w:p>
    <w:tbl>
      <w:tblPr>
        <w:tblW w:w="10205" w:type="dxa"/>
        <w:jc w:val="center"/>
        <w:tblInd w:w="0" w:type="dxa"/>
        <w:tblLayout w:type="fixed"/>
        <w:tblCellMar>
          <w:top w:w="28" w:type="dxa"/>
          <w:left w:w="28" w:type="dxa"/>
          <w:bottom w:w="28" w:type="dxa"/>
          <w:right w:w="28" w:type="dxa"/>
        </w:tblCellMar>
      </w:tblPr>
      <w:tblGrid>
        <w:gridCol w:w="1970"/>
        <w:gridCol w:w="1535"/>
        <w:gridCol w:w="1505"/>
        <w:gridCol w:w="109"/>
        <w:gridCol w:w="109"/>
        <w:gridCol w:w="109"/>
        <w:gridCol w:w="109"/>
        <w:gridCol w:w="238"/>
        <w:gridCol w:w="993"/>
        <w:gridCol w:w="122"/>
        <w:gridCol w:w="109"/>
        <w:gridCol w:w="109"/>
        <w:gridCol w:w="109"/>
        <w:gridCol w:w="238"/>
        <w:gridCol w:w="993"/>
        <w:gridCol w:w="122"/>
        <w:gridCol w:w="109"/>
        <w:gridCol w:w="109"/>
        <w:gridCol w:w="109"/>
        <w:gridCol w:w="246"/>
        <w:gridCol w:w="967"/>
        <w:gridCol w:w="186"/>
      </w:tblGrid>
      <w:tr>
        <w:trPr/>
        <w:tc>
          <w:tcPr>
            <w:tcW w:w="1970"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5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1"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w:t>
            </w:r>
          </w:p>
        </w:tc>
        <w:tc>
          <w:tcPr>
            <w:tcW w:w="1726" w:type="dxa"/>
            <w:gridSpan w:val="6"/>
            <w:tcBorders/>
          </w:tcPr>
          <w:p>
            <w:pPr>
              <w:pStyle w:val="TableContents"/>
              <w:bidi w:val="0"/>
              <w:spacing w:before="0" w:after="283"/>
              <w:jc w:val="left"/>
              <w:rPr>
                <w:sz w:val="4"/>
                <w:szCs w:val="4"/>
              </w:rPr>
            </w:pPr>
            <w:r>
              <w:rPr>
                <w:sz w:val="4"/>
                <w:szCs w:val="4"/>
              </w:rPr>
            </w:r>
          </w:p>
        </w:tc>
      </w:tr>
      <w:tr>
        <w:trPr/>
        <w:tc>
          <w:tcPr>
            <w:tcW w:w="5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2021</w:t>
            </w:r>
          </w:p>
        </w:tc>
      </w:tr>
      <w:tr>
        <w:trPr/>
        <w:tc>
          <w:tcPr>
            <w:tcW w:w="5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1" w:type="dxa"/>
            <w:gridSpan w:val="1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1726" w:type="dxa"/>
            <w:gridSpan w:val="6"/>
            <w:tcBorders/>
          </w:tcPr>
          <w:p>
            <w:pPr>
              <w:pStyle w:val="TableContents"/>
              <w:bidi w:val="0"/>
              <w:spacing w:before="0" w:after="283"/>
              <w:jc w:val="left"/>
              <w:rPr>
                <w:sz w:val="4"/>
                <w:szCs w:val="4"/>
              </w:rPr>
            </w:pPr>
            <w:r>
              <w:rPr>
                <w:sz w:val="4"/>
                <w:szCs w:val="4"/>
              </w:rPr>
            </w:r>
          </w:p>
        </w:tc>
      </w:tr>
      <w:tr>
        <w:trPr/>
        <w:tc>
          <w:tcPr>
            <w:tcW w:w="5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(159,184)</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(130,323)</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back (deduct):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 excluding amortization of acquired intangible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38,330 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31,658 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25,017 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acquired intangibles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202,490 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184,394 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121,869 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72,617 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64,118 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40,735 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r>
      <w:tr>
        <w:trPr/>
        <w:tc>
          <w:tcPr>
            <w:tcW w:w="50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r>
      <w:tr>
        <w:trPr/>
        <w:tc>
          <w:tcPr>
            <w:tcW w:w="5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Merger, acquisition, and restructuring costs, excluding 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37,106 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Non-operational real estate and other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32,369 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29,260 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19,848 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(gain) loss,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(1,129)</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(1,480)</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Gain on extinguishment of debt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(26,480)</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(benefit)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(5,274)</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(95,053)</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171,364 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178,790 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148,659 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 decreased by $7.4 million during the year ended December 31, 2023 compared to the year ended December 31, 2022, primarily due to increases in cloud hosting, data center, and bandwidth costs, traffic and acquisitions costs, personnel expenses, and bad debt expense, which exceeded increases in revenue year-over-year, which are discussed in section "Comparison of the Years Ended December 31, 2023, 2022, and 2021."</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 increased by $30.1 million during the year ended December 31, 2022 compared to the year ended December 31, 2021, primarily due to incremental revenue growth from the SpotX Acquisition and organic growth, which are discussed in section "Comparison of the Years Ended December 31, 2023, 2022, and 2021."</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100"/>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100" w:after="10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Liquidity</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At December 31, 2023, we had cash and cash equivalents of $326.2 million, of which $52.6 million was held in foreign currency denominated cash accounts, and an aggregate gross principal amount of $556.1 million of indebtedness outstanding under our Prior Term Loan B Facility (as defined below) and our Convertible Senior Notes (as defined below). In addition, we were party to a $65.0 million Prior Revolving Credit Facility (as defined below), of which approximately $5.3 million was assigned to outstanding but undrawn letters of credit. The Prior Term Loan B Facility and Prior Revolving Credit Facility were fully terminated and replaced with the New Term Loan B Facility and New Revolving Credit Facility (both defined below). See "Capital Resources" below for further information about our outstanding debt.</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principal cash requirements for the twelve-month period following this report primarily consist of personnel costs, contractual payment obligations, including office leases, data center costs and cloud hosting costs, capital expenditures, payment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8d6a21e15cb741baa6dee69bcf11e47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required principal payments on our Convertible Senior Notes, New Term Loan B Facility, cash outlays for income taxes, and cash requirements to fund working capital. In the longer term, we would expect to have similar cash requirements, with increases in absolute dollars associated with the continued growth of our business and expansion of operations. See "Contractual Obligations and Known Future Cash Requirements" for a further discussion of our known material contractual obligations.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working capital needs and cash conversion cycle, which is influenced by seasonality and by the mix of terms among our buyers and sellers and which may be negatively impacted as a result of pandemics, inflationary, recessionary and other macroeconomic challenges, can have large fluctuations due to the timing of receipts from buyers and timing of disbursements to sellers. In addition, in the event a buyer defaults on payment, we may still be required to pay sellers for the inventory purchased. The impacts from changes in working capital and capital expenditures can significantly impact our cash flows and therefore, our liquidity during any period presented.</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have historically relied upon cash and cash equivalents, cash generated from operations, borrowings under credit facilities and issuance of debt for our liquidity needs. Our ability to meet our cash requirements depends on, among other things, our operating performance, competitive developments, and financial market conditions, all of which are significantly affected by business, financial, economic, political, global health-related and other factors, many of which we may not be able to control or influence.</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our existing cash and cash equivalents, cash generated from operating activities, and amounts available to borrow under our New Revolving Credit Facility will be sufficient to meet our working capital requirements for at least the next twelve months from the issuance of our financial statements. However, there are multiple factors that could impact our cash balances in the future, including the factors described above with respect to working capital and cash conversion cycles, as well as the duration and severity of events beyond our control, macroeconomic factors and other factors set forth in Part I, Item 1A: "Risk Factors" of this Annual Report on Form 10-K.</w:t>
      </w:r>
    </w:p>
    <w:p>
      <w:pPr>
        <w:pStyle w:val="TextBody"/>
        <w:bidi w:val="0"/>
        <w:spacing w:lineRule="auto" w:line="288" w:before="100" w:after="10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Capital Resources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March 2021, we sold convertible senior notes ("Convertible Senior Notes") for gross proceeds of $400.0 million. The Convertible Senior Notes are senior, unsecured obligations with interest payable semi-annually in cash at a rate of 0.25% per annum in arrears on March 15 and September 15. The Convertible Senior Notes will mature on March 15, 2026, unless earlier converted, redeemed, or repurchased. The initial conversion rate is 15.6539 shares per $1,000 principal amount of notes, which represents an initial conversion price of approximately $63.88 per share of the Company’s common stock and is subject to adjustment as described in the Offering Memorandum. At December 31, 2023, the balance of the Convertible Senior Notes was $202.5 million, net of unamortized debt issuance costs of $2.6 million. Accrued interest for the Convertible Senior Notes at December 31, 2023 was $0.1 million.</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conjunction with the issuance of the Convertible Senior Notes, we entered into capped call transactions to reduce the Company's exposure to additional cash payments above principal balances in the event of a cash conversion of the Convertible Senior Notes. The Company may owe additional cash or shares to the holders of the Convertible Senior Notes upon early conversion if our stock price exceeds $91.260 per share, which is subject to certain adjustments.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April 30, 2021, and in conjunction with the SpotX Acquisition, we entered into a credit agreement (the "Prior Credit Agreement") with Goldman Sachs Bank USA as administrative and collateral agent, and other lending parties thereto for a $360.0 million seven-year senior secured term loan facility ("Prior Term Loan B Facility") and a $52.5 million senior secured revolving credit facility (the "Prior Revolving Credit Facility"), which was subsequently increased to $65.0 million in June 2021. The Prior Credit Agreement was fully refinanced and replaced by the New Credit Agreement (defined below). Amounts outstanding under the Prior Credit Agreement accrued interest at a rate equal to either, (1) for the Prior Term Loan B Facility, at the Company’s election, the Eurodollar Rate (as defined in the Prior Credit Agreement) plus a margin of 5.00% per annum, or ABR (as defined in the Prior Credit Agreement) plus a margin of 4.00%, and (2) for the Prior Revolving Credit Facility, at the Company’s election, the Eurodollar Rate plus a margin of 4.25% to 4.75%, or ABR plus a margin of 3.25% to 3.75%, in each case, depending on the Company’s first lien net leverage ratio. As part of the Prior Term Loan B Facility, the Company received $325 million in proceeds, net of discounts and fees, which were used to finance the SpotX Acquisition and related transactions and for general corporate purposes. In June 2023, the Company amended its Prior Credit Agreement to transition away from a variable interest rate based on the Eurodollar Rate towards a similar variable interest rate based on Adjusted Term SOFR, as defined in the amendment to the Credit Agreement, which is based on the Secured Overnight Financing Rate ("SOFR"). At December 31, 2023, amounts available under the Prior Revolving Credit Facility were $59.7 million, net of letters of credit outstanding in the amount of $5.3 million. Accrued interest for the Prior Term Loan B Facility at December 31, 2023 was $1.0 million.</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6, 2024, we entered into a credit agreement (the “New Credit Agreement”) with Morgan Stanley Senior Funding, Inc. as term loan administrative agent and Citibank, N.A. as revolving facility administrative agent and collateral agent, and other lender parties thereto. The New Credit Agreement provides for a $365.0 million seven-year senior secured term loan facility (the "New Term Loan B Facility") and a $175.0 million five-year senior secured revolving credit facility (the "New Revolving Credit Facility"). The net proceeds from the New Term Loan B Facility were used, among other things, to terminate and to repay in full the outstanding facilities under the Prior Credit Agreement. The New Revolving Credit Facility will be available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8d6a21e15cb741baa6dee69bcf11e47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general corporate purposes. The obligations under the New Credit Agreement are secured by substantially all of the assets of the Company pursuant to a collateral agreement entered into with the collateral agent. Amounts outstanding under the New Credit Agreement accrue interest at a rate equal to, (1) for the term loans, at the Company’s election, Term SOFR (as defined in the New Credit Agreement) plus a margin of 4.50% per annum, or ABR (as defined in the New Credit Agreement) plus a margin of 3.50%, and (2) for the revolving loans, at the Company’s election, Term SOFR plus a margin of 3.50% to 4.00%, or ABR plus a margin of 2.50% to 3.00%, in each case, depending on the Company’s first lien net leverage ratio. The covenants of the New Credit Agreement include customary negative covenants that, among other things, restrict the Company’s ability to incur additional indebtedness, grant liens and make certain acquisitions, investments, asset dispositions and restricted payments. In addition, the New Credit Agreement contains a financial covenant, tested on the last day of any fiscal quarter if utilization of the revolving credit facility exceeds 35% of the total revolving commitments, that requires the Company to maintain a first lien net leverage ratio not greater than 3.25 to 1.00. The New Credit Agreement includes customary events of default, and customary rights and remedies upon the occurrence of any event of default thereunder, including rights to accelerate the loans, terminate the commitments thereunder and realize upon the collateral securing the obligations under the New Credit Agreement.</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December 2021, the Board of Directors approved a repurchase program (the "2021 Repurchase Plan"), under which we were authorized to purchase up to $50.0 million of our common stock over the twelve month period commencing December 10, 2021. In November 2022, the Board of Directors approved an extension of the 2021 Repurchase Plan through December 15, 2023. In February 2023, the Board of Directors approved a repurchase plan (the “February 2023 Repurchase Plan”), pursuant to which we were authorized to repurchase common stock or Convertible Senior Notes, with an aggregate market value of up to $75.0 million, through February 16, 2025, which was completed during the second quarter of 2023. On August 4, 2023, the Board of Directors approved a new repurchase plan (the "August 2023 Repurchase Plan"), pursuant to which we were authorized to repurchase common stock or Convertible Senior Notes, with an aggregate market value of up to $100.0 million, through August 4, 2025. As of December 31, 2023, $9.5 million remained available under the August 2023 Repurchase Plan. As a result of repurchases under the February 2023 Repurchase Plan and August 2023 Repurchase Plan, as of December 31, 2023, the Company had reduced the principal balance of its Convertible Senior Notes to $205.1 million.</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Subsequently, on February 1, 2024, the Board of Directors approved a new repurchase plan (the "February 2024 Repurchase Plan"), which fully replaced the August 2023 Repurchase Plan, pursuant to which we are authorized to repurchase common stock or Convertible Senior Notes, with an aggregate market value of up to $125.0 million, through February 1, 2026.</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future, we may attempt to raise additional capital through the sale of equity securities or through equity-linked or debt financing arrangements. If we raise additional funds by issuing equity or equity-linked securities, the ownership of our existing stockholders may be diluted. If we raise additional financing by incurring indebtedness, we will be subject to increased fixed payment obligations and could also be subject to financial maintenance covenants, or restrictive covenants, such as limitations on our ability to incur additional debt, and other operating restrictions that could adversely impact our ability to conduct our business. Any future indebtedness we incur may result in terms that could be unfavorable to equity investors. An inability to raise additional capital could adversely affect our ability to achieve our business objectives.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cash and cash equivalents balance is affected by our results of operations, the timing of capital expenditures, and by changes in our working capital, particularly changes in accounts receivable and accounts payable. The timing of cash receipts from buyers and payments to sellers can significantly impact our cash flows from operating activities and our liquidity for, and within, any period presented. Our collection and payment cycle can vary from period to period depending upon various circumstances, including seasonality, and may be negatively impacted by certain macroeconomic challenges, such as capital market disruptions and instability of financial institutions. </w:t>
      </w:r>
    </w:p>
    <w:p>
      <w:pPr>
        <w:pStyle w:val="TextBody"/>
        <w:bidi w:val="0"/>
        <w:spacing w:lineRule="auto" w:line="288" w:before="100" w:after="10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Cash Flows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our cash flows for the periods presented: </w:t>
      </w:r>
    </w:p>
    <w:tbl>
      <w:tblPr>
        <w:tblW w:w="10205" w:type="dxa"/>
        <w:jc w:val="center"/>
        <w:tblInd w:w="0" w:type="dxa"/>
        <w:tblLayout w:type="fixed"/>
        <w:tblCellMar>
          <w:top w:w="28" w:type="dxa"/>
          <w:left w:w="28" w:type="dxa"/>
          <w:bottom w:w="28" w:type="dxa"/>
          <w:right w:w="28" w:type="dxa"/>
        </w:tblCellMar>
      </w:tblPr>
      <w:tblGrid>
        <w:gridCol w:w="1918"/>
        <w:gridCol w:w="1657"/>
        <w:gridCol w:w="1664"/>
        <w:gridCol w:w="261"/>
        <w:gridCol w:w="1025"/>
        <w:gridCol w:w="134"/>
        <w:gridCol w:w="109"/>
        <w:gridCol w:w="109"/>
        <w:gridCol w:w="109"/>
        <w:gridCol w:w="261"/>
        <w:gridCol w:w="1025"/>
        <w:gridCol w:w="134"/>
        <w:gridCol w:w="109"/>
        <w:gridCol w:w="109"/>
        <w:gridCol w:w="109"/>
        <w:gridCol w:w="259"/>
        <w:gridCol w:w="1018"/>
        <w:gridCol w:w="195"/>
      </w:tblGrid>
      <w:tr>
        <w:trPr/>
        <w:tc>
          <w:tcPr>
            <w:tcW w:w="1918" w:type="dxa"/>
            <w:tcBorders/>
            <w:vAlign w:val="center"/>
          </w:tcPr>
          <w:p>
            <w:pPr>
              <w:pStyle w:val="TableContents"/>
              <w:bidi w:val="0"/>
              <w:spacing w:before="0" w:after="283"/>
              <w:jc w:val="left"/>
              <w:rPr>
                <w:sz w:val="4"/>
                <w:szCs w:val="4"/>
              </w:rPr>
            </w:pPr>
            <w:r>
              <w:rPr>
                <w:sz w:val="4"/>
                <w:szCs w:val="4"/>
              </w:rPr>
            </w:r>
          </w:p>
        </w:tc>
        <w:tc>
          <w:tcPr>
            <w:tcW w:w="1657"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5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6"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w:t>
            </w:r>
          </w:p>
        </w:tc>
      </w:tr>
      <w:tr>
        <w:trPr/>
        <w:tc>
          <w:tcPr>
            <w:tcW w:w="5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2021</w:t>
            </w:r>
          </w:p>
        </w:tc>
      </w:tr>
      <w:tr>
        <w:trPr/>
        <w:tc>
          <w:tcPr>
            <w:tcW w:w="5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6"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5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Cash flows provided by operating activities</w:t>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214,367 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192,550 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126,589 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Cash flows used in investing activities</w:t>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(37,383)</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(65,152)</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(690,997)</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provided by (used in) financing activities</w:t>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(177,842)</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(30,172)</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678,053 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Effects of exchange rate changes on cash, cash equivalents and restricted cash</w:t>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(1,417)</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cash, cash equivalents and restricted cash</w:t>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95,809 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112,962 </w:t>
            </w:r>
          </w:p>
        </w:tc>
        <w:tc>
          <w:tcPr>
            <w:tcW w:w="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Operating Activities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cash flows from operating activities are primarily driven by revenue from transactions of advertising on our platform, offset by the cash costs of operations, and are significantly influenced by the timing of and fluctuations in receipts from buyers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8d6a21e15cb741baa6dee69bcf11e47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related payments to sellers. Our future cash flows will be diminished if we cannot increase our revenue levels and manage costs appropriately.</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 ended December 31, 2023, net cash provided by operating activities was $214.4 million, compared to net cash provided by operating activities of $192.6 million and $126.6 million during the years ended December 31, 2022 and 2021, respectively. Our operating activities included net loss of $159.2 million, net loss of $130.3 million, and net income of $0.1 million for the years ended December 31, 2023 and 2022, and 2021, respectively, which were offset by non-cash adjustments of $298.1 million, $282.4 million, and $94.6 million, respectively. Net changes in our working capital resulted in increases of $75.5 million, $40.4 million, and $31.9 million in cash provided by operating activities in 2023, 2022, and 2021 respectively. The net changes in working capital for all periods presented are primarily due to the timing of cash receipts from buyers and the timing of payments to sellers.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cash flows from operations will continue to fluctuate, but in general will increase over time as our business continues to grow.</w:t>
      </w:r>
    </w:p>
    <w:p>
      <w:pPr>
        <w:pStyle w:val="TextBody"/>
        <w:bidi w:val="0"/>
        <w:spacing w:lineRule="auto" w:line="288" w:before="100" w:after="10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Investing Activities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primary investing activities have consisted of acquisitions of businesses, purchases of property and equipment, and capital expenditures in support of creating and enhancing our technology infrastructure. Purchases of property and equipment and investments in internal use software development may vary from period-to-period due to the timing of the expansion of our operations, changes to headcount, and the cycles of our internal use software development.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2023, net cash used in investing activities was $37.4 million, compared to net cash used in investing activities of $65.2 million and $691.0 million during the years ended December 31, 2022 and 2021, respectively. During the year ended December 31, 2023, 2022, and 2021, we used cash for purchases of property and equipment of $26.8 million, $30.8 million, and $17.7 million, respectively, and used cash for investments in our internally developed software of $10.6 million, $13.6 million, and $11.4 million, respectively. During the year ended December 31, 2022, we used net cash of $20.8 million to acquire Carbon and during the year ended December 31, 2021, we used net cash of $661.9 million to acquire SpotX, SpringServe, and Nth Party.</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anticipate cash flows used in our investing activities will generally increase in 2024 compared to 2023 in order to support our overall growth, in particular with respect to investments in property and equipment and internally developed software.</w:t>
      </w:r>
    </w:p>
    <w:p>
      <w:pPr>
        <w:pStyle w:val="TextBody"/>
        <w:bidi w:val="0"/>
        <w:spacing w:lineRule="auto" w:line="288" w:before="100" w:after="10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Financing Activities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financing activities consisted of our Convertible Senior Notes transactions, repayment of amounts borrowed under our Prior Term Loan B Facility, transactions related to our equity plans, and stock purchases under the repurchase plans.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2023, net cash used in financing activities was $177.8 million, compared to net cash used in financing activities of $30.2 million for the year ended December 31, 2022 and net cash provided by financing activities of $678.1 million during the year ended December 31, 2021. Cash outflows from financing activities for the year ended December 31, 2023 primarily included $165.5 million of payments related to repurchasing our Convertible Senior Notes, $11.8 million for taxes paid related to net share settlement of stock-based awards, $3.6 million for repayment of our Prior Term Loan B Facility, and $2.3 million for payment of our indemnification claims holdback related to historical acquisitions. These outflows for the year ended December 31, 2023 were partially offset by cash proceeds from issuance of common stock under our employee stock purchase plan of $3.5 million and from stock options exercised of $2.2 million. Cash outflows from financing activities for the year ended December 31, 2022 included $15.7 million for payments related to share repurchases, $14.5 million for taxes paid related to net share settlement of stock-based awards, and $3.6 million for repayment of our Prior Term Loan B Facility. These outflows for the year ended December 31, 2022 were partially offset by cash proceeds from issuance of common stock under our employee stock purchase plan of $3.7 million and from stock options exercised of $2.2 million. Cash inflows from financing activities for the year ended December 31, 2021 included $400.0 million in proceeds from our Convertible Senior Notes offering, $349.2 million in net proceeds from our Prior Term Loan B Facility, cash proceeds from stock options exercised of $9.4 million and $3.7 million cash proceeds from issuance of common stock under our employee stock purchase plan. These inflows for the year ended December 31, 2021 were partially offset by a $39.0 million payment for capped call transactions entered into in connection with the Convertible Senior Notes offering, debt issuance cost payments of $30.4 million, repurchases of $6.0 million of treasury stock in conjunction with our stock repurchase plan, $6.5 million for income tax deposits paid in respect of vesting of stock-based compensation awards that were reimbursed by the award recipients through surrender of shares, $1.8 million repayment of Prior Term Loan B Facility, and repayment of $0.6 million financing lease obligations.</w:t>
      </w:r>
    </w:p>
    <w:p>
      <w:pPr>
        <w:pStyle w:val="TextBody"/>
        <w:bidi w:val="0"/>
        <w:spacing w:before="100" w:after="10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10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 xml:space="preserve">Off-Balance Sheet Arrangements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do not have any relationships with other entities or financial partnerships, such as entities often referred to as structured finance or special purpose entities that have been established for the purpose of facilitating off-balance sheet arrangements or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8d6a21e15cb741baa6dee69bcf11e47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contractually narrow or limited purposes. We did not have any other off-balance sheet arrangements at December 31, 2023 other than the short-term operating leases described below and commitments mentioned in Note 16 - Commitments and Contingencies.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10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 xml:space="preserve">Contractual Obligations and Known Future Cash Requirements </w:t>
      </w:r>
    </w:p>
    <w:p>
      <w:pPr>
        <w:pStyle w:val="TextBody"/>
        <w:bidi w:val="0"/>
        <w:spacing w:lineRule="auto" w:line="256"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principal commitments as of December 31, 2023 consist of obligations under our Convertible Senior Notes, Prior Term Loan B Facility, Prior Revolving Credit Facility, leases for our various office facilities, including our corporate headquarters in New York, New York and offices in Los Angeles, California, and operating lease agreements, including data centers and cloud hosting services that expire at various times through 2033. In certain cases, the terms of the lease agreements provide for rental payments on a graduated basis.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our future lease obligations, payments of principal and interest under our debt agreements and other future payments due under non-cancelable agreements at December 31, 2023: </w:t>
      </w:r>
    </w:p>
    <w:tbl>
      <w:tblPr>
        <w:tblW w:w="11080" w:type="dxa"/>
        <w:jc w:val="left"/>
        <w:tblInd w:w="0" w:type="dxa"/>
        <w:tblLayout w:type="fixed"/>
        <w:tblCellMar>
          <w:top w:w="28" w:type="dxa"/>
          <w:left w:w="28" w:type="dxa"/>
          <w:bottom w:w="28" w:type="dxa"/>
          <w:right w:w="28" w:type="dxa"/>
        </w:tblCellMar>
      </w:tblPr>
      <w:tblGrid>
        <w:gridCol w:w="581"/>
        <w:gridCol w:w="392"/>
        <w:gridCol w:w="393"/>
        <w:gridCol w:w="211"/>
        <w:gridCol w:w="826"/>
        <w:gridCol w:w="109"/>
        <w:gridCol w:w="109"/>
        <w:gridCol w:w="109"/>
        <w:gridCol w:w="109"/>
        <w:gridCol w:w="211"/>
        <w:gridCol w:w="721"/>
        <w:gridCol w:w="109"/>
        <w:gridCol w:w="109"/>
        <w:gridCol w:w="109"/>
        <w:gridCol w:w="109"/>
        <w:gridCol w:w="211"/>
        <w:gridCol w:w="826"/>
        <w:gridCol w:w="109"/>
        <w:gridCol w:w="109"/>
        <w:gridCol w:w="109"/>
        <w:gridCol w:w="109"/>
        <w:gridCol w:w="211"/>
        <w:gridCol w:w="721"/>
        <w:gridCol w:w="109"/>
        <w:gridCol w:w="109"/>
        <w:gridCol w:w="109"/>
        <w:gridCol w:w="109"/>
        <w:gridCol w:w="211"/>
        <w:gridCol w:w="826"/>
        <w:gridCol w:w="109"/>
        <w:gridCol w:w="109"/>
        <w:gridCol w:w="109"/>
        <w:gridCol w:w="109"/>
        <w:gridCol w:w="211"/>
        <w:gridCol w:w="721"/>
        <w:gridCol w:w="109"/>
        <w:gridCol w:w="109"/>
        <w:gridCol w:w="109"/>
        <w:gridCol w:w="109"/>
        <w:gridCol w:w="211"/>
        <w:gridCol w:w="826"/>
        <w:gridCol w:w="154"/>
      </w:tblGrid>
      <w:tr>
        <w:trPr/>
        <w:tc>
          <w:tcPr>
            <w:tcW w:w="581"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Thereafter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4" w:type="dxa"/>
            <w:gridSpan w:val="3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 associated with leases included Right of Use Assets as of December 31, 2023</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Senior Notes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205,067 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205,067 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Convertible Senior Notes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Prior Term Loan B </w:t>
            </w:r>
            <w:r>
              <w:rPr>
                <w:rFonts w:ascii="Times New Roman;sans-serif" w:hAnsi="Times New Roman;sans-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Interest, Prior Term Loan B </w:t>
            </w:r>
            <w:r>
              <w:rPr>
                <w:rFonts w:ascii="Times New Roman;sans-serif" w:hAnsi="Times New Roman;sans-serif"/>
                <w:b w:val="false"/>
                <w:color w:val="000000"/>
                <w:sz w:val="13"/>
              </w:rPr>
              <w:t>(2)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159,422 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non-cancelable obligations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127,568 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258,099 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356,618 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884,938 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080" w:type="dxa"/>
            <w:gridSpan w:val="42"/>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Includes only scheduled amortization of payments and excludes currently unknown prepayment amounts that may be required, per terms of the Prior Credit Agreement, after the end of each fiscal year. Note that in February 2024, the Company entered into a New Credit Agreement, which replaced the Prior Credit Agreement.</w:t>
            </w:r>
          </w:p>
        </w:tc>
      </w:tr>
      <w:tr>
        <w:trPr/>
        <w:tc>
          <w:tcPr>
            <w:tcW w:w="11080" w:type="dxa"/>
            <w:gridSpan w:val="42"/>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ans-serif" w:hAnsi="Times New Roman;sans-serif"/>
                <w:b w:val="false"/>
                <w:color w:val="000000"/>
                <w:sz w:val="10"/>
              </w:rPr>
              <w:t>(2)</w:t>
            </w:r>
            <w:r>
              <w:rPr>
                <w:color w:val="000000"/>
              </w:rPr>
              <w:t xml:space="preserve"> </w:t>
            </w:r>
            <w:r>
              <w:rPr>
                <w:rFonts w:ascii="Times New Roman;sans-serif" w:hAnsi="Times New Roman;sans-serif"/>
                <w:b w:val="false"/>
                <w:color w:val="000000"/>
                <w:sz w:val="16"/>
              </w:rPr>
              <w:t>Interest payments are based on an assumed rate of 10.56%, which was the rate as of December 31, 2023 for the associated Prior Term Loan B Facility. Note that in February 2024, the Company entered into a New Credit Agreement, which replaced the Prior Credit Agreement.</w:t>
            </w:r>
          </w:p>
        </w:tc>
      </w:tr>
    </w:tbl>
    <w:p>
      <w:pPr>
        <w:pStyle w:val="TextBody"/>
        <w:bidi w:val="0"/>
        <w:spacing w:lineRule="auto" w:line="276"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Payments associated with our Convertible Senior Notes and Prior Term Loan B are based on contractual terms and intended timing of repayments of long-term debt and associated interest, in each case, as of December 31, 2023. As described above (see "Capital Resources"), in February 2024, we entered into a New Credit Agreement, the proceeds of which were used in part to refinance and terminate the Prior Term Loan B with the New Term Loan B Facility. The New Term Loan B Facility includes a $365.0 million senior secured term loan facility that matures in February 2031. Quarterly principal installment payments of 0.25% of the aggregate initial principal balance, or $0.9 million, will be due at the end of each fiscal quarter, with the first principal installment due June 30, 2024, and the amount equal to the then unpaid principal amount of the initial balance on February 6, 2031. Amounts outstanding under the New Term Loan B Facility will accrue interest and will be due at least quarterly.</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Other non-cancelable obligations include agreements in the normal course of business and purchase consideration that extend beyond a year as of December 31, 2023. The amounts above include commitments under a cloud-managed services agreement, under which the Company has a non-cancelable minimum spend commitment from July 2023 to June 2025 based on actual spend, as defined in the agreement, with the third-party provider from July 2022 to June 2023 of $57.6 million for each twelve-month period (i.e. July 2023 to June 2024 and July 2024 to June 2025). The minimum spend commitment reflected above approximates the manner in which we expect to fulfill the obligation.</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business, we enter into agreements with sellers, buyers, and other third parties pursuant to which we agree to indemnify buyers, sellers, vendors, lessors, business partners, lenders, stockholders, and other parties with respect to certain matters, including, but not limited to, losses resulting from claims of intellectual property infringement, damages to property or persons, business losses, or other liabilities. Generally, these indemnity and defense obligations relate to our own business operations, obligations, and acts or omissions. However, under some circumstances, we agree to indemnify and defend contract counterparties against losses resulting from their own business operations, obligations, and acts or omissions, or the business operations, obligations, and acts or omissions of third parties. These indemnity provisions generally survive termination or expiration of the agreements in which they appear. In addition, we have entered into indemnification agreements with our directors, executive officers and certain other officers that will require us, among other things, to indemnify them against certain liabilities that may arise by reason of their status or service as directors, officers, or employees. No demands for indemnification have been made as of December 31, 2023.</w:t>
      </w:r>
    </w:p>
    <w:p>
      <w:pPr>
        <w:pStyle w:val="TextBody"/>
        <w:bidi w:val="0"/>
        <w:spacing w:before="100" w:after="2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8d6a21e15cb741baa6dee69bcf11e47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00" w:after="100"/>
        <w:jc w:val="left"/>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consolidated financial statements are prepared in accordance with GAAP. The preparation of these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the following assumptions and estimates have the greatest potential impact on our consolidated financial statements: (i) the determination of revenue recognition as net versus gross in our revenue arrangements and (ii) the determination of amounts to capitalize and the estimated useful lives of internal-use software development costs. There have been no significant changes in our accounting policies or estimates from those disclosed in our audited consolidated financial statements and notes thereto for the years ended December 31, 2023, 2022 and 2021.</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the accounting policies disclosed below include estimates and assumptions critical to our business and their application could have a material impact on our consolidated financial statements. In addition to these critical policies, our significant accounting policies are included within Note 2 of our "Notes to Consolidated Financial Statements" within this Annual Report on Form 10-K.</w:t>
      </w:r>
    </w:p>
    <w:p>
      <w:pPr>
        <w:pStyle w:val="TextBody"/>
        <w:bidi w:val="0"/>
        <w:spacing w:lineRule="auto" w:line="288" w:before="100" w:after="100"/>
        <w:ind w:left="0" w:right="0" w:firstLine="720"/>
        <w:jc w:val="left"/>
        <w:rPr/>
      </w:pPr>
      <w:r>
        <w:rPr>
          <w:rFonts w:ascii="Times New Roman;sans-serif" w:hAnsi="Times New Roman;sans-serif"/>
          <w:b/>
          <w:i/>
          <w:color w:val="000000"/>
          <w:sz w:val="20"/>
        </w:rPr>
        <w:t>Revenue Recognition</w:t>
      </w:r>
      <w:r>
        <w:rPr>
          <w:color w:val="000000"/>
        </w:rPr>
        <w:t>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generate revenue from transactions where we provide a platform for the purchase and sale of digital advertising inventory. Generally, our revenue is based on a percentage of the ad spend that runs through our platform, although for certain clients, services, or transaction types we may receive a fixed CPM for each impression sold, and for advertising campaigns that are transacted through insertion orders we earn revenue based on the full amount of ad spend that runs through our platform. In addition, we may receive certain fixed monthly fees for the use of our platform or products. Our platform dynamically connects sellers and buyers of advertising inventory in a digital marketplace. Our solution incorporates proprietary machine-learning algorithms, sophisticated data processing, high-volume storage, detailed analytics capabilities, and a distributed infrastructure. Digital advertising inventory is created when consumers access sellers’ content. Sellers provide digital advertising inventory to our platform in the form of advertising requests, or ad requests. When we receive ad requests from sellers, we send bid requests to buyers, which enable buyers to bid on sellers’ digital advertising inventory. Winning bids can create advertising, or paid impressions, for the seller to present to the consumer.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total volume of spending between buyers and sellers on our platform is referred to as advertising spend. We keep a percentage of that advertising spend as a fee, and remit the remainder to the seller. The fee that we retain from the gross advertising spend on our platform is recognized as revenue. The fee earned on each transaction is based on the pre-existing agreement we have with the seller and the clearing price of the winning bid. We recognize revenue upon fulfillment of our performance obligation to a client, which occurs at the point in time an ad renders and is counted as a paid impression, subject to a contract existing with the client and a fixed or determinable transaction price. Performance obligations for all transactions are satisfied, and the corresponding revenue is recognized, at a distinct point in time. We have no arrangements with multiple performance obligations. We consider the following when determining if a contract exists (i) contract approval by all parties, (ii) identification of each party’s rights regarding the goods or services to be transferred, (iii) specified payment terms, (iv) commercial substance of the contract, and (v) collectability of substantially all of the consideration is probable.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determination of whether revenue should be reported on a gross or net basis is based on an assessment of whether we are acting as the principal or an agent in the transaction. In determining whether we are acting as the principal or an agent, we followed the accounting guidance for principal-agent considerations. Making such determinations involves judgment and is based on an evaluation of the terms of each arrangement, none of which are considered presumptive or determinative.</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the majority of transactions on our platform, we report revenue on a net basis as we do not act as the principal in the purchase and sale of digital advertising inventory because we do not have control of the digital advertising inventory and do not set prices agreed upon within the auction marketplace. However, with respect to certain revenue streams for managed advertising campaigns that are transacted through insertion orders, we report revenue on a gross basis, based primarily on our determination that we act as the primary obligor in the delivery of advertising campaigns for buyers with respect to such transactions.</w:t>
      </w:r>
    </w:p>
    <w:p>
      <w:pPr>
        <w:pStyle w:val="TextBody"/>
        <w:bidi w:val="0"/>
        <w:spacing w:lineRule="auto" w:line="288" w:before="100" w:after="10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Internal Use Software Development Costs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capitalize certain internal use software development costs associated with creating and enhancing internally developed software related to our technology infrastructure. These costs include personnel and related employee benefits expenses for employees who are directly associated with and who devote time to software projects, and external direct costs of materials and services consumed in developing or obtaining the software. Software development costs that do not meet the qualification for capitalization, as further discussed below, are expensed as incurred and recorded in technology and development expenses in the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8d6a21e15cb741baa6dee69bcf11e47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Software development activities generally consist of three stages, (i) the planning stage, (ii) the application and infrastructure development stage, and (iii) the post implementation stage. Costs incurred in the planning and post implementation stages of software development, including costs associated with the post-configuration training and repairs and maintenance of the developed technologies, are expensed as incurred. We capitalize costs associated with software developed for internal use when the planning stage is completed, management has authorized further funding for the completion of the project, and it is probable that the project will be completed and perform as intended. Costs incurred in the application and infrastructure development stages, including significant enhancements and upgrades, are capitalized. Capitalization ends once a project is substantially complete and the software and technologies are ready for their intended purpose. There is judgment involved in estimating the stage of development as well as estimating time allocated to a particular project. A significant change in the time spent on each project could have a material impact on the amount capitalized and related amortization expense in subsequent periods.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amortize internal use software development costs using a straight-line method over a three year estimated useful life, commencing when the software is ready for its intended use. The straight-line recognition method approximates the manner in which the expected benefit will be derived. We determined the life of internal use software based on historical software upgrades and replacement.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an ongoing basis, we assess if the estimated remaining useful lives of capitalized projects continue to be reasonable based on the remaining expected benefit and usage. If the remaining useful life of a capitalized project is revised, it is accounted for as a change in estimate and the remaining unamortized cost of the underlying asset is amortized prospectively over the updated remaining useful life. During the fourth quarter of 2022, we accelerated the remaining useful lives of certain capitalized internal use software projects due to the integration of our legacy CTV platforms, which resulted in approximately $1.9 million and $0.7 million of incremental amortization expense during the years ended December 31, 2023 and 2022.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also evaluate internal use software for abandonment and use that as a significant indicator for impairment on a quarterly basis.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100"/>
        <w:jc w:val="left"/>
        <w:rPr>
          <w:rFonts w:ascii="Times New Roman;sans-serif" w:hAnsi="Times New Roman;sans-serif"/>
          <w:b/>
          <w:color w:val="000000"/>
          <w:sz w:val="20"/>
        </w:rPr>
      </w:pPr>
      <w:r>
        <w:rPr>
          <w:rFonts w:ascii="Times New Roman;sans-serif" w:hAnsi="Times New Roman;sans-serif"/>
          <w:b/>
          <w:color w:val="000000"/>
          <w:sz w:val="20"/>
        </w:rPr>
        <w:t>Recently Issued Accounting Pronouncements</w:t>
      </w:r>
    </w:p>
    <w:p>
      <w:pPr>
        <w:pStyle w:val="TextBody"/>
        <w:bidi w:val="0"/>
        <w:spacing w:lineRule="auto" w:line="288" w:before="100" w:after="100"/>
        <w:jc w:val="left"/>
        <w:rPr>
          <w:color w:val="000000"/>
        </w:rPr>
      </w:pPr>
      <w:r>
        <w:rPr>
          <w:color w:val="000000"/>
        </w:rPr>
        <w:t>    </w:t>
      </w:r>
      <w:r>
        <w:rPr>
          <w:rFonts w:ascii="Times New Roman;sans-serif" w:hAnsi="Times New Roman;sans-serif"/>
          <w:b w:val="false"/>
          <w:color w:val="000000"/>
          <w:sz w:val="20"/>
        </w:rPr>
        <w:t>The information set forth under Note 2 to our "Notes to Consolidated Financial Statements" under the caption "Organization and Summary of Significant Accounting Policies" is incorporated herein by reference.</w:t>
      </w:r>
    </w:p>
    <w:p>
      <w:pPr>
        <w:pStyle w:val="TextBody"/>
        <w:bidi w:val="0"/>
        <w:spacing w:before="0" w:after="2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Item 7A. Quantitative and Qualitative Disclosure About Market Risk</w:t>
      </w:r>
    </w:p>
    <w:p>
      <w:pPr>
        <w:pStyle w:val="TextBody"/>
        <w:bidi w:val="0"/>
        <w:spacing w:lineRule="auto" w:line="288" w:before="100" w:after="100"/>
        <w:jc w:val="left"/>
        <w:rPr>
          <w:color w:val="000000"/>
        </w:rPr>
      </w:pPr>
      <w:r>
        <w:rPr>
          <w:color w:val="000000"/>
        </w:rPr>
        <w:t>    </w:t>
      </w:r>
      <w:r>
        <w:rPr>
          <w:rFonts w:ascii="Times New Roman;sans-serif" w:hAnsi="Times New Roman;sans-serif"/>
          <w:b w:val="false"/>
          <w:color w:val="000000"/>
          <w:sz w:val="20"/>
        </w:rPr>
        <w:t>We have operations both in the United States and internationally, and we are exposed to market risks in the ordinary course of our business. These risks include primarily interest rate, foreign exchange, and inflation risks. The risks below may be further exacerbated by the effects of certain global macroeconomic challenges and market conditions.</w:t>
      </w:r>
    </w:p>
    <w:p>
      <w:pPr>
        <w:pStyle w:val="TextBody"/>
        <w:bidi w:val="0"/>
        <w:spacing w:lineRule="auto" w:line="288" w:before="100" w:after="10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Interest Rate Fluctuation Risk</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cash and cash equivalents consist of cash and money market funds, but may from time to time also include commercial paper, with original maturities of three months or less. Our investments may consist of repurchase agreements, U.S. government agency debt, and U.S. treasury debt. The primary objective of our investment activities is to preserve the value of our cash without significantly increasing risk. Because our cash, cash equivalents, and investments have a short maturity, our portfolio’s fair value is relatively insensitive to interest rate changes, however, interest income earned will vary as interest rates change. </w:t>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do not have economic interest rate expense exposure on our Convertible Senior Notes due to their fixed interest rate nature. The amount paid upon redemption or maturity, before considering any potential additional amount owed due to increases in our underlying share price above the conversion price, is not based on changes in any interest rate index or underlying market interest rates. It is fixed at 100% of the principal amount of the Convertible Senior Notes plus unpaid interest. Since the Convertible Senior Notes bear a fixed interest rate, we are not exposed to interest rate risk on those notes, however, the fair value of those notes will change as market interest rates change.</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we were party to our Prior Term Loan B Facility, which bore interest rate at a floating interest rate that reset periodically, subject to a 0.75% floor (the "SOFR Floor"). Interest expense has been impacted by floating interest rates as a result of underlying interest rates on our Prior Term Loan B Facility moving above this floor since the second quarter of 2022. As of December 31, 2023, the Company had no outstanding borrowings under the Prior Revolving Credit Facility. We do not believe that an increase or decrease in interest rates of 100 basis points would have a material effect on our operating results or financial condition. As of the end of December 31, 2023, the annualized impact to interest expense for each 100 basis points increase above the SOFR Floor on our Prior Term Loan B Facility is approximately $3.5 million. The actual impact to our financial results of the same increase in interest rates is expected to be lower depending on the timing and magnitude of such rate changes relative to our SOFR Floor, and will be partially offset by higher interest income earned on our cash and cash equivalent balances over the same period. In future periods, we will continue to evaluate our investment opportunities and policy relative to our overall objectives.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8d6a21e15cb741baa6dee69bcf11e47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6, 2024, we refinanced the Prior Term Loan B Facility with a $365.0 million New Term Loan B Facility. We do not believe that an increase or decrease in interest rates of 100 basis points on the New Term Loan B Facility will have a material effect on our operating results or financial condition as compared to the annualized impact on our Prior Term Loan B Facility, which is discussed above.</w:t>
      </w:r>
    </w:p>
    <w:p>
      <w:pPr>
        <w:pStyle w:val="TextBody"/>
        <w:bidi w:val="0"/>
        <w:spacing w:lineRule="auto" w:line="26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With regard to all debt currently outstanding as of December 31, 2023 and to debt outstanding under the New Credit Agreement, the Company is potentially exposed to refinancing risk in the future, should the Company seek to refinance its debt or raise new debt. As such, the type, cost, and terms of any new debt potentially raised in the future may differ from that of our existing debt agreements.</w:t>
      </w:r>
    </w:p>
    <w:p>
      <w:pPr>
        <w:pStyle w:val="TextBody"/>
        <w:bidi w:val="0"/>
        <w:spacing w:lineRule="auto" w:line="288" w:before="100" w:after="10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Foreign Currency Exchange Risk</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a U.S. based company that does business around the globe, we have foreign currency risks related to our revenue and expenses denominated in currencies other than the U.S. Dollar, principally the Australian Dollar, British Pound, Canadian Dollar, Euro, Japanese Yen, and New Zealand Dollar. Foreign exchange rate volatility is influenced by many factors that we cannot forecast with reliable accuracy. In the event our non-U.S. Dollar denominated revenue and expenses increase, or the volatility of the foreign currencies that we transact in increases, our operating results may be more greatly affected by fluctuations in the exchange rates of those foreign currencies. In addition, we have experienced and will continue to experience fluctuations in our net income (loss) as a result of transaction gains and losses related to translating certain cash balances, trade accounts receivable and payable balances and intercompany balances that are denominated in currencies other than the U.S. Dollar. The effect of an immediate 10% adverse change in foreign exchange rates on foreign currency-denominated monetary assets and liabilities at December 31, 2023 and December 31, 2022, including intercompany balances, would result in a foreign currency loss of approximately $9.5 million and $10.5 million, respectively. At this time we do not, but we may in the future, enter into derivatives or other financial instruments in an attempt to hedge our foreign currency exchange risk.</w:t>
      </w:r>
    </w:p>
    <w:p>
      <w:pPr>
        <w:pStyle w:val="TextBody"/>
        <w:bidi w:val="0"/>
        <w:spacing w:lineRule="auto" w:line="288" w:before="100" w:after="10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Inflation Risk</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do not believe that cost inflation has had a material effect on our business, financial condition, or results of operations. If our costs were to become subject to significant inflationary pressures, we might not be able to fully offset such higher costs through price increases. Our inability or failure to do so could harm our business, financial condition, and results of operations. This risk of cost inflation is distinct from the risk that inflation throughout the broader economy could lead to reduced ad spend and indirectly harm our business, financial condition, and results of operations. For a discussion of the indirect results of inflation on our business, see "Macroeconomic Developments."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8d6a21e15cb741baa6dee69bcf11e47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8. Financial Statements and Supplementary Data</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MAGNITE, INC.</w:t>
      </w:r>
    </w:p>
    <w:p>
      <w:pPr>
        <w:pStyle w:val="TextBody"/>
        <w:bidi w:val="0"/>
        <w:spacing w:before="0" w:after="0"/>
        <w:jc w:val="center"/>
        <w:rPr/>
      </w:pPr>
      <w:r>
        <w:rPr/>
      </w:r>
    </w:p>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INDEX TO CONSOLIDATED FINANCIAL STATEMENTS</w:t>
      </w:r>
    </w:p>
    <w:tbl>
      <w:tblPr>
        <w:tblW w:w="6867" w:type="dxa"/>
        <w:jc w:val="center"/>
        <w:tblInd w:w="0" w:type="dxa"/>
        <w:tblLayout w:type="fixed"/>
        <w:tblCellMar>
          <w:top w:w="28" w:type="dxa"/>
          <w:left w:w="28" w:type="dxa"/>
          <w:bottom w:w="28" w:type="dxa"/>
          <w:right w:w="28" w:type="dxa"/>
        </w:tblCellMar>
      </w:tblPr>
      <w:tblGrid>
        <w:gridCol w:w="2351"/>
        <w:gridCol w:w="2066"/>
        <w:gridCol w:w="2078"/>
        <w:gridCol w:w="109"/>
        <w:gridCol w:w="109"/>
        <w:gridCol w:w="154"/>
      </w:tblGrid>
      <w:tr>
        <w:trPr/>
        <w:tc>
          <w:tcPr>
            <w:tcW w:w="2351" w:type="dxa"/>
            <w:tcBorders/>
            <w:vAlign w:val="center"/>
          </w:tcPr>
          <w:p>
            <w:pPr>
              <w:pStyle w:val="TableContents"/>
              <w:bidi w:val="0"/>
              <w:spacing w:before="0" w:after="283"/>
              <w:jc w:val="left"/>
              <w:rPr>
                <w:sz w:val="4"/>
                <w:szCs w:val="4"/>
              </w:rPr>
            </w:pPr>
            <w:r>
              <w:rPr>
                <w:sz w:val="4"/>
                <w:szCs w:val="4"/>
              </w:rPr>
            </w:r>
          </w:p>
        </w:tc>
        <w:tc>
          <w:tcPr>
            <w:tcW w:w="2066" w:type="dxa"/>
            <w:tcBorders/>
            <w:vAlign w:val="center"/>
          </w:tcPr>
          <w:p>
            <w:pPr>
              <w:pStyle w:val="TableContents"/>
              <w:bidi w:val="0"/>
              <w:spacing w:before="0" w:after="283"/>
              <w:jc w:val="left"/>
              <w:rPr>
                <w:sz w:val="4"/>
                <w:szCs w:val="4"/>
              </w:rPr>
            </w:pPr>
            <w:r>
              <w:rPr>
                <w:sz w:val="4"/>
                <w:szCs w:val="4"/>
              </w:rPr>
            </w:r>
          </w:p>
        </w:tc>
        <w:tc>
          <w:tcPr>
            <w:tcW w:w="20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Report of Independent Registered Public Accounting Firm (PCAOB ID No. 34)</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8d6a21e15cb741baa6dee69bcf11e47e_82">
              <w:r>
                <w:rPr>
                  <w:rStyle w:val="InternetLink"/>
                  <w:rFonts w:ascii="Times New Roman;sans-serif" w:hAnsi="Times New Roman;sans-serif"/>
                  <w:b w:val="false"/>
                  <w:color w:val="0000FF"/>
                  <w:sz w:val="20"/>
                  <w:u w:val="single"/>
                </w:rPr>
                <w:t>61</w:t>
              </w:r>
            </w:hyperlink>
          </w:p>
        </w:tc>
      </w:tr>
      <w:tr>
        <w:trPr/>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Financial Statements:</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Balance Sheets</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8d6a21e15cb741baa6dee69bcf11e47e_85">
              <w:r>
                <w:rPr>
                  <w:rStyle w:val="InternetLink"/>
                  <w:rFonts w:ascii="Times New Roman;sans-serif" w:hAnsi="Times New Roman;sans-serif"/>
                  <w:b w:val="false"/>
                  <w:color w:val="0000FF"/>
                  <w:sz w:val="20"/>
                  <w:u w:val="single"/>
                </w:rPr>
                <w:t>63</w:t>
              </w:r>
            </w:hyperlink>
          </w:p>
        </w:tc>
      </w:tr>
      <w:tr>
        <w:trPr/>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Operations</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8d6a21e15cb741baa6dee69bcf11e47e_88">
              <w:r>
                <w:rPr>
                  <w:rStyle w:val="InternetLink"/>
                  <w:rFonts w:ascii="Times New Roman;sans-serif" w:hAnsi="Times New Roman;sans-serif"/>
                  <w:b w:val="false"/>
                  <w:color w:val="0000FF"/>
                  <w:sz w:val="20"/>
                  <w:u w:val="single"/>
                </w:rPr>
                <w:t>64</w:t>
              </w:r>
            </w:hyperlink>
          </w:p>
        </w:tc>
      </w:tr>
      <w:tr>
        <w:trPr/>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Comprehensive Loss</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8d6a21e15cb741baa6dee69bcf11e47e_91">
              <w:r>
                <w:rPr>
                  <w:rStyle w:val="InternetLink"/>
                  <w:rFonts w:ascii="Times New Roman;sans-serif" w:hAnsi="Times New Roman;sans-serif"/>
                  <w:b w:val="false"/>
                  <w:color w:val="0000FF"/>
                  <w:sz w:val="20"/>
                  <w:u w:val="single"/>
                </w:rPr>
                <w:t>65</w:t>
              </w:r>
            </w:hyperlink>
          </w:p>
        </w:tc>
      </w:tr>
      <w:tr>
        <w:trPr/>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Stockholders' Equity</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8d6a21e15cb741baa6dee69bcf11e47e_94">
              <w:r>
                <w:rPr>
                  <w:rStyle w:val="InternetLink"/>
                  <w:rFonts w:ascii="Times New Roman;sans-serif" w:hAnsi="Times New Roman;sans-serif"/>
                  <w:b w:val="false"/>
                  <w:color w:val="0000FF"/>
                  <w:sz w:val="20"/>
                  <w:u w:val="single"/>
                </w:rPr>
                <w:t>66</w:t>
              </w:r>
            </w:hyperlink>
          </w:p>
        </w:tc>
      </w:tr>
      <w:tr>
        <w:trPr/>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Cash Flows</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8d6a21e15cb741baa6dee69bcf11e47e_97">
              <w:r>
                <w:rPr>
                  <w:rStyle w:val="InternetLink"/>
                  <w:rFonts w:ascii="Times New Roman;sans-serif" w:hAnsi="Times New Roman;sans-serif"/>
                  <w:b w:val="false"/>
                  <w:color w:val="0000FF"/>
                  <w:sz w:val="20"/>
                  <w:u w:val="single"/>
                </w:rPr>
                <w:t>67</w:t>
              </w:r>
            </w:hyperlink>
          </w:p>
        </w:tc>
      </w:tr>
      <w:tr>
        <w:trPr/>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8d6a21e15cb741baa6dee69bcf11e47e_103">
              <w:r>
                <w:rPr>
                  <w:rStyle w:val="InternetLink"/>
                  <w:rFonts w:ascii="Times New Roman;sans-serif" w:hAnsi="Times New Roman;sans-serif"/>
                  <w:b w:val="false"/>
                  <w:color w:val="0000FF"/>
                  <w:sz w:val="20"/>
                  <w:u w:val="single"/>
                </w:rPr>
                <w:t>69</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8d6a21e15cb741baa6dee69bcf11e47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00"/>
        <w:jc w:val="center"/>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To the stockholders and the Board of Directors of Magnite, Inc.</w:t>
      </w: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Opinion on the Financial Statements</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We have audited the accompanying consolidated balance sheets of Magnite, Inc. and subsidiaries (the "Company") as of December 31, 2023 and 2022, the related consolidated statements of operations, comprehensive loss, stockholders' equity, and cash flows for each of the three years in the period ended December 31, 2023 and the related notes (collectively referred to as the "financial statements"). In our opinion, the financial statements present fairly, in all material respects, the financial position of the Company as of December 31, 2023 and 2022, and the results of its operations and its cash flows for each of the three years in the period ended December 31, 2023, in conformity with accounting principles generally accepted in the United States of America.</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We have also audited, in accordance with the standards of the Public Company Accounting Oversight Board (United States) (PCAOB), the Company's internal control over financial reporting as of December 31, 2023, based on criteria established in</w:t>
      </w:r>
      <w:r>
        <w:rPr>
          <w:color w:val="000000"/>
        </w:rPr>
        <w:t xml:space="preserve"> </w:t>
      </w:r>
      <w:r>
        <w:rPr>
          <w:rFonts w:ascii="Times New Roman;sans-serif" w:hAnsi="Times New Roman;sans-serif"/>
          <w:b w:val="false"/>
          <w:i/>
          <w:color w:val="000000"/>
          <w:sz w:val="20"/>
        </w:rPr>
        <w:t xml:space="preserve">Internal Control — Integrated Framework (2013) </w:t>
      </w:r>
      <w:r>
        <w:rPr>
          <w:rFonts w:ascii="Times New Roman;sans-serif" w:hAnsi="Times New Roman;sans-serif"/>
          <w:b w:val="false"/>
          <w:color w:val="000000"/>
          <w:sz w:val="20"/>
        </w:rPr>
        <w:t>issued by the Committee of Sponsoring Organizations of the Treadway Commission and our report dated February 28, 2024, expressed an unqualified opinion on the Company's internal control over financial reporting.</w:t>
      </w:r>
    </w:p>
    <w:p>
      <w:pPr>
        <w:pStyle w:val="TextBody"/>
        <w:bidi w:val="0"/>
        <w:spacing w:before="0" w:after="0"/>
        <w:jc w:val="left"/>
        <w:rPr/>
      </w:pPr>
      <w:r>
        <w:rPr/>
      </w: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Basis for Opinion</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jc w:val="left"/>
        <w:rPr/>
      </w:pPr>
      <w:r>
        <w:rPr/>
      </w: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Critical Audit Matter</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pStyle w:val="TextBody"/>
        <w:bidi w:val="0"/>
        <w:spacing w:lineRule="auto" w:line="288" w:before="0" w:after="200"/>
        <w:jc w:val="left"/>
        <w:rPr/>
      </w:pPr>
      <w:r>
        <w:rPr>
          <w:rFonts w:ascii="Times New Roman;sans-serif" w:hAnsi="Times New Roman;sans-serif"/>
          <w:b/>
          <w:i/>
          <w:color w:val="000000"/>
          <w:sz w:val="20"/>
        </w:rPr>
        <w:t>Revenue — Refer to Notes 2 and 4 to the financial statements</w:t>
      </w:r>
      <w:r>
        <w:rPr>
          <w:rFonts w:ascii="Times New Roman;sans-serif" w:hAnsi="Times New Roman;sans-serif"/>
          <w:b w:val="false"/>
          <w:i/>
          <w:color w:val="000000"/>
          <w:sz w:val="20"/>
        </w:rPr>
        <w:t>.</w:t>
      </w:r>
    </w:p>
    <w:p>
      <w:pPr>
        <w:pStyle w:val="TextBody"/>
        <w:bidi w:val="0"/>
        <w:spacing w:lineRule="auto" w:line="288" w:before="0" w:after="20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Critical Audit Matter Description </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generates revenue from transactions where it provides a platform for the purchase and sale of digital advertising inventory. The Company uses automated systems to process and record revenue based on contractual terms with buyers and publishers, and its revenue is comprised of a significant volume of low-dollar transactions. </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identified revenue as a critical audit matter because the Company’s systems to process and record revenue are highly automated. This required increased extent of effort, including the need for us to involve professionals with expertise in Information Technology (IT) to identify, test, and evaluate the Company’s systems, software applications, and automated controls. </w:t>
      </w:r>
    </w:p>
    <w:p>
      <w:pPr>
        <w:pStyle w:val="TextBody"/>
        <w:bidi w:val="0"/>
        <w:spacing w:lineRule="auto" w:line="288" w:before="0" w:after="200"/>
        <w:jc w:val="left"/>
        <w:rPr>
          <w:rFonts w:ascii="Times New Roman;sans-serif" w:hAnsi="Times New Roman;sans-serif"/>
          <w:b w:val="false"/>
          <w:i/>
          <w:color w:val="000000"/>
          <w:sz w:val="20"/>
        </w:rPr>
      </w:pPr>
      <w:r>
        <w:rPr>
          <w:rFonts w:ascii="Times New Roman;sans-serif" w:hAnsi="Times New Roman;sans-serif"/>
          <w:b w:val="false"/>
          <w:i/>
          <w:color w:val="000000"/>
          <w:sz w:val="20"/>
        </w:rPr>
        <w:t>How the Critical Audit Matter Was Addressed in the Audit</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audit procedures related to the Company’s systems to process revenue transactions included the following, among others: </w:t>
      </w:r>
    </w:p>
    <w:p>
      <w:pPr>
        <w:pStyle w:val="TextBody"/>
        <w:bidi w:val="0"/>
        <w:spacing w:lineRule="auto" w:line="288" w:before="0" w:after="40"/>
        <w:ind w:left="0" w:right="0" w:hanging="360"/>
        <w:jc w:val="left"/>
        <w:rPr/>
      </w:pPr>
      <w:r>
        <w:rPr>
          <w:color w:val="000000"/>
        </w:rPr>
        <w:t>•</w:t>
      </w:r>
      <w:r>
        <w:rPr>
          <w:rFonts w:ascii="Times New Roman;sans-serif" w:hAnsi="Times New Roman;sans-serif"/>
          <w:b w:val="false"/>
          <w:color w:val="000000"/>
          <w:sz w:val="20"/>
        </w:rPr>
        <w:t>With the assistance of our IT specialists, we: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8d6a21e15cb741baa6dee69bcf11e47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40"/>
        <w:ind w:left="0" w:right="0" w:hanging="360"/>
        <w:jc w:val="left"/>
        <w:rPr/>
      </w:pPr>
      <w:r>
        <w:rPr>
          <w:color w:val="000000"/>
        </w:rPr>
        <w:t>◦</w:t>
      </w:r>
      <w:r>
        <w:rPr>
          <w:rFonts w:ascii="Times New Roman;sans-serif" w:hAnsi="Times New Roman;sans-serif"/>
          <w:b w:val="false"/>
          <w:color w:val="000000"/>
          <w:sz w:val="20"/>
        </w:rPr>
        <w:t>Identified the significant systems used to process revenue transactions and tested the general IT controls over each of these systems, including testing of user access controls, change management controls, and IT operations controls.</w:t>
      </w:r>
    </w:p>
    <w:p>
      <w:pPr>
        <w:pStyle w:val="TextBody"/>
        <w:bidi w:val="0"/>
        <w:spacing w:lineRule="auto" w:line="288" w:before="0" w:after="40"/>
        <w:ind w:left="0" w:right="0" w:hanging="360"/>
        <w:jc w:val="left"/>
        <w:rPr/>
      </w:pPr>
      <w:r>
        <w:rPr>
          <w:color w:val="000000"/>
        </w:rPr>
        <w:t>◦</w:t>
      </w:r>
      <w:r>
        <w:rPr>
          <w:rFonts w:ascii="Times New Roman;sans-serif" w:hAnsi="Times New Roman;sans-serif"/>
          <w:b w:val="false"/>
          <w:color w:val="000000"/>
          <w:sz w:val="20"/>
        </w:rPr>
        <w:t>Performed testing of system interface controls and automated controls within the relevant revenue streams, as well as controls designed to ensure the accuracy and completeness of revenue.</w:t>
      </w:r>
    </w:p>
    <w:p>
      <w:pPr>
        <w:pStyle w:val="TextBody"/>
        <w:bidi w:val="0"/>
        <w:spacing w:lineRule="auto" w:line="288" w:before="0" w:after="40"/>
        <w:ind w:left="0" w:right="0" w:hanging="360"/>
        <w:jc w:val="left"/>
        <w:rPr/>
      </w:pPr>
      <w:r>
        <w:rPr>
          <w:color w:val="000000"/>
        </w:rPr>
        <w:t>◦</w:t>
      </w:r>
      <w:r>
        <w:rPr>
          <w:rFonts w:ascii="Times New Roman;sans-serif" w:hAnsi="Times New Roman;sans-serif"/>
          <w:b w:val="false"/>
          <w:color w:val="000000"/>
          <w:sz w:val="20"/>
        </w:rPr>
        <w:t xml:space="preserve">Independently created test transactions and traced such transactions through the systems to final output for financial reporting. </w:t>
      </w:r>
    </w:p>
    <w:p>
      <w:pPr>
        <w:pStyle w:val="TextBody"/>
        <w:bidi w:val="0"/>
        <w:spacing w:lineRule="auto" w:line="288" w:before="0" w:after="40"/>
        <w:ind w:left="0" w:right="0" w:hanging="360"/>
        <w:jc w:val="left"/>
        <w:rPr/>
      </w:pPr>
      <w:r>
        <w:rPr>
          <w:color w:val="000000"/>
        </w:rPr>
        <w:t>•</w:t>
      </w:r>
      <w:r>
        <w:rPr>
          <w:rFonts w:ascii="Times New Roman;sans-serif" w:hAnsi="Times New Roman;sans-serif"/>
          <w:b w:val="false"/>
          <w:color w:val="000000"/>
          <w:sz w:val="20"/>
        </w:rPr>
        <w:t xml:space="preserve">We tested internal controls within the relevant revenue business processes, including those in place to reconcile the various systems to the Company’s general ledger. </w:t>
      </w:r>
    </w:p>
    <w:p>
      <w:pPr>
        <w:pStyle w:val="TextBody"/>
        <w:bidi w:val="0"/>
        <w:spacing w:lineRule="auto" w:line="288" w:before="0" w:after="40"/>
        <w:ind w:left="0" w:right="0" w:hanging="360"/>
        <w:jc w:val="left"/>
        <w:rPr/>
      </w:pPr>
      <w:r>
        <w:rPr>
          <w:color w:val="000000"/>
        </w:rPr>
        <w:t>•</w:t>
      </w:r>
      <w:r>
        <w:rPr>
          <w:rFonts w:ascii="Times New Roman;sans-serif" w:hAnsi="Times New Roman;sans-serif"/>
          <w:b w:val="false"/>
          <w:color w:val="000000"/>
          <w:sz w:val="20"/>
        </w:rPr>
        <w:t xml:space="preserve">We evaluated recorded revenue and revenue trends and used data analytics to analyze transactional revenue data. </w:t>
      </w:r>
    </w:p>
    <w:p>
      <w:pPr>
        <w:pStyle w:val="TextBody"/>
        <w:bidi w:val="0"/>
        <w:spacing w:lineRule="auto" w:line="288" w:before="0" w:after="40"/>
        <w:ind w:left="0" w:right="0" w:hanging="360"/>
        <w:jc w:val="left"/>
        <w:rPr/>
      </w:pPr>
      <w:r>
        <w:rPr>
          <w:color w:val="000000"/>
        </w:rPr>
        <w:t>•</w:t>
      </w:r>
      <w:r>
        <w:rPr>
          <w:rFonts w:ascii="Times New Roman;sans-serif" w:hAnsi="Times New Roman;sans-serif"/>
          <w:b w:val="false"/>
          <w:color w:val="000000"/>
          <w:sz w:val="20"/>
        </w:rPr>
        <w:t xml:space="preserve">We used technology-based data analysis tools to inspect journal entries to: </w:t>
      </w:r>
    </w:p>
    <w:p>
      <w:pPr>
        <w:pStyle w:val="TextBody"/>
        <w:bidi w:val="0"/>
        <w:spacing w:lineRule="auto" w:line="288" w:before="0" w:after="40"/>
        <w:ind w:left="0" w:right="0" w:hanging="360"/>
        <w:jc w:val="left"/>
        <w:rPr/>
      </w:pPr>
      <w:r>
        <w:rPr>
          <w:color w:val="000000"/>
        </w:rPr>
        <w:t>◦</w:t>
      </w:r>
      <w:r>
        <w:rPr>
          <w:rFonts w:ascii="Times New Roman;sans-serif" w:hAnsi="Times New Roman;sans-serif"/>
          <w:b w:val="false"/>
          <w:color w:val="000000"/>
          <w:sz w:val="20"/>
        </w:rPr>
        <w:t xml:space="preserve">Identify significant relationships in the revenue population. </w:t>
      </w:r>
    </w:p>
    <w:p>
      <w:pPr>
        <w:pStyle w:val="TextBody"/>
        <w:bidi w:val="0"/>
        <w:spacing w:lineRule="auto" w:line="288" w:before="0" w:after="40"/>
        <w:ind w:left="0" w:right="0" w:hanging="360"/>
        <w:jc w:val="left"/>
        <w:rPr/>
      </w:pPr>
      <w:r>
        <w:rPr>
          <w:color w:val="000000"/>
        </w:rPr>
        <w:t>◦</w:t>
      </w:r>
      <w:r>
        <w:rPr>
          <w:rFonts w:ascii="Times New Roman;sans-serif" w:hAnsi="Times New Roman;sans-serif"/>
          <w:b w:val="false"/>
          <w:color w:val="000000"/>
          <w:sz w:val="20"/>
        </w:rPr>
        <w:t xml:space="preserve">Sufficiently understand identified significant relationships and related accounts affecting revenue. </w:t>
      </w:r>
    </w:p>
    <w:p>
      <w:pPr>
        <w:pStyle w:val="TextBody"/>
        <w:bidi w:val="0"/>
        <w:spacing w:lineRule="auto" w:line="288" w:before="0" w:after="40"/>
        <w:ind w:left="0" w:right="0" w:hanging="360"/>
        <w:jc w:val="left"/>
        <w:rPr/>
      </w:pPr>
      <w:r>
        <w:rPr>
          <w:color w:val="000000"/>
        </w:rPr>
        <w:t>•</w:t>
      </w:r>
      <w:r>
        <w:rPr>
          <w:rFonts w:ascii="Times New Roman;sans-serif" w:hAnsi="Times New Roman;sans-serif"/>
          <w:b w:val="false"/>
          <w:color w:val="000000"/>
          <w:sz w:val="20"/>
        </w:rPr>
        <w:t>We performed audit procedures on those related accounts determined to have a significant relationship with revenue. Such procedures included:</w:t>
      </w:r>
    </w:p>
    <w:p>
      <w:pPr>
        <w:pStyle w:val="TextBody"/>
        <w:bidi w:val="0"/>
        <w:spacing w:lineRule="auto" w:line="288" w:before="0" w:after="40"/>
        <w:ind w:left="0" w:right="0" w:hanging="360"/>
        <w:jc w:val="left"/>
        <w:rPr/>
      </w:pPr>
      <w:r>
        <w:rPr>
          <w:color w:val="000000"/>
        </w:rPr>
        <w:t>◦</w:t>
      </w:r>
      <w:r>
        <w:rPr>
          <w:rFonts w:ascii="Times New Roman;sans-serif" w:hAnsi="Times New Roman;sans-serif"/>
          <w:b w:val="false"/>
          <w:color w:val="000000"/>
          <w:sz w:val="20"/>
        </w:rPr>
        <w:t xml:space="preserve">For a sample of accounts receivable balances, evaluating responses to confirmations sent to customers or other evidence such as cash receipts received after year end. </w:t>
      </w:r>
    </w:p>
    <w:p>
      <w:pPr>
        <w:pStyle w:val="TextBody"/>
        <w:bidi w:val="0"/>
        <w:spacing w:lineRule="auto" w:line="288" w:before="0" w:after="40"/>
        <w:ind w:left="0" w:right="0" w:hanging="360"/>
        <w:jc w:val="left"/>
        <w:rPr/>
      </w:pPr>
      <w:r>
        <w:rPr>
          <w:color w:val="000000"/>
        </w:rPr>
        <w:t>◦</w:t>
      </w:r>
      <w:r>
        <w:rPr>
          <w:rFonts w:ascii="Times New Roman;sans-serif" w:hAnsi="Times New Roman;sans-serif"/>
          <w:b w:val="false"/>
          <w:color w:val="000000"/>
          <w:sz w:val="20"/>
        </w:rPr>
        <w:t xml:space="preserve">For a sample of accounts payables – seller balances, performing detail transaction testing by agreeing the amounts recognized to source documents. </w:t>
      </w:r>
    </w:p>
    <w:p>
      <w:pPr>
        <w:pStyle w:val="TextBody"/>
        <w:bidi w:val="0"/>
        <w:spacing w:lineRule="auto" w:line="288" w:before="0" w:after="40"/>
        <w:ind w:left="0" w:right="0" w:hanging="360"/>
        <w:jc w:val="left"/>
        <w:rPr/>
      </w:pPr>
      <w:r>
        <w:rPr>
          <w:color w:val="000000"/>
        </w:rPr>
        <w:t>◦</w:t>
      </w:r>
      <w:r>
        <w:rPr>
          <w:rFonts w:ascii="Times New Roman;sans-serif" w:hAnsi="Times New Roman;sans-serif"/>
          <w:b w:val="false"/>
          <w:color w:val="000000"/>
          <w:sz w:val="20"/>
        </w:rPr>
        <w:t xml:space="preserve">For a sample of cash disbursements made after year end, evaluating whether the amounts were appropriately included in accounts payable – seller as of the balance sheet date. </w:t>
      </w:r>
    </w:p>
    <w:p>
      <w:pPr>
        <w:pStyle w:val="TextBody"/>
        <w:bidi w:val="0"/>
        <w:spacing w:lineRule="auto" w:line="288" w:before="0" w:after="40"/>
        <w:ind w:left="0" w:right="0" w:hanging="360"/>
        <w:jc w:val="left"/>
        <w:rPr/>
      </w:pPr>
      <w:r>
        <w:rPr>
          <w:color w:val="000000"/>
        </w:rPr>
        <w:t>◦</w:t>
      </w:r>
      <w:r>
        <w:rPr>
          <w:rFonts w:ascii="Times New Roman;sans-serif" w:hAnsi="Times New Roman;sans-serif"/>
          <w:b w:val="false"/>
          <w:color w:val="000000"/>
          <w:sz w:val="20"/>
        </w:rPr>
        <w:t>Analytical procedures on the accounts payable – seller balance by developing an independent expectation for the recorded balance based on a historical relationship with revenue.</w:t>
      </w:r>
    </w:p>
    <w:p>
      <w:pPr>
        <w:pStyle w:val="TextBody"/>
        <w:bidi w:val="0"/>
        <w:spacing w:before="0" w:after="40"/>
        <w:jc w:val="left"/>
        <w:rPr/>
      </w:pPr>
      <w:r>
        <w:rPr/>
      </w:r>
    </w:p>
    <w:p>
      <w:pPr>
        <w:pStyle w:val="TextBody"/>
        <w:bidi w:val="0"/>
        <w:spacing w:before="0" w:after="0"/>
        <w:jc w:val="left"/>
        <w:rPr/>
      </w:pPr>
      <w:r>
        <w:rPr/>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/s/ Deloitte &amp; Touche LLP</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Los Angeles, California </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February 28, 2024</w:t>
      </w:r>
    </w:p>
    <w:p>
      <w:pPr>
        <w:pStyle w:val="TextBody"/>
        <w:bidi w:val="0"/>
        <w:spacing w:lineRule="auto" w:line="288" w:before="0" w:after="200"/>
        <w:jc w:val="left"/>
        <w:rPr/>
      </w:pPr>
      <w:r>
        <w:rPr>
          <w:rFonts w:ascii="Times New Roman;sans-serif" w:hAnsi="Times New Roman;sans-serif"/>
          <w:b w:val="false"/>
          <w:color w:val="000000"/>
          <w:sz w:val="20"/>
        </w:rPr>
        <w:t>We have served as the Company's auditor since</w:t>
      </w:r>
      <w:r>
        <w:rPr>
          <w:color w:val="000000"/>
        </w:rPr>
        <w:t xml:space="preserve"> </w:t>
      </w:r>
      <w:r>
        <w:rPr>
          <w:rFonts w:ascii="Times New Roman;sans-serif" w:hAnsi="Times New Roman;sans-serif"/>
          <w:b w:val="false"/>
          <w:color w:val="000000"/>
          <w:sz w:val="20"/>
        </w:rPr>
        <w:t>2018.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8d6a21e15cb741baa6dee69bcf11e47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00" w:after="283"/>
        <w:jc w:val="center"/>
        <w:rPr>
          <w:rFonts w:ascii="Times New Roman;sans-serif" w:hAnsi="Times New Roman;sans-serif"/>
          <w:b/>
          <w:color w:val="000000"/>
          <w:sz w:val="20"/>
        </w:rPr>
      </w:pPr>
      <w:r>
        <w:rPr>
          <w:rFonts w:ascii="Times New Roman;sans-serif" w:hAnsi="Times New Roman;sans-serif"/>
          <w:b/>
          <w:color w:val="000000"/>
          <w:sz w:val="20"/>
        </w:rPr>
        <w:t xml:space="preserve">MAGNITE,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CONSOLIDATED BALANCE SHEETS </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(In thousands, except par values)</w:t>
      </w:r>
    </w:p>
    <w:tbl>
      <w:tblPr>
        <w:tblW w:w="10205" w:type="dxa"/>
        <w:jc w:val="right"/>
        <w:tblInd w:w="0" w:type="dxa"/>
        <w:tblLayout w:type="fixed"/>
        <w:tblCellMar>
          <w:top w:w="28" w:type="dxa"/>
          <w:left w:w="28" w:type="dxa"/>
          <w:bottom w:w="28" w:type="dxa"/>
          <w:right w:w="28" w:type="dxa"/>
        </w:tblCellMar>
      </w:tblPr>
      <w:tblGrid>
        <w:gridCol w:w="3286"/>
        <w:gridCol w:w="1935"/>
        <w:gridCol w:w="1899"/>
        <w:gridCol w:w="220"/>
        <w:gridCol w:w="1021"/>
        <w:gridCol w:w="114"/>
        <w:gridCol w:w="109"/>
        <w:gridCol w:w="109"/>
        <w:gridCol w:w="109"/>
        <w:gridCol w:w="220"/>
        <w:gridCol w:w="1019"/>
        <w:gridCol w:w="164"/>
      </w:tblGrid>
      <w:tr>
        <w:trPr/>
        <w:tc>
          <w:tcPr>
            <w:tcW w:w="3286" w:type="dxa"/>
            <w:tcBorders/>
            <w:vAlign w:val="center"/>
          </w:tcPr>
          <w:p>
            <w:pPr>
              <w:pStyle w:val="TableContents"/>
              <w:bidi w:val="0"/>
              <w:spacing w:before="0" w:after="283"/>
              <w:jc w:val="left"/>
              <w:rPr>
                <w:sz w:val="4"/>
                <w:szCs w:val="4"/>
              </w:rPr>
            </w:pPr>
            <w:r>
              <w:rPr>
                <w:sz w:val="4"/>
                <w:szCs w:val="4"/>
              </w:rPr>
            </w:r>
          </w:p>
        </w:tc>
        <w:tc>
          <w:tcPr>
            <w:tcW w:w="1935" w:type="dxa"/>
            <w:tcBorders/>
            <w:vAlign w:val="center"/>
          </w:tcPr>
          <w:p>
            <w:pPr>
              <w:pStyle w:val="TableContents"/>
              <w:bidi w:val="0"/>
              <w:spacing w:before="0" w:after="283"/>
              <w:jc w:val="left"/>
              <w:rPr>
                <w:sz w:val="4"/>
                <w:szCs w:val="4"/>
              </w:rPr>
            </w:pPr>
            <w:r>
              <w:rPr>
                <w:sz w:val="4"/>
                <w:szCs w:val="4"/>
              </w:rPr>
            </w:r>
          </w:p>
        </w:tc>
        <w:tc>
          <w:tcPr>
            <w:tcW w:w="189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7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3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ans-serif" w:hAnsi="Times New Roman;sans-serif"/>
                <w:b w:val="false"/>
                <w:color w:val="000000"/>
                <w:sz w:val="20"/>
              </w:rPr>
              <w:t>Cash and cash equivalents</w:t>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326,219 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326,254 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0"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r>
      <w:tr>
        <w:trPr/>
        <w:tc>
          <w:tcPr>
            <w:tcW w:w="7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ans-serif" w:hAnsi="Times New Roman;sans-serif"/>
                <w:b w:val="false"/>
                <w:color w:val="000000"/>
                <w:sz w:val="20"/>
              </w:rPr>
              <w:t>Accounts receivable, net</w:t>
            </w:r>
          </w:p>
        </w:tc>
        <w:tc>
          <w:tcPr>
            <w:tcW w:w="1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1,176,276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976,506</w:t>
            </w:r>
          </w:p>
        </w:tc>
      </w:tr>
      <w:tr>
        <w:trPr/>
        <w:tc>
          <w:tcPr>
            <w:tcW w:w="7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ans-serif" w:hAnsi="Times New Roman;sans-serif"/>
                <w:b w:val="false"/>
                <w:color w:val="000000"/>
                <w:sz w:val="20"/>
              </w:rPr>
              <w:t xml:space="preserve">Prepaid expenses and other current assets              </w:t>
            </w:r>
          </w:p>
        </w:tc>
        <w:tc>
          <w:tcPr>
            <w:tcW w:w="1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23,501</w:t>
            </w:r>
          </w:p>
        </w:tc>
      </w:tr>
      <w:tr>
        <w:trPr/>
        <w:tc>
          <w:tcPr>
            <w:tcW w:w="712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35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1,523,003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1,326,261</w:t>
            </w:r>
          </w:p>
        </w:tc>
      </w:tr>
      <w:tr>
        <w:trPr/>
        <w:tc>
          <w:tcPr>
            <w:tcW w:w="7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44,969</w:t>
            </w:r>
          </w:p>
        </w:tc>
      </w:tr>
      <w:tr>
        <w:trPr/>
        <w:tc>
          <w:tcPr>
            <w:tcW w:w="7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 of use lease asset</w:t>
            </w:r>
          </w:p>
        </w:tc>
        <w:tc>
          <w:tcPr>
            <w:tcW w:w="1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78,211</w:t>
            </w:r>
          </w:p>
        </w:tc>
      </w:tr>
      <w:tr>
        <w:trPr/>
        <w:tc>
          <w:tcPr>
            <w:tcW w:w="7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Internal use software development costs, net</w:t>
            </w:r>
          </w:p>
        </w:tc>
        <w:tc>
          <w:tcPr>
            <w:tcW w:w="1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23,671</w:t>
            </w:r>
          </w:p>
        </w:tc>
      </w:tr>
      <w:tr>
        <w:trPr/>
        <w:tc>
          <w:tcPr>
            <w:tcW w:w="7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253,501</w:t>
            </w:r>
          </w:p>
        </w:tc>
      </w:tr>
      <w:tr>
        <w:trPr/>
        <w:tc>
          <w:tcPr>
            <w:tcW w:w="7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978,217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978,217 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 non-current</w:t>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2,688,806 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2,712,213 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3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1,372,176 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1,094,321 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 current</w:t>
            </w:r>
          </w:p>
        </w:tc>
        <w:tc>
          <w:tcPr>
            <w:tcW w:w="1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21,172</w:t>
            </w:r>
          </w:p>
        </w:tc>
      </w:tr>
      <w:tr>
        <w:trPr/>
        <w:tc>
          <w:tcPr>
            <w:tcW w:w="7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current</w:t>
            </w:r>
          </w:p>
        </w:tc>
        <w:tc>
          <w:tcPr>
            <w:tcW w:w="1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3,600</w:t>
            </w:r>
          </w:p>
        </w:tc>
      </w:tr>
      <w:tr>
        <w:trPr/>
        <w:tc>
          <w:tcPr>
            <w:tcW w:w="7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1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5,939</w:t>
            </w:r>
          </w:p>
        </w:tc>
      </w:tr>
      <w:tr>
        <w:trPr/>
        <w:tc>
          <w:tcPr>
            <w:tcW w:w="712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35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1,402,135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1,125,032</w:t>
            </w:r>
          </w:p>
        </w:tc>
      </w:tr>
      <w:tr>
        <w:trPr/>
        <w:tc>
          <w:tcPr>
            <w:tcW w:w="7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non-current, net of debt issuance costs</w:t>
            </w:r>
          </w:p>
        </w:tc>
        <w:tc>
          <w:tcPr>
            <w:tcW w:w="1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532,986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722,757</w:t>
            </w:r>
          </w:p>
        </w:tc>
      </w:tr>
      <w:tr>
        <w:trPr/>
        <w:tc>
          <w:tcPr>
            <w:tcW w:w="7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 non-current</w:t>
            </w:r>
          </w:p>
        </w:tc>
        <w:tc>
          <w:tcPr>
            <w:tcW w:w="1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66,331</w:t>
            </w:r>
          </w:p>
        </w:tc>
      </w:tr>
      <w:tr>
        <w:trPr/>
        <w:tc>
          <w:tcPr>
            <w:tcW w:w="712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 net</w:t>
            </w:r>
          </w:p>
        </w:tc>
        <w:tc>
          <w:tcPr>
            <w:tcW w:w="1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5,072</w:t>
            </w:r>
          </w:p>
        </w:tc>
      </w:tr>
      <w:tr>
        <w:trPr/>
        <w:tc>
          <w:tcPr>
            <w:tcW w:w="712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 non-current</w:t>
            </w:r>
          </w:p>
        </w:tc>
        <w:tc>
          <w:tcPr>
            <w:tcW w:w="1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1,723</w:t>
            </w:r>
          </w:p>
        </w:tc>
      </w:tr>
      <w:tr>
        <w:trPr/>
        <w:tc>
          <w:tcPr>
            <w:tcW w:w="712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35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1,987,123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1,920,915</w:t>
            </w:r>
          </w:p>
        </w:tc>
      </w:tr>
      <w:tr>
        <w:trPr/>
        <w:tc>
          <w:tcPr>
            <w:tcW w:w="7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16)</w:t>
            </w:r>
          </w:p>
        </w:tc>
        <w:tc>
          <w:tcPr>
            <w:tcW w:w="13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0"/>
              <w:jc w:val="righ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0"/>
              <w:jc w:val="right"/>
              <w:rPr/>
            </w:pPr>
            <w:r>
              <w:rPr/>
            </w:r>
          </w:p>
        </w:tc>
      </w:tr>
      <w:tr>
        <w:trPr/>
        <w:tc>
          <w:tcPr>
            <w:tcW w:w="7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$0.00001 par value, 10,000 shares authorized at December 31, 2023 and December 31, 2022; 0 shares issued and outstanding at December 31, 2023 and December 31, 2022</w:t>
            </w:r>
          </w:p>
        </w:tc>
        <w:tc>
          <w:tcPr>
            <w:tcW w:w="1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71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$0.00001 par value; 500,000 shares authorized at December 31, 2023 and December 31, 2022; 138,577 and 134,006 shares issued and outstanding at December 31, 2023 and December 31, 2022, respectively</w:t>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1,387,715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1,319,221</w:t>
            </w:r>
          </w:p>
        </w:tc>
      </w:tr>
      <w:tr>
        <w:trPr/>
        <w:tc>
          <w:tcPr>
            <w:tcW w:w="7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(2,076)</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(3,151)</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0"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r>
      <w:tr>
        <w:trPr/>
        <w:tc>
          <w:tcPr>
            <w:tcW w:w="7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(683,958)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(524,774)</w:t>
            </w:r>
          </w:p>
        </w:tc>
      </w:tr>
      <w:tr>
        <w:trPr/>
        <w:tc>
          <w:tcPr>
            <w:tcW w:w="712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35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701,683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791,298</w:t>
            </w:r>
          </w:p>
        </w:tc>
      </w:tr>
      <w:tr>
        <w:trPr/>
        <w:tc>
          <w:tcPr>
            <w:tcW w:w="712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2,688,806 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2,712,213 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to consolidated financial statements are an integral part of these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8d6a21e15cb741baa6dee69bcf11e47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 xml:space="preserve">MAGNITE,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CONSOLIDATED STATEMENTS OF OPERATIONS </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amounts)</w:t>
      </w:r>
    </w:p>
    <w:tbl>
      <w:tblPr>
        <w:tblW w:w="10205" w:type="dxa"/>
        <w:jc w:val="left"/>
        <w:tblInd w:w="0" w:type="dxa"/>
        <w:tblLayout w:type="fixed"/>
        <w:tblCellMar>
          <w:top w:w="28" w:type="dxa"/>
          <w:left w:w="28" w:type="dxa"/>
          <w:bottom w:w="28" w:type="dxa"/>
          <w:right w:w="28" w:type="dxa"/>
        </w:tblCellMar>
      </w:tblPr>
      <w:tblGrid>
        <w:gridCol w:w="1802"/>
        <w:gridCol w:w="1492"/>
        <w:gridCol w:w="1503"/>
        <w:gridCol w:w="109"/>
        <w:gridCol w:w="109"/>
        <w:gridCol w:w="109"/>
        <w:gridCol w:w="109"/>
        <w:gridCol w:w="248"/>
        <w:gridCol w:w="1048"/>
        <w:gridCol w:w="127"/>
        <w:gridCol w:w="109"/>
        <w:gridCol w:w="109"/>
        <w:gridCol w:w="109"/>
        <w:gridCol w:w="248"/>
        <w:gridCol w:w="1048"/>
        <w:gridCol w:w="127"/>
        <w:gridCol w:w="109"/>
        <w:gridCol w:w="109"/>
        <w:gridCol w:w="109"/>
        <w:gridCol w:w="259"/>
        <w:gridCol w:w="1017"/>
        <w:gridCol w:w="196"/>
      </w:tblGrid>
      <w:tr>
        <w:trPr/>
        <w:tc>
          <w:tcPr>
            <w:tcW w:w="1802"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479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1"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w:t>
            </w:r>
          </w:p>
        </w:tc>
        <w:tc>
          <w:tcPr>
            <w:tcW w:w="1799" w:type="dxa"/>
            <w:gridSpan w:val="6"/>
            <w:tcBorders/>
          </w:tcPr>
          <w:p>
            <w:pPr>
              <w:pStyle w:val="TableContents"/>
              <w:bidi w:val="0"/>
              <w:spacing w:before="0" w:after="283"/>
              <w:jc w:val="left"/>
              <w:rPr>
                <w:sz w:val="4"/>
                <w:szCs w:val="4"/>
              </w:rPr>
            </w:pPr>
            <w:r>
              <w:rPr>
                <w:sz w:val="4"/>
                <w:szCs w:val="4"/>
              </w:rPr>
            </w:r>
          </w:p>
        </w:tc>
      </w:tr>
      <w:tr>
        <w:trPr/>
        <w:tc>
          <w:tcPr>
            <w:tcW w:w="4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2021</w:t>
            </w:r>
          </w:p>
        </w:tc>
      </w:tr>
      <w:tr>
        <w:trPr/>
        <w:tc>
          <w:tcPr>
            <w:tcW w:w="4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619,710 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577,069 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468,413 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409,906 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307,165 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201,662 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173,982 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200,081 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170,406 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94,318 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93,757 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74,449 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89,048 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81,382 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64,789 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Merger, acquisition, and restructuring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38,177 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774,719 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689,853 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549,483 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(155,009)</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(112,784)</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(81,070)</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32,369 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29,260 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19,848 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(gain) loss,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(1,129)</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Gain on extinguishment of debt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(26,480)</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(5,304)</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(5,318)</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2,538 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22,813 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13,918 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(157,547)</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(135,597)</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(94,988)</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(benefit)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(5,274)</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(95,053)</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(159,184)</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(130,323)</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(0.98)</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w:t>
            </w:r>
          </w:p>
        </w:tc>
        <w:tc>
          <w:tcPr>
            <w:tcW w:w="12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(0.98)</w:t>
            </w:r>
          </w:p>
        </w:tc>
        <w:tc>
          <w:tcPr>
            <w:tcW w:w="12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used to compute net income (loss)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136,620 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132,887 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126,294 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136,620 </w:t>
            </w:r>
          </w:p>
        </w:tc>
        <w:tc>
          <w:tcPr>
            <w:tcW w:w="12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132,887 </w:t>
            </w:r>
          </w:p>
        </w:tc>
        <w:tc>
          <w:tcPr>
            <w:tcW w:w="12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136,261 </w:t>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to consolidated financial statements are an integral part of these statements.</w:t>
      </w:r>
    </w:p>
    <w:p>
      <w:pPr>
        <w:pStyle w:val="TextBody"/>
        <w:bidi w:val="0"/>
        <w:spacing w:before="0" w:after="0"/>
        <w:jc w:val="center"/>
        <w:rPr/>
      </w:pPr>
      <w:r>
        <w:rPr/>
      </w:r>
    </w:p>
    <w:p>
      <w:pPr>
        <w:pStyle w:val="TextBody"/>
        <w:bidi w:val="0"/>
        <w:spacing w:before="240" w:after="283"/>
        <w:jc w:val="center"/>
        <w:rPr/>
      </w:pPr>
      <w:r>
        <w:rPr/>
      </w:r>
    </w:p>
    <w:p>
      <w:pPr>
        <w:pStyle w:val="TextBody"/>
        <w:bidi w:val="0"/>
        <w:spacing w:lineRule="auto" w:line="288" w:before="240" w:after="283"/>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8d6a21e15cb741baa6dee69bcf11e47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MAGNITE,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CONSOLIDATED STATEMENTS OF COMPREHENSIVE LOSS </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(In thousands)</w:t>
      </w:r>
    </w:p>
    <w:tbl>
      <w:tblPr>
        <w:tblW w:w="9068" w:type="dxa"/>
        <w:jc w:val="left"/>
        <w:tblInd w:w="0" w:type="dxa"/>
        <w:tblLayout w:type="fixed"/>
        <w:tblCellMar>
          <w:top w:w="28" w:type="dxa"/>
          <w:left w:w="28" w:type="dxa"/>
          <w:bottom w:w="28" w:type="dxa"/>
          <w:right w:w="28" w:type="dxa"/>
        </w:tblCellMar>
      </w:tblPr>
      <w:tblGrid>
        <w:gridCol w:w="1244"/>
        <w:gridCol w:w="1091"/>
        <w:gridCol w:w="1100"/>
        <w:gridCol w:w="109"/>
        <w:gridCol w:w="109"/>
        <w:gridCol w:w="109"/>
        <w:gridCol w:w="109"/>
        <w:gridCol w:w="259"/>
        <w:gridCol w:w="1107"/>
        <w:gridCol w:w="133"/>
        <w:gridCol w:w="109"/>
        <w:gridCol w:w="109"/>
        <w:gridCol w:w="109"/>
        <w:gridCol w:w="259"/>
        <w:gridCol w:w="1107"/>
        <w:gridCol w:w="133"/>
        <w:gridCol w:w="109"/>
        <w:gridCol w:w="109"/>
        <w:gridCol w:w="109"/>
        <w:gridCol w:w="360"/>
        <w:gridCol w:w="923"/>
        <w:gridCol w:w="262"/>
      </w:tblGrid>
      <w:tr>
        <w:trPr/>
        <w:tc>
          <w:tcPr>
            <w:tcW w:w="1244"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3"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w:t>
            </w:r>
          </w:p>
        </w:tc>
        <w:tc>
          <w:tcPr>
            <w:tcW w:w="1872" w:type="dxa"/>
            <w:gridSpan w:val="6"/>
            <w:tcBorders/>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2021</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(159,184)</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(130,323)</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1,075 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(1,775)</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1,075 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(1,775)</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w:t>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(158,109)</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(132,098)</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w:t>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to consolidated financial statements are an integral part of these statements.</w:t>
      </w:r>
    </w:p>
    <w:p>
      <w:pPr>
        <w:pStyle w:val="TextBody"/>
        <w:bidi w:val="0"/>
        <w:spacing w:before="0" w:after="0"/>
        <w:jc w:val="center"/>
        <w:rPr/>
      </w:pPr>
      <w:r>
        <w:rPr/>
      </w:r>
    </w:p>
    <w:p>
      <w:pPr>
        <w:pStyle w:val="TextBody"/>
        <w:bidi w:val="0"/>
        <w:spacing w:before="240" w:after="283"/>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8d6a21e15cb741baa6dee69bcf11e47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color w:val="000000"/>
        </w:rPr>
      </w:pPr>
      <w:r>
        <w:rPr>
          <w:color w:val="000000"/>
        </w:rPr>
        <w:t> </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MAGNITE,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STOCKHOLDERS’ EQUITY</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(In thousands)</w:t>
      </w:r>
    </w:p>
    <w:tbl>
      <w:tblPr>
        <w:tblW w:w="11168" w:type="dxa"/>
        <w:jc w:val="left"/>
        <w:tblInd w:w="0" w:type="dxa"/>
        <w:tblLayout w:type="fixed"/>
        <w:tblCellMar>
          <w:top w:w="28" w:type="dxa"/>
          <w:left w:w="28" w:type="dxa"/>
          <w:bottom w:w="28" w:type="dxa"/>
          <w:right w:w="28" w:type="dxa"/>
        </w:tblCellMar>
      </w:tblPr>
      <w:tblGrid>
        <w:gridCol w:w="764"/>
        <w:gridCol w:w="210"/>
        <w:gridCol w:w="212"/>
        <w:gridCol w:w="368"/>
        <w:gridCol w:w="368"/>
        <w:gridCol w:w="196"/>
        <w:gridCol w:w="109"/>
        <w:gridCol w:w="109"/>
        <w:gridCol w:w="109"/>
        <w:gridCol w:w="248"/>
        <w:gridCol w:w="305"/>
        <w:gridCol w:w="138"/>
        <w:gridCol w:w="109"/>
        <w:gridCol w:w="109"/>
        <w:gridCol w:w="109"/>
        <w:gridCol w:w="196"/>
        <w:gridCol w:w="871"/>
        <w:gridCol w:w="109"/>
        <w:gridCol w:w="109"/>
        <w:gridCol w:w="109"/>
        <w:gridCol w:w="109"/>
        <w:gridCol w:w="272"/>
        <w:gridCol w:w="792"/>
        <w:gridCol w:w="152"/>
        <w:gridCol w:w="109"/>
        <w:gridCol w:w="109"/>
        <w:gridCol w:w="109"/>
        <w:gridCol w:w="196"/>
        <w:gridCol w:w="751"/>
        <w:gridCol w:w="109"/>
        <w:gridCol w:w="109"/>
        <w:gridCol w:w="109"/>
        <w:gridCol w:w="109"/>
        <w:gridCol w:w="196"/>
        <w:gridCol w:w="406"/>
        <w:gridCol w:w="109"/>
        <w:gridCol w:w="109"/>
        <w:gridCol w:w="109"/>
        <w:gridCol w:w="109"/>
        <w:gridCol w:w="215"/>
        <w:gridCol w:w="446"/>
        <w:gridCol w:w="109"/>
        <w:gridCol w:w="109"/>
        <w:gridCol w:w="109"/>
        <w:gridCol w:w="109"/>
        <w:gridCol w:w="205"/>
        <w:gridCol w:w="773"/>
        <w:gridCol w:w="163"/>
      </w:tblGrid>
      <w:tr>
        <w:trPr/>
        <w:tc>
          <w:tcPr>
            <w:tcW w:w="76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Additional </w:t>
              <w:br/>
              <w:t xml:space="preserve">Paid-In </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Accumulated  Other </w:t>
              <w:br/>
              <w:t xml:space="preserve">Comprehensive </w:t>
              <w:br/>
              <w:t xml:space="preserve">Income (Loss) </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Accumulated </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 Stock </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Total </w:t>
              <w:br/>
              <w:t xml:space="preserve">Stockholders’ </w:t>
              <w:br/>
              <w:t>Equity</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1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5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4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Balance at December 31, 2020</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114,029 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777,084 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(957)</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(394,516)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381,613 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Exercise of common stock options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9,425 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related to employee stock purchase plan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related to RSU vesting</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4,624 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Shares withheld related to net share settlement</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(6,496)</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associated with the SpotX Acquisition</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12,374 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495,591 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495,591 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treasury stock</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(6,007)</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Capped call options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(38,960)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(38,960)</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42,231 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(419)</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(419)</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Balance at December 31, 2021</w:t>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132,553 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1,282,589 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(1,376)</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(394,451)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880,757 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Exercise of common stock options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related to employee stock purchase plan</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3,744 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related to RSU vesting</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3,276 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Shares withheld related to net share settlement</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(14,498)</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treasury stock</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(15,663)</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Retirement of common stock</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66,822 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(1,775)</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(1,775)</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(130,323)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(130,323)</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December 31, 2022</w:t>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134,006 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1,319,221 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(3,151)</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(524,774)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791,298 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 of common stock options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related to employee stock purchase plan</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3,513 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related to RSU and PSU vesting</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4,777 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withheld related to net share settlement</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(11,814)</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74,629 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1,075 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(159,184)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(159,184)</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December 31, 2023</w:t>
            </w:r>
          </w:p>
        </w:tc>
        <w:tc>
          <w:tcPr>
            <w:tcW w:w="932"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138,577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
              <w:jc w:val="right"/>
              <w:rPr/>
            </w:pPr>
            <w:r>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
              <w:jc w:val="right"/>
              <w:rPr/>
            </w:pPr>
            <w:r>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1,387,715 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
              <w:jc w:val="right"/>
              <w:rPr/>
            </w:pPr>
            <w:r>
              <w:rPr/>
            </w:r>
          </w:p>
        </w:tc>
        <w:tc>
          <w:tcPr>
            <w:tcW w:w="2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(2,076)</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
              <w:jc w:val="right"/>
              <w:rPr/>
            </w:pPr>
            <w:r>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(683,958)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
              <w:jc w:val="right"/>
              <w:rPr/>
            </w:pPr>
            <w:r>
              <w:rPr/>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701,683 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to consolidated financial statements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8d6a21e15cb741baa6dee69bcf11e47e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MAGNITE,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CONSOLIDATED STATEMENTS OF CASH FLOWS </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(In thousands)</w:t>
      </w:r>
    </w:p>
    <w:tbl>
      <w:tblPr>
        <w:tblW w:w="10205" w:type="dxa"/>
        <w:jc w:val="center"/>
        <w:tblInd w:w="0" w:type="dxa"/>
        <w:tblLayout w:type="fixed"/>
        <w:tblCellMar>
          <w:top w:w="28" w:type="dxa"/>
          <w:left w:w="28" w:type="dxa"/>
          <w:bottom w:w="28" w:type="dxa"/>
          <w:right w:w="28" w:type="dxa"/>
        </w:tblCellMar>
      </w:tblPr>
      <w:tblGrid>
        <w:gridCol w:w="2031"/>
        <w:gridCol w:w="1716"/>
        <w:gridCol w:w="1725"/>
        <w:gridCol w:w="239"/>
        <w:gridCol w:w="972"/>
        <w:gridCol w:w="133"/>
        <w:gridCol w:w="109"/>
        <w:gridCol w:w="109"/>
        <w:gridCol w:w="109"/>
        <w:gridCol w:w="239"/>
        <w:gridCol w:w="972"/>
        <w:gridCol w:w="133"/>
        <w:gridCol w:w="109"/>
        <w:gridCol w:w="109"/>
        <w:gridCol w:w="109"/>
        <w:gridCol w:w="250"/>
        <w:gridCol w:w="939"/>
        <w:gridCol w:w="202"/>
      </w:tblGrid>
      <w:tr>
        <w:trPr/>
        <w:tc>
          <w:tcPr>
            <w:tcW w:w="2031" w:type="dxa"/>
            <w:tcBorders/>
            <w:vAlign w:val="center"/>
          </w:tcPr>
          <w:p>
            <w:pPr>
              <w:pStyle w:val="TableContents"/>
              <w:bidi w:val="0"/>
              <w:spacing w:before="0" w:after="283"/>
              <w:jc w:val="left"/>
              <w:rPr>
                <w:sz w:val="4"/>
                <w:szCs w:val="4"/>
              </w:rPr>
            </w:pPr>
            <w:r>
              <w:rPr>
                <w:sz w:val="4"/>
                <w:szCs w:val="4"/>
              </w:rPr>
            </w:r>
          </w:p>
        </w:tc>
        <w:tc>
          <w:tcPr>
            <w:tcW w:w="1716" w:type="dxa"/>
            <w:tcBorders/>
            <w:vAlign w:val="center"/>
          </w:tcPr>
          <w:p>
            <w:pPr>
              <w:pStyle w:val="TableContents"/>
              <w:bidi w:val="0"/>
              <w:spacing w:before="0" w:after="283"/>
              <w:jc w:val="left"/>
              <w:rPr>
                <w:sz w:val="4"/>
                <w:szCs w:val="4"/>
              </w:rPr>
            </w:pPr>
            <w:r>
              <w:rPr>
                <w:sz w:val="4"/>
                <w:szCs w:val="4"/>
              </w:rPr>
            </w:r>
          </w:p>
        </w:tc>
        <w:tc>
          <w:tcPr>
            <w:tcW w:w="1725"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5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w:t>
            </w:r>
          </w:p>
        </w:tc>
      </w:tr>
      <w:tr>
        <w:trPr/>
        <w:tc>
          <w:tcPr>
            <w:tcW w:w="5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2021</w:t>
            </w:r>
          </w:p>
        </w:tc>
      </w:tr>
      <w:tr>
        <w:trPr/>
        <w:tc>
          <w:tcPr>
            <w:tcW w:w="5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ACTIVITIES:</w:t>
            </w:r>
          </w:p>
        </w:tc>
        <w:tc>
          <w:tcPr>
            <w:tcW w:w="13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(loss)</w:t>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(159,184)</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(130,323)</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Adjustments to reconcile net income (loss) to net cash provided by operating activities:</w:t>
            </w:r>
          </w:p>
        </w:tc>
        <w:tc>
          <w:tcPr>
            <w:tcW w:w="13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and amortization</w:t>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240,820 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216,052 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146,886 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72,617 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64,118 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40,735 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Impairment of intangible assets</w:t>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3,320 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2"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r>
      <w:tr>
        <w:trPr/>
        <w:tc>
          <w:tcPr>
            <w:tcW w:w="54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Gain on extinguishment of debt</w:t>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(26,480)</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(Gain) loss on disposal of property and equipment</w:t>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Provision for (recovery of) doubtful accounts</w:t>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4,666 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(163)</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debt discount and issuance costs</w:t>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6,279 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6,785 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4,925 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2"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r>
      <w:tr>
        <w:trPr/>
        <w:tc>
          <w:tcPr>
            <w:tcW w:w="5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Non-cash lease expense</w:t>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(1,712)</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1,485 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(350)</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income taxes</w:t>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(2,379)</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(8,802)</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(98,770)</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Unrealized foreign currency (gain) loss, net</w:t>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(271)</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(2,259)</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items, net</w:t>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2,696 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3,292 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Changes in operating assets and liabilities, net of effect of business acquisitions:</w:t>
            </w:r>
          </w:p>
        </w:tc>
        <w:tc>
          <w:tcPr>
            <w:tcW w:w="13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w:t>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(220,102)</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(46,325)</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(254,368)</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expenses and other assets</w:t>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(4,228)</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1,324 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 and accrued expenses</w:t>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294,677 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91,377 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284,905 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liabilities</w:t>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(389)</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operating activities</w:t>
            </w:r>
          </w:p>
        </w:tc>
        <w:tc>
          <w:tcPr>
            <w:tcW w:w="12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214,367 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192,550 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126,589 </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INVESTING ACTIVITIES:</w:t>
            </w:r>
          </w:p>
        </w:tc>
        <w:tc>
          <w:tcPr>
            <w:tcW w:w="13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property and equipment</w:t>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(26,764)</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(30,815)</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(17,697)</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Capitalized internal use software development costs</w:t>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(10,619)</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(13,582)</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(11,431)</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Mergers and acquisitions, net of cash acquired and indemnification claims holdback</w:t>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(20,755)</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(661,869)</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2"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r>
      <w:tr>
        <w:trPr/>
        <w:tc>
          <w:tcPr>
            <w:tcW w:w="5472"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r>
      <w:tr>
        <w:trPr/>
        <w:tc>
          <w:tcPr>
            <w:tcW w:w="5472"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r>
      <w:tr>
        <w:trPr/>
        <w:tc>
          <w:tcPr>
            <w:tcW w:w="54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investing activities</w:t>
            </w:r>
          </w:p>
        </w:tc>
        <w:tc>
          <w:tcPr>
            <w:tcW w:w="12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(37,383)</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(65,152)</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(690,997)</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FINANCING ACTIVITIES:</w:t>
            </w:r>
          </w:p>
        </w:tc>
        <w:tc>
          <w:tcPr>
            <w:tcW w:w="13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Convertible Senior Notes offering</w:t>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400,000 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issuance of debt, net of debt discount</w:t>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349,200 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 for capped call options</w:t>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(38,960)</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 for debt issuance costs</w:t>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(30,378)</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exercise of stock options</w:t>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2,234 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9,425 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issuance of common stock under employee stock purchase plan</w:t>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3,513 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3,744 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3,714 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Repayment of debt</w:t>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(3,600)</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(3,600)</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(1,800)</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Repurchase of Convertible Senior Notes</w:t>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(165,518)</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Repayment of financing lease</w:t>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(276)</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(807)</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(645)</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 of treasury stock</w:t>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(15,663)</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(6,007)</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Taxes paid related to net share settlement</w:t>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(11,814)</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(14,498)</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(6,496)</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 of indemnification claims holdback</w:t>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(2,313)</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(1,582)</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(used in) financing activities</w:t>
            </w:r>
          </w:p>
        </w:tc>
        <w:tc>
          <w:tcPr>
            <w:tcW w:w="12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(177,842)</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(30,172)</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678,053 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EFFECT OF EXCHANGE RATE CHANGES ON CASH, CASH EQUIVALENTS AND RESTRICTED CASH</w:t>
            </w:r>
          </w:p>
        </w:tc>
        <w:tc>
          <w:tcPr>
            <w:tcW w:w="12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575 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(1,417)</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(683)</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 IN CASH, CASH EQUIVALENTS AND RESTRICTED CASH</w:t>
            </w:r>
          </w:p>
        </w:tc>
        <w:tc>
          <w:tcPr>
            <w:tcW w:w="12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(283)</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95,809 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112,962 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CASH EQUIVALENTS AND RESTRICTED CASH — Beginning of period</w:t>
            </w:r>
          </w:p>
        </w:tc>
        <w:tc>
          <w:tcPr>
            <w:tcW w:w="12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326,502 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230,693 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117,731 </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CASH EQUIVALENTS AND RESTRICTED CASH — End of period</w:t>
            </w:r>
          </w:p>
        </w:tc>
        <w:tc>
          <w:tcPr>
            <w:tcW w:w="239"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72"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326,219 </w:t>
            </w:r>
          </w:p>
        </w:tc>
        <w:tc>
          <w:tcPr>
            <w:tcW w:w="133"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72"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326,502 </w:t>
            </w:r>
          </w:p>
        </w:tc>
        <w:tc>
          <w:tcPr>
            <w:tcW w:w="133"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39"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230,693 </w:t>
            </w:r>
          </w:p>
        </w:tc>
        <w:tc>
          <w:tcPr>
            <w:tcW w:w="202"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to consolidated financial statements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8d6a21e15cb741baa6dee69bcf11e47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MAGNITE,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FLOWS-(Continued)</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2066"/>
        <w:gridCol w:w="1817"/>
        <w:gridCol w:w="1820"/>
        <w:gridCol w:w="238"/>
        <w:gridCol w:w="896"/>
        <w:gridCol w:w="132"/>
        <w:gridCol w:w="109"/>
        <w:gridCol w:w="109"/>
        <w:gridCol w:w="109"/>
        <w:gridCol w:w="238"/>
        <w:gridCol w:w="896"/>
        <w:gridCol w:w="132"/>
        <w:gridCol w:w="109"/>
        <w:gridCol w:w="109"/>
        <w:gridCol w:w="109"/>
        <w:gridCol w:w="236"/>
        <w:gridCol w:w="889"/>
        <w:gridCol w:w="191"/>
      </w:tblGrid>
      <w:tr>
        <w:trPr/>
        <w:tc>
          <w:tcPr>
            <w:tcW w:w="2066" w:type="dxa"/>
            <w:tcBorders/>
            <w:vAlign w:val="center"/>
          </w:tcPr>
          <w:p>
            <w:pPr>
              <w:pStyle w:val="TableContents"/>
              <w:bidi w:val="0"/>
              <w:spacing w:before="0" w:after="283"/>
              <w:jc w:val="left"/>
              <w:rPr>
                <w:sz w:val="4"/>
                <w:szCs w:val="4"/>
              </w:rPr>
            </w:pPr>
            <w:r>
              <w:rPr>
                <w:sz w:val="4"/>
                <w:szCs w:val="4"/>
              </w:rPr>
            </w:r>
          </w:p>
        </w:tc>
        <w:tc>
          <w:tcPr>
            <w:tcW w:w="1817" w:type="dxa"/>
            <w:tcBorders/>
            <w:vAlign w:val="center"/>
          </w:tcPr>
          <w:p>
            <w:pPr>
              <w:pStyle w:val="TableContents"/>
              <w:bidi w:val="0"/>
              <w:spacing w:before="0" w:after="283"/>
              <w:jc w:val="left"/>
              <w:rPr>
                <w:sz w:val="4"/>
                <w:szCs w:val="4"/>
              </w:rPr>
            </w:pPr>
            <w:r>
              <w:rPr>
                <w:sz w:val="4"/>
                <w:szCs w:val="4"/>
              </w:rPr>
            </w:r>
          </w:p>
        </w:tc>
        <w:tc>
          <w:tcPr>
            <w:tcW w:w="1820"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w:t>
            </w:r>
          </w:p>
        </w:tc>
      </w:tr>
      <w:tr>
        <w:trPr/>
        <w:tc>
          <w:tcPr>
            <w:tcW w:w="5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2021</w:t>
            </w:r>
          </w:p>
        </w:tc>
      </w:tr>
      <w:tr>
        <w:trPr/>
        <w:tc>
          <w:tcPr>
            <w:tcW w:w="5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RECONCILIATION OF CASH, CASH EQUIVALENTS AND RESTRICTED CASH TO CONSOLIDATED BALANCE SHEETS:</w:t>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326,219 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326,254 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230,401 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Restricted cash included in prepaid expenses and other current assets </w:t>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 included in other assets, non-current</w:t>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cash, cash equivalents and restricted cash</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326,219 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326,502 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230,693 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SUPPLEMENTAL DISCLOSURES OF OTHER CASH FLOW INFORMATION:</w:t>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income taxes</w:t>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5,357 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4,932 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2,141 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interest</w:t>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37,028 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26,320 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12,908 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Capitalized assets financed by accounts payable and accrued expenses and other liabilities</w:t>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2,171 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Capitalized stock-based compensation</w:t>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1,496 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 obtained in exchange for operating lease liabilities</w:t>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4,017 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20,131 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42,013 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consideration - indemnification claims holdback</w:t>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1,602 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and options issued for mergers and acquisitions</w:t>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495,591 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Debt discount, non-cash</w:t>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10,800 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to consolidated financial statements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8d6a21e15cb741baa6dee69bcf11e47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MAGNITE,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00"/>
        <w:jc w:val="left"/>
        <w:rPr>
          <w:rFonts w:ascii="Times New Roman;sans-serif" w:hAnsi="Times New Roman;sans-serif"/>
          <w:b/>
          <w:color w:val="000000"/>
          <w:sz w:val="20"/>
        </w:rPr>
      </w:pPr>
      <w:r>
        <w:rPr>
          <w:rFonts w:ascii="Times New Roman;sans-serif" w:hAnsi="Times New Roman;sans-serif"/>
          <w:b/>
          <w:color w:val="000000"/>
          <w:sz w:val="20"/>
        </w:rPr>
        <w:t>Note 1—Nature of Operations</w:t>
      </w:r>
    </w:p>
    <w:p>
      <w:pPr>
        <w:pStyle w:val="TextBody"/>
        <w:bidi w:val="0"/>
        <w:spacing w:lineRule="auto" w:line="288" w:before="0" w:after="200"/>
        <w:jc w:val="left"/>
        <w:rPr>
          <w:color w:val="000000"/>
        </w:rPr>
      </w:pPr>
      <w:r>
        <w:rPr>
          <w:color w:val="000000"/>
        </w:rPr>
        <w:t>    </w:t>
      </w:r>
      <w:r>
        <w:rPr>
          <w:rFonts w:ascii="Times New Roman;sans-serif" w:hAnsi="Times New Roman;sans-serif"/>
          <w:b/>
          <w:i/>
          <w:color w:val="000000"/>
          <w:sz w:val="20"/>
        </w:rPr>
        <w:t>Company Overview</w:t>
      </w:r>
    </w:p>
    <w:p>
      <w:pPr>
        <w:pStyle w:val="TextBody"/>
        <w:bidi w:val="0"/>
        <w:spacing w:lineRule="auto" w:line="288" w:before="0" w:after="200"/>
        <w:jc w:val="left"/>
        <w:rPr>
          <w:color w:val="000000"/>
        </w:rPr>
      </w:pPr>
      <w:r>
        <w:rPr>
          <w:color w:val="000000"/>
        </w:rPr>
        <w:t>    </w:t>
      </w:r>
      <w:r>
        <w:rPr>
          <w:rFonts w:ascii="Times New Roman;sans-serif" w:hAnsi="Times New Roman;sans-serif"/>
          <w:b w:val="false"/>
          <w:color w:val="000000"/>
          <w:sz w:val="20"/>
        </w:rPr>
        <w:t xml:space="preserve">Magnite, Inc. ("Magnite" or the "Company"), formerly known as The Rubicon Project, Inc., was formed in Delaware and began operations on April 20, 2007. The Company operates a sell side advertising platform that offers buyers and sellers of digital advertising a single partner for transacting globally across all channels, formats, and auction types. </w:t>
      </w:r>
    </w:p>
    <w:p>
      <w:pPr>
        <w:pStyle w:val="TextBody"/>
        <w:bidi w:val="0"/>
        <w:spacing w:lineRule="auto" w:line="288" w:before="0" w:after="200"/>
        <w:jc w:val="left"/>
        <w:rPr>
          <w:color w:val="000000"/>
        </w:rPr>
      </w:pPr>
      <w:r>
        <w:rPr>
          <w:color w:val="000000"/>
        </w:rPr>
        <w:t>    </w:t>
      </w:r>
      <w:r>
        <w:rPr>
          <w:rFonts w:ascii="Times New Roman;sans-serif" w:hAnsi="Times New Roman;sans-serif"/>
          <w:b w:val="false"/>
          <w:color w:val="000000"/>
          <w:sz w:val="20"/>
        </w:rPr>
        <w:t>The Company's common stock is listed on the Nasdaq Global Select Market of The Nasdaq Stock Market LLC ("Nasdaq") under the symbol "MGNI." Magnite has its principal offices in New York City, Los Angeles, Denver, London, and Sydney, and additional offices in Europe, Asia, North America, and South America.</w:t>
      </w:r>
    </w:p>
    <w:p>
      <w:pPr>
        <w:pStyle w:val="TextBody"/>
        <w:bidi w:val="0"/>
        <w:spacing w:lineRule="auto" w:line="288" w:before="0" w:after="200"/>
        <w:jc w:val="left"/>
        <w:rPr>
          <w:color w:val="000000"/>
        </w:rPr>
      </w:pPr>
      <w:r>
        <w:rPr>
          <w:color w:val="000000"/>
        </w:rPr>
        <w:t>    </w:t>
      </w:r>
      <w:r>
        <w:rPr>
          <w:rFonts w:ascii="Times New Roman;sans-serif" w:hAnsi="Times New Roman;sans-serif"/>
          <w:b w:val="false"/>
          <w:color w:val="000000"/>
          <w:sz w:val="20"/>
        </w:rPr>
        <w:t>The Company provides a technology solution to automate the purchase and sale of digital advertising inventory for buyers and sellers globally, across all channels, formats and auction types. The Company's platform features applications and services for sellers of digital advertising inventory, or publishers, that own or operate websites, applications, CTV channels, and other digital media properties, to manage and monetize their inventory; applications and services for buyers, including advertisers, agencies, agency trading desks, and demand side platforms, to buy digital advertising inventory; and a transparent, independent marketplace that brings buyers and sellers together and facilitates intelligent decision making and automated transaction execution at scale. The Company's clients include many of the world's leading sellers and buyers of digital advertising inventory.</w:t>
      </w:r>
    </w:p>
    <w:p>
      <w:pPr>
        <w:pStyle w:val="TextBody"/>
        <w:bidi w:val="0"/>
        <w:spacing w:lineRule="auto" w:line="288" w:before="0" w:after="200"/>
        <w:jc w:val="left"/>
        <w:rPr>
          <w:color w:val="000000"/>
        </w:rPr>
      </w:pPr>
      <w:r>
        <w:rPr>
          <w:color w:val="000000"/>
        </w:rPr>
        <w:t>    </w:t>
      </w:r>
      <w:r>
        <w:rPr>
          <w:rFonts w:ascii="Times New Roman;sans-serif" w:hAnsi="Times New Roman;sans-serif"/>
          <w:b w:val="false"/>
          <w:color w:val="000000"/>
          <w:sz w:val="20"/>
        </w:rPr>
        <w:t xml:space="preserve">Sellers monetize their inventory through the Company’s platform by seamlessly connecting to a global market of integrated buyers that transact through real-time bidding, which includes direct sale of premium inventory to a buyer, referred to as private marketplace, and open auction bidding, where buyers bid against each other in a real-time auction for the right to purchase a publisher’s inventory, referred to as open marketplace. At the same time, buyers leverage the Company’s platform to manage their advertising spending and reach their target audiences, simplify order management and campaign tracking, obtain actionable insights into audiences for their advertising, and access impression-level purchasing from thousands of sellers. </w:t>
      </w:r>
    </w:p>
    <w:p>
      <w:pPr>
        <w:pStyle w:val="TextBody"/>
        <w:bidi w:val="0"/>
        <w:spacing w:before="0" w:after="6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Note 2—Organization and Summary of Significant Accounting Policies</w:t>
      </w:r>
    </w:p>
    <w:p>
      <w:pPr>
        <w:pStyle w:val="TextBody"/>
        <w:bidi w:val="0"/>
        <w:spacing w:lineRule="auto" w:line="288" w:before="200" w:after="200"/>
        <w:jc w:val="left"/>
        <w:rPr/>
      </w:pPr>
      <w:r>
        <w:rPr>
          <w:color w:val="000000"/>
        </w:rPr>
        <w:t>    </w:t>
      </w:r>
      <w:r>
        <w:rPr>
          <w:rFonts w:ascii="Times New Roman;sans-serif" w:hAnsi="Times New Roman;sans-serif"/>
          <w:b/>
          <w:i/>
          <w:color w:val="000000"/>
          <w:sz w:val="20"/>
        </w:rPr>
        <w:t>Basis of Consolidation</w:t>
      </w:r>
    </w:p>
    <w:p>
      <w:pPr>
        <w:pStyle w:val="TextBody"/>
        <w:bidi w:val="0"/>
        <w:spacing w:lineRule="auto" w:line="288" w:before="0" w:after="200"/>
        <w:jc w:val="left"/>
        <w:rPr>
          <w:color w:val="000000"/>
        </w:rPr>
      </w:pPr>
      <w:r>
        <w:rPr>
          <w:color w:val="000000"/>
        </w:rPr>
        <w:t>    </w:t>
      </w:r>
      <w:r>
        <w:rPr>
          <w:rFonts w:ascii="Times New Roman;sans-serif" w:hAnsi="Times New Roman;sans-serif"/>
          <w:b w:val="false"/>
          <w:color w:val="000000"/>
          <w:sz w:val="20"/>
        </w:rPr>
        <w:t>The accompanying consolidated financial statements have been prepared in accordance with accounting principles generally accepted in the United States of America, or GAAP, and include the operations of the Company and its wholly owned subsidiaries. All significant intercompany transactions and balances have been eliminated in consolidation.</w:t>
      </w:r>
    </w:p>
    <w:p>
      <w:pPr>
        <w:pStyle w:val="TextBody"/>
        <w:bidi w:val="0"/>
        <w:spacing w:lineRule="auto" w:line="288" w:before="0" w:after="200"/>
        <w:jc w:val="left"/>
        <w:rPr>
          <w:color w:val="000000"/>
        </w:rPr>
      </w:pPr>
      <w:r>
        <w:rPr>
          <w:color w:val="000000"/>
        </w:rPr>
        <w:t>    </w:t>
      </w:r>
      <w:r>
        <w:rPr>
          <w:rFonts w:ascii="Times New Roman;sans-serif" w:hAnsi="Times New Roman;sans-serif"/>
          <w:b/>
          <w:i/>
          <w:color w:val="000000"/>
          <w:sz w:val="20"/>
        </w:rPr>
        <w:t>Segments</w:t>
      </w:r>
    </w:p>
    <w:p>
      <w:pPr>
        <w:pStyle w:val="TextBody"/>
        <w:bidi w:val="0"/>
        <w:spacing w:lineRule="auto" w:line="288" w:before="0" w:after="200"/>
        <w:jc w:val="left"/>
        <w:rPr>
          <w:color w:val="000000"/>
        </w:rPr>
      </w:pPr>
      <w:r>
        <w:rPr>
          <w:color w:val="000000"/>
        </w:rPr>
        <w:t>    </w:t>
      </w:r>
      <w:r>
        <w:rPr>
          <w:rFonts w:ascii="Times New Roman;sans-serif" w:hAnsi="Times New Roman;sans-serif"/>
          <w:b w:val="false"/>
          <w:color w:val="000000"/>
          <w:sz w:val="20"/>
        </w:rPr>
        <w:t xml:space="preserve">Management has determined that the Company operates as one segment. The Company’s chief operating decision maker reviews financial information on an aggregated and consolidated basis, together with certain operating and performance measures principally to make decisions about how to allocate resources and to measure the Company’s performance. </w:t>
      </w:r>
    </w:p>
    <w:p>
      <w:pPr>
        <w:pStyle w:val="TextBody"/>
        <w:bidi w:val="0"/>
        <w:spacing w:lineRule="auto" w:line="288" w:before="0" w:after="200"/>
        <w:jc w:val="left"/>
        <w:rPr/>
      </w:pPr>
      <w:r>
        <w:rPr>
          <w:color w:val="000000"/>
        </w:rPr>
        <w:t>    </w:t>
      </w:r>
      <w:r>
        <w:rPr>
          <w:rFonts w:ascii="Times New Roman;sans-serif" w:hAnsi="Times New Roman;sans-serif"/>
          <w:b/>
          <w:i/>
          <w:color w:val="000000"/>
          <w:sz w:val="20"/>
        </w:rPr>
        <w:t>Use of Estimates</w:t>
      </w:r>
    </w:p>
    <w:p>
      <w:pPr>
        <w:pStyle w:val="TextBody"/>
        <w:bidi w:val="0"/>
        <w:spacing w:lineRule="auto" w:line="288" w:before="0" w:after="200"/>
        <w:jc w:val="left"/>
        <w:rPr>
          <w:color w:val="000000"/>
        </w:rPr>
      </w:pPr>
      <w:r>
        <w:rPr>
          <w:color w:val="000000"/>
        </w:rPr>
        <w:t>    </w:t>
      </w:r>
      <w:r>
        <w:rPr>
          <w:rFonts w:ascii="Times New Roman;sans-serif" w:hAnsi="Times New Roman;sans-serif"/>
          <w:b w:val="false"/>
          <w:color w:val="000000"/>
          <w:sz w:val="20"/>
        </w:rPr>
        <w:t>The preparation of consolidated financial statements in conformity with GAAP requires management to make estimates and assumptions that affect the reported and disclosed financial statements and accompanying footnotes. Actual results could differ materially from these estimates.</w:t>
      </w:r>
    </w:p>
    <w:p>
      <w:pPr>
        <w:pStyle w:val="TextBody"/>
        <w:bidi w:val="0"/>
        <w:spacing w:lineRule="auto" w:line="288" w:before="0" w:after="200"/>
        <w:jc w:val="left"/>
        <w:rPr>
          <w:color w:val="000000"/>
        </w:rPr>
      </w:pPr>
      <w:r>
        <w:rPr>
          <w:color w:val="000000"/>
        </w:rPr>
        <w:t>    </w:t>
      </w:r>
      <w:r>
        <w:rPr>
          <w:rFonts w:ascii="Times New Roman;sans-serif" w:hAnsi="Times New Roman;sans-serif"/>
          <w:b w:val="false"/>
          <w:color w:val="000000"/>
          <w:sz w:val="20"/>
        </w:rPr>
        <w:t xml:space="preserve">On an ongoing basis, management evaluates its estimates, primarily those related to: (i) revenue recognition criteria, including the determination of revenue reporting as net versus gross in the Company’s revenue arrangements, (ii) accounts receivable and allowances for doubtful accounts, (iii) amounts capitalized and the useful lives of intangible assets, internal use software development costs, and property and equipment, (iv) valuation of long-lived assets and their recoverability, including goodwill, and (v) the realization of tax assets and estimates of tax liabilities. </w:t>
      </w:r>
    </w:p>
    <w:p>
      <w:pPr>
        <w:pStyle w:val="TextBody"/>
        <w:bidi w:val="0"/>
        <w:spacing w:lineRule="auto" w:line="288" w:before="0" w:after="200"/>
        <w:jc w:val="left"/>
        <w:rPr>
          <w:color w:val="000000"/>
        </w:rPr>
      </w:pPr>
      <w:r>
        <w:rPr>
          <w:color w:val="000000"/>
        </w:rPr>
        <w:t>    </w:t>
      </w:r>
      <w:r>
        <w:rPr>
          <w:rFonts w:ascii="Times New Roman;sans-serif" w:hAnsi="Times New Roman;sans-serif"/>
          <w:b w:val="false"/>
          <w:color w:val="000000"/>
          <w:sz w:val="20"/>
        </w:rPr>
        <w:t xml:space="preserve">These estimates are based on historical data and experience, as well as various other factors that management believes to be reasonable under the circumstances, the results of which form the basis for making judgments about the carrying value of assets and liabilities that are not readily apparent from other sources. Estimates relating to the allowance for doubtful accounts, amounts capitalized and estimated useful lives of internal-use software development costs, estimated useful lives of long-lived assets, recoverability of intangible assets and goodwill, and income taxes, including the realization of tax assets and estimates of tax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8d6a21e15cb741baa6dee69bcf11e47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require the selection of appropriate valuation methodologies and models, and judgment in evaluating ranges of assumptions and financial inputs. Actual results may differ materially from those estimates under different assumptions or circumstances.</w:t>
      </w:r>
    </w:p>
    <w:p>
      <w:pPr>
        <w:pStyle w:val="TextBody"/>
        <w:bidi w:val="0"/>
        <w:spacing w:lineRule="auto" w:line="288" w:before="0" w:after="200"/>
        <w:jc w:val="left"/>
        <w:rPr>
          <w:color w:val="000000"/>
        </w:rPr>
      </w:pPr>
      <w:r>
        <w:rPr>
          <w:color w:val="000000"/>
        </w:rPr>
        <w:t>    </w:t>
      </w:r>
      <w:r>
        <w:rPr>
          <w:rFonts w:ascii="Times New Roman;sans-serif" w:hAnsi="Times New Roman;sans-serif"/>
          <w:b/>
          <w:i/>
          <w:color w:val="000000"/>
          <w:sz w:val="20"/>
        </w:rPr>
        <w:t>Revenue Recognition</w:t>
      </w:r>
    </w:p>
    <w:p>
      <w:pPr>
        <w:pStyle w:val="TextBody"/>
        <w:bidi w:val="0"/>
        <w:spacing w:lineRule="auto" w:line="288" w:before="0" w:after="200"/>
        <w:jc w:val="left"/>
        <w:rPr/>
      </w:pPr>
      <w:r>
        <w:rPr>
          <w:color w:val="000000"/>
        </w:rPr>
        <w:t>    </w:t>
      </w:r>
      <w:r>
        <w:rPr>
          <w:rFonts w:ascii="Times New Roman;sans-serif" w:hAnsi="Times New Roman;sans-serif"/>
          <w:b w:val="false"/>
          <w:color w:val="000000"/>
          <w:sz w:val="20"/>
        </w:rPr>
        <w:t>The Company generates revenue from transactions where it provides a platform for the purchase and sale of digital advertising inventory. Generally, the Company's revenue is based on a percentage of the ad spend that runs through its platform, although for certain clients, services, or transaction types the Company may receive a fixed CPM for each impression sold, and for advertising campaigns that are transacted through insertion orders the Company earns revenue based on the full amount of ad spend that runs through its platform. In addition, the Company may receive certain fixed monthly fees for the use of its platform or products. The Company's platform dynamically connects sellers and buyers of advertising inventory in a digital marketplace. The Company's solution incorporates proprietary machine-learning algorithms, sophisticated data processing, high-volume storage, detailed analytics capabilities, and a distributed infrastructure.</w:t>
      </w:r>
      <w:r>
        <w:rPr>
          <w:color w:val="008080"/>
        </w:rPr>
        <w:t xml:space="preserve"> </w:t>
      </w:r>
      <w:r>
        <w:rPr>
          <w:rFonts w:ascii="Times New Roman;sans-serif" w:hAnsi="Times New Roman;sans-serif"/>
          <w:b w:val="false"/>
          <w:color w:val="000000"/>
          <w:sz w:val="20"/>
        </w:rPr>
        <w:t xml:space="preserve">Digital advertising inventory is created when consumers access sellers’ content. Sellers provide digital advertising inventory to the Company's platform in the form of advertising requests, or ad requests. When the Company receives ad requests from sellers, it sends bid requests to buyers, which enable buyers to bid on sellers’ digital advertising inventory. Winning bids can create advertising, or paid impressions, for the seller to present to the consumer. </w:t>
      </w:r>
    </w:p>
    <w:p>
      <w:pPr>
        <w:pStyle w:val="TextBody"/>
        <w:bidi w:val="0"/>
        <w:spacing w:lineRule="auto" w:line="288" w:before="0" w:after="200"/>
        <w:jc w:val="left"/>
        <w:rPr>
          <w:color w:val="000000"/>
        </w:rPr>
      </w:pPr>
      <w:r>
        <w:rPr>
          <w:color w:val="000000"/>
        </w:rPr>
        <w:t>    </w:t>
      </w:r>
      <w:r>
        <w:rPr>
          <w:rFonts w:ascii="Times New Roman;sans-serif" w:hAnsi="Times New Roman;sans-serif"/>
          <w:b w:val="false"/>
          <w:color w:val="000000"/>
          <w:sz w:val="20"/>
        </w:rPr>
        <w:t xml:space="preserve">The total volume of spending between buyers and sellers on the Company's platform is referred to as advertising spend. The Company keeps a percentage of that advertising spend as a fee, and remits the remainder to the seller. The fee that the Company retains from the gross advertising spend on its platform is recognized as revenue. The fee earned on each transaction is based on the pre-existing agreement between the Company and the seller and the clearing price of the winning bid. The Company recognizes revenue upon fulfillment of its performance obligation to a client, which occurs at the point in time an ad renders and is counted as a paid impression, subject to a contract existing with the client and a fixed or determinable transaction price. The Company does not have arrangements with multiple performance obligations. The Company does not disclose the value of unsatisfied performance obligations for (i) contracts with an original expected length of one year or less and (ii) contracts for which the Company recognizes revenue at the amount to which it has the right to invoice for services performed. The Company considers the following when determining if a contract exists (i) contract approval by all parties, (ii) identification of each party’s rights regarding the goods or services to be transferred, (iii) specified payment terms, (iv) commercial substance of the contract, and (v) collectability of substantially all of the consideration is probable. </w:t>
      </w:r>
    </w:p>
    <w:p>
      <w:pPr>
        <w:pStyle w:val="TextBody"/>
        <w:bidi w:val="0"/>
        <w:spacing w:lineRule="auto" w:line="288" w:before="0" w:after="200"/>
        <w:jc w:val="left"/>
        <w:rPr>
          <w:color w:val="000000"/>
        </w:rPr>
      </w:pPr>
      <w:r>
        <w:rPr>
          <w:color w:val="000000"/>
        </w:rPr>
        <w:t>    </w:t>
      </w:r>
      <w:r>
        <w:rPr>
          <w:rFonts w:ascii="Times New Roman;sans-serif" w:hAnsi="Times New Roman;sans-serif"/>
          <w:b w:val="false"/>
          <w:color w:val="000000"/>
          <w:sz w:val="20"/>
        </w:rPr>
        <w:t>The determination of whether revenue should be reported on a gross or net basis is based on an assessment of whether the Company is acting as the principal or an agent in the transaction. In determining whether the Company is acting as the principal or an agent, the Company follows the accounting guidance for principal-agent considerations. Making such determinations involves judgment and is based on an evaluation of the terms of each arrangement, none of which are considered presumptive or determinative.</w:t>
      </w:r>
    </w:p>
    <w:p>
      <w:pPr>
        <w:pStyle w:val="TextBody"/>
        <w:bidi w:val="0"/>
        <w:spacing w:lineRule="auto" w:line="288" w:before="0" w:after="200"/>
        <w:jc w:val="left"/>
        <w:rPr>
          <w:rFonts w:ascii="Times New Roman;sans-serif" w:hAnsi="Times New Roman;sans-serif"/>
          <w:b/>
          <w:i/>
          <w:color w:val="000000"/>
          <w:sz w:val="20"/>
        </w:rPr>
      </w:pPr>
      <w:r>
        <w:rPr>
          <w:rFonts w:ascii="Times New Roman;sans-serif" w:hAnsi="Times New Roman;sans-serif"/>
          <w:b/>
          <w:i/>
          <w:color w:val="000000"/>
          <w:sz w:val="20"/>
        </w:rPr>
        <w:t>Expenses</w:t>
      </w:r>
    </w:p>
    <w:p>
      <w:pPr>
        <w:pStyle w:val="TextBody"/>
        <w:bidi w:val="0"/>
        <w:spacing w:lineRule="auto" w:line="288" w:before="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classifies its expenses into the following categories:</w:t>
      </w:r>
    </w:p>
    <w:p>
      <w:pPr>
        <w:pStyle w:val="TextBody"/>
        <w:bidi w:val="0"/>
        <w:spacing w:lineRule="auto" w:line="288" w:before="0" w:after="200"/>
        <w:jc w:val="left"/>
        <w:rPr/>
      </w:pPr>
      <w:r>
        <w:rPr>
          <w:color w:val="000000"/>
        </w:rPr>
        <w:t>    </w:t>
      </w:r>
      <w:r>
        <w:rPr>
          <w:rFonts w:ascii="Times New Roman;sans-serif" w:hAnsi="Times New Roman;sans-serif"/>
          <w:b w:val="false"/>
          <w:i/>
          <w:color w:val="000000"/>
          <w:sz w:val="20"/>
        </w:rPr>
        <w:t xml:space="preserve">Cost of Revenue. </w:t>
      </w:r>
      <w:r>
        <w:rPr>
          <w:rFonts w:ascii="Times New Roman;sans-serif" w:hAnsi="Times New Roman;sans-serif"/>
          <w:b w:val="false"/>
          <w:color w:val="000000"/>
          <w:sz w:val="20"/>
        </w:rPr>
        <w:t>The Company's cost of revenue consists primarily of cloud hosting, data center, and bandwidth costs, ad protection costs, depreciation and maintenance expense of hardware supporting the Company's revenue-producing platform, amortization of software costs for the development of the Company's revenue-producing platform, amortization expense associated with acquired developed technologies, and personnel costs. In addition, for revenue booked on a gross basis, cost of revenue includes traffic acquisition costs. Personnel costs included in cost of revenue include salaries, bonuses, and stock-based compensation, and are primarily attributable to personnel in the Company's network operations group who support the Company's platform. The Company capitalizes costs associated with software that is developed or obtained for internal use and amortizes the costs associated with its revenue-producing platform in cost of revenue over their estimated useful lives. The Company amortizes acquired developed technologies over their estimated useful lives.</w:t>
      </w:r>
    </w:p>
    <w:p>
      <w:pPr>
        <w:pStyle w:val="TextBody"/>
        <w:bidi w:val="0"/>
        <w:spacing w:lineRule="auto" w:line="288" w:before="0" w:after="200"/>
        <w:jc w:val="left"/>
        <w:rPr/>
      </w:pPr>
      <w:r>
        <w:rPr>
          <w:color w:val="000000"/>
        </w:rPr>
        <w:t>    </w:t>
      </w:r>
      <w:r>
        <w:rPr>
          <w:rFonts w:ascii="Times New Roman;sans-serif" w:hAnsi="Times New Roman;sans-serif"/>
          <w:b w:val="false"/>
          <w:i/>
          <w:color w:val="000000"/>
          <w:sz w:val="20"/>
        </w:rPr>
        <w:t xml:space="preserve">Sales and Marketing. </w:t>
      </w:r>
      <w:r>
        <w:rPr>
          <w:rFonts w:ascii="Times New Roman;sans-serif" w:hAnsi="Times New Roman;sans-serif"/>
          <w:b w:val="false"/>
          <w:color w:val="000000"/>
          <w:sz w:val="20"/>
        </w:rPr>
        <w:t>The Company's sales and marketing expenses consist primarily of personnel costs, including salaries, bonuses, and stock-based compensation, as well as marketing expenses such as brand marketing, travel expenses, trade shows and marketing materials, amortization expense associated with client relationships, backlog, and non-compete agreements from the Company's business acquisitions, professional services, facilities-related costs, and depreciation expense. The Company's sales and support organization focuses on increasing the adoption of the Company's solution by existing and new buyers and sellers and supports ongoing client relationships. The Company amortizes acquired intangibles associated with client relationships and backlog from its business acquisitions over their estimated useful lives.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lineRule="auto" w:line="288" w:before="0" w:after="0"/>
        <w:jc w:val="left"/>
        <w:rPr/>
      </w:pPr>
      <w:hyperlink w:anchor="i8d6a21e15cb741baa6dee69bcf11e47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00"/>
        <w:jc w:val="left"/>
        <w:rPr/>
      </w:pPr>
      <w:r>
        <w:rPr>
          <w:color w:val="000000"/>
        </w:rPr>
        <w:t>    </w:t>
      </w:r>
      <w:r>
        <w:rPr>
          <w:rFonts w:ascii="Times New Roman;sans-serif" w:hAnsi="Times New Roman;sans-serif"/>
          <w:b w:val="false"/>
          <w:i/>
          <w:color w:val="000000"/>
          <w:sz w:val="20"/>
        </w:rPr>
        <w:t xml:space="preserve">Technology and Development. </w:t>
      </w:r>
      <w:r>
        <w:rPr>
          <w:rFonts w:ascii="Times New Roman;sans-serif" w:hAnsi="Times New Roman;sans-serif"/>
          <w:b w:val="false"/>
          <w:color w:val="000000"/>
          <w:sz w:val="20"/>
        </w:rPr>
        <w:t>The Company's technology and development expenses consist primarily of personnel costs, including salaries, bonuses, and stock-based compensation, as well as professional services associated with the ongoing development and maintenance of the Company's solution, third-party software license costs, facilities-related costs, and depreciation and amortization expense. These expenses include costs incurred in the development, implementation, and maintenance of internal use software, including platform and related infrastructure. Technology and development costs are expensed as incurred, except to the extent that such costs are associated with internal use software development that qualifies for capitalization, which are then recorded as internal use software development costs, net on the Company's consolidated balance sheets. The Company amortizes internal use software development costs that relate to its revenue-producing activities on the Company's platform to cost of revenue and amortize other internal use software development costs to technology and development costs or general and administrative expenses, depending on the nature of the related project. The Company amortizes acquired intangibles associated with technology and development functions from its business acquisitions over their estimated useful lives.</w:t>
      </w:r>
    </w:p>
    <w:p>
      <w:pPr>
        <w:pStyle w:val="TextBody"/>
        <w:bidi w:val="0"/>
        <w:spacing w:lineRule="auto" w:line="288" w:before="0" w:after="200"/>
        <w:jc w:val="left"/>
        <w:rPr/>
      </w:pPr>
      <w:r>
        <w:rPr>
          <w:color w:val="000000"/>
        </w:rPr>
        <w:t>    </w:t>
      </w:r>
      <w:r>
        <w:rPr>
          <w:rFonts w:ascii="Times New Roman;sans-serif" w:hAnsi="Times New Roman;sans-serif"/>
          <w:b w:val="false"/>
          <w:i/>
          <w:color w:val="000000"/>
          <w:sz w:val="20"/>
        </w:rPr>
        <w:t xml:space="preserve">General and Administrative. </w:t>
      </w:r>
      <w:r>
        <w:rPr>
          <w:rFonts w:ascii="Times New Roman;sans-serif" w:hAnsi="Times New Roman;sans-serif"/>
          <w:b w:val="false"/>
          <w:color w:val="000000"/>
          <w:sz w:val="20"/>
        </w:rPr>
        <w:t>The Company's general and administrative expenses consist primarily of personnel costs, including salaries, bonuses, and stock-based compensation, associated with the Company's executive, finance, legal, human resources, compliance, and other administrative personnel, as well as accounting and legal professional services fees, facilities-related costs, depreciation expense, bad debt expense, and other corporate-related expenses.</w:t>
      </w:r>
    </w:p>
    <w:p>
      <w:pPr>
        <w:pStyle w:val="TextBody"/>
        <w:bidi w:val="0"/>
        <w:spacing w:lineRule="auto" w:line="288" w:before="0" w:after="200"/>
        <w:jc w:val="left"/>
        <w:rPr/>
      </w:pPr>
      <w:r>
        <w:rPr>
          <w:color w:val="000000"/>
        </w:rPr>
        <w:t>    </w:t>
      </w:r>
      <w:r>
        <w:rPr>
          <w:rFonts w:ascii="Times New Roman;sans-serif" w:hAnsi="Times New Roman;sans-serif"/>
          <w:b w:val="false"/>
          <w:i/>
          <w:color w:val="000000"/>
          <w:sz w:val="20"/>
        </w:rPr>
        <w:t>Merger, Acquisition, and Restructuring Costs.</w:t>
      </w:r>
      <w:r>
        <w:rPr>
          <w:color w:val="000000"/>
        </w:rPr>
        <w:t xml:space="preserve"> </w:t>
      </w:r>
      <w:r>
        <w:rPr>
          <w:rFonts w:ascii="Times New Roman;sans-serif" w:hAnsi="Times New Roman;sans-serif"/>
          <w:b w:val="false"/>
          <w:color w:val="000000"/>
          <w:sz w:val="20"/>
        </w:rPr>
        <w:t>The Company's merger, acquisition, and restructuring costs consist primarily of professional service fees associated with merger and acquisition activities, cash-based employee termination costs, related stock-based compensation charges, and other restructuring activities, including facility closures, relocation costs, contract termination costs, and impairment costs of abandoned technology associated with restructuring activities.</w:t>
      </w:r>
    </w:p>
    <w:p>
      <w:pPr>
        <w:pStyle w:val="TextBody"/>
        <w:bidi w:val="0"/>
        <w:spacing w:lineRule="auto" w:line="288" w:before="0" w:after="200"/>
        <w:jc w:val="left"/>
        <w:rPr/>
      </w:pPr>
      <w:r>
        <w:rPr>
          <w:color w:val="000000"/>
        </w:rPr>
        <w:t>    </w:t>
      </w:r>
      <w:r>
        <w:rPr>
          <w:rFonts w:ascii="Times New Roman;sans-serif" w:hAnsi="Times New Roman;sans-serif"/>
          <w:b/>
          <w:i/>
          <w:color w:val="000000"/>
          <w:sz w:val="20"/>
        </w:rPr>
        <w:t>Stock-Based Compensation</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 xml:space="preserve">Compensation expense related to employee and non-employee stock-based awards is measured and recognized in the consolidated financial statements based on the fair value of the awards granted. The Company grants awards to employees that vest based solely on continued service, or service conditions, awards that vest based on the achievement of performance targets, or performance conditions, and awards that vest based on the Company's stock price exceeding a peer index, or market conditions. The fair value of restricted stock units that vest based on continued service is equal to the closing price of the Company's common stock as reported on the Nasdaq on the grant date. The fair value of each option award containing service conditions is estimated on the grant date using the Black-Scholes option-pricing model. The fair value of awards containing market conditions is estimated using a Monte-Carlo simulation model. For service condition awards, stock-based compensation expense is recognized on a straight-line basis over the requisite service periods of the awards, which is generally four years. For performance condition and market condition awards, stock-based compensation expense is recognized using a graded vesting model over the requisite service period of the awards. For market condition awards, expense recognized is not subsequently reversed if the market conditions are not achieved. </w:t>
      </w:r>
    </w:p>
    <w:p>
      <w:pPr>
        <w:pStyle w:val="TextBody"/>
        <w:bidi w:val="0"/>
        <w:spacing w:before="0" w:after="0"/>
        <w:jc w:val="left"/>
        <w:rPr/>
      </w:pPr>
      <w:r>
        <w:rPr/>
      </w:r>
    </w:p>
    <w:p>
      <w:pPr>
        <w:pStyle w:val="TextBody"/>
        <w:bidi w:val="0"/>
        <w:spacing w:lineRule="auto" w:line="288" w:before="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assumptions and estimates used in the Black-Scholes pricing model are as follows:</w:t>
      </w:r>
    </w:p>
    <w:p>
      <w:pPr>
        <w:pStyle w:val="TextBody"/>
        <w:bidi w:val="0"/>
        <w:spacing w:lineRule="auto" w:line="288" w:before="0" w:after="200"/>
        <w:jc w:val="left"/>
        <w:rPr/>
      </w:pPr>
      <w:r>
        <w:rPr>
          <w:color w:val="000000"/>
        </w:rPr>
        <w:t>    </w:t>
      </w:r>
      <w:r>
        <w:rPr>
          <w:rFonts w:ascii="Times New Roman;sans-serif" w:hAnsi="Times New Roman;sans-serif"/>
          <w:b w:val="false"/>
          <w:i/>
          <w:color w:val="000000"/>
          <w:sz w:val="20"/>
        </w:rPr>
        <w:t>Fair Value of Common Stock.</w:t>
      </w:r>
      <w:r>
        <w:rPr>
          <w:color w:val="000000"/>
        </w:rPr>
        <w:t xml:space="preserve"> </w:t>
      </w:r>
      <w:r>
        <w:rPr>
          <w:rFonts w:ascii="Times New Roman;sans-serif" w:hAnsi="Times New Roman;sans-serif"/>
          <w:b w:val="false"/>
          <w:color w:val="000000"/>
          <w:sz w:val="20"/>
        </w:rPr>
        <w:t xml:space="preserve">The fair value of common stock is based on the closing price of the Company's common stock as reported on the Nasdaq on the grant date. </w:t>
      </w:r>
    </w:p>
    <w:p>
      <w:pPr>
        <w:pStyle w:val="TextBody"/>
        <w:bidi w:val="0"/>
        <w:spacing w:lineRule="auto" w:line="288" w:before="0" w:after="200"/>
        <w:jc w:val="left"/>
        <w:rPr/>
      </w:pPr>
      <w:r>
        <w:rPr>
          <w:color w:val="006EBF"/>
        </w:rPr>
        <w:t>    </w:t>
      </w:r>
      <w:r>
        <w:rPr>
          <w:rFonts w:ascii="Times New Roman;sans-serif" w:hAnsi="Times New Roman;sans-serif"/>
          <w:b w:val="false"/>
          <w:i/>
          <w:color w:val="000000"/>
          <w:sz w:val="20"/>
        </w:rPr>
        <w:t>Risk-Free Interest Rate.</w:t>
      </w:r>
      <w:r>
        <w:rPr>
          <w:color w:val="000000"/>
        </w:rPr>
        <w:t xml:space="preserve"> </w:t>
      </w:r>
      <w:r>
        <w:rPr>
          <w:rFonts w:ascii="Times New Roman;sans-serif" w:hAnsi="Times New Roman;sans-serif"/>
          <w:b w:val="false"/>
          <w:color w:val="000000"/>
          <w:sz w:val="20"/>
        </w:rPr>
        <w:t>The Company bases the risk-free interest rate used in the Black-Scholes option-pricing model on the yields of U.S. Treasury securities with maturities appropriate for the term of stock option awards.</w:t>
      </w:r>
    </w:p>
    <w:p>
      <w:pPr>
        <w:pStyle w:val="TextBody"/>
        <w:bidi w:val="0"/>
        <w:spacing w:lineRule="auto" w:line="288" w:before="0" w:after="200"/>
        <w:jc w:val="left"/>
        <w:rPr/>
      </w:pPr>
      <w:r>
        <w:rPr>
          <w:color w:val="000000"/>
        </w:rPr>
        <w:t>    </w:t>
      </w:r>
      <w:r>
        <w:rPr>
          <w:rFonts w:ascii="Times New Roman;sans-serif" w:hAnsi="Times New Roman;sans-serif"/>
          <w:b w:val="false"/>
          <w:i/>
          <w:color w:val="000000"/>
          <w:sz w:val="20"/>
        </w:rPr>
        <w:t>Expected Term.</w:t>
      </w:r>
      <w:r>
        <w:rPr>
          <w:color w:val="000000"/>
        </w:rPr>
        <w:t xml:space="preserve"> </w:t>
      </w:r>
      <w:r>
        <w:rPr>
          <w:rFonts w:ascii="Times New Roman;sans-serif" w:hAnsi="Times New Roman;sans-serif"/>
          <w:b w:val="false"/>
          <w:color w:val="000000"/>
          <w:sz w:val="20"/>
        </w:rPr>
        <w:t>For employee stock options the expected term is determined based on historical trends. The expected term of employee stock options that contain performance conditions represents the weighted-average period that the stock options are estimated to remain outstanding.</w:t>
      </w:r>
    </w:p>
    <w:p>
      <w:pPr>
        <w:pStyle w:val="TextBody"/>
        <w:bidi w:val="0"/>
        <w:spacing w:lineRule="auto" w:line="288" w:before="0" w:after="200"/>
        <w:jc w:val="left"/>
        <w:rPr/>
      </w:pPr>
      <w:r>
        <w:rPr>
          <w:color w:val="000000"/>
        </w:rPr>
        <w:t>    </w:t>
      </w:r>
      <w:r>
        <w:rPr>
          <w:rFonts w:ascii="Times New Roman;sans-serif" w:hAnsi="Times New Roman;sans-serif"/>
          <w:b w:val="false"/>
          <w:i/>
          <w:color w:val="000000"/>
          <w:sz w:val="20"/>
        </w:rPr>
        <w:t>Volatility.</w:t>
      </w:r>
      <w:r>
        <w:rPr>
          <w:color w:val="000000"/>
        </w:rPr>
        <w:t xml:space="preserve"> </w:t>
      </w:r>
      <w:r>
        <w:rPr>
          <w:rFonts w:ascii="Times New Roman;sans-serif" w:hAnsi="Times New Roman;sans-serif"/>
          <w:b w:val="false"/>
          <w:color w:val="000000"/>
          <w:sz w:val="20"/>
        </w:rPr>
        <w:t xml:space="preserve">The computation of the expected volatility assumption is based on the historical volatility of the Company’s common stock. </w:t>
      </w:r>
    </w:p>
    <w:p>
      <w:pPr>
        <w:pStyle w:val="TextBody"/>
        <w:bidi w:val="0"/>
        <w:spacing w:lineRule="auto" w:line="288" w:before="0" w:after="200"/>
        <w:jc w:val="left"/>
        <w:rPr/>
      </w:pPr>
      <w:r>
        <w:rPr>
          <w:color w:val="000000"/>
        </w:rPr>
        <w:t>    </w:t>
      </w:r>
      <w:r>
        <w:rPr>
          <w:rFonts w:ascii="Times New Roman;sans-serif" w:hAnsi="Times New Roman;sans-serif"/>
          <w:b w:val="false"/>
          <w:i/>
          <w:color w:val="000000"/>
          <w:sz w:val="20"/>
        </w:rPr>
        <w:t>Dividend Yield.</w:t>
      </w:r>
      <w:r>
        <w:rPr>
          <w:color w:val="000000"/>
        </w:rPr>
        <w:t xml:space="preserve"> </w:t>
      </w:r>
      <w:r>
        <w:rPr>
          <w:rFonts w:ascii="Times New Roman;sans-serif" w:hAnsi="Times New Roman;sans-serif"/>
          <w:b w:val="false"/>
          <w:color w:val="000000"/>
          <w:sz w:val="20"/>
        </w:rPr>
        <w:t>The dividend yield assumption is based on the Company’s history and current expectations of dividend payouts. The Company has never declared or paid any cash dividends on its common stock and does not anticipate paying any cash dividends in the foreseeable future, so the Company used an expected dividend yield of zero.</w:t>
      </w:r>
    </w:p>
    <w:p>
      <w:pPr>
        <w:pStyle w:val="TextBody"/>
        <w:bidi w:val="0"/>
        <w:spacing w:lineRule="auto" w:line="288" w:before="0" w:after="200"/>
        <w:jc w:val="left"/>
        <w:rPr>
          <w:color w:val="000000"/>
        </w:rPr>
      </w:pPr>
      <w:r>
        <w:rPr>
          <w:color w:val="000000"/>
        </w:rPr>
        <w:t>    </w:t>
      </w:r>
      <w:r>
        <w:rPr>
          <w:rFonts w:ascii="Times New Roman;sans-serif" w:hAnsi="Times New Roman;sans-serif"/>
          <w:b w:val="false"/>
          <w:color w:val="000000"/>
          <w:sz w:val="20"/>
        </w:rPr>
        <w:t xml:space="preserve">Determining the fair value of stock-based awards with performance and market conditions requires judgment. The Company's use of the Monte-Carlo simulation model requires the input of subjective assumptions, such as the expected term of the award, the expected volatility of the price of the Company’s common stock, risk-free interest rates, the expected dividend yield of the Company’s common stock, in addition for those awards containing market conditions, which also include expected volatilities of selected peer companies, and expected correlation coefficients of the Company and those of the selected peer companies. The assumptions used in the Company’s valuation model represent management’s best estimates. These estimates involve inherent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lineRule="auto" w:line="288" w:before="0" w:after="0"/>
        <w:jc w:val="left"/>
        <w:rPr/>
      </w:pPr>
      <w:hyperlink w:anchor="i8d6a21e15cb741baa6dee69bcf11e47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uncertainties and the application of management’s judgment. If factors change and different assumptions are used, the Company’s stock-based compensation expense could be materially different in the future.</w:t>
      </w:r>
    </w:p>
    <w:p>
      <w:pPr>
        <w:pStyle w:val="TextBody"/>
        <w:bidi w:val="0"/>
        <w:spacing w:lineRule="auto" w:line="288" w:before="0" w:after="200"/>
        <w:jc w:val="left"/>
        <w:rPr>
          <w:color w:val="000000"/>
        </w:rPr>
      </w:pPr>
      <w:r>
        <w:rPr>
          <w:color w:val="000000"/>
        </w:rPr>
        <w:t>    </w:t>
      </w:r>
      <w:r>
        <w:rPr>
          <w:rFonts w:ascii="Times New Roman;sans-serif" w:hAnsi="Times New Roman;sans-serif"/>
          <w:b/>
          <w:i/>
          <w:color w:val="000000"/>
          <w:sz w:val="20"/>
        </w:rPr>
        <w:t>Income Taxes</w:t>
      </w:r>
    </w:p>
    <w:p>
      <w:pPr>
        <w:pStyle w:val="TextBody"/>
        <w:bidi w:val="0"/>
        <w:spacing w:lineRule="auto" w:line="288" w:before="0" w:after="200"/>
        <w:jc w:val="left"/>
        <w:rPr>
          <w:color w:val="000000"/>
        </w:rPr>
      </w:pPr>
      <w:r>
        <w:rPr>
          <w:color w:val="000000"/>
        </w:rPr>
        <w:t>    </w:t>
      </w:r>
      <w:r>
        <w:rPr>
          <w:rFonts w:ascii="Times New Roman;sans-serif" w:hAnsi="Times New Roman;sans-serif"/>
          <w:b w:val="false"/>
          <w:color w:val="000000"/>
          <w:sz w:val="20"/>
        </w:rPr>
        <w:t>Deferred income tax assets and liabilities are determined based upon the net tax effects of the differences between the Company’s consolidated financial statement carrying amounts and the tax basis of assets and liabilities and are measured using the enacted tax rate expected to apply to taxable income in the years in which the differences are expected to be reversed.</w:t>
      </w:r>
    </w:p>
    <w:p>
      <w:pPr>
        <w:pStyle w:val="TextBody"/>
        <w:bidi w:val="0"/>
        <w:spacing w:lineRule="auto" w:line="288" w:before="0" w:after="200"/>
        <w:jc w:val="left"/>
        <w:rPr>
          <w:color w:val="000000"/>
        </w:rPr>
      </w:pPr>
      <w:r>
        <w:rPr>
          <w:color w:val="000000"/>
        </w:rPr>
        <w:t>    </w:t>
      </w:r>
      <w:r>
        <w:rPr>
          <w:rFonts w:ascii="Times New Roman;sans-serif" w:hAnsi="Times New Roman;sans-serif"/>
          <w:b w:val="false"/>
          <w:color w:val="000000"/>
          <w:sz w:val="20"/>
        </w:rPr>
        <w:t>A valuation allowance is used to reduce some or all of the deferred tax assets if, based upon the weight of available evidence, it is more likely than not that those deferred tax assets will not be realized. The Company maintains a partial valuation allowance to offset its domestic net deferred tax assets due to the uncertainty of realizing future income tax benefits from the net operating loss carryforwards and other deferred tax assets.</w:t>
      </w:r>
    </w:p>
    <w:p>
      <w:pPr>
        <w:pStyle w:val="TextBody"/>
        <w:bidi w:val="0"/>
        <w:spacing w:lineRule="auto" w:line="288" w:before="0" w:after="200"/>
        <w:jc w:val="left"/>
        <w:rPr>
          <w:color w:val="000000"/>
        </w:rPr>
      </w:pPr>
      <w:r>
        <w:rPr>
          <w:color w:val="000000"/>
        </w:rPr>
        <w:t>    </w:t>
      </w:r>
      <w:r>
        <w:rPr>
          <w:rFonts w:ascii="Times New Roman;sans-serif" w:hAnsi="Times New Roman;sans-serif"/>
          <w:b w:val="false"/>
          <w:color w:val="000000"/>
          <w:sz w:val="20"/>
        </w:rPr>
        <w:t>The Company recognizes the income tax benefit from an uncertain tax position only if it is more likely than not that the tax position will be sustained on examination by the taxing authorities, based on the technical merits of the position. The income tax benefits recognized in the consolidated financial statements from such positions are then measured based on the largest benefit that has a greater than 50% likelihood of being realized. The Company recognizes interest and penalties accrued related to its uncertain tax positions in its income tax provision (benefit) in the consolidated statements of operations.</w:t>
      </w:r>
    </w:p>
    <w:p>
      <w:pPr>
        <w:pStyle w:val="TextBody"/>
        <w:bidi w:val="0"/>
        <w:spacing w:lineRule="auto" w:line="288" w:before="0" w:after="200"/>
        <w:jc w:val="left"/>
        <w:rPr>
          <w:color w:val="000000"/>
        </w:rPr>
      </w:pPr>
      <w:r>
        <w:rPr>
          <w:color w:val="000000"/>
        </w:rPr>
        <w:t>    </w:t>
      </w:r>
      <w:r>
        <w:rPr>
          <w:rFonts w:ascii="Times New Roman;sans-serif" w:hAnsi="Times New Roman;sans-serif"/>
          <w:b/>
          <w:i/>
          <w:color w:val="000000"/>
          <w:sz w:val="20"/>
        </w:rPr>
        <w:t>Capital Stock    </w:t>
      </w:r>
    </w:p>
    <w:p>
      <w:pPr>
        <w:pStyle w:val="TextBody"/>
        <w:bidi w:val="0"/>
        <w:spacing w:lineRule="auto" w:line="288" w:before="0" w:after="200"/>
        <w:jc w:val="left"/>
        <w:rPr>
          <w:color w:val="000000"/>
        </w:rPr>
      </w:pPr>
      <w:r>
        <w:rPr>
          <w:color w:val="000000"/>
        </w:rPr>
        <w:t>    </w:t>
      </w:r>
      <w:r>
        <w:rPr>
          <w:rFonts w:ascii="Times New Roman;sans-serif" w:hAnsi="Times New Roman;sans-serif"/>
          <w:b w:val="false"/>
          <w:color w:val="000000"/>
          <w:sz w:val="20"/>
        </w:rPr>
        <w:t>The Company has authorized capital stock of 500,000,000 shares of common stock and 10,000,000 shares of preferred stock. The Company has issued common stock, which is included in outstanding common stock on the Company's consolidated balance sheets. During 2021 and 2022, the Company repurchased shares of common stock, which was recorded as treasury stock on the Company's consolidated balance sheets. In 2022, all repurchased shares, including any outstanding treasury stock from 2021, were subsequently retired. The Company has not issued any shares of its preferred stock subsequent to the Company's initial public offering ("IPO") and does not have any preferred stock outstanding.</w:t>
      </w:r>
    </w:p>
    <w:p>
      <w:pPr>
        <w:pStyle w:val="TextBody"/>
        <w:bidi w:val="0"/>
        <w:spacing w:lineRule="auto" w:line="288" w:before="0" w:after="200"/>
        <w:jc w:val="left"/>
        <w:rPr>
          <w:color w:val="000000"/>
        </w:rPr>
      </w:pPr>
      <w:r>
        <w:rPr>
          <w:color w:val="000000"/>
        </w:rPr>
        <w:t>    </w:t>
      </w:r>
      <w:r>
        <w:rPr>
          <w:rFonts w:ascii="Times New Roman;sans-serif" w:hAnsi="Times New Roman;sans-serif"/>
          <w:b w:val="false"/>
          <w:color w:val="000000"/>
          <w:sz w:val="20"/>
        </w:rPr>
        <w:t>The Company is required to reserve and keep available out of its authorized but unissued shares of common stock such number of shares sufficient to affect the conversion of all shares granted and available for grant under the Company’s stock award plans. The number of shares of the Company's stock reserved for these purposes at December 31, 2023 was 44,592,265.</w:t>
      </w:r>
    </w:p>
    <w:p>
      <w:pPr>
        <w:pStyle w:val="TextBody"/>
        <w:bidi w:val="0"/>
        <w:spacing w:lineRule="auto" w:line="288" w:before="0" w:after="200"/>
        <w:jc w:val="left"/>
        <w:rPr>
          <w:color w:val="000000"/>
        </w:rPr>
      </w:pPr>
      <w:r>
        <w:rPr>
          <w:color w:val="000000"/>
        </w:rPr>
        <w:t>    </w:t>
      </w:r>
      <w:r>
        <w:rPr>
          <w:rFonts w:ascii="Times New Roman;sans-serif" w:hAnsi="Times New Roman;sans-serif"/>
          <w:b w:val="false"/>
          <w:color w:val="000000"/>
          <w:sz w:val="20"/>
        </w:rPr>
        <w:t>The board of directors is authorized to establish, from time to time, the number of shares to be included in each series of preferred stock, and to fix the designation, powers, privileges, preferences, and relative participating, optional or other rights, if any, of the shares of each series of preferred stock, and any of its qualifications, limitations or restrictions.</w:t>
      </w:r>
    </w:p>
    <w:p>
      <w:pPr>
        <w:pStyle w:val="TextBody"/>
        <w:bidi w:val="0"/>
        <w:spacing w:lineRule="auto" w:line="288" w:before="0" w:after="200"/>
        <w:jc w:val="left"/>
        <w:rPr>
          <w:color w:val="000000"/>
        </w:rPr>
      </w:pPr>
      <w:r>
        <w:rPr>
          <w:color w:val="000000"/>
        </w:rPr>
        <w:t>    </w:t>
      </w:r>
      <w:r>
        <w:rPr>
          <w:rFonts w:ascii="Times New Roman;sans-serif" w:hAnsi="Times New Roman;sans-serif"/>
          <w:b/>
          <w:i/>
          <w:color w:val="000000"/>
          <w:sz w:val="20"/>
        </w:rPr>
        <w:t>Net Income (Loss) Per Share Attributable to Common Stockholders</w:t>
      </w:r>
    </w:p>
    <w:p>
      <w:pPr>
        <w:pStyle w:val="TextBody"/>
        <w:bidi w:val="0"/>
        <w:spacing w:lineRule="auto" w:line="288" w:before="0" w:after="200"/>
        <w:jc w:val="left"/>
        <w:rPr>
          <w:color w:val="000000"/>
        </w:rPr>
      </w:pPr>
      <w:r>
        <w:rPr>
          <w:color w:val="000000"/>
        </w:rPr>
        <w:t>    </w:t>
      </w:r>
      <w:r>
        <w:rPr>
          <w:rFonts w:ascii="Times New Roman;sans-serif" w:hAnsi="Times New Roman;sans-serif"/>
          <w:b w:val="false"/>
          <w:color w:val="000000"/>
          <w:sz w:val="20"/>
        </w:rPr>
        <w:t>Basic net income (loss) per share of common stock is calculated by dividing the net income (loss) by the weighted-average number of shares of common stock outstanding. Diluted income per share considers adjustments to net income and the weighted-average number of shares of common stock outstanding for the effect of potentially dilutive securities during the period. Potentially dilutive securities consist of stock options, restricted stock units, performance stock units, potential shares issuable under the Company's Employee Stock Purchase Plan ("ESPP"), and potential shares issuable as part of the Convertible Senior Notes. Diluted income per share is computed utilizing the treasury method for options, restricted stock units, performance stock units, and potential ESPP shares. Diluted income per share for the Convertible Senior Notes is calculated under the if-converted method. Potential common share equivalents are excluded where their inclusion would be anti-dilutive. For periods in which the Company reports net loss, diluted net loss per share is the same as basic net loss per share because the effects of potentially dilutive securities would be anti-dilutive.</w:t>
      </w:r>
    </w:p>
    <w:p>
      <w:pPr>
        <w:pStyle w:val="TextBody"/>
        <w:bidi w:val="0"/>
        <w:spacing w:lineRule="auto" w:line="288" w:before="0" w:after="200"/>
        <w:jc w:val="left"/>
        <w:rPr/>
      </w:pPr>
      <w:r>
        <w:rPr>
          <w:color w:val="006EBF"/>
        </w:rPr>
        <w:t>    </w:t>
      </w:r>
      <w:r>
        <w:rPr>
          <w:rFonts w:ascii="Times New Roman;sans-serif" w:hAnsi="Times New Roman;sans-serif"/>
          <w:b/>
          <w:i/>
          <w:color w:val="000000"/>
          <w:sz w:val="20"/>
        </w:rPr>
        <w:t>Comprehensive Income (Loss)</w:t>
      </w:r>
    </w:p>
    <w:p>
      <w:pPr>
        <w:pStyle w:val="TextBody"/>
        <w:bidi w:val="0"/>
        <w:spacing w:lineRule="auto" w:line="288" w:before="0" w:after="200"/>
        <w:jc w:val="left"/>
        <w:rPr>
          <w:color w:val="000000"/>
        </w:rPr>
      </w:pPr>
      <w:r>
        <w:rPr>
          <w:color w:val="000000"/>
        </w:rPr>
        <w:t>    </w:t>
      </w:r>
      <w:r>
        <w:rPr>
          <w:rFonts w:ascii="Times New Roman;sans-serif" w:hAnsi="Times New Roman;sans-serif"/>
          <w:b w:val="false"/>
          <w:color w:val="000000"/>
          <w:sz w:val="20"/>
        </w:rPr>
        <w:t>Comprehensive income (loss) encompasses all changes in equity other than those arising from transactions with stockholders, and consists of net income (loss), unrealized gains (losses) on investments and foreign currency translation adjustments.</w:t>
      </w:r>
    </w:p>
    <w:p>
      <w:pPr>
        <w:pStyle w:val="TextBody"/>
        <w:bidi w:val="0"/>
        <w:spacing w:lineRule="auto" w:line="288" w:before="0" w:after="200"/>
        <w:jc w:val="left"/>
        <w:rPr>
          <w:color w:val="000000"/>
        </w:rPr>
      </w:pPr>
      <w:r>
        <w:rPr>
          <w:color w:val="000000"/>
        </w:rPr>
        <w:t>    </w:t>
      </w:r>
      <w:r>
        <w:rPr>
          <w:rFonts w:ascii="Times New Roman;sans-serif" w:hAnsi="Times New Roman;sans-serif"/>
          <w:b/>
          <w:i/>
          <w:color w:val="000000"/>
          <w:sz w:val="20"/>
        </w:rPr>
        <w:t>Cash and Cash Equivalents</w:t>
      </w:r>
    </w:p>
    <w:p>
      <w:pPr>
        <w:pStyle w:val="TextBody"/>
        <w:bidi w:val="0"/>
        <w:spacing w:lineRule="auto" w:line="288" w:before="0" w:after="200"/>
        <w:jc w:val="left"/>
        <w:rPr>
          <w:color w:val="000000"/>
        </w:rPr>
      </w:pPr>
      <w:r>
        <w:rPr>
          <w:color w:val="000000"/>
        </w:rPr>
        <w:t>    </w:t>
      </w:r>
      <w:r>
        <w:rPr>
          <w:rFonts w:ascii="Times New Roman;sans-serif" w:hAnsi="Times New Roman;sans-serif"/>
          <w:b w:val="false"/>
          <w:color w:val="000000"/>
          <w:sz w:val="20"/>
        </w:rPr>
        <w:t xml:space="preserve">The Company invests excess cash primarily in money market funds, corporate debt securities, and highly liquid debt instruments of the U.S. government and its agencies. The Company classifies investments held in money market funds as cash equivalents because the money market funds have weighted-average maturities at the date of purchase of less than 90 days,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lineRule="auto" w:line="288" w:before="0" w:after="0"/>
        <w:jc w:val="left"/>
        <w:rPr/>
      </w:pPr>
      <w:hyperlink w:anchor="i8d6a21e15cb741baa6dee69bcf11e47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freely redeemable into cash and have a constant net asset value. Investments held in U.S. government and agency bonds and corporate debt securities with stated maturities of less than one year are classified as short-term investments.</w:t>
      </w:r>
    </w:p>
    <w:p>
      <w:pPr>
        <w:pStyle w:val="TextBody"/>
        <w:bidi w:val="0"/>
        <w:spacing w:lineRule="auto" w:line="288" w:before="0" w:after="200"/>
        <w:jc w:val="left"/>
        <w:rPr/>
      </w:pPr>
      <w:r>
        <w:rPr>
          <w:color w:val="006EBF"/>
        </w:rPr>
        <w:t>    </w:t>
      </w:r>
      <w:r>
        <w:rPr>
          <w:rFonts w:ascii="Times New Roman;sans-serif" w:hAnsi="Times New Roman;sans-serif"/>
          <w:b/>
          <w:i/>
          <w:color w:val="000000"/>
          <w:sz w:val="20"/>
        </w:rPr>
        <w:t>Restricted Cash</w:t>
      </w:r>
    </w:p>
    <w:p>
      <w:pPr>
        <w:pStyle w:val="TextBody"/>
        <w:bidi w:val="0"/>
        <w:spacing w:lineRule="auto" w:line="288" w:before="0" w:after="200"/>
        <w:jc w:val="left"/>
        <w:rPr>
          <w:color w:val="000000"/>
        </w:rPr>
      </w:pPr>
      <w:r>
        <w:rPr>
          <w:color w:val="000000"/>
        </w:rPr>
        <w:t>    </w:t>
      </w:r>
      <w:r>
        <w:rPr>
          <w:rFonts w:ascii="Times New Roman;sans-serif" w:hAnsi="Times New Roman;sans-serif"/>
          <w:b w:val="false"/>
          <w:color w:val="000000"/>
          <w:sz w:val="20"/>
        </w:rPr>
        <w:t>The Company classifies certain restricted cash balances within prepaid expenses and other current assets and other assets, non-current on the consolidated balance sheets based upon the term of the remaining restrictions.</w:t>
      </w:r>
    </w:p>
    <w:p>
      <w:pPr>
        <w:pStyle w:val="TextBody"/>
        <w:bidi w:val="0"/>
        <w:spacing w:lineRule="auto" w:line="288" w:before="0" w:after="200"/>
        <w:jc w:val="left"/>
        <w:rPr>
          <w:color w:val="000000"/>
        </w:rPr>
      </w:pPr>
      <w:r>
        <w:rPr>
          <w:color w:val="000000"/>
        </w:rPr>
        <w:t>    </w:t>
      </w:r>
      <w:r>
        <w:rPr>
          <w:rFonts w:ascii="Times New Roman;sans-serif" w:hAnsi="Times New Roman;sans-serif"/>
          <w:b/>
          <w:i/>
          <w:color w:val="000000"/>
          <w:sz w:val="20"/>
        </w:rPr>
        <w:t>Accounts Receivable Allowance for Doubtful Accounts</w:t>
      </w:r>
    </w:p>
    <w:p>
      <w:pPr>
        <w:pStyle w:val="TextBody"/>
        <w:bidi w:val="0"/>
        <w:spacing w:lineRule="auto" w:line="288" w:before="0" w:after="200"/>
        <w:jc w:val="left"/>
        <w:rPr>
          <w:color w:val="000000"/>
        </w:rPr>
      </w:pPr>
      <w:r>
        <w:rPr>
          <w:color w:val="000000"/>
        </w:rPr>
        <w:t>    </w:t>
      </w:r>
      <w:r>
        <w:rPr>
          <w:rFonts w:ascii="Times New Roman;sans-serif" w:hAnsi="Times New Roman;sans-serif"/>
          <w:b w:val="false"/>
          <w:color w:val="000000"/>
          <w:sz w:val="20"/>
        </w:rPr>
        <w:t xml:space="preserve">Accounts receivable are recorded at the invoiced amount, are unsecured, and do not bear interest. The allowance for doubtful accounts is based on the best estimate of the amount of probable credit losses in existing accounts receivable. The allowance for doubtful accounts is determined based on historical collection experience and the review in each period of the status of the then-outstanding accounts receivable, while taking into consideration current client information, subsequent collection history and other relevant data. The Company reviews the allowance for doubtful accounts on a quarterly basis. Account balances are charged off against the allowance when the Company believes it is probable the receivable will not be recovered. </w:t>
      </w:r>
    </w:p>
    <w:p>
      <w:pPr>
        <w:pStyle w:val="TextBody"/>
        <w:bidi w:val="0"/>
        <w:spacing w:lineRule="auto" w:line="288" w:before="0" w:after="200"/>
        <w:jc w:val="left"/>
        <w:rPr/>
      </w:pPr>
      <w:r>
        <w:rPr>
          <w:color w:val="006EBF"/>
        </w:rPr>
        <w:t>    </w:t>
      </w:r>
      <w:r>
        <w:rPr>
          <w:rFonts w:ascii="Times New Roman;sans-serif" w:hAnsi="Times New Roman;sans-serif"/>
          <w:b/>
          <w:i/>
          <w:color w:val="000000"/>
          <w:sz w:val="20"/>
        </w:rPr>
        <w:t>Property and Equipment, Net</w:t>
      </w:r>
    </w:p>
    <w:p>
      <w:pPr>
        <w:pStyle w:val="TextBody"/>
        <w:bidi w:val="0"/>
        <w:spacing w:lineRule="auto" w:line="288" w:before="0" w:after="200"/>
        <w:jc w:val="left"/>
        <w:rPr>
          <w:color w:val="000000"/>
        </w:rPr>
      </w:pPr>
      <w:r>
        <w:rPr>
          <w:color w:val="000000"/>
        </w:rPr>
        <w:t>    </w:t>
      </w:r>
      <w:r>
        <w:rPr>
          <w:rFonts w:ascii="Times New Roman;sans-serif" w:hAnsi="Times New Roman;sans-serif"/>
          <w:b w:val="false"/>
          <w:color w:val="000000"/>
          <w:sz w:val="20"/>
        </w:rPr>
        <w:t>Property and equipment are recorded at historical cost, less accumulated depreciation and amortization. Depreciation is computed using the straight-line method based upon the estimated useful lives of the assets. The estimated useful lives of the Company’s property and equipment are as follows:</w:t>
      </w:r>
    </w:p>
    <w:tbl>
      <w:tblPr>
        <w:tblW w:w="6658" w:type="dxa"/>
        <w:jc w:val="left"/>
        <w:tblInd w:w="0" w:type="dxa"/>
        <w:tblLayout w:type="fixed"/>
        <w:tblCellMar>
          <w:top w:w="28" w:type="dxa"/>
          <w:left w:w="28" w:type="dxa"/>
          <w:bottom w:w="28" w:type="dxa"/>
          <w:right w:w="28" w:type="dxa"/>
        </w:tblCellMar>
      </w:tblPr>
      <w:tblGrid>
        <w:gridCol w:w="1331"/>
        <w:gridCol w:w="1168"/>
        <w:gridCol w:w="1175"/>
        <w:gridCol w:w="873"/>
        <w:gridCol w:w="873"/>
        <w:gridCol w:w="1238"/>
      </w:tblGrid>
      <w:tr>
        <w:trPr/>
        <w:tc>
          <w:tcPr>
            <w:tcW w:w="1331"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Years</w:t>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equipment and network hardware</w:t>
            </w:r>
          </w:p>
        </w:tc>
        <w:tc>
          <w:tcPr>
            <w:tcW w:w="29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fixtures and office equipment</w:t>
            </w:r>
          </w:p>
        </w:tc>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 to 7</w:t>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Shorter of useful life or life of lease</w:t>
            </w:r>
          </w:p>
        </w:tc>
      </w:tr>
      <w:tr>
        <w:trPr/>
        <w:tc>
          <w:tcPr>
            <w:tcW w:w="3674" w:type="dxa"/>
            <w:gridSpan w:val="3"/>
            <w:tcBorders/>
            <w:vAlign w:val="center"/>
          </w:tcPr>
          <w:p>
            <w:pPr>
              <w:pStyle w:val="TableContents"/>
              <w:bidi w:val="0"/>
              <w:spacing w:before="0" w:after="283"/>
              <w:jc w:val="left"/>
              <w:rPr>
                <w:sz w:val="4"/>
                <w:szCs w:val="4"/>
              </w:rPr>
            </w:pPr>
            <w:r>
              <w:rPr>
                <w:sz w:val="4"/>
                <w:szCs w:val="4"/>
              </w:rPr>
            </w:r>
          </w:p>
        </w:tc>
        <w:tc>
          <w:tcPr>
            <w:tcW w:w="298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00"/>
        <w:jc w:val="left"/>
        <w:rPr>
          <w:color w:val="000000"/>
        </w:rPr>
      </w:pPr>
      <w:r>
        <w:rPr>
          <w:color w:val="000000"/>
        </w:rPr>
        <w:t>    </w:t>
      </w:r>
      <w:r>
        <w:rPr>
          <w:rFonts w:ascii="Times New Roman;sans-serif" w:hAnsi="Times New Roman;sans-serif"/>
          <w:b w:val="false"/>
          <w:color w:val="000000"/>
          <w:sz w:val="20"/>
        </w:rPr>
        <w:t>Repair and maintenance costs are charged to expense as incurred, while renewals and improvements are capitalized. When assets are retired or otherwise disposed of, the cost and related accumulated depreciation are removed from the accounts and any resulting gain or loss is reflected in the Company’s results of operations.</w:t>
      </w:r>
    </w:p>
    <w:p>
      <w:pPr>
        <w:pStyle w:val="TextBody"/>
        <w:bidi w:val="0"/>
        <w:spacing w:lineRule="auto" w:line="288" w:before="0" w:after="200"/>
        <w:jc w:val="left"/>
        <w:rPr>
          <w:color w:val="000000"/>
        </w:rPr>
      </w:pPr>
      <w:r>
        <w:rPr>
          <w:color w:val="000000"/>
        </w:rPr>
        <w:t>    </w:t>
      </w:r>
      <w:r>
        <w:rPr>
          <w:rFonts w:ascii="Times New Roman;sans-serif" w:hAnsi="Times New Roman;sans-serif"/>
          <w:b/>
          <w:i/>
          <w:color w:val="000000"/>
          <w:sz w:val="20"/>
        </w:rPr>
        <w:t>Internal Use Software Development Costs</w:t>
      </w:r>
    </w:p>
    <w:p>
      <w:pPr>
        <w:pStyle w:val="TextBody"/>
        <w:bidi w:val="0"/>
        <w:spacing w:lineRule="auto" w:line="288" w:before="0" w:after="200"/>
        <w:jc w:val="left"/>
        <w:rPr/>
      </w:pPr>
      <w:r>
        <w:rPr>
          <w:color w:val="006EBF"/>
        </w:rPr>
        <w:t>    </w:t>
      </w:r>
      <w:r>
        <w:rPr>
          <w:rFonts w:ascii="Times New Roman;sans-serif" w:hAnsi="Times New Roman;sans-serif"/>
          <w:b w:val="false"/>
          <w:color w:val="000000"/>
          <w:sz w:val="20"/>
        </w:rPr>
        <w:t>The Company capitalizes certain internal use software development costs associated with creating and enhancing internally developed software related to the Company’s technology infrastructure. These costs include personnel and related employee benefits expenses for employees who are directly associated with and who devote time to software projects, and external direct costs of materials and services consumed in developing or obtaining the software. Software development costs that do not meet the qualification for capitalization, as further discussed below, are expensed as incurred and recorded in technology and development expenses in the results of operations.</w:t>
      </w:r>
    </w:p>
    <w:p>
      <w:pPr>
        <w:pStyle w:val="TextBody"/>
        <w:bidi w:val="0"/>
        <w:spacing w:lineRule="auto" w:line="288" w:before="0" w:after="200"/>
        <w:jc w:val="left"/>
        <w:rPr>
          <w:color w:val="000000"/>
        </w:rPr>
      </w:pPr>
      <w:r>
        <w:rPr>
          <w:color w:val="000000"/>
        </w:rPr>
        <w:t>    </w:t>
      </w:r>
      <w:r>
        <w:rPr>
          <w:rFonts w:ascii="Times New Roman;sans-serif" w:hAnsi="Times New Roman;sans-serif"/>
          <w:b w:val="false"/>
          <w:color w:val="000000"/>
          <w:sz w:val="20"/>
        </w:rPr>
        <w:t>Software development activities generally consist of three stages, (i) the planning stage, (ii) the application and infrastructure development stage, and (iii) the post implementation stage. Costs incurred in the planning and post implementation stages of software development, including costs associated with the post-configuration training and repairs and maintenance of the developed technologies, are expensed as incurred. The Company capitalizes costs associated with software developed for internal use when the planning stage is completed, management has authorized further funding for the completion of the project, and it is probable that the project will be completed and perform as intended. Costs incurred in the application and infrastructure development stages, including significant enhancements and upgrades, are capitalized. Capitalization ends once a project is substantially complete and the software and technologies are ready for their intended purpose. Internal use software development costs are amortized using a straight-line method over the estimated useful life, which is generally three years, commencing when the software is ready for its intended use. The straight-line recognition method approximates the manner in which the expected benefit will be derived. On an ongoing basis, the Company assesses the remaining estimated useful lives of internal use software projects. If remaining useful lives are revised, the change is accounted for as a change in estimate.</w:t>
      </w:r>
    </w:p>
    <w:p>
      <w:pPr>
        <w:pStyle w:val="TextBody"/>
        <w:bidi w:val="0"/>
        <w:spacing w:lineRule="auto" w:line="288" w:before="0" w:after="200"/>
        <w:jc w:val="left"/>
        <w:rPr/>
      </w:pPr>
      <w:r>
        <w:rPr>
          <w:color w:val="006EBF"/>
        </w:rPr>
        <w:t>    </w:t>
      </w:r>
      <w:r>
        <w:rPr>
          <w:rFonts w:ascii="Times New Roman;sans-serif" w:hAnsi="Times New Roman;sans-serif"/>
          <w:b w:val="false"/>
          <w:color w:val="000000"/>
          <w:sz w:val="20"/>
        </w:rPr>
        <w:t>The Company does not transfer ownership of its software, or lease its software, to third parties.</w:t>
      </w:r>
    </w:p>
    <w:p>
      <w:pPr>
        <w:pStyle w:val="TextBody"/>
        <w:bidi w:val="0"/>
        <w:spacing w:lineRule="auto" w:line="288" w:before="0" w:after="20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Intangible Assets</w:t>
      </w:r>
    </w:p>
    <w:p>
      <w:pPr>
        <w:pStyle w:val="TextBody"/>
        <w:bidi w:val="0"/>
        <w:spacing w:lineRule="auto" w:line="288" w:before="0" w:after="200"/>
        <w:jc w:val="left"/>
        <w:rPr>
          <w:color w:val="000000"/>
        </w:rPr>
      </w:pPr>
      <w:r>
        <w:rPr>
          <w:color w:val="000000"/>
        </w:rPr>
        <w:t>    </w:t>
      </w:r>
      <w:r>
        <w:rPr>
          <w:rFonts w:ascii="Times New Roman;sans-serif" w:hAnsi="Times New Roman;sans-serif"/>
          <w:b w:val="false"/>
          <w:color w:val="000000"/>
          <w:sz w:val="20"/>
        </w:rPr>
        <w:t xml:space="preserve">Intangible assets primarily consist of acquired developed technology, client relationships, and in-process research and development projects resulting from business combinations, which are recorded at acquisition-date fair value, less accumulated amortization. The Company determines the appropriate useful life of its intangible assets by performing an analysis of expected cash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lineRule="auto" w:line="288" w:before="0" w:after="0"/>
        <w:jc w:val="left"/>
        <w:rPr/>
      </w:pPr>
      <w:hyperlink w:anchor="i8d6a21e15cb741baa6dee69bcf11e47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flows of the acquired assets. Intangible assets are amortized over their estimated useful lives using a straight-line method, which approximates the pattern in which the economic benefits are consumed.</w:t>
      </w:r>
    </w:p>
    <w:p>
      <w:pPr>
        <w:pStyle w:val="TextBody"/>
        <w:bidi w:val="0"/>
        <w:spacing w:lineRule="auto" w:line="288" w:before="0" w:after="200"/>
        <w:jc w:val="left"/>
        <w:rPr>
          <w:color w:val="000000"/>
        </w:rPr>
      </w:pPr>
      <w:r>
        <w:rPr>
          <w:color w:val="000000"/>
        </w:rPr>
        <w:t>    </w:t>
      </w:r>
      <w:r>
        <w:rPr>
          <w:rFonts w:ascii="Times New Roman;sans-serif" w:hAnsi="Times New Roman;sans-serif"/>
          <w:b w:val="false"/>
          <w:color w:val="000000"/>
          <w:sz w:val="20"/>
        </w:rPr>
        <w:t>The Company’s intangible assets are being amortized over their estimated useful lives as follows:</w:t>
      </w:r>
    </w:p>
    <w:tbl>
      <w:tblPr>
        <w:tblW w:w="4125" w:type="dxa"/>
        <w:jc w:val="left"/>
        <w:tblInd w:w="0" w:type="dxa"/>
        <w:tblLayout w:type="fixed"/>
        <w:tblCellMar>
          <w:top w:w="28" w:type="dxa"/>
          <w:left w:w="28" w:type="dxa"/>
          <w:bottom w:w="28" w:type="dxa"/>
          <w:right w:w="28" w:type="dxa"/>
        </w:tblCellMar>
      </w:tblPr>
      <w:tblGrid>
        <w:gridCol w:w="1126"/>
        <w:gridCol w:w="986"/>
        <w:gridCol w:w="992"/>
        <w:gridCol w:w="298"/>
        <w:gridCol w:w="298"/>
        <w:gridCol w:w="425"/>
      </w:tblGrid>
      <w:tr>
        <w:trPr/>
        <w:tc>
          <w:tcPr>
            <w:tcW w:w="1126"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Years</w:t>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Developed technology</w:t>
            </w:r>
          </w:p>
        </w:tc>
        <w:tc>
          <w:tcPr>
            <w:tcW w:w="10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In-process research and development</w:t>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 to 5</w:t>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0.5 to 4</w:t>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Backlog</w:t>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0.75</w:t>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Non-compete agreements</w:t>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 to 2</w:t>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intangible assets</w:t>
            </w:r>
          </w:p>
        </w:tc>
        <w:tc>
          <w:tcPr>
            <w:tcW w:w="102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0.25 to 1.5</w:t>
            </w:r>
          </w:p>
        </w:tc>
      </w:tr>
    </w:tbl>
    <w:p>
      <w:pPr>
        <w:pStyle w:val="TextBody"/>
        <w:bidi w:val="0"/>
        <w:spacing w:lineRule="auto" w:line="288" w:before="0" w:after="200"/>
        <w:jc w:val="left"/>
        <w:rPr/>
      </w:pPr>
      <w:r>
        <w:rPr>
          <w:color w:val="000000"/>
        </w:rPr>
        <w:t>    </w:t>
      </w:r>
      <w:r>
        <w:rPr>
          <w:rFonts w:ascii="Times New Roman;sans-serif" w:hAnsi="Times New Roman;sans-serif"/>
          <w:b w:val="false"/>
          <w:color w:val="000000"/>
          <w:sz w:val="20"/>
        </w:rPr>
        <w:t>On an ongoing basis, the Company assesses the remaining estimated useful lives of intangible assets. If remaining useful lives are revised, the change is accounted for as a change in estimate.</w:t>
      </w:r>
    </w:p>
    <w:p>
      <w:pPr>
        <w:pStyle w:val="TextBody"/>
        <w:bidi w:val="0"/>
        <w:spacing w:lineRule="auto" w:line="288" w:before="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Intangible assets are reviewed for impairment indicators at least annually and whenever events or changes in circumstances indicate that the carrying amount of the assets might not be recoverable. Conditions that would necessitate an impairment assessment include a significant decline in the observable market value of an asset, a significant change in the extent or manner in which an asset is used, or any other significant adverse change that would indicate that the carrying amount of an asset or group of assets may not be recoverable. For intangible assets used in operations, impairment losses are only recorded if the asset’s carrying amount is not recoverable through its undiscounted, probability-weighted future cash flows at the asset group level that represents the lowest level of independent cash flows. The Company measures the impairment loss based on the difference between the carrying amount and estimated fair value. </w:t>
      </w:r>
    </w:p>
    <w:p>
      <w:pPr>
        <w:pStyle w:val="TextBody"/>
        <w:bidi w:val="0"/>
        <w:spacing w:lineRule="auto" w:line="288" w:before="0" w:after="200"/>
        <w:jc w:val="left"/>
        <w:rPr>
          <w:color w:val="000000"/>
        </w:rPr>
      </w:pPr>
      <w:r>
        <w:rPr>
          <w:color w:val="000000"/>
        </w:rPr>
        <w:t>    </w:t>
      </w:r>
      <w:r>
        <w:rPr>
          <w:rFonts w:ascii="Times New Roman;sans-serif" w:hAnsi="Times New Roman;sans-serif"/>
          <w:b/>
          <w:i/>
          <w:color w:val="000000"/>
          <w:sz w:val="20"/>
        </w:rPr>
        <w:t>Impairment of Long-Lived Assets including Internal Use Capitalized Software Costs</w:t>
      </w:r>
    </w:p>
    <w:p>
      <w:pPr>
        <w:pStyle w:val="TextBody"/>
        <w:bidi w:val="0"/>
        <w:spacing w:lineRule="auto" w:line="288" w:before="0" w:after="200"/>
        <w:jc w:val="left"/>
        <w:rPr>
          <w:color w:val="000000"/>
        </w:rPr>
      </w:pPr>
      <w:r>
        <w:rPr>
          <w:color w:val="000000"/>
        </w:rPr>
        <w:t>    </w:t>
      </w:r>
      <w:r>
        <w:rPr>
          <w:rFonts w:ascii="Times New Roman;sans-serif" w:hAnsi="Times New Roman;sans-serif"/>
          <w:b w:val="false"/>
          <w:color w:val="000000"/>
          <w:sz w:val="20"/>
        </w:rPr>
        <w:t>The Company assesses the recoverability of its long-lived assets when events or changes in circumstances indicate their carrying value may not be recoverable. Such events or changes in circumstances may include: a significant adverse change in the extent or manner in which a long-lived asset is being used, significant adverse change in legal factors or in the business climate that could affect the value of a long-lived asset, an accumulation of costs significantly in excess of the amount originally expected for the acquisition or development of a long-lived asset, current or future operating or cash flow losses that demonstrate continuing losses associated with the use of a long-lived asset, or a current expectation that, more likely than not, a long-lived asset will be sold or otherwise disposed of significantly before the end of its previously estimated useful life. The Company performs impairment testing at the asset group level that represents the lowest level for which identifiable cash flows are largely independent of the cash flows of other assets and liabilities. The Company assesses recoverability of a long-lived asset by determining whether the carrying value of the asset group can be recovered through projected undiscounted cash flows over their remaining lives. If the carrying value of the asset group exceeds the forecasted undiscounted cash flows, an impairment loss is recognized, measured as the amount by which the carrying amount exceeds estimated fair value. An impairment loss is charged to operations in the period in which management determines such impairment.</w:t>
      </w:r>
    </w:p>
    <w:p>
      <w:pPr>
        <w:pStyle w:val="TextBody"/>
        <w:bidi w:val="0"/>
        <w:spacing w:lineRule="auto" w:line="288" w:before="0" w:after="200"/>
        <w:jc w:val="left"/>
        <w:rPr/>
      </w:pPr>
      <w:r>
        <w:rPr>
          <w:color w:val="006EBF"/>
        </w:rPr>
        <w:t>    </w:t>
      </w:r>
      <w:r>
        <w:rPr>
          <w:rFonts w:ascii="Times New Roman;sans-serif" w:hAnsi="Times New Roman;sans-serif"/>
          <w:b/>
          <w:i/>
          <w:color w:val="000000"/>
          <w:sz w:val="20"/>
        </w:rPr>
        <w:t>Business Combinations</w:t>
      </w:r>
    </w:p>
    <w:p>
      <w:pPr>
        <w:pStyle w:val="TextBody"/>
        <w:bidi w:val="0"/>
        <w:spacing w:lineRule="auto" w:line="288" w:before="0" w:after="200"/>
        <w:jc w:val="left"/>
        <w:rPr>
          <w:color w:val="000000"/>
        </w:rPr>
      </w:pPr>
      <w:r>
        <w:rPr>
          <w:color w:val="000000"/>
        </w:rPr>
        <w:t>    </w:t>
      </w:r>
      <w:r>
        <w:rPr>
          <w:rFonts w:ascii="Times New Roman;sans-serif" w:hAnsi="Times New Roman;sans-serif"/>
          <w:b w:val="false"/>
          <w:color w:val="000000"/>
          <w:sz w:val="20"/>
        </w:rPr>
        <w:t>The results of businesses acquired in a business combination are included in the Company’s consolidated financial statements from the date of acquisition. The Company allocates the purchase price of a business combination, which is the sum of the consideration provided, which may consist of cash, equity or a combination of the two, to the identifiable assets and liabilities of the acquired business at their acquisition date fair values. The excess of the purchase price over the amount allocated to the identifiable assets and liabilities, if any, is recorded as goodwill. Determining the fair value of assets acquired and liabilities assumed requires management to use significant judgment and estimates including the selection of valuation methodologies, estimates of future revenues and cash flows, discount rates and selection of comparable companies.</w:t>
      </w:r>
    </w:p>
    <w:p>
      <w:pPr>
        <w:pStyle w:val="TextBody"/>
        <w:bidi w:val="0"/>
        <w:spacing w:lineRule="auto" w:line="288" w:before="0" w:after="200"/>
        <w:jc w:val="left"/>
        <w:rPr>
          <w:color w:val="000000"/>
        </w:rPr>
      </w:pPr>
      <w:r>
        <w:rPr>
          <w:color w:val="000000"/>
        </w:rPr>
        <w:t>    </w:t>
      </w:r>
      <w:r>
        <w:rPr>
          <w:rFonts w:ascii="Times New Roman;sans-serif" w:hAnsi="Times New Roman;sans-serif"/>
          <w:b w:val="false"/>
          <w:color w:val="000000"/>
          <w:sz w:val="20"/>
        </w:rPr>
        <w:t>When the Company issues stock-based or cash awards to an acquired company’s stockholders, the Company evaluates whether the awards are contingent consideration or compensation for post-business combination services. The evaluation includes, among other things, whether the vesting of the awards is contingent on the continued employment of the selling stockholder beyond the acquisition date. If continued employment is required for vesting, the awards are treated as compensation for post-acquisition services and recognized as expense over the requisite service period.</w:t>
      </w:r>
    </w:p>
    <w:p>
      <w:pPr>
        <w:pStyle w:val="TextBody"/>
        <w:bidi w:val="0"/>
        <w:spacing w:lineRule="auto" w:line="288" w:before="0" w:after="200"/>
        <w:jc w:val="left"/>
        <w:rPr>
          <w:color w:val="000000"/>
        </w:rPr>
      </w:pPr>
      <w:r>
        <w:rPr>
          <w:color w:val="000000"/>
        </w:rPr>
        <w:t>    </w:t>
      </w:r>
      <w:r>
        <w:rPr>
          <w:rFonts w:ascii="Times New Roman;sans-serif" w:hAnsi="Times New Roman;sans-serif"/>
          <w:b w:val="false"/>
          <w:color w:val="000000"/>
          <w:sz w:val="20"/>
        </w:rPr>
        <w:t xml:space="preserve">The Company estimates the fair value of intangible assets acquired generally using a discounted cash flow approach, which includes an analysis of the future cash flows expected to be generated by the asset and the risk associated with achieving these cash flows. The key assumptions used in the discounted cash flow model include the discount rate that is applied to the forecasted future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lineRule="auto" w:line="288" w:before="0" w:after="0"/>
        <w:jc w:val="left"/>
        <w:rPr/>
      </w:pPr>
      <w:hyperlink w:anchor="i8d6a21e15cb741baa6dee69bcf11e47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cash flows to calculate the present value of those cash flows and the estimate of future cash flows attributable to the acquired intangible asset, which include revenue, expenses and taxes. The carrying value of acquired working capital assets and liabilities approximates its fair value, given the short-term nature of these assets and liabilities.</w:t>
      </w:r>
    </w:p>
    <w:p>
      <w:pPr>
        <w:pStyle w:val="TextBody"/>
        <w:bidi w:val="0"/>
        <w:spacing w:lineRule="auto" w:line="288" w:before="0" w:after="200"/>
        <w:jc w:val="left"/>
        <w:rPr>
          <w:color w:val="000000"/>
        </w:rPr>
      </w:pPr>
      <w:r>
        <w:rPr>
          <w:color w:val="000000"/>
        </w:rPr>
        <w:t>    </w:t>
      </w:r>
      <w:r>
        <w:rPr>
          <w:rFonts w:ascii="Times New Roman;sans-serif" w:hAnsi="Times New Roman;sans-serif"/>
          <w:b w:val="false"/>
          <w:color w:val="000000"/>
          <w:sz w:val="20"/>
        </w:rPr>
        <w:t>Acquisition-related transaction costs are not included as a component of consideration transferred, but are accounted for as an expense in the period in which the costs are incurred.</w:t>
      </w:r>
    </w:p>
    <w:p>
      <w:pPr>
        <w:pStyle w:val="TextBody"/>
        <w:bidi w:val="0"/>
        <w:spacing w:lineRule="auto" w:line="288" w:before="0" w:after="200"/>
        <w:jc w:val="left"/>
        <w:rPr>
          <w:color w:val="000000"/>
        </w:rPr>
      </w:pPr>
      <w:r>
        <w:rPr>
          <w:color w:val="000000"/>
        </w:rPr>
        <w:t>    </w:t>
      </w:r>
      <w:r>
        <w:rPr>
          <w:rFonts w:ascii="Times New Roman;sans-serif" w:hAnsi="Times New Roman;sans-serif"/>
          <w:b/>
          <w:i/>
          <w:color w:val="000000"/>
          <w:sz w:val="20"/>
        </w:rPr>
        <w:t>Goodwill</w:t>
      </w:r>
    </w:p>
    <w:p>
      <w:pPr>
        <w:pStyle w:val="TextBody"/>
        <w:bidi w:val="0"/>
        <w:spacing w:lineRule="auto" w:line="288" w:before="0" w:after="200"/>
        <w:jc w:val="left"/>
        <w:rPr>
          <w:color w:val="000000"/>
        </w:rPr>
      </w:pPr>
      <w:r>
        <w:rPr>
          <w:color w:val="000000"/>
        </w:rPr>
        <w:t>    </w:t>
      </w:r>
      <w:r>
        <w:rPr>
          <w:rFonts w:ascii="Times New Roman;sans-serif" w:hAnsi="Times New Roman;sans-serif"/>
          <w:b w:val="false"/>
          <w:color w:val="000000"/>
          <w:sz w:val="20"/>
        </w:rPr>
        <w:t xml:space="preserve">Goodwill represents the excess of the aggregate fair value of the consideration transferred in a business combination over the fair value of the assets acquired, net of liabilities assumed. Goodwill is not amortized, but is subject to impairment testing conducted annually during the fourth quarter or more frequently if events or changes in circumstances indicate that goodwill may be impaired. </w:t>
      </w:r>
    </w:p>
    <w:p>
      <w:pPr>
        <w:pStyle w:val="TextBody"/>
        <w:bidi w:val="0"/>
        <w:spacing w:lineRule="auto" w:line="288" w:before="0" w:after="200"/>
        <w:jc w:val="left"/>
        <w:rPr>
          <w:color w:val="000000"/>
        </w:rPr>
      </w:pPr>
      <w:r>
        <w:rPr>
          <w:color w:val="000000"/>
        </w:rPr>
        <w:t>    </w:t>
      </w:r>
      <w:r>
        <w:rPr>
          <w:rFonts w:ascii="Times New Roman;sans-serif" w:hAnsi="Times New Roman;sans-serif"/>
          <w:b w:val="false"/>
          <w:color w:val="000000"/>
          <w:sz w:val="20"/>
        </w:rPr>
        <w:t>In accordance with guidance related to impairment testing, the Company has the option to first assess qualitative factors to determine whether or not it is necessary to perform the quantitative goodwill impairment test. If the qualitative assessment option is not elected, or if the qualitative assessment indicates that it is more likely than not that the fair value is less than its carrying amount, a quantitative analysis is then performed. The quantitative analysis, if performed, compares the estimated fair value of the Company with its respective carrying amount, including goodwill. If the estimated fair value of the Company exceeds its carrying amount, including goodwill, goodwill is considered not to be impaired and no additional steps are necessary. If the fair value is less than the carrying amount, including goodwill, then an impairment adjustment must be recorded up to the carrying amount of goodwill.</w:t>
      </w:r>
    </w:p>
    <w:p>
      <w:pPr>
        <w:pStyle w:val="TextBody"/>
        <w:bidi w:val="0"/>
        <w:spacing w:lineRule="auto" w:line="288" w:before="0" w:after="200"/>
        <w:jc w:val="left"/>
        <w:rPr>
          <w:color w:val="000000"/>
        </w:rPr>
      </w:pPr>
      <w:r>
        <w:rPr>
          <w:color w:val="000000"/>
        </w:rPr>
        <w:t>    </w:t>
      </w:r>
      <w:r>
        <w:rPr>
          <w:rFonts w:ascii="Times New Roman;sans-serif" w:hAnsi="Times New Roman;sans-serif"/>
          <w:b w:val="false"/>
          <w:color w:val="000000"/>
          <w:sz w:val="20"/>
        </w:rPr>
        <w:t xml:space="preserve">The Company operates as a single operating segment and has identified a single reporting unit. </w:t>
      </w:r>
    </w:p>
    <w:p>
      <w:pPr>
        <w:pStyle w:val="TextBody"/>
        <w:bidi w:val="0"/>
        <w:spacing w:lineRule="auto" w:line="288" w:before="0" w:after="200"/>
        <w:jc w:val="left"/>
        <w:rPr/>
      </w:pPr>
      <w:r>
        <w:rPr>
          <w:color w:val="006EBF"/>
        </w:rPr>
        <w:t>    </w:t>
      </w:r>
      <w:r>
        <w:rPr>
          <w:rFonts w:ascii="Times New Roman;sans-serif" w:hAnsi="Times New Roman;sans-serif"/>
          <w:b/>
          <w:i/>
          <w:color w:val="000000"/>
          <w:sz w:val="20"/>
        </w:rPr>
        <w:t>Operating Leases</w:t>
      </w:r>
    </w:p>
    <w:p>
      <w:pPr>
        <w:pStyle w:val="TextBody"/>
        <w:bidi w:val="0"/>
        <w:spacing w:lineRule="auto" w:line="288" w:before="1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determines if an arrangement is a lease at inception. A contract is or contains a lease if it conveys the right to control the use of an identified asset for a period of time in exchange for consideration. The Company's classes of assets that are leased include office facilities, data centers, and equipment. The Company has elected not to recognize short-term leases on the balance sheet, nor separate lease and non-lease components for data center leases. In addition, the Company utilized the portfolio approach to group leases with similar characteristics together. </w:t>
      </w:r>
    </w:p>
    <w:p>
      <w:pPr>
        <w:pStyle w:val="TextBody"/>
        <w:bidi w:val="0"/>
        <w:spacing w:lineRule="auto" w:line="288" w:before="1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identified leases, the Company used its incremental borrowing rate to discount the related future payment obligations, which represents the rate of interest the Company would have to pay to borrow on a collateralized basis over a similar term an amount equal to the lease payments in a similar economic environment.</w:t>
      </w:r>
    </w:p>
    <w:p>
      <w:pPr>
        <w:pStyle w:val="TextBody"/>
        <w:bidi w:val="0"/>
        <w:spacing w:lineRule="auto" w:line="288" w:before="1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records rent expense for operating leases, including leases of office locations, data centers, and equipment, on a straight-line basis over the lease term. The straight-line calculation of rent expense includes rent escalations on certain leases, as well as lease incentives provided by the landlords, including payments for leasehold improvements and rent-free periods. The Company begins recognition of rent expense on the commencement date, which is generally the date that the asset is made available for use. Lease liability, which represents the present value of the Company's obligation related to the estimated future lease payments, is included in lease liabilities, current and lease liabilities, non-current within the consolidated balance sheets. These liability balances are reduced as lease related payments are made. For operating leases, the right of use ("ROU") asset is amortized on a periodic basis over the expected term of the lease (see Note 15). </w:t>
      </w:r>
    </w:p>
    <w:p>
      <w:pPr>
        <w:pStyle w:val="TextBody"/>
        <w:bidi w:val="0"/>
        <w:spacing w:lineRule="auto" w:line="288" w:before="100" w:after="20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Fair Value of Financial Instruments</w:t>
      </w:r>
    </w:p>
    <w:p>
      <w:pPr>
        <w:pStyle w:val="TextBody"/>
        <w:bidi w:val="0"/>
        <w:spacing w:lineRule="auto" w:line="288" w:before="0" w:after="200"/>
        <w:jc w:val="left"/>
        <w:rPr>
          <w:color w:val="000000"/>
        </w:rPr>
      </w:pPr>
      <w:r>
        <w:rPr>
          <w:color w:val="000000"/>
        </w:rPr>
        <w:t>    </w:t>
      </w:r>
      <w:r>
        <w:rPr>
          <w:rFonts w:ascii="Times New Roman;sans-serif" w:hAnsi="Times New Roman;sans-serif"/>
          <w:b w:val="false"/>
          <w:color w:val="000000"/>
          <w:sz w:val="20"/>
        </w:rPr>
        <w:t xml:space="preserve">The carrying amounts of the Company's cash equivalents, accounts receivable, accounts payable, accrued expenses, and seller payables approximate fair value due to the short-term nature of these instruments. Certain assets of the Company are recorded at their fair value, using the fair value hierarchy, on a recurring basis, and other assets and liabilities, including goodwill and intangible assets are subject to measurement at fair value on a non-recurring basis if they are deemed to be impaired as a result of an impairment review (see Note 5). </w:t>
      </w:r>
    </w:p>
    <w:p>
      <w:pPr>
        <w:pStyle w:val="TextBody"/>
        <w:bidi w:val="0"/>
        <w:spacing w:lineRule="auto" w:line="288" w:before="0" w:after="200"/>
        <w:jc w:val="left"/>
        <w:rPr/>
      </w:pPr>
      <w:r>
        <w:rPr>
          <w:color w:val="000000"/>
        </w:rPr>
        <w:t>    </w:t>
      </w:r>
      <w:r>
        <w:rPr>
          <w:rFonts w:ascii="Times New Roman;sans-serif" w:hAnsi="Times New Roman;sans-serif"/>
          <w:b/>
          <w:i/>
          <w:color w:val="000000"/>
          <w:sz w:val="20"/>
        </w:rPr>
        <w:t>Concentration of Risk</w:t>
      </w:r>
    </w:p>
    <w:p>
      <w:pPr>
        <w:pStyle w:val="TextBody"/>
        <w:bidi w:val="0"/>
        <w:spacing w:lineRule="auto" w:line="288" w:before="0" w:after="200"/>
        <w:jc w:val="left"/>
        <w:rPr>
          <w:color w:val="000000"/>
        </w:rPr>
      </w:pPr>
      <w:r>
        <w:rPr>
          <w:color w:val="000000"/>
        </w:rPr>
        <w:t>    </w:t>
      </w:r>
      <w:r>
        <w:rPr>
          <w:rFonts w:ascii="Times New Roman;sans-serif" w:hAnsi="Times New Roman;sans-serif"/>
          <w:b w:val="false"/>
          <w:color w:val="000000"/>
          <w:sz w:val="20"/>
        </w:rPr>
        <w:t>Financial instruments that potentially subject the Company to concentration of credit risk consist principally of cash, cash equivalents, restricted cash and accounts receivable. Cash maintained with financial institutions typically exceeds applicable federally insured limits in the U.S. and may not be covered by similar local depositor insurance schemes for cash held in foreign currencies or in bank accounts outside of the U.S. Cash equivalents, primarily money market fund investments, are not insured by federal insurance schemes and are exposed to other potential risks linked to high concentration among major custodial banks.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w10:wrap type="none"/>
              </v:rect>
            </w:pict>
          </mc:Fallback>
        </mc:AlternateContent>
      </w:r>
    </w:p>
    <w:p>
      <w:pPr>
        <w:pStyle w:val="TextBody"/>
        <w:bidi w:val="0"/>
        <w:spacing w:lineRule="auto" w:line="288" w:before="0" w:after="0"/>
        <w:jc w:val="left"/>
        <w:rPr/>
      </w:pPr>
      <w:hyperlink w:anchor="i8d6a21e15cb741baa6dee69bcf11e47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00"/>
        <w:jc w:val="left"/>
        <w:rPr>
          <w:color w:val="000000"/>
        </w:rPr>
      </w:pPr>
      <w:r>
        <w:rPr>
          <w:color w:val="000000"/>
        </w:rPr>
        <w:t>    </w:t>
      </w:r>
      <w:r>
        <w:rPr>
          <w:rFonts w:ascii="Times New Roman;sans-serif" w:hAnsi="Times New Roman;sans-serif"/>
          <w:b w:val="false"/>
          <w:color w:val="000000"/>
          <w:sz w:val="20"/>
        </w:rPr>
        <w:t>Accounts receivable include amounts due from buyers with principal operations primarily in the United States. The Company performs ongoing credit evaluations of its buyers.</w:t>
      </w:r>
    </w:p>
    <w:p>
      <w:pPr>
        <w:pStyle w:val="TextBody"/>
        <w:bidi w:val="0"/>
        <w:spacing w:lineRule="auto" w:line="288" w:before="0" w:after="200"/>
        <w:jc w:val="left"/>
        <w:rPr/>
      </w:pPr>
      <w:r>
        <w:rPr>
          <w:color w:val="006EBF"/>
        </w:rPr>
        <w:t>    </w:t>
      </w:r>
      <w:r>
        <w:rPr>
          <w:rFonts w:ascii="Times New Roman;sans-serif" w:hAnsi="Times New Roman;sans-serif"/>
          <w:b w:val="false"/>
          <w:color w:val="000000"/>
          <w:sz w:val="20"/>
        </w:rPr>
        <w:t xml:space="preserve">At December 31, 2023, two buyers accounted for 48% and 11%, respectively, of consolidated accounts receivable, net. At December 31, 2022, two buyers accounted for 45% and 9%, respectively, of accounts receivable, net. </w:t>
      </w:r>
    </w:p>
    <w:p>
      <w:pPr>
        <w:pStyle w:val="TextBody"/>
        <w:bidi w:val="0"/>
        <w:spacing w:lineRule="auto" w:line="288" w:before="0" w:after="200"/>
        <w:jc w:val="left"/>
        <w:rPr>
          <w:color w:val="000000"/>
        </w:rPr>
      </w:pPr>
      <w:r>
        <w:rPr>
          <w:color w:val="000000"/>
        </w:rPr>
        <w:t>    </w:t>
      </w:r>
      <w:r>
        <w:rPr>
          <w:rFonts w:ascii="Times New Roman;sans-serif" w:hAnsi="Times New Roman;sans-serif"/>
          <w:b w:val="false"/>
          <w:color w:val="000000"/>
          <w:sz w:val="20"/>
        </w:rPr>
        <w:t>The Company recognizes revenue from its contracts with sellers. No seller of advertising inventory accounted for 10% or more of revenue during the years ended December 31, 2023, 2022, and 2021.</w:t>
      </w:r>
    </w:p>
    <w:p>
      <w:pPr>
        <w:pStyle w:val="TextBody"/>
        <w:bidi w:val="0"/>
        <w:spacing w:lineRule="auto" w:line="288" w:before="0" w:after="200"/>
        <w:jc w:val="left"/>
        <w:rPr/>
      </w:pPr>
      <w:r>
        <w:rPr>
          <w:color w:val="006EBF"/>
        </w:rPr>
        <w:t>    </w:t>
      </w:r>
      <w:r>
        <w:rPr>
          <w:rFonts w:ascii="Times New Roman;sans-serif" w:hAnsi="Times New Roman;sans-serif"/>
          <w:b w:val="false"/>
          <w:color w:val="000000"/>
          <w:sz w:val="20"/>
        </w:rPr>
        <w:t xml:space="preserve">At December 31, 2023, one seller of advertising inventory accounted for 29% of accounts payable and accrued expenses and at December 31, 2022, one seller of advertising inventory accounted for 28% of accounts payable and accrued expenses. </w:t>
      </w:r>
    </w:p>
    <w:p>
      <w:pPr>
        <w:pStyle w:val="TextBody"/>
        <w:bidi w:val="0"/>
        <w:spacing w:lineRule="auto" w:line="288" w:before="0" w:after="200"/>
        <w:jc w:val="left"/>
        <w:rPr/>
      </w:pPr>
      <w:r>
        <w:rPr>
          <w:color w:val="006EBF"/>
        </w:rPr>
        <w:t>    </w:t>
      </w:r>
      <w:r>
        <w:rPr>
          <w:rFonts w:ascii="Times New Roman;sans-serif" w:hAnsi="Times New Roman;sans-serif"/>
          <w:b/>
          <w:i/>
          <w:color w:val="000000"/>
          <w:sz w:val="20"/>
        </w:rPr>
        <w:t>Foreign Currency Transactions and Translation</w:t>
      </w:r>
    </w:p>
    <w:p>
      <w:pPr>
        <w:pStyle w:val="TextBody"/>
        <w:bidi w:val="0"/>
        <w:spacing w:lineRule="auto" w:line="288" w:before="0" w:after="200"/>
        <w:jc w:val="left"/>
        <w:rPr>
          <w:color w:val="000000"/>
        </w:rPr>
      </w:pPr>
      <w:r>
        <w:rPr>
          <w:color w:val="000000"/>
        </w:rPr>
        <w:t>    </w:t>
      </w:r>
      <w:r>
        <w:rPr>
          <w:rFonts w:ascii="Times New Roman;sans-serif" w:hAnsi="Times New Roman;sans-serif"/>
          <w:b w:val="false"/>
          <w:color w:val="000000"/>
          <w:sz w:val="20"/>
        </w:rPr>
        <w:t>Transactions in foreign currencies are translated into the functional currency of the applicable entity at the rates of exchange in effect at the date of the transaction. Foreign exchange gains or losses are included in foreign exchange (gain) loss, net in the accompanying consolidated statements of operations. To the extent that the functional currency is different from the U.S. Dollar, the financial statements have then been translated into U.S. Dollars using period-end exchange rates for assets and liabilities and average exchange rates for the results of operations. Foreign currency translation gains and losses are included as a component of accumulated other comprehensive income (loss) on the consolidated balance sheets.</w:t>
      </w:r>
    </w:p>
    <w:p>
      <w:pPr>
        <w:pStyle w:val="TextBody"/>
        <w:bidi w:val="0"/>
        <w:spacing w:lineRule="auto" w:line="288" w:before="200" w:after="200"/>
        <w:jc w:val="left"/>
        <w:rPr>
          <w:color w:val="000000"/>
        </w:rPr>
      </w:pPr>
      <w:r>
        <w:rPr>
          <w:color w:val="000000"/>
        </w:rPr>
        <w:t>    </w:t>
      </w:r>
      <w:r>
        <w:rPr>
          <w:rFonts w:ascii="Times New Roman;sans-serif" w:hAnsi="Times New Roman;sans-serif"/>
          <w:b/>
          <w:i/>
          <w:color w:val="000000"/>
          <w:sz w:val="20"/>
        </w:rPr>
        <w:t>Recently Adopted Accounting Standards</w:t>
      </w:r>
    </w:p>
    <w:p>
      <w:pPr>
        <w:pStyle w:val="TextBody"/>
        <w:bidi w:val="0"/>
        <w:spacing w:lineRule="auto" w:line="288" w:before="0" w:after="200"/>
        <w:jc w:val="left"/>
        <w:rPr/>
      </w:pPr>
      <w:r>
        <w:rPr>
          <w:color w:val="000000"/>
        </w:rPr>
        <w:t>    </w:t>
      </w:r>
      <w:r>
        <w:rPr>
          <w:rFonts w:ascii="Times New Roman;sans-serif" w:hAnsi="Times New Roman;sans-serif"/>
          <w:b w:val="false"/>
          <w:color w:val="000000"/>
          <w:sz w:val="20"/>
        </w:rPr>
        <w:t xml:space="preserve">In October 2021, the FASB issued ASU 2021-08, Business Combinations (Topic 805) – </w:t>
      </w:r>
      <w:r>
        <w:rPr>
          <w:rFonts w:ascii="Times New Roman;sans-serif" w:hAnsi="Times New Roman;sans-serif"/>
          <w:b w:val="false"/>
          <w:i/>
          <w:color w:val="000000"/>
          <w:sz w:val="20"/>
        </w:rPr>
        <w:t>Accounting for Contract Assets and Contract Liabilities from Contracts with Customers</w:t>
      </w:r>
      <w:r>
        <w:rPr>
          <w:color w:val="000000"/>
        </w:rPr>
        <w:t xml:space="preserve"> </w:t>
      </w:r>
      <w:r>
        <w:rPr>
          <w:rFonts w:ascii="Times New Roman;sans-serif" w:hAnsi="Times New Roman;sans-serif"/>
          <w:b w:val="false"/>
          <w:color w:val="000000"/>
          <w:sz w:val="20"/>
        </w:rPr>
        <w:t xml:space="preserve">("ASU 2021-08"). ASU 2021-08 requires the recognition and measurement of contract assets and contract liabilities acquired in a business combination in accordance with ASC 606, </w:t>
      </w:r>
      <w:r>
        <w:rPr>
          <w:rFonts w:ascii="Times New Roman;sans-serif" w:hAnsi="Times New Roman;sans-serif"/>
          <w:b w:val="false"/>
          <w:i/>
          <w:color w:val="000000"/>
          <w:sz w:val="20"/>
        </w:rPr>
        <w:t>Revenue from Contracts with Customers</w:t>
      </w:r>
      <w:r>
        <w:rPr>
          <w:rFonts w:ascii="Times New Roman;sans-serif" w:hAnsi="Times New Roman;sans-serif"/>
          <w:b w:val="false"/>
          <w:color w:val="000000"/>
          <w:sz w:val="20"/>
        </w:rPr>
        <w:t>. Considerations to determine the amount of contract assets and contract liabilities to record at the acquisition date include the terms of the acquired contract, such as timing of payment, identification of each performance obligation in the contract and allocation of the contract transaction price to each identified performance obligation on a relative standalone selling price basis as of contract inception. ASU 2021-08 is effective for the Company beginning in the first quarter of 2023. The Company adopted this standard January 1, 2023 and will apply the guidance to future acquisitions, if any.</w:t>
      </w:r>
    </w:p>
    <w:p>
      <w:pPr>
        <w:pStyle w:val="TextBody"/>
        <w:bidi w:val="0"/>
        <w:spacing w:lineRule="auto" w:line="288" w:before="100" w:after="20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Recent Accounting Pronouncements Not Yet Adopted</w:t>
      </w:r>
    </w:p>
    <w:p>
      <w:pPr>
        <w:pStyle w:val="TextBody"/>
        <w:bidi w:val="0"/>
        <w:spacing w:lineRule="auto" w:line="288" w:before="100" w:after="100"/>
        <w:ind w:left="0" w:right="0" w:firstLine="720"/>
        <w:jc w:val="left"/>
        <w:rPr/>
      </w:pPr>
      <w:r>
        <w:rPr>
          <w:rFonts w:ascii="Times New Roman;sans-serif" w:hAnsi="Times New Roman;sans-serif"/>
          <w:b w:val="false"/>
          <w:color w:val="000000"/>
          <w:sz w:val="20"/>
        </w:rPr>
        <w:t xml:space="preserve">In November 2023, the FASB issued ASU 2023-07, Segment Reporting (Topic 280) – </w:t>
      </w:r>
      <w:r>
        <w:rPr>
          <w:rFonts w:ascii="Times New Roman;sans-serif" w:hAnsi="Times New Roman;sans-serif"/>
          <w:b w:val="false"/>
          <w:i/>
          <w:color w:val="000000"/>
          <w:sz w:val="20"/>
        </w:rPr>
        <w:t>Improvements to Reportable Segment Disclosures</w:t>
      </w:r>
      <w:r>
        <w:rPr>
          <w:color w:val="000000"/>
        </w:rPr>
        <w:t xml:space="preserve"> </w:t>
      </w:r>
      <w:r>
        <w:rPr>
          <w:rFonts w:ascii="Times New Roman;sans-serif" w:hAnsi="Times New Roman;sans-serif"/>
          <w:b w:val="false"/>
          <w:color w:val="000000"/>
          <w:sz w:val="20"/>
        </w:rPr>
        <w:t>("ASU 2023-07"). ASU 2023-07 expands public entities’ segment disclosures by requiring disclosure of significant segment expenses that are regularly provided to the chief operating decision maker and included within each reported measure of segment profit or loss, an amount and description of its composition for other segment items, and interim disclosures of a reportable segment’s profit or loss and assets. ASU 2023-07 is effective for annual periods beginning after December 15, 2023 and for interim periods beginning after December 15, 2024. Early adoption is permitted. The Company is currently evaluating the impact of adopting this new accounting guidance on its disclosures.</w:t>
      </w:r>
    </w:p>
    <w:p>
      <w:pPr>
        <w:pStyle w:val="TextBody"/>
        <w:bidi w:val="0"/>
        <w:spacing w:lineRule="auto" w:line="288" w:before="100" w:after="100"/>
        <w:ind w:left="0" w:right="0" w:firstLine="720"/>
        <w:jc w:val="left"/>
        <w:rPr/>
      </w:pPr>
      <w:r>
        <w:rPr>
          <w:rFonts w:ascii="Times New Roman;sans-serif" w:hAnsi="Times New Roman;sans-serif"/>
          <w:b w:val="false"/>
          <w:color w:val="000000"/>
          <w:sz w:val="20"/>
        </w:rPr>
        <w:t xml:space="preserve">In December 2023, the FASB issued ASU 2023-09, Income Taxes (Topic 740) – </w:t>
      </w:r>
      <w:r>
        <w:rPr>
          <w:rFonts w:ascii="Times New Roman;sans-serif" w:hAnsi="Times New Roman;sans-serif"/>
          <w:b w:val="false"/>
          <w:i/>
          <w:color w:val="000000"/>
          <w:sz w:val="20"/>
        </w:rPr>
        <w:t>Improvements to Income Tax Disclosures</w:t>
      </w:r>
      <w:r>
        <w:rPr>
          <w:color w:val="000000"/>
        </w:rPr>
        <w:t xml:space="preserve"> </w:t>
      </w:r>
      <w:r>
        <w:rPr>
          <w:rFonts w:ascii="Times New Roman;sans-serif" w:hAnsi="Times New Roman;sans-serif"/>
          <w:b w:val="false"/>
          <w:color w:val="000000"/>
          <w:sz w:val="20"/>
        </w:rPr>
        <w:t>("ASU 2023-09") to enhance income tax information primarily through changes in the rate reconciliation and income taxes paid information. ASU 20203-09 is effective for annual periods beginning after December 15, 2024 on a prospective basis. The Company is evaluating the impact of adopting this new accounting guidance on its disclosures.</w:t>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does not believe there are any other recently issued and effective or not yet effective pronouncements that would have or are expected to have a material impact on the Company’s present or future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w10:wrap type="none"/>
              </v:rect>
            </w:pict>
          </mc:Fallback>
        </mc:AlternateContent>
      </w:r>
    </w:p>
    <w:p>
      <w:pPr>
        <w:pStyle w:val="TextBody"/>
        <w:bidi w:val="0"/>
        <w:spacing w:lineRule="auto" w:line="288" w:before="0" w:after="0"/>
        <w:jc w:val="left"/>
        <w:rPr/>
      </w:pPr>
      <w:hyperlink w:anchor="i8d6a21e15cb741baa6dee69bcf11e47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00" w:after="200"/>
        <w:jc w:val="left"/>
        <w:rPr>
          <w:rFonts w:ascii="Times New Roman;sans-serif" w:hAnsi="Times New Roman;sans-serif"/>
          <w:b/>
          <w:color w:val="000000"/>
          <w:sz w:val="20"/>
        </w:rPr>
      </w:pPr>
      <w:r>
        <w:rPr>
          <w:rFonts w:ascii="Times New Roman;sans-serif" w:hAnsi="Times New Roman;sans-serif"/>
          <w:b/>
          <w:color w:val="000000"/>
          <w:sz w:val="20"/>
        </w:rPr>
        <w:t>Note 3—Net Income (Loss) Per Share</w:t>
      </w:r>
    </w:p>
    <w:p>
      <w:pPr>
        <w:pStyle w:val="TextBody"/>
        <w:bidi w:val="0"/>
        <w:spacing w:lineRule="auto" w:line="288" w:before="0" w:after="200"/>
        <w:jc w:val="left"/>
        <w:rPr>
          <w:color w:val="000000"/>
        </w:rPr>
      </w:pPr>
      <w:r>
        <w:rPr>
          <w:color w:val="000000"/>
        </w:rPr>
        <w:t>    </w:t>
      </w:r>
      <w:r>
        <w:rPr>
          <w:rFonts w:ascii="Times New Roman;sans-serif" w:hAnsi="Times New Roman;sans-serif"/>
          <w:b w:val="false"/>
          <w:color w:val="000000"/>
          <w:sz w:val="20"/>
        </w:rPr>
        <w:t>The following table presents the basic and diluted net income (loss) per share:</w:t>
      </w:r>
    </w:p>
    <w:tbl>
      <w:tblPr>
        <w:tblW w:w="10205" w:type="dxa"/>
        <w:jc w:val="left"/>
        <w:tblInd w:w="0" w:type="dxa"/>
        <w:tblLayout w:type="fixed"/>
        <w:tblCellMar>
          <w:top w:w="28" w:type="dxa"/>
          <w:left w:w="28" w:type="dxa"/>
          <w:bottom w:w="28" w:type="dxa"/>
          <w:right w:w="28" w:type="dxa"/>
        </w:tblCellMar>
      </w:tblPr>
      <w:tblGrid>
        <w:gridCol w:w="2072"/>
        <w:gridCol w:w="1597"/>
        <w:gridCol w:w="1548"/>
        <w:gridCol w:w="109"/>
        <w:gridCol w:w="109"/>
        <w:gridCol w:w="109"/>
        <w:gridCol w:w="237"/>
        <w:gridCol w:w="990"/>
        <w:gridCol w:w="122"/>
        <w:gridCol w:w="109"/>
        <w:gridCol w:w="109"/>
        <w:gridCol w:w="109"/>
        <w:gridCol w:w="237"/>
        <w:gridCol w:w="990"/>
        <w:gridCol w:w="122"/>
        <w:gridCol w:w="109"/>
        <w:gridCol w:w="109"/>
        <w:gridCol w:w="109"/>
        <w:gridCol w:w="398"/>
        <w:gridCol w:w="656"/>
        <w:gridCol w:w="255"/>
      </w:tblGrid>
      <w:tr>
        <w:trPr/>
        <w:tc>
          <w:tcPr>
            <w:tcW w:w="2072" w:type="dxa"/>
            <w:tcBorders/>
            <w:vAlign w:val="center"/>
          </w:tcPr>
          <w:p>
            <w:pPr>
              <w:pStyle w:val="TableContents"/>
              <w:bidi w:val="0"/>
              <w:spacing w:before="0" w:after="283"/>
              <w:jc w:val="left"/>
              <w:rPr>
                <w:sz w:val="4"/>
                <w:szCs w:val="4"/>
              </w:rPr>
            </w:pPr>
            <w:r>
              <w:rPr>
                <w:sz w:val="4"/>
                <w:szCs w:val="4"/>
              </w:rPr>
            </w:r>
          </w:p>
        </w:tc>
        <w:tc>
          <w:tcPr>
            <w:tcW w:w="1597"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r>
      <w:tr>
        <w:trPr/>
        <w:tc>
          <w:tcPr>
            <w:tcW w:w="5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1"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w:t>
            </w:r>
          </w:p>
        </w:tc>
      </w:tr>
      <w:tr>
        <w:trPr/>
        <w:tc>
          <w:tcPr>
            <w:tcW w:w="5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2021</w:t>
            </w:r>
          </w:p>
        </w:tc>
      </w:tr>
      <w:tr>
        <w:trPr/>
        <w:tc>
          <w:tcPr>
            <w:tcW w:w="5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1" w:type="dxa"/>
            <w:gridSpan w:val="15"/>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 share amounts)</w:t>
            </w:r>
          </w:p>
        </w:tc>
      </w:tr>
      <w:tr>
        <w:trPr/>
        <w:tc>
          <w:tcPr>
            <w:tcW w:w="5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Basic Income (Loss)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(159,184)</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(130,323)</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r>
      <w:tr>
        <w:trPr/>
        <w:tc>
          <w:tcPr>
            <w:tcW w:w="5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r>
      <w:tr>
        <w:trPr/>
        <w:tc>
          <w:tcPr>
            <w:tcW w:w="52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common shares outstanding used to compute net income (loss) per share - 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136,620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132,887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126,294</w:t>
            </w:r>
          </w:p>
        </w:tc>
      </w:tr>
      <w:tr>
        <w:trPr/>
        <w:tc>
          <w:tcPr>
            <w:tcW w:w="5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net income (loss)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(0.98)</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Diluted Income (Loss)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r>
      <w:tr>
        <w:trPr/>
        <w:tc>
          <w:tcPr>
            <w:tcW w:w="5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r>
      <w:tr>
        <w:trPr/>
        <w:tc>
          <w:tcPr>
            <w:tcW w:w="5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r>
      <w:tr>
        <w:trPr/>
        <w:tc>
          <w:tcPr>
            <w:tcW w:w="5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diluted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(159,184)</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(130,323)</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Denominator: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common shares used in basic income (loss)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136,620 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132,887 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126,294 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Dilutive effect of weighted-average restricted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5,294 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Dilutive effect of weighted-average common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4,435 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Dilutive effect of weighted-average performance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Dilutive effect of weighted-average ESPP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r>
      <w:tr>
        <w:trPr/>
        <w:tc>
          <w:tcPr>
            <w:tcW w:w="5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used to compute diluted net income (loss)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136,620 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132,887 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136,261 </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net income (loss)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(0.98)</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weighted-average shares have been excluded from the calculation of diluted net income (loss) per share attributable to common stockholders for each period presented because they are anti-dilutive: </w:t>
      </w:r>
    </w:p>
    <w:tbl>
      <w:tblPr>
        <w:tblW w:w="10131" w:type="dxa"/>
        <w:jc w:val="center"/>
        <w:tblInd w:w="0" w:type="dxa"/>
        <w:tblLayout w:type="fixed"/>
        <w:tblCellMar>
          <w:top w:w="28" w:type="dxa"/>
          <w:left w:w="28" w:type="dxa"/>
          <w:bottom w:w="28" w:type="dxa"/>
          <w:right w:w="28" w:type="dxa"/>
        </w:tblCellMar>
      </w:tblPr>
      <w:tblGrid>
        <w:gridCol w:w="1630"/>
        <w:gridCol w:w="1433"/>
        <w:gridCol w:w="1436"/>
        <w:gridCol w:w="109"/>
        <w:gridCol w:w="109"/>
        <w:gridCol w:w="109"/>
        <w:gridCol w:w="109"/>
        <w:gridCol w:w="499"/>
        <w:gridCol w:w="499"/>
        <w:gridCol w:w="501"/>
        <w:gridCol w:w="109"/>
        <w:gridCol w:w="109"/>
        <w:gridCol w:w="109"/>
        <w:gridCol w:w="499"/>
        <w:gridCol w:w="499"/>
        <w:gridCol w:w="501"/>
        <w:gridCol w:w="109"/>
        <w:gridCol w:w="109"/>
        <w:gridCol w:w="109"/>
        <w:gridCol w:w="452"/>
        <w:gridCol w:w="452"/>
        <w:gridCol w:w="640"/>
      </w:tblGrid>
      <w:tr>
        <w:trPr/>
        <w:tc>
          <w:tcPr>
            <w:tcW w:w="1630"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4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3" w:type="dxa"/>
            <w:gridSpan w:val="1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w:t>
            </w:r>
          </w:p>
        </w:tc>
        <w:tc>
          <w:tcPr>
            <w:tcW w:w="1871" w:type="dxa"/>
            <w:gridSpan w:val="6"/>
            <w:tcBorders/>
          </w:tcPr>
          <w:p>
            <w:pPr>
              <w:pStyle w:val="TableContents"/>
              <w:bidi w:val="0"/>
              <w:spacing w:before="0" w:after="283"/>
              <w:jc w:val="left"/>
              <w:rPr>
                <w:sz w:val="4"/>
                <w:szCs w:val="4"/>
              </w:rPr>
            </w:pPr>
            <w:r>
              <w:rPr>
                <w:sz w:val="4"/>
                <w:szCs w:val="4"/>
              </w:rPr>
            </w:r>
          </w:p>
        </w:tc>
      </w:tr>
      <w:tr>
        <w:trPr/>
        <w:tc>
          <w:tcPr>
            <w:tcW w:w="4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2021</w:t>
            </w:r>
          </w:p>
        </w:tc>
      </w:tr>
      <w:tr>
        <w:trPr/>
        <w:tc>
          <w:tcPr>
            <w:tcW w:w="4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3" w:type="dxa"/>
            <w:gridSpan w:val="1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1871" w:type="dxa"/>
            <w:gridSpan w:val="6"/>
            <w:tcBorders/>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restricted stock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1,608 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1,506 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to purchase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1,566 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1,864 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performance stock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ESPP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Senior Notes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4,981 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6,262 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4,940 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shares excluded from net income (loss)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8,270 </w:t>
            </w:r>
          </w:p>
        </w:tc>
        <w:tc>
          <w:tcPr>
            <w:tcW w:w="5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9,774 </w:t>
            </w:r>
          </w:p>
        </w:tc>
        <w:tc>
          <w:tcPr>
            <w:tcW w:w="5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4,940 </w:t>
            </w:r>
          </w:p>
        </w:tc>
        <w:tc>
          <w:tcPr>
            <w:tcW w:w="6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the years ended December 31, 2023 and December 31, 2022, the Company excluded outstanding performance stock units from the calculation of diluted net loss per share because they were anti-dilutive. As of December 31, 2023, the performance stock units granted during 2021, 2022, and 2023 had expected achievement levels of 0%, 58%, and 46%, respectively. As of December 31, 2022, the performance stock units granted during 2020, 2021, and 2022 had expected achievement level of 116%, 0%, and 81%, respectively. As of December 31, 2021, the Company included outstanding performance stock units in the calculation of diluted net income per share. As of December 31, 2021, the performance stock units granted during 2020 and 2021 had expected achievement levels of 150% and 0%, respectively. Refer to Note 12 —"Stock-Based Compensation" for additional information related to performance stock units.</w:t>
      </w:r>
    </w:p>
    <w:p>
      <w:pPr>
        <w:pStyle w:val="TextBody"/>
        <w:bidi w:val="0"/>
        <w:spacing w:lineRule="auto" w:line="288" w:before="1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the years ended December 31, 2023, 2022, and 2021, shares that would be issuable assuming conversion of all of the Convertible Senior Notes (as defined in Note 17) were excluded from the calculation of diluted loss per share because they were anti-dilutive. The Convertible Senior Notes have an initial conversion rate of 15.6539 shares of common stock per $1,000 principal amount of the Convertible Senior Notes, which will be subject to anti-dilution adjustments in certain circumstances. As of December 31, 2023, 2022, and 2021, the number of shares that would be issuable assuming conversion of all of the Convertible Senior Notes is approximately 3,210,098, 6,261,560, and 6,261,560,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w10:wrap type="none"/>
              </v:rect>
            </w:pict>
          </mc:Fallback>
        </mc:AlternateContent>
      </w:r>
    </w:p>
    <w:p>
      <w:pPr>
        <w:pStyle w:val="TextBody"/>
        <w:bidi w:val="0"/>
        <w:spacing w:lineRule="auto" w:line="288" w:before="0" w:after="0"/>
        <w:jc w:val="left"/>
        <w:rPr/>
      </w:pPr>
      <w:hyperlink w:anchor="i8d6a21e15cb741baa6dee69bcf11e47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00"/>
        <w:jc w:val="left"/>
        <w:rPr>
          <w:rFonts w:ascii="Times New Roman;sans-serif" w:hAnsi="Times New Roman;sans-serif"/>
          <w:b/>
          <w:color w:val="000000"/>
          <w:sz w:val="20"/>
        </w:rPr>
      </w:pPr>
      <w:r>
        <w:rPr>
          <w:rFonts w:ascii="Times New Roman;sans-serif" w:hAnsi="Times New Roman;sans-serif"/>
          <w:b/>
          <w:color w:val="000000"/>
          <w:sz w:val="20"/>
        </w:rPr>
        <w:t>Note 4—Revenues</w:t>
      </w:r>
    </w:p>
    <w:p>
      <w:pPr>
        <w:pStyle w:val="TextBody"/>
        <w:bidi w:val="0"/>
        <w:spacing w:lineRule="auto" w:line="288" w:before="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the majority of transactions on the Company's platform, the Company reports revenue on a net basis as it does not act as the principal in the purchase and sale of digital advertising inventory because it does not have control of the digital advertising inventory and does not set prices agreed upon within the auction marketplace. For certain advertising campaigns that are transacted through insertion orders, the Company reports revenue on a gross basis, based primarily on its determination that the Company acts as the primary obligor in the delivery of advertising campaigns for buyers with respect to such transactions.</w:t>
      </w:r>
    </w:p>
    <w:p>
      <w:pPr>
        <w:pStyle w:val="TextBody"/>
        <w:bidi w:val="0"/>
        <w:spacing w:lineRule="auto" w:line="288" w:before="1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Company's revenue recognized on a net basis and on a gross basis for the years ended December 31, 2023, 2022, and 2021:</w:t>
      </w:r>
    </w:p>
    <w:tbl>
      <w:tblPr>
        <w:tblW w:w="8675" w:type="dxa"/>
        <w:jc w:val="left"/>
        <w:tblInd w:w="0" w:type="dxa"/>
        <w:tblLayout w:type="fixed"/>
        <w:tblCellMar>
          <w:top w:w="28" w:type="dxa"/>
          <w:left w:w="28" w:type="dxa"/>
          <w:bottom w:w="28" w:type="dxa"/>
          <w:right w:w="28" w:type="dxa"/>
        </w:tblCellMar>
      </w:tblPr>
      <w:tblGrid>
        <w:gridCol w:w="368"/>
        <w:gridCol w:w="325"/>
        <w:gridCol w:w="326"/>
        <w:gridCol w:w="109"/>
        <w:gridCol w:w="109"/>
        <w:gridCol w:w="109"/>
        <w:gridCol w:w="211"/>
        <w:gridCol w:w="826"/>
        <w:gridCol w:w="109"/>
        <w:gridCol w:w="109"/>
        <w:gridCol w:w="109"/>
        <w:gridCol w:w="109"/>
        <w:gridCol w:w="232"/>
        <w:gridCol w:w="234"/>
        <w:gridCol w:w="271"/>
        <w:gridCol w:w="109"/>
        <w:gridCol w:w="109"/>
        <w:gridCol w:w="109"/>
        <w:gridCol w:w="211"/>
        <w:gridCol w:w="826"/>
        <w:gridCol w:w="109"/>
        <w:gridCol w:w="109"/>
        <w:gridCol w:w="109"/>
        <w:gridCol w:w="109"/>
        <w:gridCol w:w="232"/>
        <w:gridCol w:w="234"/>
        <w:gridCol w:w="271"/>
        <w:gridCol w:w="109"/>
        <w:gridCol w:w="109"/>
        <w:gridCol w:w="109"/>
        <w:gridCol w:w="211"/>
        <w:gridCol w:w="826"/>
        <w:gridCol w:w="109"/>
        <w:gridCol w:w="109"/>
        <w:gridCol w:w="109"/>
        <w:gridCol w:w="109"/>
        <w:gridCol w:w="232"/>
        <w:gridCol w:w="234"/>
        <w:gridCol w:w="316"/>
      </w:tblGrid>
      <w:tr>
        <w:trPr/>
        <w:tc>
          <w:tcPr>
            <w:tcW w:w="368"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9"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w:t>
            </w:r>
          </w:p>
        </w:tc>
      </w:tr>
      <w:tr>
        <w:trPr/>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2021</w:t>
            </w:r>
          </w:p>
        </w:tc>
      </w:tr>
      <w:tr>
        <w:trPr/>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9"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percentages)</w:t>
            </w:r>
          </w:p>
        </w:tc>
      </w:tr>
      <w:tr>
        <w:trPr/>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basis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basis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619,710 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577,069 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468,413 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Company's revenue by channel for the years ended December 31, 2023, 2022, 2021:</w:t>
      </w:r>
    </w:p>
    <w:tbl>
      <w:tblPr>
        <w:tblW w:w="8635" w:type="dxa"/>
        <w:jc w:val="left"/>
        <w:tblInd w:w="0" w:type="dxa"/>
        <w:tblLayout w:type="fixed"/>
        <w:tblCellMar>
          <w:top w:w="28" w:type="dxa"/>
          <w:left w:w="28" w:type="dxa"/>
          <w:bottom w:w="28" w:type="dxa"/>
          <w:right w:w="28" w:type="dxa"/>
        </w:tblCellMar>
      </w:tblPr>
      <w:tblGrid>
        <w:gridCol w:w="315"/>
        <w:gridCol w:w="277"/>
        <w:gridCol w:w="278"/>
        <w:gridCol w:w="109"/>
        <w:gridCol w:w="109"/>
        <w:gridCol w:w="109"/>
        <w:gridCol w:w="211"/>
        <w:gridCol w:w="826"/>
        <w:gridCol w:w="109"/>
        <w:gridCol w:w="109"/>
        <w:gridCol w:w="109"/>
        <w:gridCol w:w="109"/>
        <w:gridCol w:w="232"/>
        <w:gridCol w:w="234"/>
        <w:gridCol w:w="271"/>
        <w:gridCol w:w="109"/>
        <w:gridCol w:w="109"/>
        <w:gridCol w:w="109"/>
        <w:gridCol w:w="211"/>
        <w:gridCol w:w="826"/>
        <w:gridCol w:w="109"/>
        <w:gridCol w:w="109"/>
        <w:gridCol w:w="109"/>
        <w:gridCol w:w="109"/>
        <w:gridCol w:w="232"/>
        <w:gridCol w:w="234"/>
        <w:gridCol w:w="271"/>
        <w:gridCol w:w="109"/>
        <w:gridCol w:w="109"/>
        <w:gridCol w:w="109"/>
        <w:gridCol w:w="211"/>
        <w:gridCol w:w="826"/>
        <w:gridCol w:w="109"/>
        <w:gridCol w:w="109"/>
        <w:gridCol w:w="109"/>
        <w:gridCol w:w="109"/>
        <w:gridCol w:w="232"/>
        <w:gridCol w:w="234"/>
        <w:gridCol w:w="271"/>
        <w:gridCol w:w="154"/>
      </w:tblGrid>
      <w:tr>
        <w:trPr/>
        <w:tc>
          <w:tcPr>
            <w:tcW w:w="31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4"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2021</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4"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percentages)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Channel: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CTV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Mobile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192,803 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164,977 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Desktop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619,710 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577,069 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468,413 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jc w:val="left"/>
        <w:rPr>
          <w:color w:val="000000"/>
        </w:rPr>
      </w:pPr>
      <w:r>
        <w:rPr>
          <w:color w:val="000000"/>
        </w:rPr>
        <w:t>    </w:t>
      </w:r>
      <w:r>
        <w:rPr>
          <w:rFonts w:ascii="Times New Roman;sans-serif" w:hAnsi="Times New Roman;sans-serif"/>
          <w:b w:val="false"/>
          <w:color w:val="000000"/>
          <w:sz w:val="20"/>
        </w:rPr>
        <w:t>The following table presents the Company's revenue disaggregated by geographic location, based on the location of the Company's sellers:</w:t>
      </w:r>
    </w:p>
    <w:tbl>
      <w:tblPr>
        <w:tblW w:w="6831" w:type="dxa"/>
        <w:jc w:val="left"/>
        <w:tblInd w:w="0" w:type="dxa"/>
        <w:tblLayout w:type="fixed"/>
        <w:tblCellMar>
          <w:top w:w="28" w:type="dxa"/>
          <w:left w:w="28" w:type="dxa"/>
          <w:bottom w:w="28" w:type="dxa"/>
          <w:right w:w="28" w:type="dxa"/>
        </w:tblCellMar>
      </w:tblPr>
      <w:tblGrid>
        <w:gridCol w:w="435"/>
        <w:gridCol w:w="381"/>
        <w:gridCol w:w="383"/>
        <w:gridCol w:w="109"/>
        <w:gridCol w:w="109"/>
        <w:gridCol w:w="109"/>
        <w:gridCol w:w="109"/>
        <w:gridCol w:w="276"/>
        <w:gridCol w:w="1081"/>
        <w:gridCol w:w="142"/>
        <w:gridCol w:w="109"/>
        <w:gridCol w:w="109"/>
        <w:gridCol w:w="109"/>
        <w:gridCol w:w="276"/>
        <w:gridCol w:w="1081"/>
        <w:gridCol w:w="142"/>
        <w:gridCol w:w="109"/>
        <w:gridCol w:w="109"/>
        <w:gridCol w:w="109"/>
        <w:gridCol w:w="273"/>
        <w:gridCol w:w="1072"/>
        <w:gridCol w:w="199"/>
      </w:tblGrid>
      <w:tr>
        <w:trPr/>
        <w:tc>
          <w:tcPr>
            <w:tcW w:w="43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3"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w:t>
            </w:r>
          </w:p>
        </w:tc>
        <w:tc>
          <w:tcPr>
            <w:tcW w:w="1871" w:type="dxa"/>
            <w:gridSpan w:val="6"/>
            <w:tcBorders/>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2021</w:t>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3" w:type="dxa"/>
            <w:gridSpan w:val="1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1871" w:type="dxa"/>
            <w:gridSpan w:val="6"/>
            <w:tcBorders/>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462,167 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447,634 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365,161 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157,543 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129,435 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103,252 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619,710 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577,069 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468,413 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Payment terms are specified in agreements between the Company and the buyers and sellers on its platform. The Company generally bills buyers at the end of each month for the full purchase price of impressions filled in that month. The Company recognizes volume discounts as a reduction of revenue as they are incurred. Specific payment terms may vary by agreement, but are generally seventy-five days or less. The Company's accounts receivable are recorded at the amount of gross billings to buyers, net of allowances for the amounts the Company is responsible to collect. The Company's accounts payable related to amounts due to sellers are recorded at the net amount payable to sellers (see Note 10). Accordingly, both accounts receivable and accounts payable appear large in relation to revenue reported on a net basis.</w:t>
      </w:r>
    </w:p>
    <w:p>
      <w:pPr>
        <w:pStyle w:val="TextBody"/>
        <w:bidi w:val="0"/>
        <w:spacing w:lineRule="auto" w:line="288" w:before="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are recorded at the invoiced amount, are unsecured, and do not bear interest. The allowance for doubtful accounts is reviewed quarterly, requires judgment, and is based on the best estimate of the amount of probable credit losses in existing accounts receivable. The Company reviews the status of the then-outstanding accounts receivable on a customer-by-customer basis, taking into consideration the aging schedule of receivables, its historical collection experience, current information regarding the client, subsequent collection history, and other relevant data, in establishing the allowance for doubtful accounts. Accounts receivable are presented net of an allowance for doubtful accounts of $20.4 million at December 31, 2023, and $1.1 million at December 31, 2022. Accounts receivable are written off against the allowance for doubtful accounts when the Company determines amounts are no longer collectible.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w10:wrap type="none"/>
              </v:rect>
            </w:pict>
          </mc:Fallback>
        </mc:AlternateContent>
      </w:r>
    </w:p>
    <w:p>
      <w:pPr>
        <w:pStyle w:val="TextBody"/>
        <w:bidi w:val="0"/>
        <w:spacing w:lineRule="auto" w:line="288" w:before="0" w:after="0"/>
        <w:jc w:val="left"/>
        <w:rPr/>
      </w:pPr>
      <w:hyperlink w:anchor="i8d6a21e15cb741baa6dee69bcf11e47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reviews the associated payable to sellers for recovery of buyer receivable allowance and write-offs; in some cases, the Company can reduce the payable to sellers. The reduction of seller payables related to recovery of uncollected buyer receivables is netted against allowance expense. The contra seller payables related to recoveries were $1.1 million and $0.6 million as of December 31, 2023 and December 31, 2022, respectively.</w:t>
      </w:r>
    </w:p>
    <w:p>
      <w:pPr>
        <w:pStyle w:val="TextBody"/>
        <w:bidi w:val="0"/>
        <w:spacing w:before="0" w:after="0"/>
        <w:jc w:val="left"/>
        <w:rPr/>
      </w:pPr>
      <w:r>
        <w:rPr/>
      </w:r>
    </w:p>
    <w:p>
      <w:pPr>
        <w:pStyle w:val="TextBody"/>
        <w:bidi w:val="0"/>
        <w:spacing w:lineRule="auto" w:line="288" w:before="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activity in the allowance for doubtful accounts for the years ended December 31, 2023, 2022, and 2021, respectively:</w:t>
      </w:r>
    </w:p>
    <w:tbl>
      <w:tblPr>
        <w:tblW w:w="10205" w:type="dxa"/>
        <w:jc w:val="left"/>
        <w:tblInd w:w="0" w:type="dxa"/>
        <w:tblLayout w:type="fixed"/>
        <w:tblCellMar>
          <w:top w:w="28" w:type="dxa"/>
          <w:left w:w="28" w:type="dxa"/>
          <w:bottom w:w="28" w:type="dxa"/>
          <w:right w:w="28" w:type="dxa"/>
        </w:tblCellMar>
      </w:tblPr>
      <w:tblGrid>
        <w:gridCol w:w="1848"/>
        <w:gridCol w:w="1602"/>
        <w:gridCol w:w="1613"/>
        <w:gridCol w:w="287"/>
        <w:gridCol w:w="983"/>
        <w:gridCol w:w="148"/>
        <w:gridCol w:w="109"/>
        <w:gridCol w:w="109"/>
        <w:gridCol w:w="109"/>
        <w:gridCol w:w="315"/>
        <w:gridCol w:w="922"/>
        <w:gridCol w:w="162"/>
        <w:gridCol w:w="109"/>
        <w:gridCol w:w="109"/>
        <w:gridCol w:w="109"/>
        <w:gridCol w:w="315"/>
        <w:gridCol w:w="922"/>
        <w:gridCol w:w="162"/>
        <w:gridCol w:w="109"/>
        <w:gridCol w:w="163"/>
      </w:tblGrid>
      <w:tr>
        <w:trPr/>
        <w:tc>
          <w:tcPr>
            <w:tcW w:w="1848"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c>
          <w:tcPr>
            <w:tcW w:w="1613"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5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2021</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0"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50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doubtful accounts, beginning balance</w:t>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1,092 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doubtful accounts, assumed from mergers or acquisitions</w:t>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Write-offs</w:t>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(decrease) in provision for expected credit losses</w:t>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20,115 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(1,719)</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Recoveries of previous write-offs</w:t>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Allowance for doubtful accounts, December 31 </w:t>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20,363 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1,092 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3,475 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years ended December 31, 2023, 2022, and 2021, the provision for expected credit losses associated with accounts receivable and the offset by increases of contra seller payables related to recoveries of uncollected buyer receivables resulted in a net amount of bad debt each year. During the year ended December 31, 2023, the increase in the provision for expected credit losses associated with accounts receivable of $20.1 million was offset by increases of contra seller payables related to recoveries of uncollected buyer receivables of $15.4 million, which resulted in an $4.7 million amount of bad debt expense. The increase in the provision for expected credit losses was primarily attributed to one buyer filing for bankruptcy, resulting in $4.2 million of bad debt expense during the year ended December 31, 2023. During the year ended December 31, 2022, the decrease in the provision for expected credit losses associated with accounts receivable of $1.7 million was offset by decreases of contra seller payables related to recoveries of uncollected buyer receivables of $1.6 million, which resulted in an $0.2 million amount of bad debt recoveries. During the year ended December 31, 2021, the provision for expected credit losses associated with accounts receivable of $0.6 million was offset by increases of contra seller payables related to recoveries of uncollected buyer receivables of $0.5 million, which resulted in an immaterial amount of bad debt expense.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ans-serif" w:hAnsi="Times New Roman;sans-serif"/>
          <w:b/>
          <w:color w:val="000000"/>
          <w:sz w:val="20"/>
        </w:rPr>
      </w:pPr>
      <w:r>
        <w:rPr>
          <w:rFonts w:ascii="Times New Roman;sans-serif" w:hAnsi="Times New Roman;sans-serif"/>
          <w:b/>
          <w:color w:val="000000"/>
          <w:sz w:val="20"/>
        </w:rPr>
        <w:t xml:space="preserve">Note 5—Fair Value Measurements </w:t>
      </w:r>
    </w:p>
    <w:p>
      <w:pPr>
        <w:pStyle w:val="TextBody"/>
        <w:bidi w:val="0"/>
        <w:spacing w:lineRule="auto" w:line="288" w:before="0" w:after="200"/>
        <w:jc w:val="left"/>
        <w:rPr/>
      </w:pPr>
      <w:r>
        <w:rPr>
          <w:rFonts w:ascii="Times New Roman;sans-serif" w:hAnsi="Times New Roman;sans-serif"/>
          <w:b/>
          <w:color w:val="000000"/>
          <w:sz w:val="20"/>
        </w:rPr>
        <w:t>Recurring Fair Value Measurements</w:t>
      </w:r>
      <w:r>
        <w:rPr>
          <w:color w:val="000000"/>
        </w:rPr>
        <w:t>    </w:t>
      </w:r>
    </w:p>
    <w:p>
      <w:pPr>
        <w:pStyle w:val="TextBody"/>
        <w:bidi w:val="0"/>
        <w:spacing w:lineRule="auto" w:line="288" w:before="0" w:after="200"/>
        <w:jc w:val="left"/>
        <w:rPr>
          <w:color w:val="000000"/>
        </w:rPr>
      </w:pPr>
      <w:r>
        <w:rPr>
          <w:color w:val="000000"/>
        </w:rPr>
        <w:t>    </w:t>
      </w:r>
      <w:r>
        <w:rPr>
          <w:rFonts w:ascii="Times New Roman;sans-serif" w:hAnsi="Times New Roman;sans-serif"/>
          <w:b w:val="false"/>
          <w:color w:val="000000"/>
          <w:sz w:val="20"/>
        </w:rPr>
        <w:t xml:space="preserve">Fair value represents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Observable inputs are based on market data obtained from independent sources. The fair value hierarchy is based on the following three levels of inputs, of which the first two are considered observable and the last one is considered unobservable: </w:t>
      </w:r>
    </w:p>
    <w:p>
      <w:pPr>
        <w:pStyle w:val="TextBody"/>
        <w:bidi w:val="0"/>
        <w:spacing w:lineRule="auto" w:line="288" w:before="200" w:after="200"/>
        <w:ind w:left="0" w:right="0" w:hanging="540"/>
        <w:jc w:val="left"/>
        <w:rPr/>
      </w:pPr>
      <w:r>
        <w:rPr>
          <w:color w:val="000000"/>
        </w:rPr>
        <w:t>•</w:t>
      </w:r>
      <w:r>
        <w:rPr>
          <w:rFonts w:ascii="Times New Roman;sans-serif" w:hAnsi="Times New Roman;sans-serif"/>
          <w:b w:val="false"/>
          <w:color w:val="000000"/>
          <w:sz w:val="20"/>
        </w:rPr>
        <w:t>Level 1 – Quoted prices (unadjusted) in active markets for identical assets or liabilities that the Company has the ability to access at the measurement date.</w:t>
      </w:r>
    </w:p>
    <w:p>
      <w:pPr>
        <w:pStyle w:val="TextBody"/>
        <w:bidi w:val="0"/>
        <w:spacing w:lineRule="auto" w:line="288" w:before="100" w:after="200"/>
        <w:ind w:left="0" w:right="0" w:hanging="540"/>
        <w:jc w:val="left"/>
        <w:rPr/>
      </w:pPr>
      <w:r>
        <w:rPr>
          <w:color w:val="000000"/>
        </w:rPr>
        <w:t>•</w:t>
      </w:r>
      <w:r>
        <w:rPr>
          <w:rFonts w:ascii="Times New Roman;sans-serif" w:hAnsi="Times New Roman;sans-serif"/>
          <w:b w:val="false"/>
          <w:color w:val="000000"/>
          <w:sz w:val="20"/>
        </w:rPr>
        <w:t>Level 2 – Inputs other than quoted prices included within Level 1 that are observable for the asset or liability, either directly or indirectly.</w:t>
      </w:r>
    </w:p>
    <w:p>
      <w:pPr>
        <w:pStyle w:val="TextBody"/>
        <w:bidi w:val="0"/>
        <w:spacing w:lineRule="auto" w:line="288" w:before="100" w:after="200"/>
        <w:ind w:left="0" w:right="0" w:hanging="540"/>
        <w:jc w:val="left"/>
        <w:rPr/>
      </w:pPr>
      <w:r>
        <w:rPr>
          <w:color w:val="000000"/>
        </w:rPr>
        <w:t>•</w:t>
      </w:r>
      <w:r>
        <w:rPr>
          <w:rFonts w:ascii="Times New Roman;sans-serif" w:hAnsi="Times New Roman;sans-serif"/>
          <w:b w:val="false"/>
          <w:color w:val="000000"/>
          <w:sz w:val="20"/>
        </w:rPr>
        <w:t>Level 3 – Unobservable inputs.</w:t>
      </w:r>
    </w:p>
    <w:p>
      <w:pPr>
        <w:pStyle w:val="TextBody"/>
        <w:bidi w:val="0"/>
        <w:spacing w:lineRule="auto" w:line="288" w:before="20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sets forth a summary of financial instruments that are measured at fair value on a recurring basis at December 31, 2023:</w:t>
      </w:r>
    </w:p>
    <w:tbl>
      <w:tblPr>
        <w:tblW w:w="8319" w:type="dxa"/>
        <w:jc w:val="center"/>
        <w:tblInd w:w="0" w:type="dxa"/>
        <w:tblLayout w:type="fixed"/>
        <w:tblCellMar>
          <w:top w:w="28" w:type="dxa"/>
          <w:left w:w="28" w:type="dxa"/>
          <w:bottom w:w="28" w:type="dxa"/>
          <w:right w:w="28" w:type="dxa"/>
        </w:tblCellMar>
      </w:tblPr>
      <w:tblGrid>
        <w:gridCol w:w="548"/>
        <w:gridCol w:w="481"/>
        <w:gridCol w:w="485"/>
        <w:gridCol w:w="211"/>
        <w:gridCol w:w="826"/>
        <w:gridCol w:w="109"/>
        <w:gridCol w:w="109"/>
        <w:gridCol w:w="109"/>
        <w:gridCol w:w="109"/>
        <w:gridCol w:w="281"/>
        <w:gridCol w:w="1103"/>
        <w:gridCol w:w="146"/>
        <w:gridCol w:w="109"/>
        <w:gridCol w:w="109"/>
        <w:gridCol w:w="109"/>
        <w:gridCol w:w="427"/>
        <w:gridCol w:w="821"/>
        <w:gridCol w:w="221"/>
        <w:gridCol w:w="109"/>
        <w:gridCol w:w="109"/>
        <w:gridCol w:w="109"/>
        <w:gridCol w:w="459"/>
        <w:gridCol w:w="883"/>
        <w:gridCol w:w="337"/>
      </w:tblGrid>
      <w:tr>
        <w:trPr/>
        <w:tc>
          <w:tcPr>
            <w:tcW w:w="54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Quoted Prices in </w:t>
              <w:br/>
              <w:t xml:space="preserve">Active Markets for </w:t>
              <w:br/>
              <w:t xml:space="preserve">Identical Assets </w:t>
              <w:b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Significant Other </w:t>
              <w:br/>
              <w:t xml:space="preserve">Observable Inputs </w:t>
              <w:b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Significant </w:t>
              <w:br/>
              <w:t>Unobservable Inputs </w:t>
              <w:br/>
              <w:t>(Level 3)</w:t>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281,162 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r>
      <w:tr>
        <w:trPr/>
        <w:tc>
          <w:tcPr>
            <w:tcW w:w="151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w10:wrap type="none"/>
              </v:rect>
            </w:pict>
          </mc:Fallback>
        </mc:AlternateContent>
      </w:r>
    </w:p>
    <w:p>
      <w:pPr>
        <w:pStyle w:val="TextBody"/>
        <w:bidi w:val="0"/>
        <w:spacing w:lineRule="auto" w:line="288" w:before="0" w:after="0"/>
        <w:jc w:val="left"/>
        <w:rPr/>
      </w:pPr>
      <w:hyperlink w:anchor="i8d6a21e15cb741baa6dee69bcf11e47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0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sets forth a summary of financial instruments that are measured at fair value on a recurring basis at December 31, 2022:</w:t>
      </w:r>
    </w:p>
    <w:tbl>
      <w:tblPr>
        <w:tblW w:w="8319" w:type="dxa"/>
        <w:jc w:val="center"/>
        <w:tblInd w:w="0" w:type="dxa"/>
        <w:tblLayout w:type="fixed"/>
        <w:tblCellMar>
          <w:top w:w="28" w:type="dxa"/>
          <w:left w:w="28" w:type="dxa"/>
          <w:bottom w:w="28" w:type="dxa"/>
          <w:right w:w="28" w:type="dxa"/>
        </w:tblCellMar>
      </w:tblPr>
      <w:tblGrid>
        <w:gridCol w:w="548"/>
        <w:gridCol w:w="481"/>
        <w:gridCol w:w="485"/>
        <w:gridCol w:w="211"/>
        <w:gridCol w:w="826"/>
        <w:gridCol w:w="109"/>
        <w:gridCol w:w="109"/>
        <w:gridCol w:w="109"/>
        <w:gridCol w:w="109"/>
        <w:gridCol w:w="281"/>
        <w:gridCol w:w="1103"/>
        <w:gridCol w:w="146"/>
        <w:gridCol w:w="109"/>
        <w:gridCol w:w="109"/>
        <w:gridCol w:w="109"/>
        <w:gridCol w:w="427"/>
        <w:gridCol w:w="821"/>
        <w:gridCol w:w="221"/>
        <w:gridCol w:w="109"/>
        <w:gridCol w:w="109"/>
        <w:gridCol w:w="109"/>
        <w:gridCol w:w="459"/>
        <w:gridCol w:w="883"/>
        <w:gridCol w:w="337"/>
      </w:tblGrid>
      <w:tr>
        <w:trPr/>
        <w:tc>
          <w:tcPr>
            <w:tcW w:w="54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Quoted Prices in </w:t>
              <w:br/>
              <w:t xml:space="preserve">Active Markets for </w:t>
              <w:br/>
              <w:t xml:space="preserve">Identical Assets </w:t>
              <w:b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Significant Other </w:t>
              <w:br/>
              <w:t xml:space="preserve">Observable Inputs </w:t>
              <w:b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Significant </w:t>
              <w:br/>
              <w:t>Unobservable Inputs </w:t>
              <w:br/>
              <w:t>(Level 3)</w:t>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259,647 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r>
      <w:tr>
        <w:trPr/>
        <w:tc>
          <w:tcPr>
            <w:tcW w:w="151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At December 31, 2023 and 2022, cash equivalents of $281.2 million and $259.6 million, respectively, consisted of money market funds and commercial paper, with original maturities of three months or less. The carrying amounts of cash equivalents are classified as Level 1 or Level 2 depending on whether or not their fair values are based on quoted market prices for identical securities that are traded in an active market.</w:t>
      </w:r>
    </w:p>
    <w:p>
      <w:pPr>
        <w:pStyle w:val="TextBody"/>
        <w:bidi w:val="0"/>
        <w:spacing w:lineRule="auto" w:line="268" w:before="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At December 31, 2023 and 2022, the Company had Convertible Senior Notes and its Term Loan B Facility (as defined in Note 17) included in its balance sheets. The estimated fair value of the Company's Convertible Senior Notes was $174.3 million and $305.0 million, as of December 31, 2023 and 2022, respectively. The estimated fair value of Convertible Senior Notes is based on market rates and the closing trading price of the Convertible Senior Notes as of December 31, 2023 and 2022 and is classified as Level 2 in the fair value hierarchy. At December 31, 2023 and 2022, the estimated fair value of the Company's Term Loan B Facility was $352.3 million and $333.3 million, respectively. The estimated fair value is based on borrowing rates currently available to the Company for financing with similar terms and is classified as Level 2 in the fair value hierarchy.</w:t>
      </w:r>
    </w:p>
    <w:p>
      <w:pPr>
        <w:pStyle w:val="TextBody"/>
        <w:bidi w:val="0"/>
        <w:spacing w:lineRule="auto" w:line="288" w:before="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There were no transfers between Level 1 and Level 2 fair value measurements during the years ended December 31, 2023 and 2022.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Note 6—Property and Equipment</w:t>
      </w:r>
    </w:p>
    <w:p>
      <w:pPr>
        <w:pStyle w:val="TextBody"/>
        <w:bidi w:val="0"/>
        <w:spacing w:lineRule="auto" w:line="288" w:before="0" w:after="200"/>
        <w:jc w:val="left"/>
        <w:rPr>
          <w:color w:val="000000"/>
        </w:rPr>
      </w:pPr>
      <w:r>
        <w:rPr>
          <w:color w:val="000000"/>
        </w:rPr>
        <w:t>    </w:t>
      </w:r>
      <w:r>
        <w:rPr>
          <w:rFonts w:ascii="Times New Roman;sans-serif" w:hAnsi="Times New Roman;sans-serif"/>
          <w:b w:val="false"/>
          <w:color w:val="000000"/>
          <w:sz w:val="20"/>
        </w:rPr>
        <w:t>Major classes of property and equipment were as follows:</w:t>
      </w:r>
    </w:p>
    <w:tbl>
      <w:tblPr>
        <w:tblW w:w="7047" w:type="dxa"/>
        <w:jc w:val="left"/>
        <w:tblInd w:w="0" w:type="dxa"/>
        <w:tblLayout w:type="fixed"/>
        <w:tblCellMar>
          <w:top w:w="28" w:type="dxa"/>
          <w:left w:w="28" w:type="dxa"/>
          <w:bottom w:w="28" w:type="dxa"/>
          <w:right w:w="28" w:type="dxa"/>
        </w:tblCellMar>
      </w:tblPr>
      <w:tblGrid>
        <w:gridCol w:w="1329"/>
        <w:gridCol w:w="1170"/>
        <w:gridCol w:w="1176"/>
        <w:gridCol w:w="304"/>
        <w:gridCol w:w="1039"/>
        <w:gridCol w:w="157"/>
        <w:gridCol w:w="109"/>
        <w:gridCol w:w="109"/>
        <w:gridCol w:w="109"/>
        <w:gridCol w:w="300"/>
        <w:gridCol w:w="1026"/>
        <w:gridCol w:w="219"/>
      </w:tblGrid>
      <w:tr>
        <w:trPr/>
        <w:tc>
          <w:tcPr>
            <w:tcW w:w="1329"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3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Purchased software</w:t>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equipment and network hardware</w:t>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154,821 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150,405 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fixtures and office equipment</w:t>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3,659 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3,368 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property and equipment</w:t>
            </w:r>
          </w:p>
        </w:tc>
        <w:tc>
          <w:tcPr>
            <w:tcW w:w="13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163,869 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158,682 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depreciation</w:t>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(116,498)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(113,713)</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property and equipment</w:t>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47,371 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44,969 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00"/>
        <w:jc w:val="left"/>
        <w:rPr>
          <w:color w:val="000000"/>
        </w:rPr>
      </w:pPr>
      <w:r>
        <w:rPr>
          <w:color w:val="000000"/>
        </w:rPr>
        <w:t>    </w:t>
      </w:r>
      <w:r>
        <w:rPr>
          <w:rFonts w:ascii="Times New Roman;sans-serif" w:hAnsi="Times New Roman;sans-serif"/>
          <w:b w:val="false"/>
          <w:color w:val="000000"/>
          <w:sz w:val="20"/>
        </w:rPr>
        <w:t>Depreciation expense on property and equipment totaled $24.0 million, $19.0 million, and $16.1 million for the years ended December 31, 2023, 2022, and 2021, respectively. There was impairment changes to property and equipment related to restructuring activities of $0.5 million for the year ended December 31, 2023 and there were no impairment charges to property and equipment for the years ended December 31, 2022 and 2021.</w:t>
      </w:r>
    </w:p>
    <w:p>
      <w:pPr>
        <w:pStyle w:val="TextBody"/>
        <w:bidi w:val="0"/>
        <w:spacing w:lineRule="auto" w:line="288" w:before="0" w:after="200"/>
        <w:jc w:val="left"/>
        <w:rPr>
          <w:color w:val="000000"/>
        </w:rPr>
      </w:pPr>
      <w:r>
        <w:rPr>
          <w:color w:val="000000"/>
        </w:rPr>
        <w:t>    </w:t>
      </w:r>
      <w:r>
        <w:rPr>
          <w:rFonts w:ascii="Times New Roman;sans-serif" w:hAnsi="Times New Roman;sans-serif"/>
          <w:b w:val="false"/>
          <w:color w:val="000000"/>
          <w:sz w:val="20"/>
        </w:rPr>
        <w:t>The Company's property and equipment, net by geographical region was as follows:</w:t>
      </w:r>
    </w:p>
    <w:tbl>
      <w:tblPr>
        <w:tblW w:w="4571" w:type="dxa"/>
        <w:jc w:val="center"/>
        <w:tblInd w:w="0" w:type="dxa"/>
        <w:tblLayout w:type="fixed"/>
        <w:tblCellMar>
          <w:top w:w="28" w:type="dxa"/>
          <w:left w:w="28" w:type="dxa"/>
          <w:bottom w:w="28" w:type="dxa"/>
          <w:right w:w="28" w:type="dxa"/>
        </w:tblCellMar>
      </w:tblPr>
      <w:tblGrid>
        <w:gridCol w:w="435"/>
        <w:gridCol w:w="381"/>
        <w:gridCol w:w="383"/>
        <w:gridCol w:w="304"/>
        <w:gridCol w:w="1039"/>
        <w:gridCol w:w="157"/>
        <w:gridCol w:w="109"/>
        <w:gridCol w:w="109"/>
        <w:gridCol w:w="109"/>
        <w:gridCol w:w="300"/>
        <w:gridCol w:w="1026"/>
        <w:gridCol w:w="219"/>
      </w:tblGrid>
      <w:tr>
        <w:trPr/>
        <w:tc>
          <w:tcPr>
            <w:tcW w:w="43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32,161 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31,036 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15,210 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13,933 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47,371 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44,969 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w10:wrap type="none"/>
              </v:rect>
            </w:pict>
          </mc:Fallback>
        </mc:AlternateContent>
      </w:r>
    </w:p>
    <w:p>
      <w:pPr>
        <w:pStyle w:val="TextBody"/>
        <w:bidi w:val="0"/>
        <w:spacing w:lineRule="auto" w:line="288" w:before="0" w:after="0"/>
        <w:jc w:val="left"/>
        <w:rPr/>
      </w:pPr>
      <w:hyperlink w:anchor="i8d6a21e15cb741baa6dee69bcf11e47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Note 7—Internal Use Software Development Costs</w:t>
      </w:r>
    </w:p>
    <w:p>
      <w:pPr>
        <w:pStyle w:val="TextBody"/>
        <w:bidi w:val="0"/>
        <w:spacing w:lineRule="auto" w:line="288" w:before="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Internal use software development costs were as follows:</w:t>
      </w:r>
    </w:p>
    <w:tbl>
      <w:tblPr>
        <w:tblW w:w="7554" w:type="dxa"/>
        <w:jc w:val="left"/>
        <w:tblInd w:w="0" w:type="dxa"/>
        <w:tblLayout w:type="fixed"/>
        <w:tblCellMar>
          <w:top w:w="28" w:type="dxa"/>
          <w:left w:w="28" w:type="dxa"/>
          <w:bottom w:w="28" w:type="dxa"/>
          <w:right w:w="28" w:type="dxa"/>
        </w:tblCellMar>
      </w:tblPr>
      <w:tblGrid>
        <w:gridCol w:w="1398"/>
        <w:gridCol w:w="1225"/>
        <w:gridCol w:w="1232"/>
        <w:gridCol w:w="109"/>
        <w:gridCol w:w="109"/>
        <w:gridCol w:w="109"/>
        <w:gridCol w:w="304"/>
        <w:gridCol w:w="1039"/>
        <w:gridCol w:w="157"/>
        <w:gridCol w:w="109"/>
        <w:gridCol w:w="109"/>
        <w:gridCol w:w="109"/>
        <w:gridCol w:w="300"/>
        <w:gridCol w:w="1026"/>
        <w:gridCol w:w="219"/>
      </w:tblGrid>
      <w:tr>
        <w:trPr/>
        <w:tc>
          <w:tcPr>
            <w:tcW w:w="1398"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3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Internal use software development costs, gross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82,932 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77,151 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(61,006)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(53,480)</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Internal use software development costs,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21,926 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23,671 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years ended December 31, 2023, 2022, and 2021, the Company capitalized $12.6 million, $16.2 million, and $12.9 million, respectively, of internal use software development costs. Amortization expense was $14.3 million, $12.6 million, and $9.0 million for the years ended December 31, 2023, 2022, and 2021, respectively. In the years ended December 31, 2023, 2022, and 2021, amortization expense included the write-off of software development costs of $0.4 million, $1.5 million, and $0.1 million, in the respective periods, related to the abandonment of the associated projects.</w:t>
      </w:r>
    </w:p>
    <w:p>
      <w:pPr>
        <w:pStyle w:val="TextBody"/>
        <w:bidi w:val="0"/>
        <w:spacing w:lineRule="auto" w:line="288" w:before="1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fourth quarter of 2022, the Company reassessed the remaining estimated useful lives of capitalized software projects related to integration of its technology platforms, which were revised to end during the third quarter of 2023. The change in the remaining estimated useful lives for the related projects resulted in increased amortization expense of $1.9 million and $0.7 million for the years ended December 31, 2023 and 2022, respectively. The increased amortization expense increased the basic and diluted loss per share by $0.01 and $0.01, net of tax, for the years ended December 31, 2023 and 2022, respectively.</w:t>
      </w:r>
    </w:p>
    <w:p>
      <w:pPr>
        <w:pStyle w:val="TextBody"/>
        <w:bidi w:val="0"/>
        <w:spacing w:lineRule="auto" w:line="288" w:before="1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Based on the Company’s internal use software development costs at December 31, 2023, excluding projects that are not ready for their intended use with a value of $3.9 million, estimated amortization expense of $9.3 million, $6.6 million, and $2.2 million is expected to be recognized in 2024, 2025, and 2026, respectively.</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Note 8—Goodwill and Intangible Assets</w:t>
      </w:r>
    </w:p>
    <w:p>
      <w:pPr>
        <w:pStyle w:val="TextBody"/>
        <w:bidi w:val="0"/>
        <w:spacing w:lineRule="auto" w:line="288" w:before="0" w:after="200"/>
        <w:jc w:val="left"/>
        <w:rPr>
          <w:color w:val="000000"/>
        </w:rPr>
      </w:pPr>
      <w:r>
        <w:rPr>
          <w:color w:val="000000"/>
        </w:rPr>
        <w:t>    </w:t>
      </w:r>
      <w:r>
        <w:rPr>
          <w:rFonts w:ascii="Times New Roman;sans-serif" w:hAnsi="Times New Roman;sans-serif"/>
          <w:b w:val="false"/>
          <w:color w:val="000000"/>
          <w:sz w:val="20"/>
        </w:rPr>
        <w:t>Details of the Company’s goodwill were as follows (in thousands):</w:t>
      </w:r>
    </w:p>
    <w:tbl>
      <w:tblPr>
        <w:tblW w:w="5315" w:type="dxa"/>
        <w:jc w:val="center"/>
        <w:tblInd w:w="0" w:type="dxa"/>
        <w:tblLayout w:type="fixed"/>
        <w:tblCellMar>
          <w:top w:w="28" w:type="dxa"/>
          <w:left w:w="28" w:type="dxa"/>
          <w:bottom w:w="28" w:type="dxa"/>
          <w:right w:w="28" w:type="dxa"/>
        </w:tblCellMar>
      </w:tblPr>
      <w:tblGrid>
        <w:gridCol w:w="1494"/>
        <w:gridCol w:w="1313"/>
        <w:gridCol w:w="1317"/>
        <w:gridCol w:w="211"/>
        <w:gridCol w:w="826"/>
        <w:gridCol w:w="154"/>
      </w:tblGrid>
      <w:tr>
        <w:trPr/>
        <w:tc>
          <w:tcPr>
            <w:tcW w:w="1494"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 at December 31, 2021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969,873 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for Acquisition of Carbon (Note 9)</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the Acquisition of SpotX (Note 9)</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 at December 31, 2022</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978,217 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Additions or adjustments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 at December 31, 2023</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978,217 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w10:wrap type="none"/>
              </v:rect>
            </w:pict>
          </mc:Fallback>
        </mc:AlternateContent>
      </w:r>
    </w:p>
    <w:p>
      <w:pPr>
        <w:pStyle w:val="TextBody"/>
        <w:bidi w:val="0"/>
        <w:spacing w:lineRule="auto" w:line="288" w:before="0" w:after="0"/>
        <w:jc w:val="left"/>
        <w:rPr/>
      </w:pPr>
      <w:hyperlink w:anchor="i8d6a21e15cb741baa6dee69bcf11e47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00" w:after="100"/>
        <w:jc w:val="left"/>
        <w:rPr>
          <w:color w:val="000000"/>
        </w:rPr>
      </w:pPr>
      <w:r>
        <w:rPr>
          <w:color w:val="000000"/>
        </w:rPr>
        <w:t>    </w:t>
      </w:r>
      <w:r>
        <w:rPr>
          <w:rFonts w:ascii="Times New Roman;sans-serif" w:hAnsi="Times New Roman;sans-serif"/>
          <w:b w:val="false"/>
          <w:color w:val="000000"/>
          <w:sz w:val="20"/>
        </w:rPr>
        <w:t>The Company’s intangible assets as of December 31, 2023 and 2022 included the following:</w:t>
      </w:r>
    </w:p>
    <w:tbl>
      <w:tblPr>
        <w:tblW w:w="7629" w:type="dxa"/>
        <w:jc w:val="left"/>
        <w:tblInd w:w="0" w:type="dxa"/>
        <w:tblLayout w:type="fixed"/>
        <w:tblCellMar>
          <w:top w:w="28" w:type="dxa"/>
          <w:left w:w="28" w:type="dxa"/>
          <w:bottom w:w="28" w:type="dxa"/>
          <w:right w:w="28" w:type="dxa"/>
        </w:tblCellMar>
      </w:tblPr>
      <w:tblGrid>
        <w:gridCol w:w="1544"/>
        <w:gridCol w:w="1353"/>
        <w:gridCol w:w="1362"/>
        <w:gridCol w:w="276"/>
        <w:gridCol w:w="1081"/>
        <w:gridCol w:w="142"/>
        <w:gridCol w:w="109"/>
        <w:gridCol w:w="109"/>
        <w:gridCol w:w="109"/>
        <w:gridCol w:w="273"/>
        <w:gridCol w:w="1072"/>
        <w:gridCol w:w="199"/>
      </w:tblGrid>
      <w:tr>
        <w:trPr/>
        <w:tc>
          <w:tcPr>
            <w:tcW w:w="1544"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00"/>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Amortizable intangible assets:</w:t>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Developed technology</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109,736 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390,136 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37,300 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136,000 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In-process research and development</w:t>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12,730 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Trademarks</w:t>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Non-compete agreements</w:t>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Total identifiable intangible assets, gross</w:t>
            </w:r>
          </w:p>
        </w:tc>
        <w:tc>
          <w:tcPr>
            <w:tcW w:w="13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156,966 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540,666 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amortization—intangible assets:</w:t>
            </w:r>
          </w:p>
        </w:tc>
        <w:tc>
          <w:tcPr>
            <w:tcW w:w="14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Developed technology</w:t>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(75,321)</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(184,439)</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(24,867)</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(97,316)</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In-process research and development</w:t>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(4,832)</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(4,398)</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Trademarks</w:t>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Non-compete agreements</w:t>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Total accumulated amortization—intangible assets</w:t>
            </w:r>
          </w:p>
        </w:tc>
        <w:tc>
          <w:tcPr>
            <w:tcW w:w="13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(105,955)</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(287,165)</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Total identifiable intangible assets, net</w:t>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51,011 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253,501 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 for the years ended December 31, 2023, 2022, and 2021 was $202.5 million, $184.4 million, and $121.9 million, respectively. For the years ended December 31, 2023, 2022, and 2021, the Company wrote off fully amortized intangible assets with a historical cost of $383.7 million, $40.5 million and $11.1 million, respectively. During the year ended December 31, 2022, the Company abandoned certain in-process research and development projects and technology intangible assets. The abandonment resulted in $3.3 million of impairment costs, which was included in merger, acquisition, and restructuring costs in the consolidated statements of operations.</w:t>
      </w:r>
    </w:p>
    <w:p>
      <w:pPr>
        <w:pStyle w:val="TextBody"/>
        <w:bidi w:val="0"/>
        <w:spacing w:lineRule="auto" w:line="288" w:before="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fourth quarter of 2022, the Company reassessed the remaining estimated useful lives of the developed technology and in-process research and development related to the SpotX acquisition based on the remaining expected benefit from those assets, which were revised to end during the third quarter of 2023. The change in the remaining estimated useful lives for developed technology and in-process research and development resulted in increased amortization expense of $97.6 million and $34.7 million for the years ended December 31, 2023 and 2022. The increased amortization expense increased the basic and diluted loss per share by $0.71 and $0.27, net of tax, for the years ended December 31, 2023 and 2022. </w:t>
      </w:r>
    </w:p>
    <w:p>
      <w:pPr>
        <w:pStyle w:val="TextBody"/>
        <w:bidi w:val="0"/>
        <w:spacing w:lineRule="auto" w:line="288" w:before="0" w:after="100"/>
        <w:jc w:val="left"/>
        <w:rPr>
          <w:color w:val="000000"/>
        </w:rPr>
      </w:pPr>
      <w:r>
        <w:rPr>
          <w:color w:val="000000"/>
        </w:rPr>
        <w:t>    </w:t>
      </w:r>
      <w:r>
        <w:rPr>
          <w:rFonts w:ascii="Times New Roman;sans-serif" w:hAnsi="Times New Roman;sans-serif"/>
          <w:b w:val="false"/>
          <w:color w:val="000000"/>
          <w:sz w:val="20"/>
        </w:rPr>
        <w:t>The estimated remaining amortization expense associated with the Company's intangible assets was as follows as of December 31, 2023:</w:t>
      </w:r>
    </w:p>
    <w:tbl>
      <w:tblPr>
        <w:tblW w:w="2114" w:type="dxa"/>
        <w:jc w:val="left"/>
        <w:tblInd w:w="0" w:type="dxa"/>
        <w:tblLayout w:type="fixed"/>
        <w:tblCellMar>
          <w:top w:w="28" w:type="dxa"/>
          <w:left w:w="28" w:type="dxa"/>
          <w:bottom w:w="28" w:type="dxa"/>
          <w:right w:w="28" w:type="dxa"/>
        </w:tblCellMar>
      </w:tblPr>
      <w:tblGrid>
        <w:gridCol w:w="342"/>
        <w:gridCol w:w="300"/>
        <w:gridCol w:w="302"/>
        <w:gridCol w:w="227"/>
        <w:gridCol w:w="777"/>
        <w:gridCol w:w="166"/>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Fiscal Year</w:t>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r>
      <w:tr>
        <w:trPr/>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30,134 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14,445 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4"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944"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51,011 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qualitative assessment in the fourth quarter of 2023 did not indicate that it is more likely than not that the fair value of its goodwill, intangible assets, and other long-lived assets is less than the aggregate carrying amount.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w10:wrap type="none"/>
              </v:rect>
            </w:pict>
          </mc:Fallback>
        </mc:AlternateContent>
      </w:r>
    </w:p>
    <w:p>
      <w:pPr>
        <w:pStyle w:val="TextBody"/>
        <w:bidi w:val="0"/>
        <w:spacing w:lineRule="auto" w:line="288" w:before="0" w:after="0"/>
        <w:jc w:val="left"/>
        <w:rPr/>
      </w:pPr>
      <w:hyperlink w:anchor="i8d6a21e15cb741baa6dee69bcf11e47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Note 9—Business Combinations</w:t>
      </w:r>
    </w:p>
    <w:p>
      <w:pPr>
        <w:pStyle w:val="TextBody"/>
        <w:bidi w:val="0"/>
        <w:spacing w:lineRule="auto" w:line="288" w:before="100" w:after="20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2021 Acquisition—SpotX</w:t>
      </w:r>
    </w:p>
    <w:p>
      <w:pPr>
        <w:pStyle w:val="TextBody"/>
        <w:bidi w:val="0"/>
        <w:spacing w:lineRule="auto" w:line="288" w:before="100" w:after="283"/>
        <w:ind w:left="0" w:right="0" w:firstLine="720"/>
        <w:jc w:val="left"/>
        <w:rPr/>
      </w:pPr>
      <w:r>
        <w:rPr>
          <w:rFonts w:ascii="Times New Roman;sans-serif" w:hAnsi="Times New Roman;sans-serif"/>
          <w:b w:val="false"/>
          <w:color w:val="000000"/>
          <w:sz w:val="20"/>
        </w:rPr>
        <w:t>On April 30, 2021, the Company completed the SpotX Acquisition, pursuant to a Stock Purchase Agreement, dated as of February 4, 2021 (the "Purchase Agreement"), ("SpotX" and such acquisition the "SpotX Acquisition"), by and between the Company and RTL US Holdings, Inc. ("RTL"). The initial purchase price for the SpotX Acquisition was $560 million in cash ("Cash Consideration") and 14,000,000 shares of the Company's common stock. Per the terms of the Purchase Agreement, at the completion of the Company’s offering of its Convertible Senior Notes, RTL elected to increase the Cash Consideration by an amount equal to 20% of the gross proceeds of the Convertible Senior Notes (which amount was equal to $80 million) and to reduce the number of shares of common stock it would otherwise receive by a number of shares of common stock equal to 20% of the gross proceeds of the proposed offering of notes ($80 million) divided by the closing price of a share of the Company's common stock on the trading day immediately prior to the date of pricing of the proposed offering of notes ($49.21). As a result of this election, the adjusted purchase price was $1.1 billion, prior to customary working capital adjustments and other adjustments, consisting of $640.0 million in cash plus 12,374,315 shares of common stock (based on the fair value of the Company's common stock on April 30, 2021). The Cash Consideration is subject to customary working capital and other adjustments. The working capital was approximately $65.2 million, including cash balances acquired and other working capital adjustments, resulting in a total purchase price of $1.2 billion. The Company financed the Cash Consideration through borrowings under the Term Loan B Facility and the Convertible Senior Notes (Note 17).</w:t>
      </w:r>
      <w:r>
        <w:rPr>
          <w:color w:val="000000"/>
        </w:rPr>
        <w:t xml:space="preserve"> </w:t>
      </w:r>
    </w:p>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accordance with ASC 805, the Company recorded the acquisition based on the fair value of the consideration transferred and then allocated the purchase price to the identifiable assets acquired and liabilities assumed based on their respective fair values as of the acquisition date. The excess of the value of consideration transferred over the aggregate fair value of those net assets was recorded as goodwill. Any identified definite lived intangible assets will be amortized over their estimated useful lives and any identified intangible assets with indefinite useful lives and goodwill will not be amortized but will be tested for impairment at least annually. All intangible assets and goodwill will be tested for impairment when certain indicators are present. Determining the fair value of assets acquired and liabilities assumed requires management to use significant judgment and estimates including the selection of valuation methodologies, estimates of future revenues and cash flows, discount rates, and selection of comparable companies. </w:t>
      </w:r>
    </w:p>
    <w:p>
      <w:pPr>
        <w:pStyle w:val="TextBody"/>
        <w:bidi w:val="0"/>
        <w:spacing w:lineRule="auto" w:line="288" w:before="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purposes of measuring the estimated fair value, where applicable, of the assets acquired and the liabilities assumed, the Company has applied the guidance in ASC 820, Fair Value Measurement, which establishes a framework for measuring fair value. In accordance with ASC 820, fair value is an exit price and is defined as "the price that would be received to sell an asset or paid to transfer a liability in an orderly transaction between market participants at the measurement date." Under ASC 805, acquisition-related transaction costs and acquisition-related restructuring charges are not included as components of consideration transferred but are accounted for as expenses in the period in which the costs are incurred.</w:t>
      </w:r>
    </w:p>
    <w:p>
      <w:pPr>
        <w:pStyle w:val="TextBody"/>
        <w:bidi w:val="0"/>
        <w:spacing w:lineRule="auto" w:line="288" w:before="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total purchase consideration (in thousands):</w:t>
      </w:r>
    </w:p>
    <w:tbl>
      <w:tblPr>
        <w:tblW w:w="7085" w:type="dxa"/>
        <w:jc w:val="left"/>
        <w:tblInd w:w="0" w:type="dxa"/>
        <w:tblLayout w:type="fixed"/>
        <w:tblCellMar>
          <w:top w:w="28" w:type="dxa"/>
          <w:left w:w="28" w:type="dxa"/>
          <w:bottom w:w="28" w:type="dxa"/>
          <w:right w:w="28" w:type="dxa"/>
        </w:tblCellMar>
      </w:tblPr>
      <w:tblGrid>
        <w:gridCol w:w="2079"/>
        <w:gridCol w:w="1829"/>
        <w:gridCol w:w="1836"/>
        <w:gridCol w:w="211"/>
        <w:gridCol w:w="976"/>
        <w:gridCol w:w="154"/>
      </w:tblGrid>
      <w:tr>
        <w:trPr/>
        <w:tc>
          <w:tcPr>
            <w:tcW w:w="2079" w:type="dxa"/>
            <w:tcBorders/>
            <w:vAlign w:val="center"/>
          </w:tcPr>
          <w:p>
            <w:pPr>
              <w:pStyle w:val="TableContents"/>
              <w:bidi w:val="0"/>
              <w:spacing w:before="0" w:after="283"/>
              <w:jc w:val="left"/>
              <w:rPr>
                <w:sz w:val="4"/>
                <w:szCs w:val="4"/>
              </w:rPr>
            </w:pPr>
            <w:r>
              <w:rPr>
                <w:sz w:val="4"/>
                <w:szCs w:val="4"/>
              </w:rPr>
            </w:r>
          </w:p>
        </w:tc>
        <w:tc>
          <w:tcPr>
            <w:tcW w:w="1829" w:type="dxa"/>
            <w:tcBorders/>
            <w:vAlign w:val="center"/>
          </w:tcPr>
          <w:p>
            <w:pPr>
              <w:pStyle w:val="TableContents"/>
              <w:bidi w:val="0"/>
              <w:spacing w:before="0" w:after="283"/>
              <w:jc w:val="left"/>
              <w:rPr>
                <w:sz w:val="4"/>
                <w:szCs w:val="4"/>
              </w:rPr>
            </w:pPr>
            <w:r>
              <w:rPr>
                <w:sz w:val="4"/>
                <w:szCs w:val="4"/>
              </w:rPr>
            </w:r>
          </w:p>
        </w:tc>
        <w:tc>
          <w:tcPr>
            <w:tcW w:w="18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Consideration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Consideration (Fair Value of Shares of Magnite common stock)</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495,591 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Working capital adjustment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purchase consideration</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1,200,743 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purchase consideration for the SpotX Acquisition included 12,374,315 shares of the Company's common stock with a fair value of approximately $495.6 million, based on the close price of the Company's common stock at closing on April 30, 2021, which was $40.05 per share, and working capital adjustment of $65.2 million, mainly consisting of cash balances acquired on the date of the SpotX Acquisition and other opening balance sheet adjustments. </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first quarter of 2022, the Company adjusted the preliminary purchase price allocation for SpotX based on updated fair values associated with the acquired assets and liabilities. Adjustments impacted acquisition related accounts payable and tax accruals. The Company finalized the purchase price allocation of SpotX in the second quarter of 2022, resulting in no additional changes to the purchase price allocation.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w10:wrap type="none"/>
              </v:rect>
            </w:pict>
          </mc:Fallback>
        </mc:AlternateContent>
      </w:r>
    </w:p>
    <w:p>
      <w:pPr>
        <w:pStyle w:val="TextBody"/>
        <w:bidi w:val="0"/>
        <w:spacing w:lineRule="auto" w:line="288" w:before="0" w:after="0"/>
        <w:jc w:val="left"/>
        <w:rPr/>
      </w:pPr>
      <w:hyperlink w:anchor="i8d6a21e15cb741baa6dee69bcf11e47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 of the purchase price was allocated to the identifiable assets acquired and liabilities assumed based upon their estimated fair values as of the date of the SpotX Acquisition as set forth below (in thousands): </w:t>
      </w:r>
    </w:p>
    <w:tbl>
      <w:tblPr>
        <w:tblW w:w="4715" w:type="dxa"/>
        <w:jc w:val="left"/>
        <w:tblInd w:w="0" w:type="dxa"/>
        <w:tblLayout w:type="fixed"/>
        <w:tblCellMar>
          <w:top w:w="28" w:type="dxa"/>
          <w:left w:w="28" w:type="dxa"/>
          <w:bottom w:w="28" w:type="dxa"/>
          <w:right w:w="28" w:type="dxa"/>
        </w:tblCellMar>
      </w:tblPr>
      <w:tblGrid>
        <w:gridCol w:w="1216"/>
        <w:gridCol w:w="1069"/>
        <w:gridCol w:w="1089"/>
        <w:gridCol w:w="211"/>
        <w:gridCol w:w="976"/>
        <w:gridCol w:w="154"/>
      </w:tblGrid>
      <w:tr>
        <w:trPr/>
        <w:tc>
          <w:tcPr>
            <w:tcW w:w="1216"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81,967 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199,649 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and other assets, current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429,600 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lease asset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782,719 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 to be acquired</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1,523,320 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205,822 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liability,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to be assumed</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322,577 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purchase price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1,200,743 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believes the amount of goodwill resulting from the purchase price allocation is primarily attributable to expected synergies from the assembled workforce, an increase in development capabilities, increased offerings to customers, and enhanced opportunities for growth and innovation. Goodwill will not be amortized but instead will be tested for impairment at least annually or more frequently if certain indicators of impairment are present. In the event that goodwill has become impaired, the Company will record an expense for the amount impaired during the quarter in which the determination is made. The acquired intangibles and goodwill resulting from the SpotX Acquisition are not amortizable for tax purposes.</w:t>
      </w:r>
    </w:p>
    <w:p>
      <w:pPr>
        <w:pStyle w:val="TextBody"/>
        <w:bidi w:val="0"/>
        <w:spacing w:lineRule="auto" w:line="288" w:before="2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components of the intangible assets and estimated useful lives as of the date of the SpotX Acquisition (dollars in thousands):</w:t>
      </w:r>
    </w:p>
    <w:tbl>
      <w:tblPr>
        <w:tblW w:w="10205" w:type="dxa"/>
        <w:jc w:val="left"/>
        <w:tblInd w:w="0" w:type="dxa"/>
        <w:tblLayout w:type="fixed"/>
        <w:tblCellMar>
          <w:top w:w="28" w:type="dxa"/>
          <w:left w:w="28" w:type="dxa"/>
          <w:bottom w:w="28" w:type="dxa"/>
          <w:right w:w="28" w:type="dxa"/>
        </w:tblCellMar>
      </w:tblPr>
      <w:tblGrid>
        <w:gridCol w:w="1848"/>
        <w:gridCol w:w="1606"/>
        <w:gridCol w:w="1615"/>
        <w:gridCol w:w="415"/>
        <w:gridCol w:w="1625"/>
        <w:gridCol w:w="214"/>
        <w:gridCol w:w="843"/>
        <w:gridCol w:w="843"/>
        <w:gridCol w:w="1196"/>
      </w:tblGrid>
      <w:tr>
        <w:trPr/>
        <w:tc>
          <w:tcPr>
            <w:tcW w:w="1848"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6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 Useful Life</w:t>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w:t>
            </w:r>
          </w:p>
        </w:tc>
        <w:tc>
          <w:tcPr>
            <w:tcW w:w="4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280,400 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 years</w:t>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2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130,300 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 to 4 years</w:t>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Backlog</w:t>
            </w:r>
          </w:p>
        </w:tc>
        <w:tc>
          <w:tcPr>
            <w:tcW w:w="2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11,100 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&lt;1 year</w:t>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In-process research and development</w:t>
            </w:r>
          </w:p>
        </w:tc>
        <w:tc>
          <w:tcPr>
            <w:tcW w:w="2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5,800 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 years*</w:t>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Non-compete agreements</w:t>
            </w:r>
          </w:p>
        </w:tc>
        <w:tc>
          <w:tcPr>
            <w:tcW w:w="2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 year</w:t>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Trademarks</w:t>
            </w:r>
          </w:p>
        </w:tc>
        <w:tc>
          <w:tcPr>
            <w:tcW w:w="2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&lt;1 year</w:t>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intangible assets acquired</w:t>
            </w:r>
          </w:p>
        </w:tc>
        <w:tc>
          <w:tcPr>
            <w:tcW w:w="4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429,600 </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In-process research and development consists of six projects with a weighted-average useful life of 3 years. Amortization begins once associated projects are completed and it is determined the projects have alternative future use.</w:t>
            </w:r>
          </w:p>
        </w:tc>
      </w:tr>
    </w:tbl>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 of the acquired technology and in-process research and development was valued using the Excess Earnings Method. This methodology included allocating future revenue projections to the existing technologies and applying decay rates and appropriate discount rates that reflect the respective intangible asset's relative risk profile when compared to other intangible assets as well as the discount rate for the overall business. </w:t>
      </w:r>
    </w:p>
    <w:p>
      <w:pPr>
        <w:pStyle w:val="TextBody"/>
        <w:bidi w:val="0"/>
        <w:spacing w:lineRule="auto" w:line="288" w:before="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used the Loss‐of‐Revenue and Income Method in its valuation of the existing customer relationships and non-compete agreements. To the extent that future cash flows of the business would be negatively affected in the absence of these relationships and non-compete agreements, they would be deemed to have economic value. This method attempts to quantify the scenario whereby the owner loses the right to the intangible asset and the resulting losses of revenue and income. Under this analysis, the value of the cash flows with the intangible asset is compared to the value of the cash flows without the intangible asset and the difference represents the value of the intangible asset. This methodology included applying a discount rate and the expected timing it would take to further enhance customer relationships.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w10:wrap type="none"/>
              </v:rect>
            </w:pict>
          </mc:Fallback>
        </mc:AlternateContent>
      </w:r>
    </w:p>
    <w:p>
      <w:pPr>
        <w:pStyle w:val="TextBody"/>
        <w:bidi w:val="0"/>
        <w:spacing w:lineRule="auto" w:line="288" w:before="0" w:after="0"/>
        <w:jc w:val="left"/>
        <w:rPr/>
      </w:pPr>
      <w:hyperlink w:anchor="i8d6a21e15cb741baa6dee69bcf11e47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the backlog was based on the Excess Earnings Method, taking into consideration the existing contracts as of the date of the SpotX Acquisition and the respective cost to complete the servicing of the existing agreements. The resulting stream of after tax earnings were discounted to present value by applying an appropriate discount rate for the asset. The discount rate was selected based on the intangible asset’s relative risk profile when compared to the other intangible assets as well as the discount rate for the overall business.</w:t>
      </w:r>
    </w:p>
    <w:p>
      <w:pPr>
        <w:pStyle w:val="TextBody"/>
        <w:bidi w:val="0"/>
        <w:spacing w:lineRule="auto" w:line="288" w:before="1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the trademarks was based on the Income Approach, specifically the Relief‐from‐Royalty Method. Under this method, data is obtained regarding actual royalty payments made for similar intangible assets. After the appropriate royalty rate is determined, the reasonable royalty savings is then discounted to its present value over the remaining technological, economic, or legal life of the intangible asset.</w:t>
      </w:r>
    </w:p>
    <w:p>
      <w:pPr>
        <w:pStyle w:val="TextBody"/>
        <w:bidi w:val="0"/>
        <w:spacing w:lineRule="auto" w:line="288" w:before="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Intangible assets are generally amortized on a straight-line basis, which approximates the pattern in which the economic benefits are consumed, over their estimated useful lives. Amortization of developed technology is included in cost of revenues and the amortization of customer relationships, backlog, non-compete agreements, and trademarks is included in sales and marketing expenses in the consolidated statements of operations. Once the projects associated with acquired in-process research and development are completed, amortization will be included in cost of revenues in the consolidated statements of operations. The acquired intangible assets and goodwill resulting from the SpotX Acquisition are not tax deductible. </w:t>
      </w:r>
    </w:p>
    <w:p>
      <w:pPr>
        <w:pStyle w:val="TextBody"/>
        <w:bidi w:val="0"/>
        <w:spacing w:lineRule="auto" w:line="288" w:before="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part of the SpotX Acquisition, deferred tax liabilities were established. As a result of the deferred tax liability balance created by the acquisition, the Company reduced its deferred tax asset ("DTA") valuation allowance by $56.2 million for the year ended December 31, 2021. Such reduction was recognized as an income tax benefit in the post-acquisition consolidated statements of operations for the year ended December 31, 2021.</w:t>
      </w:r>
    </w:p>
    <w:p>
      <w:pPr>
        <w:pStyle w:val="TextBody"/>
        <w:bidi w:val="0"/>
        <w:spacing w:lineRule="auto" w:line="288" w:before="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recognized approximately $27.9 million of acquisition related costs included in the merger, acquisition, and restructuring costs in the Company's consolidated statements of operations during the year ended December 31, 2021 related to the SpotX Acquisition.</w:t>
      </w:r>
    </w:p>
    <w:p>
      <w:pPr>
        <w:pStyle w:val="TextBody"/>
        <w:bidi w:val="0"/>
        <w:spacing w:lineRule="auto" w:line="288" w:before="100" w:after="283"/>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2021 Acquisition—SpringServe</w:t>
      </w:r>
    </w:p>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July 1, 2021, the Company, through its wholly-owned subsidiary, SpotX, completed the acquisition of SpringServe, LLC ("SpringServe" and such acquisition the "SpringServe Acquisition"). As a result of the SpringServe Acquisition, SpringServe became a wholly-owned subsidiary of SpotX, and a wholly-owned indirect subsidiary of the Company. </w:t>
      </w:r>
    </w:p>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total purchase consideration (in thousands):</w:t>
      </w:r>
    </w:p>
    <w:tbl>
      <w:tblPr>
        <w:tblW w:w="5090" w:type="dxa"/>
        <w:jc w:val="left"/>
        <w:tblInd w:w="0" w:type="dxa"/>
        <w:tblLayout w:type="fixed"/>
        <w:tblCellMar>
          <w:top w:w="28" w:type="dxa"/>
          <w:left w:w="28" w:type="dxa"/>
          <w:bottom w:w="28" w:type="dxa"/>
          <w:right w:w="28" w:type="dxa"/>
        </w:tblCellMar>
      </w:tblPr>
      <w:tblGrid>
        <w:gridCol w:w="1449"/>
        <w:gridCol w:w="1275"/>
        <w:gridCol w:w="1280"/>
        <w:gridCol w:w="211"/>
        <w:gridCol w:w="721"/>
        <w:gridCol w:w="154"/>
      </w:tblGrid>
      <w:tr>
        <w:trPr/>
        <w:tc>
          <w:tcPr>
            <w:tcW w:w="1449"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Consideration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SpotX initial cash investment in SpringServe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Fair value appreciation of SpotX purchase right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Indemnification claims - holdback</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purchase consideration</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42,070 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2020, SpotX made a minority investment of $2.1 million in SpringServe in conjunction with a strategic partnership agreement between the two companies, which included an option agreement to purchase SpringServe. At the time of Magnite's acquisition of SpotX, the fair value of SpotX's minority investment and purchase right were valued at a combined $7.5 million for a total minority investment and purchase right of $9.5 million. In connection with the SpringServe Acquisition, $1.4 million of the purchase price was held back to cover possible indemnification claims.</w:t>
      </w:r>
    </w:p>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accordance with ASC 805, the Company recorded the acquisition based on the fair value of the consideration transferred and then allocated the purchase price to the identifiable assets acquired and liabilities assumed based on their respective fair values as of the acquisition date. The excess of the value of consideration transferred over the aggregate fair value of those net assets was recorded as goodwill. Any identified definite lived intangible assets will be amortized over their estimated useful lives and any identified intangible assets with indefinite useful lives and goodwill will not be amortized but will be tested for impairment at least annually. All intangible assets and goodwill will be tested for impairment when certain indicators are present. Determining the fair value of assets acquired and liabilities assumed requires management to use significant judgment and estimates including the selection of valuation methodologies, estimates of future revenues and cash flows, discount rates, and selection of comparable companies. </w:t>
      </w:r>
    </w:p>
    <w:p>
      <w:pPr>
        <w:pStyle w:val="TextBody"/>
        <w:bidi w:val="0"/>
        <w:spacing w:lineRule="auto" w:line="288" w:before="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purposes of measuring the estimated fair value, where applicable, of the assets acquired and the liabilities assumed, the Company has applied the guidance in ASC 820, Fair Value Measurement, which establishes a framework for measuring fair value. In accordance with ASC 820, fair value is an exit price and is defined as "the price that would be received to sell an asset or paid to transfer a liability in an orderly transaction between market participants at the measurement date." Under ASC 805, acquisition-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w10:wrap type="none"/>
              </v:rect>
            </w:pict>
          </mc:Fallback>
        </mc:AlternateContent>
      </w:r>
    </w:p>
    <w:p>
      <w:pPr>
        <w:pStyle w:val="TextBody"/>
        <w:bidi w:val="0"/>
        <w:spacing w:lineRule="auto" w:line="288" w:before="0" w:after="0"/>
        <w:jc w:val="left"/>
        <w:rPr/>
      </w:pPr>
      <w:hyperlink w:anchor="i8d6a21e15cb741baa6dee69bcf11e47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related transaction costs and acquisition-related restructuring charges are not included as components of consideration transferred but are accounted for as expenses in the period in which the costs are incurred.</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finalized the purchase price allocation of SpringServe in the third quarter of 2022, resulting in no additional changes to the purchase price allocation and the full payment of the $1.4 million holdback liability. The fair value of the purchase price was allocated to the identifiable assets acquired and liabilities assumed based upon their estimated fair values as of the date of the SpringServe Acquisition as set forth below (in thousands):</w:t>
      </w:r>
    </w:p>
    <w:tbl>
      <w:tblPr>
        <w:tblW w:w="4460" w:type="dxa"/>
        <w:jc w:val="left"/>
        <w:tblInd w:w="0" w:type="dxa"/>
        <w:tblLayout w:type="fixed"/>
        <w:tblCellMar>
          <w:top w:w="28" w:type="dxa"/>
          <w:left w:w="28" w:type="dxa"/>
          <w:bottom w:w="28" w:type="dxa"/>
          <w:right w:w="28" w:type="dxa"/>
        </w:tblCellMar>
      </w:tblPr>
      <w:tblGrid>
        <w:gridCol w:w="1218"/>
        <w:gridCol w:w="1071"/>
        <w:gridCol w:w="1085"/>
        <w:gridCol w:w="211"/>
        <w:gridCol w:w="721"/>
        <w:gridCol w:w="154"/>
      </w:tblGrid>
      <w:tr>
        <w:trPr/>
        <w:tc>
          <w:tcPr>
            <w:tcW w:w="1218"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and other assets, current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lease asset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 to be acquired</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53,913 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liability,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to be assumed</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11,843 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preliminary purchase price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42,070 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believes the amount of goodwill resulting from the purchase price allocation is primarily attributable to expected synergies from the assembled workforce, an increase in development capabilities, increased offerings to customers, and enhanced opportunities for growth and innovation. Goodwill will not be amortized but instead will be tested for impairment at least annually or more frequently if certain indicators of impairment are present. In the event that goodwill has become impaired, the Company will record an expense for the amount impaired during the quarter in which the determination is made. </w:t>
      </w:r>
    </w:p>
    <w:p>
      <w:pPr>
        <w:pStyle w:val="TextBody"/>
        <w:bidi w:val="0"/>
        <w:spacing w:lineRule="auto" w:line="288" w:before="2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components of the intangible assets and estimated useful lives as of the date of the SpringServe Acquisition (dollars in thousands):</w:t>
      </w:r>
    </w:p>
    <w:tbl>
      <w:tblPr>
        <w:tblW w:w="10205" w:type="dxa"/>
        <w:jc w:val="left"/>
        <w:tblInd w:w="0" w:type="dxa"/>
        <w:tblLayout w:type="fixed"/>
        <w:tblCellMar>
          <w:top w:w="28" w:type="dxa"/>
          <w:left w:w="28" w:type="dxa"/>
          <w:bottom w:w="28" w:type="dxa"/>
          <w:right w:w="28" w:type="dxa"/>
        </w:tblCellMar>
      </w:tblPr>
      <w:tblGrid>
        <w:gridCol w:w="1888"/>
        <w:gridCol w:w="1641"/>
        <w:gridCol w:w="1650"/>
        <w:gridCol w:w="422"/>
        <w:gridCol w:w="1443"/>
        <w:gridCol w:w="218"/>
        <w:gridCol w:w="861"/>
        <w:gridCol w:w="861"/>
        <w:gridCol w:w="1221"/>
      </w:tblGrid>
      <w:tr>
        <w:trPr/>
        <w:tc>
          <w:tcPr>
            <w:tcW w:w="1888" w:type="dxa"/>
            <w:tcBorders/>
            <w:vAlign w:val="center"/>
          </w:tcPr>
          <w:p>
            <w:pPr>
              <w:pStyle w:val="TableContents"/>
              <w:bidi w:val="0"/>
              <w:spacing w:before="0" w:after="283"/>
              <w:jc w:val="left"/>
              <w:rPr>
                <w:sz w:val="4"/>
                <w:szCs w:val="4"/>
              </w:rPr>
            </w:pPr>
            <w:r>
              <w:rPr>
                <w:sz w:val="4"/>
                <w:szCs w:val="4"/>
              </w:rPr>
            </w:r>
          </w:p>
        </w:tc>
        <w:tc>
          <w:tcPr>
            <w:tcW w:w="1641" w:type="dxa"/>
            <w:tcBorders/>
            <w:vAlign w:val="center"/>
          </w:tcPr>
          <w:p>
            <w:pPr>
              <w:pStyle w:val="TableContents"/>
              <w:bidi w:val="0"/>
              <w:spacing w:before="0" w:after="283"/>
              <w:jc w:val="left"/>
              <w:rPr>
                <w:sz w:val="4"/>
                <w:szCs w:val="4"/>
              </w:rPr>
            </w:pPr>
            <w:r>
              <w:rPr>
                <w:sz w:val="4"/>
                <w:szCs w:val="4"/>
              </w:rPr>
            </w:r>
          </w:p>
        </w:tc>
        <w:tc>
          <w:tcPr>
            <w:tcW w:w="1650"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r>
      <w:tr>
        <w:trPr/>
        <w:tc>
          <w:tcPr>
            <w:tcW w:w="5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 Useful Life</w:t>
            </w:r>
          </w:p>
        </w:tc>
      </w:tr>
      <w:tr>
        <w:trPr/>
        <w:tc>
          <w:tcPr>
            <w:tcW w:w="5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w:t>
            </w:r>
          </w:p>
        </w:tc>
        <w:tc>
          <w:tcPr>
            <w:tcW w:w="4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15,500 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 years</w:t>
            </w:r>
          </w:p>
        </w:tc>
      </w:tr>
      <w:tr>
        <w:trPr/>
        <w:tc>
          <w:tcPr>
            <w:tcW w:w="5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1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5,700 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 years</w:t>
            </w:r>
          </w:p>
        </w:tc>
      </w:tr>
      <w:tr>
        <w:trPr/>
        <w:tc>
          <w:tcPr>
            <w:tcW w:w="5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Trademarks and Trade Names</w:t>
            </w:r>
          </w:p>
        </w:tc>
        <w:tc>
          <w:tcPr>
            <w:tcW w:w="1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 years</w:t>
            </w:r>
          </w:p>
        </w:tc>
      </w:tr>
      <w:tr>
        <w:trPr/>
        <w:tc>
          <w:tcPr>
            <w:tcW w:w="5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In-process research and development</w:t>
            </w:r>
          </w:p>
        </w:tc>
        <w:tc>
          <w:tcPr>
            <w:tcW w:w="1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 years*</w:t>
            </w:r>
          </w:p>
        </w:tc>
      </w:tr>
      <w:tr>
        <w:trPr/>
        <w:tc>
          <w:tcPr>
            <w:tcW w:w="5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Non-compete agreements</w:t>
            </w:r>
          </w:p>
        </w:tc>
        <w:tc>
          <w:tcPr>
            <w:tcW w:w="1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 years</w:t>
            </w:r>
          </w:p>
        </w:tc>
      </w:tr>
      <w:tr>
        <w:trPr/>
        <w:tc>
          <w:tcPr>
            <w:tcW w:w="5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intangible assets acquired</w:t>
            </w:r>
          </w:p>
        </w:tc>
        <w:tc>
          <w:tcPr>
            <w:tcW w:w="4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23,400 </w:t>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In-process research and development consists of two projects with a weighted-average useful life of 3 years. Amortization begins once associated projects are completed and it is determined the projects have alternative future use.</w:t>
            </w:r>
          </w:p>
        </w:tc>
      </w:tr>
    </w:tbl>
    <w:p>
      <w:pPr>
        <w:pStyle w:val="TextBody"/>
        <w:bidi w:val="0"/>
        <w:spacing w:lineRule="auto" w:line="288" w:before="2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 of the acquired technology and in-process research and development was valued using the Excess Earnings Method. This methodology included allocating future revenue projections to the existing technologies and applying decay rates and appropriate discount rates that reflect the respective intangible asset's relative risk profile when compared to other intangible assets as well as considering the risk associated with the overall business. </w:t>
      </w:r>
    </w:p>
    <w:p>
      <w:pPr>
        <w:pStyle w:val="TextBody"/>
        <w:bidi w:val="0"/>
        <w:spacing w:lineRule="auto" w:line="288" w:before="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At the acquisition date, SpringServe had existing customer relationships. To the extent that future cash flows of the business would be negatively affected in the absence of these relationships, they would be deemed to have economic value. In addition, certain employees of SpringServe signed two year non-compete agreements. The Company used the Loss‐of‐Revenue and Income Method in its valuation of the existing customer relationships and non-compete agreements. This method attempts to quantify the scenario whereby the owner loses the right to the intangible asset and the resulting losses of revenue and income. Under this analysis, the value of the cash flows with the intangible asset is compared to the value of the cash flows without the intangible asset and the difference represents the value of the intangible asset. This methodology included applying a discount rate and the expected timing it would take to further enhance customer relationships.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v:textbox>
                <w10:wrap type="none"/>
              </v:rect>
            </w:pict>
          </mc:Fallback>
        </mc:AlternateContent>
      </w:r>
    </w:p>
    <w:p>
      <w:pPr>
        <w:pStyle w:val="TextBody"/>
        <w:bidi w:val="0"/>
        <w:spacing w:lineRule="auto" w:line="288" w:before="0" w:after="0"/>
        <w:jc w:val="left"/>
        <w:rPr/>
      </w:pPr>
      <w:hyperlink w:anchor="i8d6a21e15cb741baa6dee69bcf11e47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the trademarks and trade names were based on the Income Approach, specifically the Relief‐from‐Royalty Method. Under this method, data is obtained regarding actual royalty payments made for similar intangible assets. After the appropriate royalty rate is determined, the reasonable royalty savings is then discounted to its present value over the remaining technological, economic, or legal life of the intangible asset.</w:t>
      </w:r>
    </w:p>
    <w:p>
      <w:pPr>
        <w:pStyle w:val="TextBody"/>
        <w:bidi w:val="0"/>
        <w:spacing w:lineRule="auto" w:line="288" w:before="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are generally amortized on a straight-line basis, which approximates the pattern in which the economic benefits are consumed, over their estimated useful lives. Amortization of developed technology is included in cost of revenues and the amortization of customer relationships, non-compete agreements, and trademarks is included in sales and marketing expenses in the consolidated statements of operations. Once the projects associated with acquired in-process research and development are completed, amortization will be included in cost of revenues in the consolidated statements of operations. The acquired intangibles and goodwill resulting from the SpringServe Acquisition are not tax deductible.</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part of the SpringServe Acquisition, deferred tax liabilities were established. As a result of this and the SpotX deferred tax liability balance, the Company recognized an income tax benefit in the post-acquisition consolidated statements of operations for the year ended December 31, 2021.</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SpringServe Acquisition related costs included in merger, acquisition, and restructuring costs in the Company's consolidated statements of operations during the year ended December 31, 2021 were immaterial.</w:t>
      </w:r>
    </w:p>
    <w:p>
      <w:pPr>
        <w:pStyle w:val="TextBody"/>
        <w:bidi w:val="0"/>
        <w:spacing w:lineRule="auto" w:line="288" w:before="100" w:after="10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2021 Acquisition—Nth Party</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completed the acquisition of Nth Party, Ltd. (“Nth Party”), a developer of cryptographic software for secure audience data sharing and analysis in December 2021 for a total purchase price of $9.0 million, in cash. The Company acquired Nth Party as part of its strategy to further invest in the development and enhancement of industry leading identity and audience solutions. The allocation of purchase consideration resulted in approximately $5.4 million of developed technology intangible assets with an estimated useful life of five years, approximately $0.2 million non-compete intangible assets with an estimated useful life of two years, approximately $1.3 million of deferred tax liability, and goodwill of approximately $4.8 million, which is attributable to the workforce of Nth Party and revenue growth from the acquisition. Acquired intangibles and goodwill resulting from the Nth Party acquisition are not deductible for income tax purposes.</w:t>
      </w:r>
    </w:p>
    <w:p>
      <w:pPr>
        <w:pStyle w:val="TextBody"/>
        <w:bidi w:val="0"/>
        <w:spacing w:lineRule="auto" w:line="288" w:before="100" w:after="10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 xml:space="preserve">Unaudited Pro Forma Information </w:t>
      </w:r>
    </w:p>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unaudited pro forma information as if the SpotX and SpringServe Acquisitions had been acquired by the Company as of January 1, 2020. The unaudited pro forma information reflects adjustments for additional amortization resulting from the fair value adjustments to assets acquired and liabilities assumed, adjustments for alignment of accounting policies, and transaction expenses as if the SpotX and SpringServe Acquisitions occurred on January 1, 2020. The pro forma results do not include any anticipated cost synergies or other effects of the combined companies. Accordingly, pro forma amounts are not necessarily indicative of the results that actually would have occurred had the SpotX and SpringServe Acquisitions been completed on the dates indicated, nor is it indicative of the future operating results of the combined company. The table below excludes Nth Party as its impact on pro forma results were immaterial.</w:t>
      </w:r>
    </w:p>
    <w:tbl>
      <w:tblPr>
        <w:tblW w:w="3719" w:type="dxa"/>
        <w:jc w:val="left"/>
        <w:tblInd w:w="0" w:type="dxa"/>
        <w:tblLayout w:type="fixed"/>
        <w:tblCellMar>
          <w:top w:w="28" w:type="dxa"/>
          <w:left w:w="28" w:type="dxa"/>
          <w:bottom w:w="28" w:type="dxa"/>
          <w:right w:w="28" w:type="dxa"/>
        </w:tblCellMar>
      </w:tblPr>
      <w:tblGrid>
        <w:gridCol w:w="629"/>
        <w:gridCol w:w="554"/>
        <w:gridCol w:w="556"/>
        <w:gridCol w:w="109"/>
        <w:gridCol w:w="109"/>
        <w:gridCol w:w="109"/>
        <w:gridCol w:w="276"/>
        <w:gridCol w:w="1081"/>
        <w:gridCol w:w="142"/>
        <w:gridCol w:w="154"/>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w:t>
            </w:r>
          </w:p>
        </w:tc>
        <w:tc>
          <w:tcPr>
            <w:tcW w:w="154" w:type="dxa"/>
            <w:tcBorders/>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2021</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154" w:type="dxa"/>
            <w:tcBorders/>
          </w:tcPr>
          <w:p>
            <w:pPr>
              <w:pStyle w:val="TableContents"/>
              <w:bidi w:val="0"/>
              <w:spacing w:before="0" w:after="283"/>
              <w:jc w:val="left"/>
              <w:rPr>
                <w:sz w:val="4"/>
                <w:szCs w:val="4"/>
              </w:rPr>
            </w:pPr>
            <w:r>
              <w:rPr>
                <w:sz w:val="4"/>
                <w:szCs w:val="4"/>
              </w:rPr>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 Forma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540,466 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 Forma Net Loss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(86,621)</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2021, due to the process of integrating the operations of SpotX into the operations of the Company, the determination of SpotX's post-acquisition revenue and operating results on a standalone basis was impracticable. The SpringServe post-acquisition revenue and operating results on a standalone basis were immaterial.</w:t>
      </w:r>
    </w:p>
    <w:p>
      <w:pPr>
        <w:pStyle w:val="TextBody"/>
        <w:bidi w:val="0"/>
        <w:spacing w:lineRule="auto" w:line="268" w:before="100" w:after="10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2022 Acquisition—Carbon</w:t>
      </w:r>
    </w:p>
    <w:p>
      <w:pPr>
        <w:pStyle w:val="TextBody"/>
        <w:bidi w:val="0"/>
        <w:spacing w:lineRule="auto" w:line="26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completed the acquisition of the business of Carbon (AI) Limited ("Carbon" and such acquisition the "Carbon Acquisition"), a platform that enables publishers to measure, manage, and monetize audience segments, in February 2022 for a total purchase price of $23.1 million in cash. Approximately $2.3 million of the purchase price was held back to cover possible indemnification claims, which was subsequently paid out in February 2023. The Company acquired Carbon as part of its strategy to further invest in the development and enhancement of industry leading identity and audience solutions. The allocation of purchase consideration resulted in an estimated $14.2 million of developed technology intangible assets with an estimated useful life of five years, $0.2 million non-compete intangible assets with an estimated useful life of two years, $0.2 million of customer relationships with an estimated useful life of six months, and goodwill of $8.5 million, which is attributable to the workforce of Carbon and revenue growth from the acquisition. For tax purposes, the Carbon Acquisition was treated as an asset acquisition. The acquisition of identified intangibles results in tax deductible amortization pursuant to IRC Section 197.</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v:textbox>
                <w10:wrap type="none"/>
              </v:rect>
            </w:pict>
          </mc:Fallback>
        </mc:AlternateContent>
      </w:r>
    </w:p>
    <w:p>
      <w:pPr>
        <w:pStyle w:val="TextBody"/>
        <w:bidi w:val="0"/>
        <w:spacing w:lineRule="auto" w:line="288" w:before="0" w:after="0"/>
        <w:jc w:val="left"/>
        <w:rPr/>
      </w:pPr>
      <w:hyperlink w:anchor="i8d6a21e15cb741baa6dee69bcf11e47e_7">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related costs associated with the Carbon Acquisition included in merger, acquisition, and restructuring costs in the Company's consolidated statements of operations during the year ended December 31, 2022 were immaterial. In addition, Carbon's post-acquisition revenue and operating results on a standalone basis were immaterial.</w:t>
      </w:r>
    </w:p>
    <w:p>
      <w:pPr>
        <w:pStyle w:val="TextBody"/>
        <w:bidi w:val="0"/>
        <w:spacing w:before="100" w:after="10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Note 10—Accounts Payable and Accrued Expenses</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 included the following:</w:t>
      </w:r>
    </w:p>
    <w:tbl>
      <w:tblPr>
        <w:tblW w:w="7002" w:type="dxa"/>
        <w:jc w:val="left"/>
        <w:tblInd w:w="0" w:type="dxa"/>
        <w:tblLayout w:type="fixed"/>
        <w:tblCellMar>
          <w:top w:w="28" w:type="dxa"/>
          <w:left w:w="28" w:type="dxa"/>
          <w:bottom w:w="28" w:type="dxa"/>
          <w:right w:w="28" w:type="dxa"/>
        </w:tblCellMar>
      </w:tblPr>
      <w:tblGrid>
        <w:gridCol w:w="1315"/>
        <w:gridCol w:w="1156"/>
        <w:gridCol w:w="1159"/>
        <w:gridCol w:w="244"/>
        <w:gridCol w:w="1130"/>
        <w:gridCol w:w="126"/>
        <w:gridCol w:w="109"/>
        <w:gridCol w:w="109"/>
        <w:gridCol w:w="109"/>
        <w:gridCol w:w="243"/>
        <w:gridCol w:w="1125"/>
        <w:gridCol w:w="177"/>
      </w:tblGrid>
      <w:tr>
        <w:trPr/>
        <w:tc>
          <w:tcPr>
            <w:tcW w:w="1315"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payable—seller</w:t>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1,333,242 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1,057,556 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payable—trade</w:t>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23,844 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19,387 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employee-related payables</w:t>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15,090 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15,065 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holdback - indemnification claims</w:t>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1,372,176 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1,094,321 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pPr>
      <w:r>
        <w:rPr>
          <w:color w:val="000000"/>
        </w:rPr>
        <w:t> </w:t>
      </w:r>
      <w:r>
        <w:rPr>
          <w:rFonts w:ascii="Times New Roman;sans-serif" w:hAnsi="Times New Roman;sans-serif"/>
          <w:b/>
          <w:color w:val="000000"/>
          <w:sz w:val="20"/>
        </w:rPr>
        <w:t>Note 11—Accumulated Other Comprehensive Loss</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accumulated other comprehensive loss, which relate to foreign currency translation, were as follows (in thousands):</w:t>
      </w:r>
    </w:p>
    <w:tbl>
      <w:tblPr>
        <w:tblW w:w="6447" w:type="dxa"/>
        <w:jc w:val="center"/>
        <w:tblInd w:w="0" w:type="dxa"/>
        <w:tblLayout w:type="fixed"/>
        <w:tblCellMar>
          <w:top w:w="28" w:type="dxa"/>
          <w:left w:w="28" w:type="dxa"/>
          <w:bottom w:w="28" w:type="dxa"/>
          <w:right w:w="28" w:type="dxa"/>
        </w:tblCellMar>
      </w:tblPr>
      <w:tblGrid>
        <w:gridCol w:w="939"/>
        <w:gridCol w:w="825"/>
        <w:gridCol w:w="830"/>
        <w:gridCol w:w="109"/>
        <w:gridCol w:w="109"/>
        <w:gridCol w:w="109"/>
        <w:gridCol w:w="109"/>
        <w:gridCol w:w="109"/>
        <w:gridCol w:w="109"/>
        <w:gridCol w:w="109"/>
        <w:gridCol w:w="654"/>
        <w:gridCol w:w="1956"/>
        <w:gridCol w:w="480"/>
      </w:tblGrid>
      <w:tr>
        <w:trPr/>
        <w:tc>
          <w:tcPr>
            <w:tcW w:w="93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956"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Loss</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w:t>
            </w:r>
          </w:p>
        </w:tc>
        <w:tc>
          <w:tcPr>
            <w:tcW w:w="4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(1,376)</w:t>
            </w:r>
          </w:p>
        </w:tc>
        <w:tc>
          <w:tcPr>
            <w:tcW w:w="4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(1,775)</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(3,151)</w:t>
            </w:r>
          </w:p>
        </w:tc>
        <w:tc>
          <w:tcPr>
            <w:tcW w:w="4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1,075 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(2,076)</w:t>
            </w:r>
          </w:p>
        </w:tc>
        <w:tc>
          <w:tcPr>
            <w:tcW w:w="4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ans-serif" w:hAnsi="Times New Roman;sans-serif"/>
          <w:b/>
          <w:color w:val="000000"/>
          <w:sz w:val="20"/>
        </w:rPr>
      </w:pPr>
      <w:r>
        <w:rPr>
          <w:rFonts w:ascii="Times New Roman;sans-serif" w:hAnsi="Times New Roman;sans-serif"/>
          <w:b/>
          <w:color w:val="000000"/>
          <w:sz w:val="20"/>
        </w:rPr>
        <w:t xml:space="preserve">Note 12—Stock-Based Compensation </w:t>
      </w:r>
    </w:p>
    <w:p>
      <w:pPr>
        <w:pStyle w:val="TextBody"/>
        <w:bidi w:val="0"/>
        <w:spacing w:lineRule="auto" w:line="288" w:before="100" w:after="100"/>
        <w:jc w:val="left"/>
        <w:rPr>
          <w:color w:val="000000"/>
        </w:rPr>
      </w:pPr>
      <w:r>
        <w:rPr>
          <w:color w:val="000000"/>
        </w:rPr>
        <w:t>    </w:t>
      </w:r>
      <w:r>
        <w:rPr>
          <w:rFonts w:ascii="Times New Roman;sans-serif" w:hAnsi="Times New Roman;sans-serif"/>
          <w:b w:val="false"/>
          <w:color w:val="000000"/>
          <w:sz w:val="20"/>
        </w:rPr>
        <w:t>In connection with its IPO, the Company implemented its 2014 Equity Incentive Plan, which governs equity awards made to employees and directors of the Company since the IPO. Prior to the IPO, the Company granted equity awards under its 2007 Stock Incentive Plan, which governs equity awards made to employees and contractors prior to the IPO. In November 2014, the Company approved the 2014 Inducement Grant Equity Incentive Plan (the "Inducement Plan"), which governs certain equity awards made to certain employees in connection with commencement of employment. In connection with the Company's acquisitions of Chango Inc. ("Chango"), iSocket, Inc. ("iSocket"), and nToggle, Inc. ("nToggle") it assumed the existing employee equity award plans, the 2009 Chango Stock Option Plan (the "Chango Plan"), the iSocket 2009 Equity Incentive Plan (the "iSocket Plan"), and the nToggle 2014 Equity Incentive Plan (the "nToggle Plan"). In connection with the merger with Telaria, the Company assumed Telaria's 2013 Equity Incentive Plan, as amended (the "Telaria Plan"); the 2008 Stock Plan, as amended (the "2008 Stock Plan"); and the ScanScout, Inc. 2009 Equity Incentive Plan, as amended (the "ScanScout Plan"). No further awards were granted under the iSocket Plan, the Chango Plan, or the nToggle Plan from the date of acquisition and no further awards were granted under the 2007 Stock Incentive Plan since the IPO. Available shares under the nToggle Plan and the Telaria Plan were rolled into the available share pool under the 2014 Equity Incentive Plan at the time of acquisition of each company, and available shares under the 2007 Stock Incentive Plan were rolled into the available share pool under the 2014 Equity Incentive Plan at the time of the IPO. On January 1, 2023, pursuant to the evergreen provision in the Company's 2014 Equity Incentive Plan, the Company increased the aggregate number of shares of common stock that may be issued pursuant to stock awards by 6,700,286 shares. On June 14, 2023, the Company's stockholders approved the Magnite, Inc. Amended and Restated 2014 Equity Incentive Plan (the "Amended and Restated 2014 Equity Incentive Plan"), which, among other things, increased the aggregate maximum number of shares of common stock that may be issued pursuant to stock awards by 8,056,129 shares, removed the prior evergreen provision, and extended the plan through April 2033. All compensatory equity awards outstanding at December 31, 2023 were issued pursuant to the Amended and Restated 2014 Equity Incentive Plan, the 2014 Equity Incentive Plan, the nToggle Plan, the Telaria Plan, the Inducement Plan, or the Company's 2007 Stock Incentive Plan.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v:textbox>
                <w10:wrap type="none"/>
              </v:rect>
            </w:pict>
          </mc:Fallback>
        </mc:AlternateContent>
      </w:r>
    </w:p>
    <w:p>
      <w:pPr>
        <w:pStyle w:val="TextBody"/>
        <w:bidi w:val="0"/>
        <w:spacing w:lineRule="auto" w:line="288" w:before="0" w:after="0"/>
        <w:jc w:val="left"/>
        <w:rPr/>
      </w:pPr>
      <w:hyperlink w:anchor="i8d6a21e15cb741baa6dee69bcf11e47e_7">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0" w:after="0"/>
        <w:jc w:val="left"/>
        <w:rPr>
          <w:color w:val="000000"/>
        </w:rPr>
      </w:pPr>
      <w:r>
        <w:rPr>
          <w:color w:val="000000"/>
        </w:rPr>
        <w:t>    </w:t>
      </w:r>
      <w:r>
        <w:rPr>
          <w:rFonts w:ascii="Times New Roman;sans-serif" w:hAnsi="Times New Roman;sans-serif"/>
          <w:b w:val="false"/>
          <w:color w:val="000000"/>
          <w:sz w:val="20"/>
        </w:rPr>
        <w:t>The Company’s equity incentive plans provide for the grant of equity awards, including non-statutory or incentive stock options, restricted stock awards ("RSAs"), restricted stock units that vest based on continuous service ("RSUs"), and restricted stock units that include performance criteria (“performance stock units” or "PSUs"), to the Company's employees, officers, directors, and consultants. The Company's board of directors administers the plans. Options vest based upon continued service at varying rates, but generally over four years from issuance with 25% vesting after one year of service and the remainder vesting monthly thereafter. RSAs and RSUs vest at varying rates, typically approximately 25% vesting after approximately one year of service and the remainder vesting annually, semi-annually, or quarterly thereafter. The restricted stock units granted in 2023, 2022, and 2021, included 0, 0.7 million, and 0.4 million, respectively, awards that vest 50% on each of the first and second anniversaries of the grant date. In addition, each Director of the Company's Board of Directors receives an annual grant which vests at the earlier of the one year anniversary of the grant date and the following annual shareholder meeting in addition to an initial equity awards in the first year of their election into the Board of Directors. Options, RSAs, and RSUs granted under the plans accelerate under certain circumstances for certain participants upon a change in control, as defined in the governing plan. As of December 31, 2023, an aggregate of 23,180,894 shares remained available for future grants.</w:t>
      </w:r>
    </w:p>
    <w:p>
      <w:pPr>
        <w:pStyle w:val="TextBody"/>
        <w:bidi w:val="0"/>
        <w:spacing w:before="0" w:after="0"/>
        <w:jc w:val="left"/>
        <w:rPr/>
      </w:pPr>
      <w:r>
        <w:rPr/>
      </w:r>
    </w:p>
    <w:p>
      <w:pPr>
        <w:pStyle w:val="TextBody"/>
        <w:bidi w:val="0"/>
        <w:spacing w:lineRule="auto" w:line="288" w:before="100" w:after="20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 xml:space="preserve">Stock Options </w:t>
      </w:r>
    </w:p>
    <w:p>
      <w:pPr>
        <w:pStyle w:val="TextBody"/>
        <w:bidi w:val="0"/>
        <w:spacing w:lineRule="auto" w:line="288" w:before="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stock option activity for the year ended December 31, 2023 is as follows:</w:t>
      </w:r>
    </w:p>
    <w:tbl>
      <w:tblPr>
        <w:tblW w:w="10205" w:type="dxa"/>
        <w:jc w:val="left"/>
        <w:tblInd w:w="0" w:type="dxa"/>
        <w:tblLayout w:type="fixed"/>
        <w:tblCellMar>
          <w:top w:w="28" w:type="dxa"/>
          <w:left w:w="28" w:type="dxa"/>
          <w:bottom w:w="28" w:type="dxa"/>
          <w:right w:w="28" w:type="dxa"/>
        </w:tblCellMar>
      </w:tblPr>
      <w:tblGrid>
        <w:gridCol w:w="779"/>
        <w:gridCol w:w="684"/>
        <w:gridCol w:w="688"/>
        <w:gridCol w:w="544"/>
        <w:gridCol w:w="445"/>
        <w:gridCol w:w="399"/>
        <w:gridCol w:w="109"/>
        <w:gridCol w:w="109"/>
        <w:gridCol w:w="109"/>
        <w:gridCol w:w="420"/>
        <w:gridCol w:w="1228"/>
        <w:gridCol w:w="217"/>
        <w:gridCol w:w="109"/>
        <w:gridCol w:w="109"/>
        <w:gridCol w:w="109"/>
        <w:gridCol w:w="713"/>
        <w:gridCol w:w="713"/>
        <w:gridCol w:w="715"/>
        <w:gridCol w:w="109"/>
        <w:gridCol w:w="109"/>
        <w:gridCol w:w="109"/>
        <w:gridCol w:w="324"/>
        <w:gridCol w:w="1110"/>
        <w:gridCol w:w="245"/>
      </w:tblGrid>
      <w:tr>
        <w:trPr/>
        <w:tc>
          <w:tcPr>
            <w:tcW w:w="77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2151"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38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 Under Option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Contractual Life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Aggregate Intrinsic Value</w:t>
            </w:r>
          </w:p>
        </w:tc>
      </w:tr>
      <w:tr>
        <w:trPr/>
        <w:tc>
          <w:tcPr>
            <w:tcW w:w="2151"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3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2022</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4,672 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10.59 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1"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r>
      <w:tr>
        <w:trPr/>
        <w:tc>
          <w:tcPr>
            <w:tcW w:w="2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Expired</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21.02 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1"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r>
      <w:tr>
        <w:trPr/>
        <w:tc>
          <w:tcPr>
            <w:tcW w:w="2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2023</w:t>
            </w:r>
          </w:p>
        </w:tc>
        <w:tc>
          <w:tcPr>
            <w:tcW w:w="9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4,262 </w:t>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5.3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13,806 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Exercisable at December 31, 2023</w:t>
            </w:r>
          </w:p>
        </w:tc>
        <w:tc>
          <w:tcPr>
            <w:tcW w:w="98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3,649 </w:t>
            </w:r>
          </w:p>
        </w:tc>
        <w:tc>
          <w:tcPr>
            <w:tcW w:w="39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13,534 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total intrinsic value of options exercised during the year ended December 31, 2023 was $2.2 million. At December 31, 2023, the Company had unrecognized employee stock-based compensation expense relating to nonvested stock options of approximately $5.6 million, which is expected to be recognized over a weighted-average period of 2.0 years. Total fair value of options vested during the year ended December 31, 2023 was $4.7 million.</w:t>
      </w:r>
    </w:p>
    <w:p>
      <w:pPr>
        <w:pStyle w:val="TextBody"/>
        <w:bidi w:val="0"/>
        <w:spacing w:lineRule="auto" w:line="288" w:before="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estimates the fair value of stock options that contain service conditions using the Black-Scholes option pricing model. The grant date fair value of options granted during the year ended December 31, 2023 was $7.27 per share. The weighted-average input assumptions used by the Company were as follows: </w:t>
      </w:r>
    </w:p>
    <w:tbl>
      <w:tblPr>
        <w:tblW w:w="7610" w:type="dxa"/>
        <w:jc w:val="left"/>
        <w:tblInd w:w="0" w:type="dxa"/>
        <w:tblLayout w:type="fixed"/>
        <w:tblCellMar>
          <w:top w:w="28" w:type="dxa"/>
          <w:left w:w="28" w:type="dxa"/>
          <w:bottom w:w="28" w:type="dxa"/>
          <w:right w:w="28" w:type="dxa"/>
        </w:tblCellMar>
      </w:tblPr>
      <w:tblGrid>
        <w:gridCol w:w="755"/>
        <w:gridCol w:w="663"/>
        <w:gridCol w:w="666"/>
        <w:gridCol w:w="109"/>
        <w:gridCol w:w="109"/>
        <w:gridCol w:w="109"/>
        <w:gridCol w:w="334"/>
        <w:gridCol w:w="334"/>
        <w:gridCol w:w="832"/>
        <w:gridCol w:w="109"/>
        <w:gridCol w:w="109"/>
        <w:gridCol w:w="109"/>
        <w:gridCol w:w="334"/>
        <w:gridCol w:w="334"/>
        <w:gridCol w:w="832"/>
        <w:gridCol w:w="109"/>
        <w:gridCol w:w="109"/>
        <w:gridCol w:w="109"/>
        <w:gridCol w:w="314"/>
        <w:gridCol w:w="314"/>
        <w:gridCol w:w="917"/>
      </w:tblGrid>
      <w:tr>
        <w:trPr/>
        <w:tc>
          <w:tcPr>
            <w:tcW w:w="755"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9"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w:t>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2021</w:t>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(in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3.99 </w:t>
            </w:r>
          </w:p>
        </w:tc>
        <w:tc>
          <w:tcPr>
            <w:tcW w:w="8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1.63 </w:t>
            </w:r>
          </w:p>
        </w:tc>
        <w:tc>
          <w:tcPr>
            <w:tcW w:w="8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0.88 </w:t>
            </w:r>
          </w:p>
        </w:tc>
        <w:tc>
          <w:tcPr>
            <w:tcW w:w="9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8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8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9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yield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v:textbox>
                <w10:wrap type="none"/>
              </v:rect>
            </w:pict>
          </mc:Fallback>
        </mc:AlternateContent>
      </w:r>
    </w:p>
    <w:p>
      <w:pPr>
        <w:pStyle w:val="TextBody"/>
        <w:bidi w:val="0"/>
        <w:spacing w:lineRule="auto" w:line="288" w:before="0" w:after="0"/>
        <w:jc w:val="left"/>
        <w:rPr/>
      </w:pPr>
      <w:hyperlink w:anchor="i8d6a21e15cb741baa6dee69bcf11e47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00" w:after="20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Restricted Stock Units</w:t>
      </w:r>
    </w:p>
    <w:p>
      <w:pPr>
        <w:pStyle w:val="TextBody"/>
        <w:bidi w:val="0"/>
        <w:spacing w:lineRule="auto" w:line="288" w:before="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summary of restricted stock unit activity for the year ended December 31, 2023 is as follows: </w:t>
      </w:r>
    </w:p>
    <w:tbl>
      <w:tblPr>
        <w:tblW w:w="10205" w:type="dxa"/>
        <w:jc w:val="center"/>
        <w:tblInd w:w="0" w:type="dxa"/>
        <w:tblLayout w:type="fixed"/>
        <w:tblCellMar>
          <w:top w:w="28" w:type="dxa"/>
          <w:left w:w="28" w:type="dxa"/>
          <w:bottom w:w="28" w:type="dxa"/>
          <w:right w:w="28" w:type="dxa"/>
        </w:tblCellMar>
      </w:tblPr>
      <w:tblGrid>
        <w:gridCol w:w="1966"/>
        <w:gridCol w:w="1728"/>
        <w:gridCol w:w="1731"/>
        <w:gridCol w:w="469"/>
        <w:gridCol w:w="459"/>
        <w:gridCol w:w="449"/>
        <w:gridCol w:w="109"/>
        <w:gridCol w:w="109"/>
        <w:gridCol w:w="109"/>
        <w:gridCol w:w="660"/>
        <w:gridCol w:w="1928"/>
        <w:gridCol w:w="488"/>
      </w:tblGrid>
      <w:tr>
        <w:trPr/>
        <w:tc>
          <w:tcPr>
            <w:tcW w:w="1966" w:type="dxa"/>
            <w:tcBorders/>
            <w:vAlign w:val="center"/>
          </w:tcPr>
          <w:p>
            <w:pPr>
              <w:pStyle w:val="TableContents"/>
              <w:bidi w:val="0"/>
              <w:spacing w:before="0" w:after="283"/>
              <w:jc w:val="left"/>
              <w:rPr>
                <w:sz w:val="4"/>
                <w:szCs w:val="4"/>
              </w:rPr>
            </w:pPr>
            <w:r>
              <w:rPr>
                <w:sz w:val="4"/>
                <w:szCs w:val="4"/>
              </w:rPr>
            </w:r>
          </w:p>
        </w:tc>
        <w:tc>
          <w:tcPr>
            <w:tcW w:w="1728" w:type="dxa"/>
            <w:tcBorders/>
            <w:vAlign w:val="center"/>
          </w:tcPr>
          <w:p>
            <w:pPr>
              <w:pStyle w:val="TableContents"/>
              <w:bidi w:val="0"/>
              <w:spacing w:before="0" w:after="283"/>
              <w:jc w:val="left"/>
              <w:rPr>
                <w:sz w:val="4"/>
                <w:szCs w:val="4"/>
              </w:rPr>
            </w:pPr>
            <w:r>
              <w:rPr>
                <w:sz w:val="4"/>
                <w:szCs w:val="4"/>
              </w:rPr>
            </w:r>
          </w:p>
        </w:tc>
        <w:tc>
          <w:tcPr>
            <w:tcW w:w="1731"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r>
      <w:tr>
        <w:trPr/>
        <w:tc>
          <w:tcPr>
            <w:tcW w:w="5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 Grant Date Fair Value</w:t>
            </w:r>
          </w:p>
        </w:tc>
      </w:tr>
      <w:tr>
        <w:trPr/>
        <w:tc>
          <w:tcPr>
            <w:tcW w:w="5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 outstanding at December 31, 2022</w:t>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4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15.06 </w:t>
            </w:r>
          </w:p>
        </w:tc>
        <w:tc>
          <w:tcPr>
            <w:tcW w:w="4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7,560 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10.67 </w:t>
            </w:r>
          </w:p>
        </w:tc>
        <w:tc>
          <w:tcPr>
            <w:tcW w:w="4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5"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76" w:type="dxa"/>
            <w:gridSpan w:val="3"/>
            <w:tcBorders/>
            <w:vAlign w:val="center"/>
          </w:tcPr>
          <w:p>
            <w:pPr>
              <w:pStyle w:val="TableContents"/>
              <w:bidi w:val="0"/>
              <w:spacing w:before="0" w:after="283"/>
              <w:jc w:val="left"/>
              <w:rPr>
                <w:sz w:val="4"/>
                <w:szCs w:val="4"/>
              </w:rPr>
            </w:pPr>
            <w:r>
              <w:rPr>
                <w:sz w:val="4"/>
                <w:szCs w:val="4"/>
              </w:rPr>
            </w:r>
          </w:p>
        </w:tc>
      </w:tr>
      <w:tr>
        <w:trPr/>
        <w:tc>
          <w:tcPr>
            <w:tcW w:w="5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Canceled</w:t>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(1,471)</w:t>
            </w:r>
          </w:p>
        </w:tc>
        <w:tc>
          <w:tcPr>
            <w:tcW w:w="4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13.48 </w:t>
            </w:r>
          </w:p>
        </w:tc>
        <w:tc>
          <w:tcPr>
            <w:tcW w:w="4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 and released</w:t>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(4,639)</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14.42 </w:t>
            </w:r>
          </w:p>
        </w:tc>
        <w:tc>
          <w:tcPr>
            <w:tcW w:w="4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 outstanding at December 31, 2023</w:t>
            </w:r>
          </w:p>
        </w:tc>
        <w:tc>
          <w:tcPr>
            <w:tcW w:w="9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11,450 </w:t>
            </w:r>
          </w:p>
        </w:tc>
        <w:tc>
          <w:tcPr>
            <w:tcW w:w="4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12.63 </w:t>
            </w:r>
          </w:p>
        </w:tc>
        <w:tc>
          <w:tcPr>
            <w:tcW w:w="4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 outstanding and unvested at December 31, 2023</w:t>
            </w:r>
          </w:p>
        </w:tc>
        <w:tc>
          <w:tcPr>
            <w:tcW w:w="92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11,450 </w:t>
            </w:r>
          </w:p>
        </w:tc>
        <w:tc>
          <w:tcPr>
            <w:tcW w:w="44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12.63 </w:t>
            </w:r>
          </w:p>
        </w:tc>
        <w:tc>
          <w:tcPr>
            <w:tcW w:w="4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weighted-average grant date fair value per share of restricted stock units granted during the year ended December 31, 2023 was $10.67. The intrinsic value of restricted stock units that vested during the year ended December 31, 2023 was $50.7 million. At December 31, 2023, the intrinsic value of unvested restricted stock units was $107.0 million. At December 31, 2023, the Company had unrecognized stock-based compensation expense relating to unvested restricted stock units of approximately $120.3 million, which is expected to be recognized over a weighted-average period of 2.6 years. </w:t>
      </w:r>
    </w:p>
    <w:p>
      <w:pPr>
        <w:pStyle w:val="TextBody"/>
        <w:bidi w:val="0"/>
        <w:spacing w:lineRule="auto" w:line="288" w:before="0" w:after="20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Performance Stock Units</w:t>
      </w:r>
    </w:p>
    <w:p>
      <w:pPr>
        <w:pStyle w:val="TextBody"/>
        <w:bidi w:val="0"/>
        <w:spacing w:lineRule="auto" w:line="288" w:before="1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granted PSUs to select executive employees that vest based on share price metrics tied to total shareholder return relative to a peer group over a three-year period. These PSUs are also subject to a time-based service component. The grant date fair value for such PSUs was estimated using a Monte-Carlo simulation model that incorporates option-pricing inputs covering the period from the grant date through the end of the performance period. Between 0% and 150% of the performance stock units will vest at the end of the performance period, which is generally on the third anniversary of the PSU grant date.</w:t>
      </w:r>
    </w:p>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additionally granted 379,635 PSUs to the Company's CEO in August 2021, (the "August 2021 PSUs"), which are subject to both time-based and performance-based vesting conditions. The PSUs consist of three equal tranches (each, a "Performance Tranche"), based on achievement of a share price condition if the Company achieves share price targets of $60.00, $80.00, and $100.00, respectively, over 60 consecutive trading days during a performance period commencing on August 26, 2022 and ending on August 26, 2026. The grant date fair value for such PSUs was estimated using a Monte-Carlo simulation model that incorporates option-pricing inputs covering the period from the grant date through the end of the performance period. To the extent any of the performance-based requirements are met, the Company's CEO must also provide continued service to the Company through at least August 26, 2024 to receive any shares of common stock underlying the grant and through August 26, 2026 to receive all of the shares of common stock underlying the performance units that have satisfied the applicable performance-based requirement.</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 for PSUs is based on a performance measurement of 100%. The compensation expense will not be reversed if the performance metrics are not met.</w:t>
      </w:r>
    </w:p>
    <w:p>
      <w:pPr>
        <w:pStyle w:val="TextBody"/>
        <w:bidi w:val="0"/>
        <w:spacing w:lineRule="auto" w:line="288" w:before="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PSU activity for the year ended December 31, 2023 is as follows:</w:t>
      </w:r>
    </w:p>
    <w:tbl>
      <w:tblPr>
        <w:tblW w:w="7899" w:type="dxa"/>
        <w:jc w:val="left"/>
        <w:tblInd w:w="0" w:type="dxa"/>
        <w:tblLayout w:type="fixed"/>
        <w:tblCellMar>
          <w:top w:w="28" w:type="dxa"/>
          <w:left w:w="28" w:type="dxa"/>
          <w:bottom w:w="28" w:type="dxa"/>
          <w:right w:w="28" w:type="dxa"/>
        </w:tblCellMar>
      </w:tblPr>
      <w:tblGrid>
        <w:gridCol w:w="1065"/>
        <w:gridCol w:w="936"/>
        <w:gridCol w:w="938"/>
        <w:gridCol w:w="469"/>
        <w:gridCol w:w="469"/>
        <w:gridCol w:w="471"/>
        <w:gridCol w:w="109"/>
        <w:gridCol w:w="109"/>
        <w:gridCol w:w="109"/>
        <w:gridCol w:w="693"/>
        <w:gridCol w:w="2023"/>
        <w:gridCol w:w="508"/>
      </w:tblGrid>
      <w:tr>
        <w:trPr/>
        <w:tc>
          <w:tcPr>
            <w:tcW w:w="1065"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202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 Grant Date Fair Value</w:t>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2022</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19.02 </w:t>
            </w:r>
          </w:p>
        </w:tc>
        <w:tc>
          <w:tcPr>
            <w:tcW w:w="5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13.32 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Vested and released</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6.15 </w:t>
            </w:r>
          </w:p>
        </w:tc>
        <w:tc>
          <w:tcPr>
            <w:tcW w:w="5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2023</w:t>
            </w:r>
          </w:p>
        </w:tc>
        <w:tc>
          <w:tcPr>
            <w:tcW w:w="93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967 </w:t>
            </w:r>
          </w:p>
        </w:tc>
        <w:tc>
          <w:tcPr>
            <w:tcW w:w="4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18.17 </w:t>
            </w:r>
          </w:p>
        </w:tc>
        <w:tc>
          <w:tcPr>
            <w:tcW w:w="5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v:textbox>
                <w10:wrap type="none"/>
              </v:rect>
            </w:pict>
          </mc:Fallback>
        </mc:AlternateContent>
      </w:r>
    </w:p>
    <w:p>
      <w:pPr>
        <w:pStyle w:val="TextBody"/>
        <w:bidi w:val="0"/>
        <w:spacing w:lineRule="auto" w:line="288" w:before="0" w:after="0"/>
        <w:jc w:val="left"/>
        <w:rPr/>
      </w:pPr>
      <w:hyperlink w:anchor="i8d6a21e15cb741baa6dee69bcf11e47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grant date fair value for the PSUs was estimated using a Monte-Carlo simulation model. The weighted-average input assumptions used by the Company were as follows:</w:t>
      </w:r>
    </w:p>
    <w:tbl>
      <w:tblPr>
        <w:tblW w:w="10205" w:type="dxa"/>
        <w:jc w:val="left"/>
        <w:tblInd w:w="0" w:type="dxa"/>
        <w:tblLayout w:type="fixed"/>
        <w:tblCellMar>
          <w:top w:w="28" w:type="dxa"/>
          <w:left w:w="28" w:type="dxa"/>
          <w:bottom w:w="28" w:type="dxa"/>
          <w:right w:w="28" w:type="dxa"/>
        </w:tblCellMar>
      </w:tblPr>
      <w:tblGrid>
        <w:gridCol w:w="1742"/>
        <w:gridCol w:w="1527"/>
        <w:gridCol w:w="1536"/>
        <w:gridCol w:w="109"/>
        <w:gridCol w:w="109"/>
        <w:gridCol w:w="109"/>
        <w:gridCol w:w="333"/>
        <w:gridCol w:w="321"/>
        <w:gridCol w:w="801"/>
        <w:gridCol w:w="109"/>
        <w:gridCol w:w="109"/>
        <w:gridCol w:w="109"/>
        <w:gridCol w:w="333"/>
        <w:gridCol w:w="321"/>
        <w:gridCol w:w="801"/>
        <w:gridCol w:w="109"/>
        <w:gridCol w:w="109"/>
        <w:gridCol w:w="109"/>
        <w:gridCol w:w="314"/>
        <w:gridCol w:w="304"/>
        <w:gridCol w:w="891"/>
      </w:tblGrid>
      <w:tr>
        <w:trPr/>
        <w:tc>
          <w:tcPr>
            <w:tcW w:w="1742"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rPr/>
        <w:tc>
          <w:tcPr>
            <w:tcW w:w="4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w:t>
            </w:r>
          </w:p>
        </w:tc>
      </w:tr>
      <w:tr>
        <w:trPr/>
        <w:tc>
          <w:tcPr>
            <w:tcW w:w="4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2021</w:t>
            </w:r>
          </w:p>
        </w:tc>
      </w:tr>
      <w:tr>
        <w:trPr/>
        <w:tc>
          <w:tcPr>
            <w:tcW w:w="48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Performance period (in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r>
      <w:tr>
        <w:trPr/>
        <w:tc>
          <w:tcPr>
            <w:tcW w:w="4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4.19 </w:t>
            </w:r>
          </w:p>
        </w:tc>
        <w:tc>
          <w:tcPr>
            <w:tcW w:w="8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1.39 </w:t>
            </w:r>
          </w:p>
        </w:tc>
        <w:tc>
          <w:tcPr>
            <w:tcW w:w="8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0.81 </w:t>
            </w:r>
          </w:p>
        </w:tc>
        <w:tc>
          <w:tcPr>
            <w:tcW w:w="8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 of Magnite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8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8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8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 of selected peer companies*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8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8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8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Expected correlation coefficients of Magnite*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0.54</w:t>
            </w:r>
          </w:p>
        </w:tc>
      </w:tr>
      <w:tr>
        <w:trPr/>
        <w:tc>
          <w:tcPr>
            <w:tcW w:w="48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Expected correlation coefficients of selected peer companies*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0.54</w:t>
            </w:r>
          </w:p>
        </w:tc>
      </w:tr>
      <w:tr>
        <w:trPr/>
        <w:tc>
          <w:tcPr>
            <w:tcW w:w="4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yield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00" w:after="100"/>
        <w:jc w:val="left"/>
        <w:rPr>
          <w:rFonts w:ascii="Times New Roman;sans-serif" w:hAnsi="Times New Roman;sans-serif"/>
          <w:b w:val="false"/>
          <w:color w:val="000000"/>
          <w:sz w:val="16"/>
        </w:rPr>
      </w:pPr>
      <w:r>
        <w:rPr>
          <w:rFonts w:ascii="Times New Roman;sans-serif" w:hAnsi="Times New Roman;sans-serif"/>
          <w:b w:val="false"/>
          <w:color w:val="000000"/>
          <w:sz w:val="16"/>
        </w:rPr>
        <w:t>*For the year ended December 31, 2021, weighted-average input assumptions exclude the August 2021 PSUs as these were not assumptions used in the Monte-Carlo simulation model for this grant.</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intrinsic value of PSUs that vested during the year ended December 31, 2023 was $1.2 million. At December 31, 2023, the intrinsic value of unvested performance stock units based on expected achievement levels was $2.5 million. As of December 31, 2023, the Company had unrecognized stock-based compensation expense relating to outstanding PSUs of approximately $8.1 million, which will be recognized over a weighted-average period of 2.1 years.</w:t>
      </w:r>
    </w:p>
    <w:p>
      <w:pPr>
        <w:pStyle w:val="TextBody"/>
        <w:bidi w:val="0"/>
        <w:spacing w:lineRule="auto" w:line="288" w:before="0" w:after="20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Employee Stock Purchase Plan</w:t>
      </w:r>
    </w:p>
    <w:p>
      <w:pPr>
        <w:pStyle w:val="TextBody"/>
        <w:bidi w:val="0"/>
        <w:spacing w:lineRule="auto" w:line="288" w:before="100" w:after="100"/>
        <w:jc w:val="left"/>
        <w:rPr/>
      </w:pPr>
      <w:r>
        <w:rPr>
          <w:color w:val="000000"/>
        </w:rPr>
        <w:t>    </w:t>
      </w:r>
      <w:r>
        <w:rPr>
          <w:rFonts w:ascii="Times New Roman;sans-serif" w:hAnsi="Times New Roman;sans-serif"/>
          <w:b w:val="false"/>
          <w:color w:val="000000"/>
          <w:sz w:val="20"/>
        </w:rPr>
        <w:t>In November 2013, the Company adopted the Company's 2014 Employee Stock Purchase Plan ("ESPP"). The ESPP is designed to enable eligible employees to periodically purchase shares of the Company's common stock at a discount through payroll deductions of up to 10% of their eligible compensation, subject to any plan limitations. At the end of each six-month offering period, employees are able to purchase shares at a price per share equal to 85% of the lower of the fair market value of the Company's common stock on the first trading day of the offering period or on the last trading day of the offering period. Offering periods generally commence and end in May and November of each year.</w:t>
      </w:r>
    </w:p>
    <w:p>
      <w:pPr>
        <w:pStyle w:val="TextBody"/>
        <w:bidi w:val="0"/>
        <w:spacing w:lineRule="auto" w:line="288" w:before="0" w:after="200"/>
        <w:jc w:val="left"/>
        <w:rPr>
          <w:color w:val="000000"/>
        </w:rPr>
      </w:pPr>
      <w:r>
        <w:rPr>
          <w:color w:val="000000"/>
        </w:rPr>
        <w:t>    </w:t>
      </w:r>
      <w:r>
        <w:rPr>
          <w:rFonts w:ascii="Times New Roman;sans-serif" w:hAnsi="Times New Roman;sans-serif"/>
          <w:b w:val="false"/>
          <w:color w:val="000000"/>
          <w:sz w:val="20"/>
        </w:rPr>
        <w:t xml:space="preserve">On January 1, 2023, pursuant to the evergreen provision in the Company's 2014 Employee Stock Purchase Plan, the Company increased the aggregate number of shares of common stock that may be issued pursuant to the Company's 2014 Employee Stock Purchase Plan by 1,340,057 shares. On June 14, 2023, the Company's stockholders approved the Magnite, Inc. Amended and Restated 2014 Employee Stock Purchase Plan (the "Amended and Restated 2014 Employee Stock Purchase Plan"), which, among other things, removed the evergreen provision and extended the plan through June 2033. As of December 31, 2023, the Company has reserved 4,730,838 shares of its common stock for issuance under the Company's Amended and Restated 2014 Employee Stock Purchase Plan. </w:t>
      </w:r>
    </w:p>
    <w:p>
      <w:pPr>
        <w:pStyle w:val="TextBody"/>
        <w:bidi w:val="0"/>
        <w:spacing w:lineRule="auto" w:line="288" w:before="0" w:after="20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 xml:space="preserve">Stock-Based Compensation Expense </w:t>
      </w:r>
    </w:p>
    <w:p>
      <w:pPr>
        <w:pStyle w:val="TextBody"/>
        <w:bidi w:val="0"/>
        <w:spacing w:lineRule="auto" w:line="288" w:before="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stock-based compensation expense recorded in the consolidated statements of operations was as follows: </w:t>
      </w:r>
    </w:p>
    <w:tbl>
      <w:tblPr>
        <w:tblW w:w="9591" w:type="dxa"/>
        <w:jc w:val="center"/>
        <w:tblInd w:w="0" w:type="dxa"/>
        <w:tblLayout w:type="fixed"/>
        <w:tblCellMar>
          <w:top w:w="28" w:type="dxa"/>
          <w:left w:w="28" w:type="dxa"/>
          <w:bottom w:w="28" w:type="dxa"/>
          <w:right w:w="28" w:type="dxa"/>
        </w:tblCellMar>
      </w:tblPr>
      <w:tblGrid>
        <w:gridCol w:w="1312"/>
        <w:gridCol w:w="1156"/>
        <w:gridCol w:w="1161"/>
        <w:gridCol w:w="109"/>
        <w:gridCol w:w="109"/>
        <w:gridCol w:w="109"/>
        <w:gridCol w:w="109"/>
        <w:gridCol w:w="304"/>
        <w:gridCol w:w="1039"/>
        <w:gridCol w:w="157"/>
        <w:gridCol w:w="109"/>
        <w:gridCol w:w="109"/>
        <w:gridCol w:w="109"/>
        <w:gridCol w:w="304"/>
        <w:gridCol w:w="1039"/>
        <w:gridCol w:w="157"/>
        <w:gridCol w:w="109"/>
        <w:gridCol w:w="109"/>
        <w:gridCol w:w="109"/>
        <w:gridCol w:w="304"/>
        <w:gridCol w:w="1039"/>
        <w:gridCol w:w="157"/>
        <w:gridCol w:w="109"/>
        <w:gridCol w:w="109"/>
        <w:gridCol w:w="154"/>
      </w:tblGrid>
      <w:tr>
        <w:trPr/>
        <w:tc>
          <w:tcPr>
            <w:tcW w:w="1312"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5" w:type="dxa"/>
            <w:gridSpan w:val="1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6"/>
            <w:tcBorders/>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5" w:type="dxa"/>
            <w:gridSpan w:val="1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6"/>
            <w:tcBorders/>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27,263 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21,558 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15,718 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20,542 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19,961 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22,860 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18,929 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11,297 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Merger, acquisition, and restructuring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72,617 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64,118 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40,735 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year ended December 31, 2023, the Company recognized $5.5 million of income tax expense on stock-based compensation expense related to 2023, which was reflected in the provision (benefit) for income taxes in the consolidated statements of operations. For the year ended December 31, 2023, income tax benefit realized related to awards vested or exercised during 2023 was $12.5 million. For the year ended December 31, 2022, the Company recognized $6.4 million of income tax expense on stock-based compensation expense related to 2022, which was reflected in the provision (benefit) for income taxes in the consolidated statements of operations. For the year ended December 31, 2022, income tax benefit realized related to awards vested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v:textbox>
                <w10:wrap type="none"/>
              </v:rect>
            </w:pict>
          </mc:Fallback>
        </mc:AlternateContent>
      </w:r>
    </w:p>
    <w:p>
      <w:pPr>
        <w:pStyle w:val="TextBody"/>
        <w:bidi w:val="0"/>
        <w:spacing w:lineRule="auto" w:line="288" w:before="0" w:after="0"/>
        <w:jc w:val="left"/>
        <w:rPr/>
      </w:pPr>
      <w:hyperlink w:anchor="i8d6a21e15cb741baa6dee69bcf11e47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or exercised during 2022 and years prior was $9.6 million. For the year ended December 31, 2021, the Company recognized $151.6 million of income tax benefit on stock-based compensation expense related to 2021 and years prior, which was reflected in the provision (benefit) for income taxes in the consolidated statements of operations. For the year ended December 31, 2021, income tax benefit realized related to awards vested or exercised during 2021 and years prior was $40.5 million.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ans-serif" w:hAnsi="Times New Roman;sans-serif"/>
          <w:b/>
          <w:color w:val="000000"/>
          <w:sz w:val="20"/>
        </w:rPr>
      </w:pPr>
      <w:r>
        <w:rPr>
          <w:rFonts w:ascii="Times New Roman;sans-serif" w:hAnsi="Times New Roman;sans-serif"/>
          <w:b/>
          <w:color w:val="000000"/>
          <w:sz w:val="20"/>
        </w:rPr>
        <w:t>Note 13—Merger, Acquisition, and Restructuring Costs</w:t>
      </w:r>
    </w:p>
    <w:p>
      <w:pPr>
        <w:pStyle w:val="TextBody"/>
        <w:bidi w:val="0"/>
        <w:spacing w:lineRule="auto" w:line="288" w:before="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Merger, acquisition, and restructuring costs consist primarily of professional services fees and employee termination costs, including stock-based compensation charges, associated with the SpotX Acquisition, the SpringServe Acquisition, and restructuring activities. During the year ended December 31, 2023, these activities included the Company's reduction of its global workforce primarily associated with the elimination of duplicative roles and other costs associated with the consolidation of its legacy CTV and SpotX CTV platforms following the SpotX Acquisition, including loss contracts for office facilities the Company does not plan to continue to occupy and impairment charges related to certain assets it no longer plans to utilize. </w:t>
      </w:r>
    </w:p>
    <w:p>
      <w:pPr>
        <w:pStyle w:val="TextBody"/>
        <w:bidi w:val="0"/>
        <w:spacing w:lineRule="auto" w:line="288" w:before="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merger, acquisition, and restructuring cost activity:</w:t>
      </w:r>
    </w:p>
    <w:tbl>
      <w:tblPr>
        <w:tblW w:w="10205" w:type="dxa"/>
        <w:jc w:val="center"/>
        <w:tblInd w:w="0" w:type="dxa"/>
        <w:tblLayout w:type="fixed"/>
        <w:tblCellMar>
          <w:top w:w="28" w:type="dxa"/>
          <w:left w:w="28" w:type="dxa"/>
          <w:bottom w:w="28" w:type="dxa"/>
          <w:right w:w="28" w:type="dxa"/>
        </w:tblCellMar>
      </w:tblPr>
      <w:tblGrid>
        <w:gridCol w:w="2027"/>
        <w:gridCol w:w="1727"/>
        <w:gridCol w:w="1738"/>
        <w:gridCol w:w="299"/>
        <w:gridCol w:w="873"/>
        <w:gridCol w:w="154"/>
        <w:gridCol w:w="109"/>
        <w:gridCol w:w="109"/>
        <w:gridCol w:w="109"/>
        <w:gridCol w:w="299"/>
        <w:gridCol w:w="873"/>
        <w:gridCol w:w="154"/>
        <w:gridCol w:w="109"/>
        <w:gridCol w:w="109"/>
        <w:gridCol w:w="109"/>
        <w:gridCol w:w="272"/>
        <w:gridCol w:w="932"/>
        <w:gridCol w:w="203"/>
      </w:tblGrid>
      <w:tr>
        <w:trPr/>
        <w:tc>
          <w:tcPr>
            <w:tcW w:w="2027" w:type="dxa"/>
            <w:tcBorders/>
            <w:vAlign w:val="center"/>
          </w:tcPr>
          <w:p>
            <w:pPr>
              <w:pStyle w:val="TableContents"/>
              <w:bidi w:val="0"/>
              <w:spacing w:before="0" w:after="283"/>
              <w:jc w:val="left"/>
              <w:rPr>
                <w:sz w:val="4"/>
                <w:szCs w:val="4"/>
              </w:rPr>
            </w:pPr>
            <w:r>
              <w:rPr>
                <w:sz w:val="4"/>
                <w:szCs w:val="4"/>
              </w:rPr>
            </w:r>
          </w:p>
        </w:tc>
        <w:tc>
          <w:tcPr>
            <w:tcW w:w="1727" w:type="dxa"/>
            <w:tcBorders/>
            <w:vAlign w:val="center"/>
          </w:tcPr>
          <w:p>
            <w:pPr>
              <w:pStyle w:val="TableContents"/>
              <w:bidi w:val="0"/>
              <w:spacing w:before="0" w:after="283"/>
              <w:jc w:val="left"/>
              <w:rPr>
                <w:sz w:val="4"/>
                <w:szCs w:val="4"/>
              </w:rPr>
            </w:pPr>
            <w:r>
              <w:rPr>
                <w:sz w:val="4"/>
                <w:szCs w:val="4"/>
              </w:rPr>
            </w:r>
          </w:p>
        </w:tc>
        <w:tc>
          <w:tcPr>
            <w:tcW w:w="1738"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5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w:t>
            </w:r>
          </w:p>
        </w:tc>
      </w:tr>
      <w:tr>
        <w:trPr/>
        <w:tc>
          <w:tcPr>
            <w:tcW w:w="5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2021</w:t>
            </w:r>
          </w:p>
        </w:tc>
      </w:tr>
      <w:tr>
        <w:trPr/>
        <w:tc>
          <w:tcPr>
            <w:tcW w:w="5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54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Personnel related (severance and one-time termination benefit costs)</w:t>
            </w:r>
          </w:p>
        </w:tc>
        <w:tc>
          <w:tcPr>
            <w:tcW w:w="2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6,184 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contracts (facility related)</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Exit costs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Impairment of property and equipment, net (Note 6)</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stock-based compensation (double trigger acceleration and severance)</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1,071 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Impairment costs of abandoned technology (Note 8)</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 (investment banking advisory, legal and other professional services)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28,422 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merger, acquisition, and restructuring costs</w:t>
            </w:r>
          </w:p>
        </w:tc>
        <w:tc>
          <w:tcPr>
            <w:tcW w:w="2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38,177 </w:t>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Accrued restructuring costs related to mergers, acquisition, and restructuring activities were primarily related to the SpotX Acquisition and the SpringServe Acquisition. Accrued restructuring costs associated with personnel costs are included in accounts payable and accrued expenses and accruals related to assumed loss contracts are included in other current liabilities and other liabilities, non-current on the Company's consolidated balance sheets.</w:t>
      </w:r>
    </w:p>
    <w:tbl>
      <w:tblPr>
        <w:tblW w:w="10205" w:type="dxa"/>
        <w:jc w:val="center"/>
        <w:tblInd w:w="0" w:type="dxa"/>
        <w:tblLayout w:type="fixed"/>
        <w:tblCellMar>
          <w:top w:w="28" w:type="dxa"/>
          <w:left w:w="28" w:type="dxa"/>
          <w:bottom w:w="28" w:type="dxa"/>
          <w:right w:w="28" w:type="dxa"/>
        </w:tblCellMar>
      </w:tblPr>
      <w:tblGrid>
        <w:gridCol w:w="1935"/>
        <w:gridCol w:w="1683"/>
        <w:gridCol w:w="1688"/>
        <w:gridCol w:w="315"/>
        <w:gridCol w:w="921"/>
        <w:gridCol w:w="162"/>
        <w:gridCol w:w="109"/>
        <w:gridCol w:w="109"/>
        <w:gridCol w:w="109"/>
        <w:gridCol w:w="315"/>
        <w:gridCol w:w="921"/>
        <w:gridCol w:w="162"/>
        <w:gridCol w:w="109"/>
        <w:gridCol w:w="109"/>
        <w:gridCol w:w="109"/>
        <w:gridCol w:w="310"/>
        <w:gridCol w:w="907"/>
        <w:gridCol w:w="232"/>
      </w:tblGrid>
      <w:tr>
        <w:trPr/>
        <w:tc>
          <w:tcPr>
            <w:tcW w:w="1935" w:type="dxa"/>
            <w:tcBorders/>
            <w:vAlign w:val="center"/>
          </w:tcPr>
          <w:p>
            <w:pPr>
              <w:pStyle w:val="TableContents"/>
              <w:bidi w:val="0"/>
              <w:spacing w:before="0" w:after="283"/>
              <w:jc w:val="left"/>
              <w:rPr>
                <w:sz w:val="4"/>
                <w:szCs w:val="4"/>
              </w:rPr>
            </w:pPr>
            <w:r>
              <w:rPr>
                <w:sz w:val="4"/>
                <w:szCs w:val="4"/>
              </w:rPr>
            </w:r>
          </w:p>
        </w:tc>
        <w:tc>
          <w:tcPr>
            <w:tcW w:w="1683" w:type="dxa"/>
            <w:tcBorders/>
            <w:vAlign w:val="center"/>
          </w:tcPr>
          <w:p>
            <w:pPr>
              <w:pStyle w:val="TableContents"/>
              <w:bidi w:val="0"/>
              <w:spacing w:before="0" w:after="283"/>
              <w:jc w:val="left"/>
              <w:rPr>
                <w:sz w:val="4"/>
                <w:szCs w:val="4"/>
              </w:rPr>
            </w:pPr>
            <w:r>
              <w:rPr>
                <w:sz w:val="4"/>
                <w:szCs w:val="4"/>
              </w:rPr>
            </w:r>
          </w:p>
        </w:tc>
        <w:tc>
          <w:tcPr>
            <w:tcW w:w="168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5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w:t>
            </w:r>
          </w:p>
        </w:tc>
      </w:tr>
      <w:tr>
        <w:trPr/>
        <w:tc>
          <w:tcPr>
            <w:tcW w:w="5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2021</w:t>
            </w:r>
          </w:p>
        </w:tc>
      </w:tr>
      <w:tr>
        <w:trPr/>
        <w:tc>
          <w:tcPr>
            <w:tcW w:w="5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9"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5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Accrued merger, acquisition, and restructuring costs at beginning of period</w:t>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2,935 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Personnel related and non-cash stock-based compensation</w:t>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7,255 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Loss contracts (facility related)</w:t>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Exit costs</w:t>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Impairment of property and equipment, net</w:t>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Impairment costs of abandoned technology</w:t>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restructuring costs</w:t>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(4,521)</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(2,747)</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(6,377)</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loss contracts (lease related)</w:t>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(2,190)</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impairments</w:t>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(3,320)</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stock-based compensation</w:t>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(2,004)</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(1,071)</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merger, acquisition, and restructuring costs at end of period</w:t>
            </w:r>
          </w:p>
        </w:tc>
        <w:tc>
          <w:tcPr>
            <w:tcW w:w="3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1,327 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1,222 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2,742 </w:t>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v:textbox>
                <w10:wrap type="none"/>
              </v:rect>
            </w:pict>
          </mc:Fallback>
        </mc:AlternateContent>
      </w:r>
    </w:p>
    <w:p>
      <w:pPr>
        <w:pStyle w:val="TextBody"/>
        <w:bidi w:val="0"/>
        <w:spacing w:lineRule="auto" w:line="288" w:before="0" w:after="0"/>
        <w:jc w:val="left"/>
        <w:rPr/>
      </w:pPr>
      <w:hyperlink w:anchor="i8d6a21e15cb741baa6dee69bcf11e47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00"/>
        <w:jc w:val="left"/>
        <w:rPr>
          <w:rFonts w:ascii="Times New Roman;sans-serif" w:hAnsi="Times New Roman;sans-serif"/>
          <w:b/>
          <w:color w:val="000000"/>
          <w:sz w:val="20"/>
        </w:rPr>
      </w:pPr>
      <w:r>
        <w:rPr>
          <w:rFonts w:ascii="Times New Roman;sans-serif" w:hAnsi="Times New Roman;sans-serif"/>
          <w:b/>
          <w:color w:val="000000"/>
          <w:sz w:val="20"/>
        </w:rPr>
        <w:t>Note 14—Income Taxes</w:t>
      </w:r>
    </w:p>
    <w:p>
      <w:pPr>
        <w:pStyle w:val="TextBody"/>
        <w:bidi w:val="0"/>
        <w:spacing w:lineRule="auto" w:line="288" w:before="0" w:after="60"/>
        <w:jc w:val="left"/>
        <w:rPr>
          <w:color w:val="000000"/>
        </w:rPr>
      </w:pPr>
      <w:r>
        <w:rPr>
          <w:color w:val="000000"/>
        </w:rPr>
        <w:t>    </w:t>
      </w:r>
      <w:r>
        <w:rPr>
          <w:rFonts w:ascii="Times New Roman;sans-serif" w:hAnsi="Times New Roman;sans-serif"/>
          <w:b w:val="false"/>
          <w:color w:val="000000"/>
          <w:sz w:val="20"/>
        </w:rPr>
        <w:t>The following are the domestic and foreign components of the Company’s income (loss) before income taxes for the years ended December 31, 2023, 2022, and 2021:</w:t>
      </w:r>
    </w:p>
    <w:tbl>
      <w:tblPr>
        <w:tblW w:w="7357" w:type="dxa"/>
        <w:jc w:val="left"/>
        <w:tblInd w:w="0" w:type="dxa"/>
        <w:tblLayout w:type="fixed"/>
        <w:tblCellMar>
          <w:top w:w="28" w:type="dxa"/>
          <w:left w:w="28" w:type="dxa"/>
          <w:bottom w:w="28" w:type="dxa"/>
          <w:right w:w="28" w:type="dxa"/>
        </w:tblCellMar>
      </w:tblPr>
      <w:tblGrid>
        <w:gridCol w:w="782"/>
        <w:gridCol w:w="686"/>
        <w:gridCol w:w="692"/>
        <w:gridCol w:w="259"/>
        <w:gridCol w:w="1107"/>
        <w:gridCol w:w="133"/>
        <w:gridCol w:w="109"/>
        <w:gridCol w:w="109"/>
        <w:gridCol w:w="109"/>
        <w:gridCol w:w="259"/>
        <w:gridCol w:w="1107"/>
        <w:gridCol w:w="133"/>
        <w:gridCol w:w="109"/>
        <w:gridCol w:w="109"/>
        <w:gridCol w:w="109"/>
        <w:gridCol w:w="257"/>
        <w:gridCol w:w="1100"/>
        <w:gridCol w:w="188"/>
      </w:tblGrid>
      <w:tr>
        <w:trPr/>
        <w:tc>
          <w:tcPr>
            <w:tcW w:w="782"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w:t>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2021</w:t>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Domestic</w:t>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(165,311)</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(145,480)</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(105,168)</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10,180 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(157,547)</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(135,597)</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(94,988)</w:t>
            </w:r>
          </w:p>
        </w:tc>
        <w:tc>
          <w:tcPr>
            <w:tcW w:w="1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60"/>
        <w:jc w:val="left"/>
        <w:rPr>
          <w:color w:val="000000"/>
        </w:rPr>
      </w:pPr>
      <w:r>
        <w:rPr>
          <w:color w:val="000000"/>
        </w:rPr>
        <w:t>    </w:t>
      </w:r>
      <w:r>
        <w:rPr>
          <w:rFonts w:ascii="Times New Roman;sans-serif" w:hAnsi="Times New Roman;sans-serif"/>
          <w:b w:val="false"/>
          <w:color w:val="000000"/>
          <w:sz w:val="20"/>
        </w:rPr>
        <w:t>The following are the components of the provision (benefit) for income taxes for the years ended December 31, 2023, 2022, and 2021:</w:t>
      </w:r>
    </w:p>
    <w:tbl>
      <w:tblPr>
        <w:tblW w:w="8690" w:type="dxa"/>
        <w:jc w:val="left"/>
        <w:tblInd w:w="0" w:type="dxa"/>
        <w:tblLayout w:type="fixed"/>
        <w:tblCellMar>
          <w:top w:w="28" w:type="dxa"/>
          <w:left w:w="28" w:type="dxa"/>
          <w:bottom w:w="28" w:type="dxa"/>
          <w:right w:w="28" w:type="dxa"/>
        </w:tblCellMar>
      </w:tblPr>
      <w:tblGrid>
        <w:gridCol w:w="1260"/>
        <w:gridCol w:w="1109"/>
        <w:gridCol w:w="1125"/>
        <w:gridCol w:w="338"/>
        <w:gridCol w:w="987"/>
        <w:gridCol w:w="174"/>
        <w:gridCol w:w="109"/>
        <w:gridCol w:w="109"/>
        <w:gridCol w:w="109"/>
        <w:gridCol w:w="313"/>
        <w:gridCol w:w="1025"/>
        <w:gridCol w:w="161"/>
        <w:gridCol w:w="109"/>
        <w:gridCol w:w="109"/>
        <w:gridCol w:w="109"/>
        <w:gridCol w:w="280"/>
        <w:gridCol w:w="1059"/>
        <w:gridCol w:w="205"/>
      </w:tblGrid>
      <w:tr>
        <w:trPr/>
        <w:tc>
          <w:tcPr>
            <w:tcW w:w="1260"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w:t>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2021</w:t>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6"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Current:</w:t>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1,994 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1,515 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1,707 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2,275 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provision</w:t>
            </w:r>
          </w:p>
        </w:tc>
        <w:tc>
          <w:tcPr>
            <w:tcW w:w="13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3,919 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3,605 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3,918 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Deferred:</w:t>
            </w:r>
          </w:p>
        </w:tc>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(2,039)</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(89,404)</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(5,317)</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(6,324)</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(8,296)</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2,272 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benefit</w:t>
            </w:r>
          </w:p>
        </w:tc>
        <w:tc>
          <w:tcPr>
            <w:tcW w:w="13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(2,282)</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(8,879)</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(98,971)</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provision (benefit) for income taxes</w:t>
            </w:r>
          </w:p>
        </w:tc>
        <w:tc>
          <w:tcPr>
            <w:tcW w:w="3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1,637 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(5,274)</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(95,053)</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v:textbox>
                <w10:wrap type="none"/>
              </v:rect>
            </w:pict>
          </mc:Fallback>
        </mc:AlternateContent>
      </w:r>
    </w:p>
    <w:p>
      <w:pPr>
        <w:pStyle w:val="TextBody"/>
        <w:bidi w:val="0"/>
        <w:spacing w:lineRule="auto" w:line="288" w:before="0" w:after="0"/>
        <w:jc w:val="left"/>
        <w:rPr/>
      </w:pPr>
      <w:hyperlink w:anchor="i8d6a21e15cb741baa6dee69bcf11e47e_7">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0" w:after="0"/>
        <w:jc w:val="left"/>
        <w:rPr>
          <w:color w:val="000000"/>
        </w:rPr>
      </w:pPr>
      <w:r>
        <w:rPr>
          <w:color w:val="000000"/>
        </w:rPr>
        <w:t>    </w:t>
      </w:r>
      <w:r>
        <w:rPr>
          <w:rFonts w:ascii="Times New Roman;sans-serif" w:hAnsi="Times New Roman;sans-serif"/>
          <w:b w:val="false"/>
          <w:color w:val="000000"/>
          <w:sz w:val="20"/>
        </w:rPr>
        <w:t xml:space="preserve">The Company recorded an income tax expense of $1.6 million for the year ended December 31, 2023 compared to an income tax benefit of $5.3 million and $95.1 million for the years ended December 31, 2022 and 2021, respectively. The income tax expense for the year ended December 31, 2023 was primarily the result of the domestic valuation allowance on the Company's deferred tax assets and the federal, state, and foreign income tax liabilities. The income tax benefit for the year ended December 31, 2022 was primarily the result of recognizing the benefit of deferred tax assets previously subject to the domestic valuation allowance and the income tax liability associated with foreign subsidiaries. The net deferred tax liabilities recorded in connection with the prior year’s acquisitions and current taxable income for the year provided sources of taxable income to support the realization of pre-existing deferred tax assets. The income tax benefit for the year ended December 31, 2021 was primarily the result of realizing the benefit of deferred tax assets previously subject to the domestic valuation allowance as a result of the deferred tax liabilities associated with acquisitions that occurred during the year and the income tax liability associated with foreign subsidiaries. </w:t>
      </w:r>
    </w:p>
    <w:p>
      <w:pPr>
        <w:pStyle w:val="TextBody"/>
        <w:bidi w:val="0"/>
        <w:spacing w:before="0" w:after="0"/>
        <w:jc w:val="left"/>
        <w:rPr/>
      </w:pPr>
      <w:r>
        <w:rPr/>
      </w:r>
    </w:p>
    <w:p>
      <w:pPr>
        <w:pStyle w:val="TextBody"/>
        <w:bidi w:val="0"/>
        <w:spacing w:lineRule="auto" w:line="288" w:before="0" w:after="60"/>
        <w:jc w:val="left"/>
        <w:rPr>
          <w:color w:val="000000"/>
        </w:rPr>
      </w:pPr>
      <w:r>
        <w:rPr>
          <w:color w:val="000000"/>
        </w:rPr>
        <w:t>    </w:t>
      </w:r>
      <w:r>
        <w:rPr>
          <w:rFonts w:ascii="Times New Roman;sans-serif" w:hAnsi="Times New Roman;sans-serif"/>
          <w:b w:val="false"/>
          <w:color w:val="000000"/>
          <w:sz w:val="20"/>
        </w:rPr>
        <w:t>Set forth below is a reconciliation of the components that caused the Company’s provision (benefit) for income taxes to differ from amounts computed by applying the U.S. federal statutory rate of 21% for the years ended December 31, 2023, 2022, and 2021:</w:t>
      </w:r>
    </w:p>
    <w:tbl>
      <w:tblPr>
        <w:tblW w:w="8604" w:type="dxa"/>
        <w:jc w:val="left"/>
        <w:tblInd w:w="0" w:type="dxa"/>
        <w:tblLayout w:type="fixed"/>
        <w:tblCellMar>
          <w:top w:w="28" w:type="dxa"/>
          <w:left w:w="28" w:type="dxa"/>
          <w:bottom w:w="28" w:type="dxa"/>
          <w:right w:w="28" w:type="dxa"/>
        </w:tblCellMar>
      </w:tblPr>
      <w:tblGrid>
        <w:gridCol w:w="1231"/>
        <w:gridCol w:w="1085"/>
        <w:gridCol w:w="1089"/>
        <w:gridCol w:w="334"/>
        <w:gridCol w:w="334"/>
        <w:gridCol w:w="832"/>
        <w:gridCol w:w="109"/>
        <w:gridCol w:w="109"/>
        <w:gridCol w:w="109"/>
        <w:gridCol w:w="334"/>
        <w:gridCol w:w="334"/>
        <w:gridCol w:w="832"/>
        <w:gridCol w:w="109"/>
        <w:gridCol w:w="109"/>
        <w:gridCol w:w="109"/>
        <w:gridCol w:w="314"/>
        <w:gridCol w:w="314"/>
        <w:gridCol w:w="917"/>
      </w:tblGrid>
      <w:tr>
        <w:trPr/>
        <w:tc>
          <w:tcPr>
            <w:tcW w:w="123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w:t>
            </w:r>
          </w:p>
        </w:tc>
      </w:tr>
      <w:tr>
        <w:trPr/>
        <w:tc>
          <w:tcPr>
            <w:tcW w:w="3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2021</w:t>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federal statutory income tax rate</w:t>
            </w:r>
          </w:p>
        </w:tc>
        <w:tc>
          <w:tcPr>
            <w:tcW w:w="6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9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income taxes, net of federal benefit</w:t>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8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8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9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loss at other than U.S. rates</w:t>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8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8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9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8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8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31.7 </w:t>
            </w:r>
          </w:p>
        </w:tc>
        <w:tc>
          <w:tcPr>
            <w:tcW w:w="9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Meals and entertainment</w:t>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8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8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9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permanent items</w:t>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8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8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9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valuation allowance</w:t>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w:t>
            </w:r>
          </w:p>
        </w:tc>
        <w:tc>
          <w:tcPr>
            <w:tcW w:w="8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w:t>
            </w:r>
          </w:p>
        </w:tc>
        <w:tc>
          <w:tcPr>
            <w:tcW w:w="8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58.0 </w:t>
            </w:r>
          </w:p>
        </w:tc>
        <w:tc>
          <w:tcPr>
            <w:tcW w:w="9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 162(m) officers' compensation</w:t>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8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8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w:t>
            </w:r>
          </w:p>
        </w:tc>
        <w:tc>
          <w:tcPr>
            <w:tcW w:w="9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to return adjustments</w:t>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8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8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9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tax credits</w:t>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8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8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withholding taxes</w:t>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8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income tax rate</w:t>
            </w:r>
          </w:p>
        </w:tc>
        <w:tc>
          <w:tcPr>
            <w:tcW w:w="66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8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8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100.1 </w:t>
            </w:r>
          </w:p>
        </w:tc>
        <w:tc>
          <w:tcPr>
            <w:tcW w:w="9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00" w:after="60"/>
        <w:jc w:val="left"/>
        <w:rPr>
          <w:color w:val="000000"/>
        </w:rPr>
      </w:pPr>
      <w:r>
        <w:rPr>
          <w:color w:val="000000"/>
        </w:rPr>
        <w:t>    </w:t>
      </w:r>
      <w:r>
        <w:rPr>
          <w:rFonts w:ascii="Times New Roman;sans-serif" w:hAnsi="Times New Roman;sans-serif"/>
          <w:b w:val="false"/>
          <w:color w:val="000000"/>
          <w:sz w:val="20"/>
        </w:rPr>
        <w:t>Set forth below are the tax effects of temporary differences that give rise to a significant portion of the deferred tax assets and deferred tax liabilities as of December 31, 2023 and 2022:</w:t>
      </w:r>
    </w:p>
    <w:tbl>
      <w:tblPr>
        <w:tblW w:w="7240" w:type="dxa"/>
        <w:jc w:val="left"/>
        <w:tblInd w:w="0" w:type="dxa"/>
        <w:tblLayout w:type="fixed"/>
        <w:tblCellMar>
          <w:top w:w="28" w:type="dxa"/>
          <w:left w:w="28" w:type="dxa"/>
          <w:bottom w:w="28" w:type="dxa"/>
          <w:right w:w="28" w:type="dxa"/>
        </w:tblCellMar>
      </w:tblPr>
      <w:tblGrid>
        <w:gridCol w:w="1401"/>
        <w:gridCol w:w="1230"/>
        <w:gridCol w:w="1239"/>
        <w:gridCol w:w="338"/>
        <w:gridCol w:w="987"/>
        <w:gridCol w:w="174"/>
        <w:gridCol w:w="109"/>
        <w:gridCol w:w="109"/>
        <w:gridCol w:w="109"/>
        <w:gridCol w:w="308"/>
        <w:gridCol w:w="1011"/>
        <w:gridCol w:w="225"/>
      </w:tblGrid>
      <w:tr>
        <w:trPr/>
        <w:tc>
          <w:tcPr>
            <w:tcW w:w="1401"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Deferred Tax Assets:</w:t>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doubtful accounts</w:t>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5,959 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w:t>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1,133 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1,308 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w:t>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12,623 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15,679 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3,803 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4,830 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operating loss carryovers</w:t>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91,716 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111,587 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credit carryovers</w:t>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10,005 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9,131 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2,384 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2,460 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assets</w:t>
            </w:r>
          </w:p>
        </w:tc>
        <w:tc>
          <w:tcPr>
            <w:tcW w:w="13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127,623 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144,995 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valuation allowance</w:t>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(107,017)</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(76,772)</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 net of valuation allowance</w:t>
            </w:r>
          </w:p>
        </w:tc>
        <w:tc>
          <w:tcPr>
            <w:tcW w:w="13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20,606 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68,223 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Deferred Tax Liabilities:</w:t>
            </w:r>
          </w:p>
        </w:tc>
        <w:tc>
          <w:tcPr>
            <w:tcW w:w="14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assets</w:t>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(4,380)</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(2,132)</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(6,185)</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(56,022)</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 of use lease asset</w:t>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(10,356)</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(12,763)</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liabilities</w:t>
            </w:r>
          </w:p>
        </w:tc>
        <w:tc>
          <w:tcPr>
            <w:tcW w:w="13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(20,921)</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(70,917)</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tax liabilities</w:t>
            </w:r>
          </w:p>
        </w:tc>
        <w:tc>
          <w:tcPr>
            <w:tcW w:w="3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(2,694)</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v:textbox>
                <w10:wrap type="none"/>
              </v:rect>
            </w:pict>
          </mc:Fallback>
        </mc:AlternateContent>
      </w:r>
    </w:p>
    <w:p>
      <w:pPr>
        <w:pStyle w:val="TextBody"/>
        <w:bidi w:val="0"/>
        <w:spacing w:lineRule="auto" w:line="288" w:before="0" w:after="0"/>
        <w:jc w:val="left"/>
        <w:rPr/>
      </w:pPr>
      <w:hyperlink w:anchor="i8d6a21e15cb741baa6dee69bcf11e47e_7">
        <w:r>
          <w:rPr>
            <w:rStyle w:val="InternetLink"/>
            <w:rFonts w:ascii="Times New Roman;sans-serif" w:hAnsi="Times New Roman;sans-serif"/>
            <w:b w:val="false"/>
            <w:color w:val="0000FF"/>
            <w:sz w:val="20"/>
            <w:u w:val="single"/>
          </w:rPr>
          <w:t>Table of Contents</w:t>
        </w:r>
      </w:hyperlink>
    </w:p>
    <w:p>
      <w:pPr>
        <w:pStyle w:val="TextBody"/>
        <w:bidi w:val="0"/>
        <w:spacing w:lineRule="auto" w:line="256" w:before="100" w:after="100"/>
        <w:jc w:val="left"/>
        <w:rPr>
          <w:color w:val="000000"/>
        </w:rPr>
      </w:pPr>
      <w:r>
        <w:rPr>
          <w:color w:val="000000"/>
        </w:rPr>
        <w:t>    </w:t>
      </w:r>
      <w:r>
        <w:rPr>
          <w:rFonts w:ascii="Times New Roman;sans-serif" w:hAnsi="Times New Roman;sans-serif"/>
          <w:b w:val="false"/>
          <w:color w:val="000000"/>
          <w:sz w:val="20"/>
        </w:rPr>
        <w:t>As of December 31, 2023, the net deferred tax liabilities of $0.3 million is presented in the Company's consolidated balance sheets as deferred tax liabilities, net of $0.7 million and other assets, non-current of $0.4 million. As of December 31, 2022, the net deferred tax liabilities of $2.7 million is presented in the Company's consolidated balance sheets as deferred tax liabilities, net of $5.1 million and other assets, non-current of $2.4 million. The valuation allowance was increased by $30.2 million for the year ended December 31, 2023, and increased by $20.7 million, and reduced by $53.9 million for the years ended December 31, 2022 and 2021, respectively.</w:t>
      </w:r>
    </w:p>
    <w:p>
      <w:pPr>
        <w:pStyle w:val="TextBody"/>
        <w:bidi w:val="0"/>
        <w:spacing w:lineRule="auto" w:line="288" w:before="100" w:after="100"/>
        <w:jc w:val="left"/>
        <w:rPr>
          <w:color w:val="000000"/>
        </w:rPr>
      </w:pPr>
      <w:r>
        <w:rPr>
          <w:color w:val="000000"/>
        </w:rPr>
        <w:t>    </w:t>
      </w:r>
      <w:r>
        <w:rPr>
          <w:rFonts w:ascii="Times New Roman;sans-serif" w:hAnsi="Times New Roman;sans-serif"/>
          <w:b w:val="false"/>
          <w:color w:val="000000"/>
          <w:sz w:val="20"/>
        </w:rPr>
        <w:t>At December 31, 2023, the Company had U.S. federal net operating loss carryforwards, or NOLs, of approximately $324.1 million, which will begin to expire in 2027. At December 31, 2023, the Company had state NOLs of approximately $227.9 million, which will begin to expire in 2025. At December 31, 2023, the Company had foreign NOLs of approximately $23.3 million, which will begin to expire in 2026. At December 31, 2023, the Company had acquired federal research and development tax credit carryforwards of approximately $4.4 million which will begin to expire in 2028, and state research and development tax credits of approximately $10.5 million, the majority of which carry forward indefinitely.</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August 16, 2022, President Biden signed the Inflation Reduction Act of 2022 (the “IRA”) into law. The IRA includes a new corporate alternative minimum tax (the “Corporate AMT”) of 15% on the adjusted financial statement income (the “AFSI”) of corporations with average AFSI exceeding $1.0 billion over a three-year period. The Corporate AMT is effective for tax years beginning after December 31, 2022 and is not expected to impact the Company. Additionally, the IRA imposes an excise tax of 1% on the fair market value of net stock repurchases made after December 31, 2022. The impact of this latter provision to the Company will be dependent upon the extent of share repurchases made in future periods.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various foreign jurisdictions where the Company has activity have enacted or are considering enacting a variety of measures that could impact the Company's tax liabilities. The Company is monitoring new legislation and evaluating the potential tax implications of these measures globally.</w:t>
      </w:r>
    </w:p>
    <w:p>
      <w:pPr>
        <w:pStyle w:val="TextBody"/>
        <w:bidi w:val="0"/>
        <w:spacing w:lineRule="auto" w:line="288" w:before="1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Section 382 of the Internal Revenue Code, the Company and Telaria, Inc. both underwent ownership changes for tax purposes (i.e. a more than 50% change in stock ownership in aggregated 5% shareholders) on April 1, 2020 due to the merger with Telaria. As a result, the use of the Company’s total domestic NOL carryforwards and tax credits generated prior to the ownership change will be subject to annual use limitations under Section 382 and Section 383 of the Code and comparable state income tax laws. The Company believes that the ownership change will not impact its ability to utilize substantially all of its NOLs and state research and development carryforward tax credits to the extent it will generate taxable income that can be offset by such losses. The Company reasonably expects its federal research and development carryforward tax credits will not be recovered prior to expiration.</w:t>
      </w:r>
    </w:p>
    <w:p>
      <w:pPr>
        <w:pStyle w:val="TextBody"/>
        <w:bidi w:val="0"/>
        <w:spacing w:lineRule="auto" w:line="288" w:before="0" w:after="200"/>
        <w:jc w:val="left"/>
        <w:rPr>
          <w:color w:val="000000"/>
        </w:rPr>
      </w:pPr>
      <w:r>
        <w:rPr>
          <w:color w:val="000000"/>
        </w:rPr>
        <w:t>    </w:t>
      </w:r>
      <w:r>
        <w:rPr>
          <w:rFonts w:ascii="Times New Roman;sans-serif" w:hAnsi="Times New Roman;sans-serif"/>
          <w:b w:val="false"/>
          <w:color w:val="000000"/>
          <w:sz w:val="20"/>
        </w:rPr>
        <w:t>Additionally, for tax years beginning after December 31, 2017, the Tax Cuts and Jobs Act limits the NOL deduction to 80% of taxable income, repeals carryback of all NOLs arising in a tax year ending after 2017, and permits indefinite carryforward for all such NOLs. NOL’s arising in a tax year ending in or before 2017 can offset 100% of taxable income, are available for carryback, and expire 20 years after they arise.</w:t>
      </w:r>
    </w:p>
    <w:p>
      <w:pPr>
        <w:pStyle w:val="TextBody"/>
        <w:bidi w:val="0"/>
        <w:spacing w:lineRule="auto" w:line="288" w:before="0" w:after="200"/>
        <w:jc w:val="left"/>
        <w:rPr>
          <w:color w:val="000000"/>
        </w:rPr>
      </w:pPr>
      <w:r>
        <w:rPr>
          <w:color w:val="000000"/>
        </w:rPr>
        <w:t>    </w:t>
      </w:r>
      <w:r>
        <w:rPr>
          <w:rFonts w:ascii="Times New Roman;sans-serif" w:hAnsi="Times New Roman;sans-serif"/>
          <w:b w:val="false"/>
          <w:color w:val="000000"/>
          <w:sz w:val="20"/>
        </w:rPr>
        <w:t>At December 31, 2023, unremitted earnings of the subsidiaries outside of the United States were approximately $30.8 million. The Company’s intention is to indefinitely reinvest these earnings outside the United States. Upon distribution of those earnings in the form of a dividend or otherwise, the Company would be subject to withholding taxes payable to various foreign countries and, potentially, various state taxes. The amounts of such tax liabilities that might be payable upon actual repatriation of foreign earnings, after consideration of corresponding foreign tax credits, are not material.</w:t>
      </w:r>
    </w:p>
    <w:p>
      <w:pPr>
        <w:pStyle w:val="TextBody"/>
        <w:bidi w:val="0"/>
        <w:spacing w:lineRule="auto" w:line="288" w:before="0" w:after="60"/>
        <w:jc w:val="left"/>
        <w:rPr/>
      </w:pPr>
      <w:r>
        <w:rPr>
          <w:color w:val="006EBF"/>
        </w:rPr>
        <w:t>    </w:t>
      </w:r>
      <w:r>
        <w:rPr>
          <w:rFonts w:ascii="Times New Roman;sans-serif" w:hAnsi="Times New Roman;sans-serif"/>
          <w:b w:val="false"/>
          <w:color w:val="000000"/>
          <w:sz w:val="20"/>
        </w:rPr>
        <w:t>The following table summarizes the activity related to the unrecognized tax benefits (in thousands):</w:t>
      </w:r>
    </w:p>
    <w:tbl>
      <w:tblPr>
        <w:tblW w:w="5072" w:type="dxa"/>
        <w:jc w:val="left"/>
        <w:tblInd w:w="0" w:type="dxa"/>
        <w:tblLayout w:type="fixed"/>
        <w:tblCellMar>
          <w:top w:w="28" w:type="dxa"/>
          <w:left w:w="28" w:type="dxa"/>
          <w:bottom w:w="28" w:type="dxa"/>
          <w:right w:w="28" w:type="dxa"/>
        </w:tblCellMar>
      </w:tblPr>
      <w:tblGrid>
        <w:gridCol w:w="1364"/>
        <w:gridCol w:w="1199"/>
        <w:gridCol w:w="1201"/>
        <w:gridCol w:w="109"/>
        <w:gridCol w:w="109"/>
        <w:gridCol w:w="109"/>
        <w:gridCol w:w="211"/>
        <w:gridCol w:w="616"/>
        <w:gridCol w:w="154"/>
      </w:tblGrid>
      <w:tr>
        <w:trPr/>
        <w:tc>
          <w:tcPr>
            <w:tcW w:w="1364"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Increases related to current year tax positions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Decreases related to prior year tax positions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Increases related to prior year tax positions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Increases related to current year tax positions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Decreases related to prior year tax positions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Increases related to prior year tax positions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00"/>
        <w:jc w:val="left"/>
        <w:rPr>
          <w:color w:val="000000"/>
        </w:rPr>
      </w:pPr>
      <w:r>
        <w:rPr>
          <w:color w:val="000000"/>
        </w:rPr>
        <w:t>    </w:t>
      </w:r>
      <w:r>
        <w:rPr>
          <w:rFonts w:ascii="Times New Roman;sans-serif" w:hAnsi="Times New Roman;sans-serif"/>
          <w:b w:val="false"/>
          <w:color w:val="000000"/>
          <w:sz w:val="20"/>
        </w:rPr>
        <w:t>Interest and penalties related to the Company’s unrecognized tax benefits accrued at December 31, 2023, 2022, and 2021 were not material.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v:textbox>
                <w10:wrap type="none"/>
              </v:rect>
            </w:pict>
          </mc:Fallback>
        </mc:AlternateContent>
      </w:r>
    </w:p>
    <w:p>
      <w:pPr>
        <w:pStyle w:val="TextBody"/>
        <w:bidi w:val="0"/>
        <w:spacing w:lineRule="auto" w:line="288" w:before="0" w:after="0"/>
        <w:jc w:val="left"/>
        <w:rPr/>
      </w:pPr>
      <w:hyperlink w:anchor="i8d6a21e15cb741baa6dee69bcf11e47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00"/>
        <w:jc w:val="left"/>
        <w:rPr>
          <w:color w:val="000000"/>
        </w:rPr>
      </w:pPr>
      <w:r>
        <w:rPr>
          <w:color w:val="000000"/>
        </w:rPr>
        <w:t>    </w:t>
      </w:r>
      <w:r>
        <w:rPr>
          <w:rFonts w:ascii="Times New Roman;sans-serif" w:hAnsi="Times New Roman;sans-serif"/>
          <w:b w:val="false"/>
          <w:color w:val="000000"/>
          <w:sz w:val="20"/>
        </w:rPr>
        <w:t xml:space="preserve">Due to the net operating loss carryforwards, the Company's United States federal and a majority of its state returns are open to examination by the Internal Revenue Service and state jurisdictions for all years since inception. For the Netherlands, India, Sweden, and the United Kingdom, all tax years remain open for examination by the local country tax authorities, for France only 2021 and forward are open, for Singapore only 2019 and forward are open for examination, for New Zealand, Australia, Brazil, and Germany 2019 and forward are open for examination, for Canada, Italy, and Malaysia 2018 and forward are open for examination, and for Japan 2017 and forward remain open for examination. </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The Company does not expect its uncertain income tax positions to have a material impact on its consolidated financial statements within the next twelve months.</w:t>
      </w:r>
    </w:p>
    <w:p>
      <w:pPr>
        <w:pStyle w:val="TextBody"/>
        <w:bidi w:val="0"/>
        <w:spacing w:before="0" w:after="2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Note 15—Leases</w:t>
      </w:r>
    </w:p>
    <w:p>
      <w:pPr>
        <w:pStyle w:val="TextBody"/>
        <w:bidi w:val="0"/>
        <w:spacing w:lineRule="auto" w:line="288" w:before="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operating leases for office facilities and data centers. The lease terms of the Company’s leases generally range from 1.0 year to 10.0 years. The weighted average remaining lease term of leases included in lease liabilities is 5.2 years and 5.6 years as of December 31, 2023 and December 31, 2022, respectively. As of December 31, 2023 and December 31, 2022, a weighted average discount rate of 6.19% and 6.11%, respectively, were applied to the remaining lease payments to calculate the lease liabilities included within the consolidated balance sheets. </w:t>
      </w:r>
    </w:p>
    <w:p>
      <w:pPr>
        <w:pStyle w:val="TextBody"/>
        <w:bidi w:val="0"/>
        <w:spacing w:lineRule="auto" w:line="288" w:before="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expense associated with leases included in the lease liability and right of use ("ROU") asset on the consolidated balance sheets were $24.5 million, $23.3 million and $20.7 million for the years ended December 31, 2023, 2022 and 2021, respectively. For lease expenses not included in the Company's ROU asset and lease liability balances, the Company recognized short term lease expense of $0.5 million, $1.2 million and $1.2 million and variable lease expense of $3.8 million, $3.1 million, and $2.4 million for the years ended December 31, 2023, 2022 and 2021, respectively.</w:t>
      </w:r>
    </w:p>
    <w:p>
      <w:pPr>
        <w:pStyle w:val="TextBody"/>
        <w:bidi w:val="0"/>
        <w:spacing w:lineRule="auto" w:line="288" w:before="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maturity of the Company's lease liabilities associated with leases included in the lease liability and ROU asset were as follows as of December 31, 2023 (in thousands):</w:t>
      </w:r>
    </w:p>
    <w:tbl>
      <w:tblPr>
        <w:tblW w:w="4190" w:type="dxa"/>
        <w:jc w:val="center"/>
        <w:tblInd w:w="0" w:type="dxa"/>
        <w:tblLayout w:type="fixed"/>
        <w:tblCellMar>
          <w:top w:w="28" w:type="dxa"/>
          <w:left w:w="28" w:type="dxa"/>
          <w:bottom w:w="28" w:type="dxa"/>
          <w:right w:w="28" w:type="dxa"/>
        </w:tblCellMar>
      </w:tblPr>
      <w:tblGrid>
        <w:gridCol w:w="1154"/>
        <w:gridCol w:w="1017"/>
        <w:gridCol w:w="933"/>
        <w:gridCol w:w="211"/>
        <w:gridCol w:w="721"/>
        <w:gridCol w:w="154"/>
      </w:tblGrid>
      <w:tr>
        <w:trPr/>
        <w:tc>
          <w:tcPr>
            <w:tcW w:w="1154"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Fiscal Year</w:t>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payments (undiscounted)</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81,443 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(11,376)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liabilities—total (discounted)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70,067 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00"/>
        <w:jc w:val="left"/>
        <w:rPr>
          <w:color w:val="000000"/>
        </w:rPr>
      </w:pPr>
      <w:r>
        <w:rPr>
          <w:color w:val="000000"/>
        </w:rPr>
        <w:t>    </w:t>
      </w:r>
      <w:r>
        <w:rPr>
          <w:rFonts w:ascii="Times New Roman;sans-serif" w:hAnsi="Times New Roman;sans-serif"/>
          <w:b w:val="false"/>
          <w:color w:val="000000"/>
          <w:sz w:val="20"/>
        </w:rPr>
        <w:t>The Company also received rental income of $5.3 million, $5.2 million, and $4.4 million for real estate leases for which it subleased the property to a third party during the years ended December 31, 2023, 2022, and 2021, respectively. Rental income is included in other income in the consolidated statements of operations.</w:t>
      </w:r>
    </w:p>
    <w:p>
      <w:pPr>
        <w:pStyle w:val="TextBody"/>
        <w:bidi w:val="0"/>
        <w:spacing w:lineRule="auto" w:line="288" w:before="0" w:after="20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Note 16—Commitments and Contingencies</w:t>
      </w:r>
    </w:p>
    <w:p>
      <w:pPr>
        <w:pStyle w:val="TextBody"/>
        <w:bidi w:val="0"/>
        <w:spacing w:lineRule="auto" w:line="288" w:before="0" w:after="200"/>
        <w:jc w:val="left"/>
        <w:rPr>
          <w:rFonts w:ascii="Times New Roman;sans-serif" w:hAnsi="Times New Roman;sans-serif"/>
          <w:b/>
          <w:i/>
          <w:color w:val="000000"/>
          <w:sz w:val="20"/>
        </w:rPr>
      </w:pPr>
      <w:r>
        <w:rPr>
          <w:rFonts w:ascii="Times New Roman;sans-serif" w:hAnsi="Times New Roman;sans-serif"/>
          <w:b/>
          <w:i/>
          <w:color w:val="000000"/>
          <w:sz w:val="20"/>
        </w:rPr>
        <w:t xml:space="preserve">Commitments </w:t>
      </w:r>
    </w:p>
    <w:p>
      <w:pPr>
        <w:pStyle w:val="TextBody"/>
        <w:bidi w:val="0"/>
        <w:spacing w:lineRule="auto" w:line="288" w:before="0" w:after="200"/>
        <w:jc w:val="left"/>
        <w:rPr>
          <w:color w:val="000000"/>
        </w:rPr>
      </w:pPr>
      <w:r>
        <w:rPr>
          <w:color w:val="000000"/>
        </w:rPr>
        <w:t>    </w:t>
      </w:r>
      <w:r>
        <w:rPr>
          <w:rFonts w:ascii="Times New Roman;sans-serif" w:hAnsi="Times New Roman;sans-serif"/>
          <w:b w:val="false"/>
          <w:color w:val="000000"/>
          <w:sz w:val="20"/>
        </w:rPr>
        <w:t xml:space="preserve">The Company has commitments under non-cancelable operating leases for facilities, certain equipment, and its managed data center facilities (Note 15). </w:t>
      </w:r>
    </w:p>
    <w:p>
      <w:pPr>
        <w:pStyle w:val="TextBody"/>
        <w:bidi w:val="0"/>
        <w:spacing w:lineRule="auto" w:line="288" w:before="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and 2022, the Company had $5.3 million and $5.3 million, respectively, of letters of credit associated with office leases available for borrowing, on which there were no outstanding borrowings as of either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v:textbox>
                <w10:wrap type="none"/>
              </v:rect>
            </w:pict>
          </mc:Fallback>
        </mc:AlternateContent>
      </w:r>
    </w:p>
    <w:p>
      <w:pPr>
        <w:pStyle w:val="TextBody"/>
        <w:bidi w:val="0"/>
        <w:spacing w:lineRule="auto" w:line="288" w:before="0" w:after="0"/>
        <w:jc w:val="left"/>
        <w:rPr/>
      </w:pPr>
      <w:hyperlink w:anchor="i8d6a21e15cb741baa6dee69bcf11e47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the normal course of business, the Company enters into non-cancelable contractual obligations with various parties, primarily related to software services agreements and data center providers. As of December 31, 2023, the Company's outstanding non-cancelable contractual obligations with a remaining term of one year or longer consist of the following (in thousands):</w:t>
      </w:r>
    </w:p>
    <w:tbl>
      <w:tblPr>
        <w:tblW w:w="2060" w:type="dxa"/>
        <w:jc w:val="left"/>
        <w:tblInd w:w="0" w:type="dxa"/>
        <w:tblLayout w:type="fixed"/>
        <w:tblCellMar>
          <w:top w:w="28" w:type="dxa"/>
          <w:left w:w="28" w:type="dxa"/>
          <w:bottom w:w="28" w:type="dxa"/>
          <w:right w:w="28" w:type="dxa"/>
        </w:tblCellMar>
      </w:tblPr>
      <w:tblGrid>
        <w:gridCol w:w="352"/>
        <w:gridCol w:w="310"/>
        <w:gridCol w:w="312"/>
        <w:gridCol w:w="211"/>
        <w:gridCol w:w="721"/>
        <w:gridCol w:w="154"/>
      </w:tblGrid>
      <w:tr>
        <w:trPr/>
        <w:tc>
          <w:tcPr>
            <w:tcW w:w="352"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Fiscal Year</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86,724 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amounts above include commitments under a cloud-managed services agreement, under which the Company has a non-cancelable minimum spend commitment from July 2023 to June 2025 of $57.6 million in each twelve-month period (i.e. July 2023 to June 2024 and July 2024 to June 2025). The minimum spend commitment reflected above approximates the manner in which the Company expects to fulfill the obligations.</w:t>
      </w:r>
    </w:p>
    <w:p>
      <w:pPr>
        <w:pStyle w:val="TextBody"/>
        <w:bidi w:val="0"/>
        <w:spacing w:lineRule="auto" w:line="288" w:before="0" w:after="200"/>
        <w:jc w:val="left"/>
        <w:rPr/>
      </w:pPr>
      <w:r>
        <w:rPr>
          <w:color w:val="000000"/>
        </w:rPr>
        <w:t>    </w:t>
      </w:r>
      <w:r>
        <w:rPr>
          <w:rFonts w:ascii="Times New Roman;sans-serif" w:hAnsi="Times New Roman;sans-serif"/>
          <w:b/>
          <w:i/>
          <w:color w:val="000000"/>
          <w:sz w:val="20"/>
        </w:rPr>
        <w:t>Guarantees and Indemnification</w:t>
      </w:r>
    </w:p>
    <w:p>
      <w:pPr>
        <w:pStyle w:val="TextBody"/>
        <w:bidi w:val="0"/>
        <w:spacing w:lineRule="auto" w:line="288" w:before="0" w:after="200"/>
        <w:jc w:val="left"/>
        <w:rPr>
          <w:color w:val="000000"/>
        </w:rPr>
      </w:pPr>
      <w:r>
        <w:rPr>
          <w:color w:val="000000"/>
        </w:rPr>
        <w:t>    </w:t>
      </w:r>
      <w:r>
        <w:rPr>
          <w:rFonts w:ascii="Times New Roman;sans-serif" w:hAnsi="Times New Roman;sans-serif"/>
          <w:b w:val="false"/>
          <w:color w:val="000000"/>
          <w:sz w:val="20"/>
        </w:rPr>
        <w:t xml:space="preserve">The Company’s agreements with sellers, buyers, and other third parties typically obligate the Company to provide indemnity and defense for losses resulting from claims of intellectual property infringement, damages to property or persons, business losses, or other liabilities. Generally, these indemnity and defense obligations relate to the Company’s own business operations, obligations, and acts or omissions. However, under some circumstances, the Company agrees to indemnify and defend contract counterparties against losses resulting from their own business operations, obligations, and acts or omissions, or the business operations, obligations, and acts or omissions of third parties. For example, because the Company’s business interposes the Company between buyers and sellers in various ways, buyers often require the Company to indemnify them against acts and omissions of sellers, and sellers often require the Company to indemnify them against acts and omissions of buyers. In addition, the Company’s agreements with sellers, buyers, and other third parties typically include provisions limiting the Company’s liability to the counterparty, and the counterparty’s liability to the Company. These limits sometimes do not apply to certain liabilities, including indemnity obligations. These indemnity and limitation of liability provisions generally survive termination or expiration of the agreements in which they appear. The Company has also entered into indemnification agreements with its directors, executive officers and certain other officers that will require the Company, among other things, to indemnify them against certain liabilities that may arise by reason of their status or service as directors, officers, or employees. No material demands have been made upon the Company to provide indemnification under such agreements and there are no claims that the Company is aware of that could have a material effect on the Company’s consolidated financial statements. </w:t>
      </w:r>
    </w:p>
    <w:p>
      <w:pPr>
        <w:pStyle w:val="TextBody"/>
        <w:bidi w:val="0"/>
        <w:spacing w:lineRule="auto" w:line="288" w:before="0" w:after="20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 xml:space="preserve">Litigation </w:t>
      </w:r>
    </w:p>
    <w:p>
      <w:pPr>
        <w:pStyle w:val="TextBody"/>
        <w:bidi w:val="0"/>
        <w:spacing w:lineRule="auto" w:line="288" w:before="0" w:after="20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and its subsidiaries may from time to time be parties to legal or regulatory proceedings, lawsuits and other claims incident to their business activities and to the Company’s status as a public company. Such matters may include, among other things, assertions of contract breach or intellectual property infringement, claims for indemnity arising in the course of the Company’s business, regulatory investigations, audits by taxing authorities, or enforcement proceedings, and claims by persons whose employment has been terminated. Such matters are subject to many uncertainties, and outcomes are not predictable with assurance. Consequently, management is unable to ascertain the ultimate aggregate amount of monetary liability, amounts which may be covered by insurance or recoverable from third parties, or the financial impact with respect to such matters as of December 31, 2023. However, based on management’s knowledge as of December 31, 2023, management believes that the final resolution of these matters known at such date, individually and in the aggregate, will not have a material adverse effect upon the Company’s consolidated financial position, results of operations or cash flows.</w:t>
      </w:r>
    </w:p>
    <w:p>
      <w:pPr>
        <w:pStyle w:val="TextBody"/>
        <w:bidi w:val="0"/>
        <w:spacing w:lineRule="auto" w:line="288" w:before="0" w:after="200"/>
        <w:jc w:val="left"/>
        <w:rPr/>
      </w:pPr>
      <w:r>
        <w:rPr>
          <w:color w:val="000000"/>
        </w:rPr>
        <w:t>    </w:t>
      </w:r>
      <w:r>
        <w:rPr>
          <w:rFonts w:ascii="Times New Roman;sans-serif" w:hAnsi="Times New Roman;sans-serif"/>
          <w:b/>
          <w:i/>
          <w:color w:val="000000"/>
          <w:sz w:val="20"/>
        </w:rPr>
        <w:t xml:space="preserve">Employment Contracts </w:t>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entered into severance agreements with certain employees and officers. The Company may be required to pay severance and accelerate the vesting of certain equity awards in the event of involuntary terminations. </w:t>
      </w:r>
    </w:p>
    <w:p>
      <w:pPr>
        <w:pStyle w:val="TextBody"/>
        <w:bidi w:val="0"/>
        <w:spacing w:before="0" w:after="20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8"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v:textbox>
                <w10:wrap type="none"/>
              </v:rect>
            </w:pict>
          </mc:Fallback>
        </mc:AlternateContent>
      </w:r>
    </w:p>
    <w:p>
      <w:pPr>
        <w:pStyle w:val="TextBody"/>
        <w:bidi w:val="0"/>
        <w:spacing w:lineRule="auto" w:line="288" w:before="0" w:after="0"/>
        <w:jc w:val="left"/>
        <w:rPr/>
      </w:pPr>
      <w:hyperlink w:anchor="i8d6a21e15cb741baa6dee69bcf11e47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Note 17—Debt</w:t>
      </w:r>
    </w:p>
    <w:p>
      <w:pPr>
        <w:pStyle w:val="TextBody"/>
        <w:bidi w:val="0"/>
        <w:spacing w:lineRule="auto" w:line="276" w:before="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Long term debt as of December 31, 2023 and 2022 consisted of the following:     </w:t>
      </w:r>
    </w:p>
    <w:tbl>
      <w:tblPr>
        <w:tblW w:w="7615" w:type="dxa"/>
        <w:jc w:val="left"/>
        <w:tblInd w:w="0" w:type="dxa"/>
        <w:tblLayout w:type="fixed"/>
        <w:tblCellMar>
          <w:top w:w="28" w:type="dxa"/>
          <w:left w:w="28" w:type="dxa"/>
          <w:bottom w:w="28" w:type="dxa"/>
          <w:right w:w="28" w:type="dxa"/>
        </w:tblCellMar>
      </w:tblPr>
      <w:tblGrid>
        <w:gridCol w:w="1539"/>
        <w:gridCol w:w="1351"/>
        <w:gridCol w:w="1355"/>
        <w:gridCol w:w="276"/>
        <w:gridCol w:w="1081"/>
        <w:gridCol w:w="142"/>
        <w:gridCol w:w="109"/>
        <w:gridCol w:w="109"/>
        <w:gridCol w:w="109"/>
        <w:gridCol w:w="273"/>
        <w:gridCol w:w="1072"/>
        <w:gridCol w:w="199"/>
      </w:tblGrid>
      <w:tr>
        <w:trPr/>
        <w:tc>
          <w:tcPr>
            <w:tcW w:w="153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68" w:before="20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4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Senior Notes</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205,067 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Unamortized debt issuance cost</w:t>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(2,598)</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(7,355)</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w:t>
            </w:r>
          </w:p>
        </w:tc>
        <w:tc>
          <w:tcPr>
            <w:tcW w:w="13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202,469 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392,645 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 B Facility</w:t>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351,000 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354,600 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Unamortized discount and debt issuance cost</w:t>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(16,883)</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(20,888)</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w:t>
            </w:r>
          </w:p>
        </w:tc>
        <w:tc>
          <w:tcPr>
            <w:tcW w:w="13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334,117 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333,712 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portion</w:t>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(3,600)</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(3,600)</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non-current debt</w:t>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532,986 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722,757 </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Maturities of the principal amount of the Company's long-term debt as of December 31, 2023 are as follows (in thousands):</w:t>
      </w:r>
    </w:p>
    <w:tbl>
      <w:tblPr>
        <w:tblW w:w="2165" w:type="dxa"/>
        <w:jc w:val="left"/>
        <w:tblInd w:w="0" w:type="dxa"/>
        <w:tblLayout w:type="fixed"/>
        <w:tblCellMar>
          <w:top w:w="28" w:type="dxa"/>
          <w:left w:w="28" w:type="dxa"/>
          <w:bottom w:w="28" w:type="dxa"/>
          <w:right w:w="28" w:type="dxa"/>
        </w:tblCellMar>
      </w:tblPr>
      <w:tblGrid>
        <w:gridCol w:w="352"/>
        <w:gridCol w:w="310"/>
        <w:gridCol w:w="312"/>
        <w:gridCol w:w="211"/>
        <w:gridCol w:w="826"/>
        <w:gridCol w:w="154"/>
      </w:tblGrid>
      <w:tr>
        <w:trPr/>
        <w:tc>
          <w:tcPr>
            <w:tcW w:w="352"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Fiscal Year</w:t>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208,667 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336,600 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556,067 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the debt issuance cost and the discount associated with the Company's indebtedness totaled $5.8 million, $6.3 million, and $4.5 million for the years ended December 31, 2023, 2022, and 2021, respectively. Amortization of debt issuance costs is computed using the effective interest method and is included in interest expense. In addition, amortization of deferred financing costs was $0.5 million, $0.5 million, and $0.4 million for the years ended December 31, 2023, 2022, and 2021, respectively. Deferred financing costs are included in prepaid expenses and other current assets and other assets, non-current assets.</w:t>
      </w:r>
    </w:p>
    <w:p>
      <w:pPr>
        <w:pStyle w:val="TextBody"/>
        <w:bidi w:val="0"/>
        <w:spacing w:before="100" w:after="20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0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Convertible Senior Notes and Capped Call Transactions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March 2021, the Company issued $400.0 million aggregate principal amount of 0.25% convertible senior notes in a private placement, including $50.0 million aggregate principal amount of such notes pursuant to the exercise in full of the over-allotment options of the initial purchasers (collectively, the "Convertible Senior Notes"). The Convertible Senior Notes will mature on March 15, 2026, unless earlier repurchased, redeemed or converted. The total net proceeds from the offering, after deducting debt issuance costs paid by the Company, were approximately $388.6 million. The Company used approximately $39.0 million of the net proceeds from the offering to pay for the Capped Call Transactions (as described below).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Convertible Senior Notes are senior, unsecured obligations and are (i) equal in right of payment with the existing and future senior, unsecured indebtedness; (ii) senior in right of payment to any of the Company’s future indebtedness that is expressly subordinated to the Convertible Senior Notes; (iii) effectively subordinated to the Company’s existing and future secured indebtedness, to the extent of the value of the collateral securing that indebtedness, including amounts outstanding under the Credit Agreement (see section below); and (iv) structurally subordinated to all existing and future indebtedness and other liabilities, including trade payables, and (to the extent the Company is not a holder thereof) preferred equity, if any, of the Company’s subsidiaries that do not guarantee the Convertible Senior Notes.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Convertible Senior Notes accrue interest at 0.25% per annum payable semi-annually in arrears on March 15 and September 15 of each year, beginning on September 15, 2021. The Convertible Senior Notes will mature on March 15, 2026 unless they are redeemed, repurchased or converted prior to such date. The Convertible Senior Notes are convertible at the option of holders only during certain periods and upon satisfaction of certain conditions.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9"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v:textbox>
                <w10:wrap type="none"/>
              </v:rect>
            </w:pict>
          </mc:Fallback>
        </mc:AlternateContent>
      </w:r>
    </w:p>
    <w:p>
      <w:pPr>
        <w:pStyle w:val="TextBody"/>
        <w:bidi w:val="0"/>
        <w:spacing w:lineRule="auto" w:line="288" w:before="0" w:after="0"/>
        <w:jc w:val="left"/>
        <w:rPr/>
      </w:pPr>
      <w:hyperlink w:anchor="i8d6a21e15cb741baa6dee69bcf11e47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Holders have the right to convert their notes (or any portion of a note in an authorized denomination), in the following circumstances: (i) during any calendar quarter commencing after the calendar quarter ending on June 30, 2021, if the last reported sale price per share of the Company’s common stock exceeds 130% of the conversion price for each of at least 20 trading days during the 30 consecutive trading days ending on, and including, the last trading day of the immediately preceding calendar quarter; (ii) during the five consecutive business days immediately after any ten consecutive trading day period (such ten consecutive trading day period, the "measurement period") in which the trading price per $1,000 principal amount of notes for each trading day of the measurement period was less than 98% of the product of the last reported sale price per share of the Company’s common stock on such trading day and the conversion rate on such trading day; (iii) upon the occurrence of certain corporate events or distributions on the Company’s common stock; (iv) if the Company calls such Convertible Senior Notes for redemption; and (v) on or after September 15, 2025, until the close of business on the second scheduled trading day immediately before the maturity date, holders of the Convertible Senior Notes may, at their option, convert all or a portion of their Convertible Senior Notes regardless of the foregoing conditions at any time from, and including, September 15, 2025 until the close of business on the second scheduled trading day immediately before the maturity date.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Upon conversion, the Convertible Senior Notes may be settled in shares of the Company’s common stock, cash or a combination of cash and shares of the Company’s common stock, at the Company’s election. All conversions with a conversion date that occurs on or after September 15, 2025 will be settled using the same settlement method, and the Company will send notice of such settlement method to noteholders no later than the open of business on September 15, 2025.</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may not redeem the Convertible Senior Notes at their option at any time before March 20, 2024. Subject to the terms of the indenture agreement, the Company has the right, at its election, to redeem all, or any portion (subject to the partial redemption limitation) in an authorized denomination, of the Convertible Senior Notes, at any time, and from time to time, on a redemption date on or after March 20, 2024 and on or before the 40th scheduled trading day immediately before the maturity date, for cash, but only if the "last reported sale price," as defined under the Offering Memorandum, per share of common stock exceeds 130% of the “conversion price” on (i) each of at least 20 trading days, during the 30 consecutive trading days ending on, and including, the trading day immediately before the date the Company sends the related redemption notice; and (ii) the trading day immediately before the date the Company sends such notice. In addition, calling any note for redemption will constitute a "make-whole fundamental change" (as defined below) with respect to that note, in which case the conversion rate applicable to the conversion of that note will be increased in certain circumstances if it is converted after it is called for redemption. If the Company elects to redeem less than all of the outstanding notes, then the redemption will not constitute a make-whole fundamental change with respect to the notes not called for redemption, and holders of the notes not called for redemption will not be entitled to an increased conversion rate for such notes as described above on account of the redemption, except to the limited extent described further below. No sinking fund is provided for the Convertible Senior Notes, which means that the Company is not required to redeem or retire the Convertible Senior Notes periodically.</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If a fundamental change occurs, then each noteholder will have the right to require the Company to repurchase its notes (or any portion thereof in an authorized denomination) for cash on a date (the "fundamental change repurchase date") of the Company’s choosing, which must be a business day that is no more than 45, nor less than 20, business days after the date the Company distributes the related fundamental change notice.</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If an event of default, other than a reporting default remedied by special interest as defined in the indenture agreement, occurs with respect to the Company or any guarantor, then the principal amount of, and all accrued and unpaid interest on, all of the notes then outstanding will immediately become due and payable without any further action or notice by any person. If an event of default (other than a reporting event of default described above with respect to the Company or any guarantor and not solely with respect to a significant subsidiary of the Company’s or a guarantor, other than the Company or such guarantor) occurs and is continuing, then, the trustee, by notice to the Company, or noteholders of at least 25% of the aggregate principal amount of notes then outstanding, by written notice to the Company and the trustee, may declare the principal amount of, and all accrued and unpaid interest on, all of the notes then outstanding to become due and payable immediately.</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Convertible Senior Notes have an initial conversion rate of 15.6539 shares of common stock per $1,000 principal amount of the Convertible Senior Notes, which will be subject to customary anti-dilution adjustments in certain circumstances.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pricing of the Convertible Senior Notes, the Company entered into privately negotiated capped call transactions with various financial institutions (the "Capped Call Transactions"). The Capped Call Transactions were entered into with third party broker-dealers to limit the potential dilution that would occur if the Company has to settle the conversion value in excess of the principal in shares. This exposure will be covered (i.e., the Company will receive as many shares as are required to be issued between the conversion price of $63.8818 and the maximum price of $91.2600). Any shares required to be issued by the Company over this amount would have net earnings per share dilution impact. By entering into the Capped Call Transactions, the Company expects to reduce the potential dilution to its common stock (or, in the event the conversion is settled in cash, to reduce its cash payment obligation) in the event that at the time of conversion its stock price exceeds the conversion price under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100"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v:textbox>
                <w10:wrap type="none"/>
              </v:rect>
            </w:pict>
          </mc:Fallback>
        </mc:AlternateContent>
      </w:r>
    </w:p>
    <w:p>
      <w:pPr>
        <w:pStyle w:val="TextBody"/>
        <w:bidi w:val="0"/>
        <w:spacing w:lineRule="auto" w:line="288" w:before="0" w:after="0"/>
        <w:jc w:val="left"/>
        <w:rPr/>
      </w:pPr>
      <w:hyperlink w:anchor="i8d6a21e15cb741baa6dee69bcf11e47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Senior Notes. The Company paid $39.0 million for the Capped Call Transactions, which was recorded as additional paid-in capital, using a portion of the gross proceeds from the sale of the Convertible Senior Notes. The cost of the Capped Call Transactions is not expected to be tax deductible as the Company did not elect to integrate the capped call into the Convertible Senior Notes for tax purposes. The cost of the Capped Call Transaction was recorded as a reduction of the Company’s additional paid-in capital in the accompanying consolidated financial statements.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incurred debt issuance costs of $11.4 million in March 2021. The Convertible Senior Notes are presented net of issuance costs on the Company's consolidated balance sheets. The debt issuance costs are amortized on an effective interest basis over the term of the Convertible Senior Notes and are included in interest expense and amortization of debt discount in the accompanying consolidated statements of operations.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2023, the Company repurchased part of its Convertible Senior Notes in the open market with cash on hand for $165.5 million. The Company recognized a gain on extinguishment of debt of $26.5 million related to the repurchase of $194.9 million of principal balance of Convertible Senior Notes and $2.9 million of unamortized debt issuance costs associated with the extinguished debt during the year ended December 31, 2023. The gain on extinguishment is included in other (income) expense in the Company's consolidated statement of operations.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interest expense related to the Convertible Senior Notes for the years ended December 31, 2023, 2022, and 2021:</w:t>
      </w:r>
    </w:p>
    <w:tbl>
      <w:tblPr>
        <w:tblW w:w="8198" w:type="dxa"/>
        <w:jc w:val="left"/>
        <w:tblInd w:w="0" w:type="dxa"/>
        <w:tblLayout w:type="fixed"/>
        <w:tblCellMar>
          <w:top w:w="28" w:type="dxa"/>
          <w:left w:w="28" w:type="dxa"/>
          <w:bottom w:w="28" w:type="dxa"/>
          <w:right w:w="28" w:type="dxa"/>
        </w:tblCellMar>
      </w:tblPr>
      <w:tblGrid>
        <w:gridCol w:w="1085"/>
        <w:gridCol w:w="954"/>
        <w:gridCol w:w="960"/>
        <w:gridCol w:w="288"/>
        <w:gridCol w:w="842"/>
        <w:gridCol w:w="370"/>
        <w:gridCol w:w="109"/>
        <w:gridCol w:w="109"/>
        <w:gridCol w:w="109"/>
        <w:gridCol w:w="288"/>
        <w:gridCol w:w="842"/>
        <w:gridCol w:w="370"/>
        <w:gridCol w:w="109"/>
        <w:gridCol w:w="109"/>
        <w:gridCol w:w="109"/>
        <w:gridCol w:w="285"/>
        <w:gridCol w:w="833"/>
        <w:gridCol w:w="427"/>
      </w:tblGrid>
      <w:tr>
        <w:trPr/>
        <w:tc>
          <w:tcPr>
            <w:tcW w:w="1085"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68" w:before="20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2021</w:t>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9"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interest rates)</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Contractual interest expense</w:t>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797 </w:t>
            </w:r>
          </w:p>
        </w:tc>
        <w:tc>
          <w:tcPr>
            <w:tcW w:w="3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786 </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issuance costs</w:t>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1,823 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2,288 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1,798 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 expense</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2,620 </w:t>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3,288 </w:t>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2,584 </w:t>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interest rate</w:t>
            </w:r>
          </w:p>
        </w:tc>
        <w:tc>
          <w:tcPr>
            <w:tcW w:w="113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0.82 </w:t>
            </w:r>
          </w:p>
        </w:tc>
        <w:tc>
          <w:tcPr>
            <w:tcW w:w="37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0.82 </w:t>
            </w:r>
          </w:p>
        </w:tc>
        <w:tc>
          <w:tcPr>
            <w:tcW w:w="37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0.82 </w:t>
            </w:r>
          </w:p>
        </w:tc>
        <w:tc>
          <w:tcPr>
            <w:tcW w:w="42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expense for the Company's debt issuance costs related to the Convertible Senior notes for fiscal years 2024 through 2026 is as follows (in thousands):</w:t>
      </w:r>
    </w:p>
    <w:tbl>
      <w:tblPr>
        <w:tblW w:w="2669" w:type="dxa"/>
        <w:jc w:val="left"/>
        <w:tblInd w:w="0" w:type="dxa"/>
        <w:tblLayout w:type="fixed"/>
        <w:tblCellMar>
          <w:top w:w="28" w:type="dxa"/>
          <w:left w:w="28" w:type="dxa"/>
          <w:bottom w:w="28" w:type="dxa"/>
          <w:right w:w="28" w:type="dxa"/>
        </w:tblCellMar>
      </w:tblPr>
      <w:tblGrid>
        <w:gridCol w:w="396"/>
        <w:gridCol w:w="349"/>
        <w:gridCol w:w="350"/>
        <w:gridCol w:w="338"/>
        <w:gridCol w:w="989"/>
        <w:gridCol w:w="247"/>
      </w:tblGrid>
      <w:tr>
        <w:trPr/>
        <w:tc>
          <w:tcPr>
            <w:tcW w:w="39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r>
      <w:tr>
        <w:trPr/>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Fiscal Year</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Debt Issuance Costs</w:t>
            </w:r>
          </w:p>
        </w:tc>
      </w:tr>
      <w:tr>
        <w:trPr/>
        <w:tc>
          <w:tcPr>
            <w:tcW w:w="1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1,173 </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1,173 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3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2,598 </w:t>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0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Credit Agreement</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April 30, 2021, the Company entered into a credit agreement (the "Credit Agreement") with Goldman Sachs Bank USA as administrative agent and collateral agent, and other lender parties thereto. The Credit Agreement provides for a $360.0 million seven-year senior secured term loan facility ("Term Loan B Facility"), which matures in April 2028, and a $52.5 million senior secured revolving credit facility (the "Revolving Credit Facility"), which matures in December 2025. As part of the Term Loan B Facility, the Company received $325 million in proceeds, net of discounts and fees, which were used to finance the SpotX Acquisition and related transactions, and for general corporate purposes. Loans, if any, under the Revolving Credit Facility are expected to be used for general corporate purposes. The obligations under the Credit Agreement are secured by substantially all of the assets of the Company and those of its subsidiaries that are guarantors under the Credit Agreement.</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Amounts outstanding under the Credit Agreement accrue interest at a rate equal to either, (1) for the Term Loan B Facility, at the Company’s election, the Eurodollar Rate (as defined in the Credit Agreement) plus a margin of 5.00% per annum, or ABR (as defined in the Credit Agreement) plus a margin of 4.00%, and (2) for the Revolving Credit Facility, at the Company’s election, the Eurodollar Rate plus a margin of 4.25% to 4.75%, or ABR plus a margin of 3.25% to 3.75%, in each case, depending on the Company’s first lien net leverage ratio. In June 2023, the Company amended its Credit Agreement to transition away from a variable interest rate based on the Eurodollar Rate towards a similar variable interest rate based on Adjusted Term SOFR, as defined in the amendment to the Credit Agreement, which is based on the Secured Overnight Financing Rate ("SOFR"). As of December 31, 2023, the contractual interest rate related to the Term Loan B Facility was 10.56%.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covenants of the Credit Agreement include customary negative covenants that, among other things, restrict the Company’s ability to incur additional indebtedness, grant liens and make certain acquisitions, investments, asset dispositions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1"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v:textbox>
                <w10:wrap type="none"/>
              </v:rect>
            </w:pict>
          </mc:Fallback>
        </mc:AlternateContent>
      </w:r>
    </w:p>
    <w:p>
      <w:pPr>
        <w:pStyle w:val="TextBody"/>
        <w:bidi w:val="0"/>
        <w:spacing w:lineRule="auto" w:line="288" w:before="0" w:after="0"/>
        <w:jc w:val="left"/>
        <w:rPr/>
      </w:pPr>
      <w:hyperlink w:anchor="i8d6a21e15cb741baa6dee69bcf11e47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restricted payments. In addition, the Credit Agreement contains a financial covenant, tested on the last day of any fiscal quarter if utilization of the Revolving Credit Facility exceeds 35% of the total revolving commitments, that requires the Company to maintain a first lien net leverage ratio not greater than 3.25 to 1.00. As of December 31, 2023, the Company was in compliance with its debt covenants.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Credit Agreement includes customary events of default, and customary rights and remedies upon the occurrence of any event of default thereunder, including rights to accelerate the loans, terminate the commitments thereunder and realize upon the collateral securing the obligations under the Credit Agreement. The Credit Agreement calls for customary scheduled loan amortization payments of 0.25% of the initial principal balance payable quarterly (i.e. 1% in aggregate per year) as well as a provision that requires the Company to prepay the Term Loan B Facility based on an annual calculation of cumulative free cash flow ("Excess Cash Flow") generated by the Company as defined within the terms of the Credit Agreement. The Company was not required to make any such mandatory prepayment required by the Excess Cash Flow provision for the period ended December 31, 2023. In addition, the Term Loan B Facility will mature in the event that any portion of the Convertible Senior Notes remains outstanding 91 days prior to the maturity date of the Convertible Senior Notes.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June 28, 2021, the Company entered into an Incremental Assumption Agreement (the "Incremental Agreement") to the Credit Agreement. Pursuant to the terms of the Incremental Agreement, the Company’s existing revolving credit facility under the Credit Agreement was increased by $12.5 million (the "Incremental Revolver"), and the letter of credit sublimit under the Credit Agreement was increased by $5.0 million. The Incremental Revolver bears the same interest rate as the existing revolving credit facility and has the same maturity date as the existing revolving credit facility. No other terms of the Credit Agreement were amended. As a result, amounts available under the Revolving Credit Facility were $65.0 million. At December 31, 2023, amounts available under the Revolving Credit Facility were $59.7 million, net of letters of credit outstanding in the amount of $5.3 million.</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amount outstanding under the Term Loan B Facility as of December 31, 2023 and 2022:</w:t>
      </w:r>
    </w:p>
    <w:tbl>
      <w:tblPr>
        <w:tblW w:w="7194" w:type="dxa"/>
        <w:jc w:val="left"/>
        <w:tblInd w:w="0" w:type="dxa"/>
        <w:tblLayout w:type="fixed"/>
        <w:tblCellMar>
          <w:top w:w="28" w:type="dxa"/>
          <w:left w:w="28" w:type="dxa"/>
          <w:bottom w:w="28" w:type="dxa"/>
          <w:right w:w="28" w:type="dxa"/>
        </w:tblCellMar>
      </w:tblPr>
      <w:tblGrid>
        <w:gridCol w:w="1386"/>
        <w:gridCol w:w="1217"/>
        <w:gridCol w:w="1221"/>
        <w:gridCol w:w="276"/>
        <w:gridCol w:w="1081"/>
        <w:gridCol w:w="142"/>
        <w:gridCol w:w="109"/>
        <w:gridCol w:w="109"/>
        <w:gridCol w:w="109"/>
        <w:gridCol w:w="273"/>
        <w:gridCol w:w="1072"/>
        <w:gridCol w:w="199"/>
      </w:tblGrid>
      <w:tr>
        <w:trPr/>
        <w:tc>
          <w:tcPr>
            <w:tcW w:w="1386"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0"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 B Facility</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351,000 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354,600 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debt discounts</w:t>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(6,594)</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(8,158)</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debt issuance costs</w:t>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(10,289)</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(12,730)</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net of debt discounts and issuance costs</w:t>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334,117 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333,712 </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incurred debt issuance costs of $27.7 million in April 2021, of which $10.8 million were associated with debt discount netted against the proceeds and $16.9 million were associated with other deferred financing costs associated with the Term Loan B Facility. Debt outstanding under the Term Loan B Facility are presented net of issuance costs on the Company's consolidated balance sheets. The debt issuance costs are amortized on an effective interest basis over the term of the Term Loan B Facility and are included in interest expense and amortization of debt discount in the accompanying consolidated statements of operations.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interest expense related to the Term Loan B Facility for the years ended December 31, 2023, 2022, and 2021:</w:t>
      </w:r>
    </w:p>
    <w:tbl>
      <w:tblPr>
        <w:tblW w:w="8198" w:type="dxa"/>
        <w:jc w:val="left"/>
        <w:tblInd w:w="0" w:type="dxa"/>
        <w:tblLayout w:type="fixed"/>
        <w:tblCellMar>
          <w:top w:w="28" w:type="dxa"/>
          <w:left w:w="28" w:type="dxa"/>
          <w:bottom w:w="28" w:type="dxa"/>
          <w:right w:w="28" w:type="dxa"/>
        </w:tblCellMar>
      </w:tblPr>
      <w:tblGrid>
        <w:gridCol w:w="1085"/>
        <w:gridCol w:w="954"/>
        <w:gridCol w:w="960"/>
        <w:gridCol w:w="263"/>
        <w:gridCol w:w="899"/>
        <w:gridCol w:w="338"/>
        <w:gridCol w:w="109"/>
        <w:gridCol w:w="109"/>
        <w:gridCol w:w="109"/>
        <w:gridCol w:w="263"/>
        <w:gridCol w:w="899"/>
        <w:gridCol w:w="338"/>
        <w:gridCol w:w="109"/>
        <w:gridCol w:w="109"/>
        <w:gridCol w:w="109"/>
        <w:gridCol w:w="261"/>
        <w:gridCol w:w="893"/>
        <w:gridCol w:w="391"/>
      </w:tblGrid>
      <w:tr>
        <w:trPr/>
        <w:tc>
          <w:tcPr>
            <w:tcW w:w="1085"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68" w:before="20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2021</w:t>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9" w:type="dxa"/>
            <w:gridSpan w:val="15"/>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(in thousands, except interest rates)</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Contractual interest expense</w:t>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36,261 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24,322 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14,074 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discount</w:t>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1,564 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1,580 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1,062 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issuance costs</w:t>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2,441 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2,466 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1,657 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 expense</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40,266 </w:t>
            </w:r>
          </w:p>
        </w:tc>
        <w:tc>
          <w:tcPr>
            <w:tcW w:w="3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28,368 </w:t>
            </w:r>
          </w:p>
        </w:tc>
        <w:tc>
          <w:tcPr>
            <w:tcW w:w="3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16,793 </w:t>
            </w:r>
          </w:p>
        </w:tc>
        <w:tc>
          <w:tcPr>
            <w:tcW w:w="3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interest rate</w:t>
            </w:r>
          </w:p>
        </w:tc>
        <w:tc>
          <w:tcPr>
            <w:tcW w:w="116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11.40 </w:t>
            </w:r>
          </w:p>
        </w:tc>
        <w:tc>
          <w:tcPr>
            <w:tcW w:w="33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7.95 </w:t>
            </w:r>
          </w:p>
        </w:tc>
        <w:tc>
          <w:tcPr>
            <w:tcW w:w="33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7.00 </w:t>
            </w:r>
          </w:p>
        </w:tc>
        <w:tc>
          <w:tcPr>
            <w:tcW w:w="39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2"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v:textbox>
                <w10:wrap type="none"/>
              </v:rect>
            </w:pict>
          </mc:Fallback>
        </mc:AlternateContent>
      </w:r>
    </w:p>
    <w:p>
      <w:pPr>
        <w:pStyle w:val="TextBody"/>
        <w:bidi w:val="0"/>
        <w:spacing w:lineRule="auto" w:line="288" w:before="0" w:after="0"/>
        <w:jc w:val="left"/>
        <w:rPr/>
      </w:pPr>
      <w:hyperlink w:anchor="i8d6a21e15cb741baa6dee69bcf11e47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expense for the Term Loan B Facility debt discount and debt issuance costs for fiscal years 2024 through 2028 is as follows (in thousands):</w:t>
      </w:r>
    </w:p>
    <w:tbl>
      <w:tblPr>
        <w:tblW w:w="3795" w:type="dxa"/>
        <w:jc w:val="left"/>
        <w:tblInd w:w="0" w:type="dxa"/>
        <w:tblLayout w:type="fixed"/>
        <w:tblCellMar>
          <w:top w:w="28" w:type="dxa"/>
          <w:left w:w="28" w:type="dxa"/>
          <w:bottom w:w="28" w:type="dxa"/>
          <w:right w:w="28" w:type="dxa"/>
        </w:tblCellMar>
      </w:tblPr>
      <w:tblGrid>
        <w:gridCol w:w="396"/>
        <w:gridCol w:w="349"/>
        <w:gridCol w:w="350"/>
        <w:gridCol w:w="253"/>
        <w:gridCol w:w="741"/>
        <w:gridCol w:w="131"/>
        <w:gridCol w:w="306"/>
        <w:gridCol w:w="1046"/>
        <w:gridCol w:w="223"/>
      </w:tblGrid>
      <w:tr>
        <w:trPr/>
        <w:tc>
          <w:tcPr>
            <w:tcW w:w="39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Fiscal Year</w:t>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Debt Discount</w:t>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Debt Issuance Costs</w:t>
            </w:r>
          </w:p>
        </w:tc>
      </w:tr>
      <w:tr>
        <w:trPr/>
        <w:tc>
          <w:tcPr>
            <w:tcW w:w="1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1,548 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2,416 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2,391 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2,366 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2,341 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6,594 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10,289 </w:t>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10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 xml:space="preserve">Note 18—Stockholders' Equity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December 2021, the Board of Directors approved a repurchase program (the "2021 Repurchase Plan"), under which the Company was authorized to purchase up to $50.0 million of its common stock over the twelve month period commencing December 10, 2021. In November 2022, the Board of Directors approved an extension of the 2021 Repurchase Plan through December 15, 2023. Under the 2021 Repurchase Plan, 1,592,257 shares were purchased in open market purchases through December 31, 2023 for a total of approximately $21.7 million at an average of $13.61 per share. In February 2023, the Board of Directors approved a repurchase plan (the “February 2023 Repurchase Plan”), pursuant to which the Company was authorized to repurchase common stock or Convertible Senior Notes, with an aggregate market value of up to $75.0 million, through February 16, 2025. The repurchase program allowed the Company to repurchase its common stock or Convertible Senior Notes using open market stock purchases, privately negotiated transactions, block trades or other means in accordance with U.S. securities laws. The February 2023 Repurchase Plan was completed during the second quarter of 2023. On August 4, 2023, the Board of Directors approved a new repurchase plan (the "August 2023 Repurchase Plan"), pursuant to which the Company is authorized to repurchase common stock or Convertible Senior Notes, with an aggregate market value of up to $100.0 million, through August 4, 2025. As of December 31, 2023, $9.5 million remains available under the August 2023 Repurchase Plan. For accounting purposes, common stock repurchases under the Company's repurchase programs are recorded based upon the purchase date of the applicable trade. Repurchased shares are accounted for as treasury stock in the consolidated balance sheets and have all been subsequently retired.</w:t>
      </w:r>
    </w:p>
    <w:p>
      <w:pPr>
        <w:pStyle w:val="TextBody"/>
        <w:bidi w:val="0"/>
        <w:spacing w:before="100" w:after="1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100" w:after="200"/>
        <w:jc w:val="left"/>
        <w:rPr>
          <w:rFonts w:ascii="Times New Roman;sans-serif" w:hAnsi="Times New Roman;sans-serif"/>
          <w:b/>
          <w:color w:val="000000"/>
          <w:sz w:val="20"/>
        </w:rPr>
      </w:pPr>
      <w:r>
        <w:rPr>
          <w:rFonts w:ascii="Times New Roman;sans-serif" w:hAnsi="Times New Roman;sans-serif"/>
          <w:b/>
          <w:color w:val="000000"/>
          <w:sz w:val="20"/>
        </w:rPr>
        <w:t>Note 19—Related Party Transactions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years ended December 31, 2023, 2022, and 2021, the Company did not have material transactions with its related parties or affiliates of its related parties requiring disclosure pursuant to the applicable rules of the Financial Accounting Standards Boards or the U.S. Securities and Exchange Commission.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Note 20—Subsequent Events</w:t>
      </w:r>
    </w:p>
    <w:p>
      <w:pPr>
        <w:pStyle w:val="TextBody"/>
        <w:bidi w:val="0"/>
        <w:spacing w:lineRule="auto" w:line="288" w:before="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January 1, 2024, the Company granted 6,352,327 restricted stock units, 129,870 stock options, and 486,431 performance stock units to the Company's employees. The RSUs granted will vest over four years from issuance with approximately 25% after one year, and the remainder vesting quarterly thereafter. The options granted will vest over four years from grant date, with 25% vesting after one year and the remainder vesting monthly thereafter. The PSUs will vest on the three-year anniversary of the grant date based on certain stock price performance metrics to be measured on each anniversary date. The award is eligible to vest as to 0% to 150% of the target number of PSUs.</w:t>
      </w:r>
    </w:p>
    <w:p>
      <w:pPr>
        <w:pStyle w:val="TextBody"/>
        <w:bidi w:val="0"/>
        <w:spacing w:lineRule="auto" w:line="288" w:before="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1, 2024, the Company’s Board of Directors approved a repurchase program (the "February 2024 Repurchase Plan"), under which the Company is authorized to purchase up to $125.0 million of its common stock or Convertible Senior Notes through February 1, 2026. The February 2024 Repurchase Plan allows the Company to repurchase its common stock or Convertible Senior Notes using open market stock purchases, privately negotiated transactions, block trades or other means in accordance with U.S. securities laws. The February 2024 Repurchase Plan does not obligate us to repurchase any particular amount of common stock or Convertible Senior Notes and may be suspended, modified or discontinued at any time at the Company's discretion.</w:t>
      </w:r>
    </w:p>
    <w:p>
      <w:pPr>
        <w:pStyle w:val="TextBody"/>
        <w:bidi w:val="0"/>
        <w:spacing w:lineRule="auto" w:line="288" w:before="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6, 2024, the Company entered into a $540.0 million senior secured credit agreement (the "New Credit Agreement"). The New Credit Agreement includes a $365.0 million senior secured term loan facility that matures in February 2031, as well as a $175.0 million senior secured revolving credit facility that matures in February 2029. Proceeds from the New Credit Agreement were used to fully refinance the Company’s existing senior secured Term Loan B Facility and Revolving Credit Facility, and to pay fees and expenses associated with the transaction. The new senior secured term loan facility bears interest at Term SOFR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3"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v:textbox>
                <w10:wrap type="none"/>
              </v:rect>
            </w:pict>
          </mc:Fallback>
        </mc:AlternateContent>
      </w:r>
    </w:p>
    <w:p>
      <w:pPr>
        <w:pStyle w:val="TextBody"/>
        <w:bidi w:val="0"/>
        <w:spacing w:lineRule="auto" w:line="288" w:before="0" w:after="0"/>
        <w:jc w:val="left"/>
        <w:rPr/>
      </w:pPr>
      <w:hyperlink w:anchor="i8d6a21e15cb741baa6dee69bcf11e47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+ 4.50% and was issued with a 99.0% original issue price. Loans under the new secured revolving credit facility will bear interest at Term SOFR plus a margin ranging from 3.50% - 4.00%.</w:t>
      </w:r>
    </w:p>
    <w:p>
      <w:pPr>
        <w:pStyle w:val="TextBody"/>
        <w:bidi w:val="0"/>
        <w:spacing w:before="0" w:after="20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ans-serif" w:hAnsi="Times New Roman;sans-serif"/>
          <w:b/>
          <w:color w:val="000000"/>
          <w:sz w:val="20"/>
        </w:rPr>
      </w:pPr>
      <w:r>
        <w:rPr>
          <w:rFonts w:ascii="Times New Roman;sans-serif" w:hAnsi="Times New Roman;sans-serif"/>
          <w:b/>
          <w:color w:val="000000"/>
          <w:sz w:val="20"/>
        </w:rPr>
        <w:t>Item 9. Changes in and Disagreements with Accountants on Accounting and Financial Disclosure</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Item 9A. Controls and Procedures</w:t>
      </w:r>
    </w:p>
    <w:p>
      <w:pPr>
        <w:pStyle w:val="TextBody"/>
        <w:bidi w:val="0"/>
        <w:spacing w:lineRule="auto" w:line="288" w:before="0" w:after="20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Evaluation of Disclosure Controls and Procedures</w:t>
      </w:r>
    </w:p>
    <w:p>
      <w:pPr>
        <w:pStyle w:val="TextBody"/>
        <w:bidi w:val="0"/>
        <w:spacing w:lineRule="auto" w:line="288" w:before="0" w:after="200"/>
        <w:jc w:val="left"/>
        <w:rPr>
          <w:color w:val="000000"/>
        </w:rPr>
      </w:pPr>
      <w:r>
        <w:rPr>
          <w:color w:val="000000"/>
        </w:rPr>
        <w:t>    </w:t>
      </w:r>
      <w:r>
        <w:rPr>
          <w:rFonts w:ascii="Times New Roman;sans-serif" w:hAnsi="Times New Roman;sans-serif"/>
          <w:b w:val="false"/>
          <w:color w:val="000000"/>
          <w:sz w:val="20"/>
        </w:rPr>
        <w:t>Our management, with the participation of our Chief Executive Officer and Chief Financial Officer, evaluated the effectiveness of our disclosure controls and procedures as defined in Rule 13a-15(e) under the Exchange Act. Our disclosure controls and procedures are designed to provide reasonable assurance of achieving their objectives of ensuring that information we are required to disclose in the reports we file or submit under the Exchange Act is accumulated and communicated to our management, including our Chief Executive Officer and Chief Financial Officer, as appropriate to allow timely decisions regarding required disclosures, and is recorded, processed, summarized, and reported within the time periods specified in the SEC’s rules and forms. There is no assurance that our disclosure controls and procedures will operate effectively under all circumstances. Based upon the evaluation described above, our Chief Executive Officer and Chief Financial Officer concluded that, as of December 31, 2023, our disclosure controls and procedures were effective at the reasonable assurance level.</w:t>
      </w:r>
    </w:p>
    <w:p>
      <w:pPr>
        <w:pStyle w:val="TextBody"/>
        <w:bidi w:val="0"/>
        <w:spacing w:lineRule="auto" w:line="288" w:before="0" w:after="200"/>
        <w:jc w:val="left"/>
        <w:rPr>
          <w:color w:val="000000"/>
        </w:rPr>
      </w:pPr>
      <w:r>
        <w:rPr>
          <w:color w:val="000000"/>
        </w:rPr>
        <w:t>    </w:t>
      </w:r>
      <w:r>
        <w:rPr>
          <w:rFonts w:ascii="Times New Roman;sans-serif" w:hAnsi="Times New Roman;sans-serif"/>
          <w:b/>
          <w:i/>
          <w:color w:val="000000"/>
          <w:sz w:val="20"/>
        </w:rPr>
        <w:t>Changes in Internal Control over Financial Reporting</w:t>
      </w:r>
    </w:p>
    <w:p>
      <w:pPr>
        <w:pStyle w:val="TextBody"/>
        <w:bidi w:val="0"/>
        <w:spacing w:lineRule="auto" w:line="288" w:before="0" w:after="200"/>
        <w:jc w:val="left"/>
        <w:rPr>
          <w:color w:val="000000"/>
        </w:rPr>
      </w:pPr>
      <w:r>
        <w:rPr>
          <w:color w:val="000000"/>
        </w:rPr>
        <w:t>    </w:t>
      </w:r>
      <w:r>
        <w:rPr>
          <w:rFonts w:ascii="Times New Roman;sans-serif" w:hAnsi="Times New Roman;sans-serif"/>
          <w:b w:val="false"/>
          <w:color w:val="000000"/>
          <w:sz w:val="20"/>
        </w:rPr>
        <w:t xml:space="preserve">There have been no changes in our internal control over financial reporting that occurred during the three months ended December 31, 2023 that have materially affected, or are reasonably likely to materially affect, our internal control over financial reporting. </w:t>
      </w:r>
    </w:p>
    <w:p>
      <w:pPr>
        <w:pStyle w:val="TextBody"/>
        <w:bidi w:val="0"/>
        <w:spacing w:lineRule="auto" w:line="288" w:before="0" w:after="200"/>
        <w:jc w:val="left"/>
        <w:rPr>
          <w:color w:val="000000"/>
        </w:rPr>
      </w:pPr>
      <w:r>
        <w:rPr>
          <w:color w:val="000000"/>
        </w:rPr>
        <w:t>    </w:t>
      </w:r>
      <w:r>
        <w:rPr>
          <w:rFonts w:ascii="Times New Roman;sans-serif" w:hAnsi="Times New Roman;sans-serif"/>
          <w:b/>
          <w:i/>
          <w:color w:val="000000"/>
          <w:sz w:val="20"/>
        </w:rPr>
        <w:t xml:space="preserve">Management's Report on Internal Control Over Financial Reporting </w:t>
      </w:r>
    </w:p>
    <w:p>
      <w:pPr>
        <w:pStyle w:val="TextBody"/>
        <w:bidi w:val="0"/>
        <w:spacing w:lineRule="auto" w:line="288" w:before="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management is responsible for establishing and maintaining adequate internal control over financial reporting (as defined in Rule 13a-15(f) of the Exchange Act). </w:t>
      </w:r>
    </w:p>
    <w:p>
      <w:pPr>
        <w:pStyle w:val="TextBody"/>
        <w:bidi w:val="0"/>
        <w:spacing w:lineRule="auto" w:line="288" w:before="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management conducted an evaluation of the effectiveness of our internal control over financial reporting based on the framework in "Internal Control - Integrated Framework" (2013) issued by the Committee of Sponsoring Organizations of the Treadway Commission. Based on this evaluation, management concluded that the Company's internal control over financial reporting was effective as of December 31, 2023. Deloitte &amp; Touche LLP has independently assessed the effectiveness of our internal control over financial reporting and its report is included herein.</w:t>
      </w:r>
    </w:p>
    <w:p>
      <w:pPr>
        <w:pStyle w:val="TextBody"/>
        <w:bidi w:val="0"/>
        <w:spacing w:lineRule="auto" w:line="288" w:before="0" w:after="200"/>
        <w:jc w:val="left"/>
        <w:rPr/>
      </w:pPr>
      <w:r>
        <w:rPr>
          <w:color w:val="006EBF"/>
        </w:rPr>
        <w:t>    </w:t>
      </w:r>
      <w:r>
        <w:rPr>
          <w:rFonts w:ascii="Times New Roman;sans-serif" w:hAnsi="Times New Roman;sans-serif"/>
          <w:b/>
          <w:i/>
          <w:color w:val="000000"/>
          <w:sz w:val="20"/>
        </w:rPr>
        <w:t xml:space="preserve">Inherent Limitations on Effectiveness of Controls </w:t>
      </w:r>
      <w:r>
        <w:rPr>
          <w:color w:val="000000"/>
        </w:rPr>
        <w:t>    </w:t>
      </w:r>
    </w:p>
    <w:p>
      <w:pPr>
        <w:pStyle w:val="TextBody"/>
        <w:bidi w:val="0"/>
        <w:spacing w:lineRule="auto" w:line="288" w:before="0" w:after="200"/>
        <w:jc w:val="left"/>
        <w:rPr>
          <w:color w:val="000000"/>
        </w:rPr>
      </w:pPr>
      <w:r>
        <w:rPr>
          <w:color w:val="000000"/>
        </w:rPr>
        <w:t>    </w:t>
      </w:r>
      <w:r>
        <w:rPr>
          <w:rFonts w:ascii="Times New Roman;sans-serif" w:hAnsi="Times New Roman;sans-serif"/>
          <w:b w:val="false"/>
          <w:color w:val="000000"/>
          <w:sz w:val="20"/>
        </w:rPr>
        <w:t>Management recognizes that a control system, no matter how well designed and operated, can provide only reasonable, not absolute, assurance that the objectives of the control system are met. Further, the design of a control system must reflect the fact that there are resource constraints and that management is required to apply its judgment in evaluating the benefits of possible controls and procedures relative to their costs. Because of the inherent limitations in all control systems, no evaluation of controls can provide absolute assurance that all control issues and instances of fraud or error,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4"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v:textbox>
                <w10:wrap type="none"/>
              </v:rect>
            </w:pict>
          </mc:Fallback>
        </mc:AlternateContent>
      </w:r>
    </w:p>
    <w:p>
      <w:pPr>
        <w:pStyle w:val="TextBody"/>
        <w:bidi w:val="0"/>
        <w:spacing w:lineRule="auto" w:line="288" w:before="0" w:after="0"/>
        <w:jc w:val="left"/>
        <w:rPr/>
      </w:pPr>
      <w:hyperlink w:anchor="i8d6a21e15cb741baa6dee69bcf11e47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 the stockholders and the Board of Directors of Magnite, Inc.</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Opinion on Internal Control over Financial Reporting</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We have audited the internal control over financial reporting of Magnite, Inc. and subsidiaries (the “Company”) as of December 31, 2023, based on criteria established in Internal Control — Integrated Framework (2013) issued by the Committee of Sponsoring Organizations of the Treadway Commission (COSO). In our opinion, the Company maintained, in all material respects, effective internal control over financial reporting as of December 31, 2023, based on criteria established in </w:t>
      </w:r>
      <w:r>
        <w:rPr>
          <w:rFonts w:ascii="Times New Roman;sans-serif" w:hAnsi="Times New Roman;sans-serif"/>
          <w:b w:val="false"/>
          <w:i/>
          <w:color w:val="000000"/>
          <w:sz w:val="20"/>
        </w:rPr>
        <w:t xml:space="preserve">Internal Control — Integrated Framework (2013) </w:t>
      </w:r>
      <w:r>
        <w:rPr>
          <w:rFonts w:ascii="Times New Roman;sans-serif" w:hAnsi="Times New Roman;sans-serif"/>
          <w:b w:val="false"/>
          <w:color w:val="000000"/>
          <w:sz w:val="20"/>
        </w:rPr>
        <w:t>issued by COSO.</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have also audited, in accordance with the standards of the Public Company Accounting Oversight Board (United States) (PCAOB), the consolidated financial statements as of and for the year ended December 31, 2023, of the Company and our report dated February 28, 2024, expressed an unqualified opinion on those financial statements.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Basis for Opinion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Definition and Limitations of Internal Control over Financial Reporting</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jc w:val="left"/>
        <w:rPr/>
      </w:pPr>
      <w:r>
        <w:rPr/>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/s/ Deloitte &amp; Touche LLP</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Los Angeles, California </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February 28, 2024</w:t>
      </w:r>
    </w:p>
    <w:p>
      <w:pPr>
        <w:pStyle w:val="TextBody"/>
        <w:bidi w:val="0"/>
        <w:spacing w:before="0" w:after="2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5"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v:textbox>
                <w10:wrap type="none"/>
              </v:rect>
            </w:pict>
          </mc:Fallback>
        </mc:AlternateContent>
      </w:r>
    </w:p>
    <w:p>
      <w:pPr>
        <w:pStyle w:val="TextBody"/>
        <w:bidi w:val="0"/>
        <w:spacing w:lineRule="auto" w:line="288" w:before="0" w:after="0"/>
        <w:jc w:val="left"/>
        <w:rPr/>
      </w:pPr>
      <w:hyperlink w:anchor="i8d6a21e15cb741baa6dee69bcf11e47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Item 9B. Other Information</w:t>
      </w:r>
    </w:p>
    <w:p>
      <w:pPr>
        <w:pStyle w:val="TextBody"/>
        <w:bidi w:val="0"/>
        <w:spacing w:lineRule="auto" w:line="288" w:before="0" w:after="20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Trading Plans</w:t>
      </w:r>
    </w:p>
    <w:p>
      <w:pPr>
        <w:pStyle w:val="TextBody"/>
        <w:bidi w:val="0"/>
        <w:spacing w:lineRule="auto" w:line="288" w:before="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the fourth quarter of 2023, the following trading plans were adopted or terminated by our Section 16 officers or directors:</w:t>
      </w:r>
    </w:p>
    <w:tbl>
      <w:tblPr>
        <w:tblW w:w="10205" w:type="dxa"/>
        <w:jc w:val="left"/>
        <w:tblInd w:w="0" w:type="dxa"/>
        <w:tblLayout w:type="fixed"/>
        <w:tblCellMar>
          <w:top w:w="28" w:type="dxa"/>
          <w:left w:w="28" w:type="dxa"/>
          <w:bottom w:w="28" w:type="dxa"/>
          <w:right w:w="28" w:type="dxa"/>
        </w:tblCellMar>
      </w:tblPr>
      <w:tblGrid>
        <w:gridCol w:w="377"/>
        <w:gridCol w:w="271"/>
        <w:gridCol w:w="274"/>
        <w:gridCol w:w="109"/>
        <w:gridCol w:w="109"/>
        <w:gridCol w:w="109"/>
        <w:gridCol w:w="625"/>
        <w:gridCol w:w="355"/>
        <w:gridCol w:w="357"/>
        <w:gridCol w:w="109"/>
        <w:gridCol w:w="109"/>
        <w:gridCol w:w="109"/>
        <w:gridCol w:w="505"/>
        <w:gridCol w:w="505"/>
        <w:gridCol w:w="506"/>
        <w:gridCol w:w="109"/>
        <w:gridCol w:w="109"/>
        <w:gridCol w:w="109"/>
        <w:gridCol w:w="626"/>
        <w:gridCol w:w="480"/>
        <w:gridCol w:w="482"/>
        <w:gridCol w:w="109"/>
        <w:gridCol w:w="109"/>
        <w:gridCol w:w="109"/>
        <w:gridCol w:w="588"/>
        <w:gridCol w:w="588"/>
        <w:gridCol w:w="590"/>
        <w:gridCol w:w="109"/>
        <w:gridCol w:w="109"/>
        <w:gridCol w:w="109"/>
        <w:gridCol w:w="419"/>
        <w:gridCol w:w="419"/>
        <w:gridCol w:w="603"/>
      </w:tblGrid>
      <w:tr>
        <w:trPr/>
        <w:tc>
          <w:tcPr>
            <w:tcW w:w="37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r>
      <w:tr>
        <w:trPr/>
        <w:tc>
          <w:tcPr>
            <w:tcW w:w="92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Officer 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Officer 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Date Plan Adopted/Terminated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Duration of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Shares to be Purchased or Sold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Intended to Satisfy Rule 10b5-1(c)?</w:t>
            </w:r>
          </w:p>
        </w:tc>
      </w:tr>
      <w:tr>
        <w:trPr/>
        <w:tc>
          <w:tcPr>
            <w:tcW w:w="92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Sean Buckley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Revenue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Adopted November 24,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March 4, 2024 - November 24,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Sell up to 222,015*, subject to certain conditions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Yes</w:t>
            </w:r>
          </w:p>
        </w:tc>
      </w:tr>
      <w:tr>
        <w:trPr/>
        <w:tc>
          <w:tcPr>
            <w:tcW w:w="92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Adam Soroca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Product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Adopted December 14,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March 14, 2024 - September 13,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Sell up to 108,026*, subject to certain conditions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Yes</w:t>
            </w:r>
          </w:p>
        </w:tc>
      </w:tr>
      <w:tr>
        <w:trPr/>
        <w:tc>
          <w:tcPr>
            <w:tcW w:w="92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David Day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Adopted December 14,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March 18, 2024 - December 6,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Sell up to 80,478, subject to certain conditions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Yes</w:t>
            </w:r>
          </w:p>
        </w:tc>
      </w:tr>
      <w:tr>
        <w:trPr/>
        <w:tc>
          <w:tcPr>
            <w:tcW w:w="92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Brian Gephart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Adopted December 15,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March 15, 2024 - December 13,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Sell up to 47,020*, subject to certain conditions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Yes</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*Represents a combination of previously vested shares and gross amounts of shares that will vest over the duration of the plan (net shares that will actually be sold under the plan are net of tax withholding).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Item 9C. Disclosure Regarding Foreign Jurisdictions that Prevent Inspections</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before="0" w:after="2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ans-serif" w:hAnsi="Times New Roman;sans-serif"/>
          <w:b/>
          <w:color w:val="000000"/>
          <w:sz w:val="20"/>
        </w:rPr>
      </w:pPr>
      <w:r>
        <w:rPr>
          <w:rFonts w:ascii="Times New Roman;sans-serif" w:hAnsi="Times New Roman;sans-serif"/>
          <w:b/>
          <w:color w:val="000000"/>
          <w:sz w:val="20"/>
        </w:rPr>
        <w:t>Item 10. Directors, Executive Officers and Corporate Governance</w:t>
      </w:r>
    </w:p>
    <w:p>
      <w:pPr>
        <w:pStyle w:val="TextBody"/>
        <w:bidi w:val="0"/>
        <w:spacing w:lineRule="auto" w:line="288" w:before="24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Item 10 will be included in our Proxy Statement for the 2024 Annual Meeting of Stockholders (the "2024 Proxy Statement") to be filed with the SEC within 120 days of the fiscal year ended December 31, 2023, or the 2024 Proxy Statement, under the headings "Proposal 1—Election of Directors," "Delinquent Section 16(a) Reports," (if applicable) and "Corporate Governance"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6"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v:textbox>
                <w10:wrap type="none"/>
              </v:rect>
            </w:pict>
          </mc:Fallback>
        </mc:AlternateContent>
      </w:r>
    </w:p>
    <w:p>
      <w:pPr>
        <w:pStyle w:val="TextBody"/>
        <w:bidi w:val="0"/>
        <w:spacing w:lineRule="auto" w:line="288" w:before="0" w:after="0"/>
        <w:jc w:val="left"/>
        <w:rPr/>
      </w:pPr>
      <w:hyperlink w:anchor="i8d6a21e15cb741baa6dee69bcf11e47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Item 11. Executive Compensation</w:t>
      </w:r>
    </w:p>
    <w:p>
      <w:pPr>
        <w:pStyle w:val="TextBody"/>
        <w:bidi w:val="0"/>
        <w:spacing w:lineRule="auto" w:line="288" w:before="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Item 11 will be included in the 2024 Proxy Statement under the headings "Executive Officers" and "Executive Compensation" and is incorporated herein by reference.</w:t>
      </w:r>
    </w:p>
    <w:p>
      <w:pPr>
        <w:pStyle w:val="TextBody"/>
        <w:bidi w:val="0"/>
        <w:spacing w:lineRule="auto" w:line="288" w:before="0" w:after="0"/>
        <w:ind w:left="0" w:right="0" w:firstLine="36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Item 12. Security Ownership of Certain Beneficial Owners and Management and Related Stockholder Matters</w:t>
      </w:r>
    </w:p>
    <w:p>
      <w:pPr>
        <w:pStyle w:val="TextBody"/>
        <w:bidi w:val="0"/>
        <w:spacing w:lineRule="auto" w:line="288" w:before="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information required by Item 12 will be included in the 2024 Proxy Statement under the heading "Common Stock Ownership of Certain Beneficial Owners and Management" and is incorporated herein by reference. </w:t>
      </w:r>
    </w:p>
    <w:p>
      <w:pPr>
        <w:pStyle w:val="TextBody"/>
        <w:bidi w:val="0"/>
        <w:spacing w:before="120" w:after="12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Item 13. Certain Relationships and Related Transactions, and Director Independence</w:t>
      </w:r>
    </w:p>
    <w:p>
      <w:pPr>
        <w:pStyle w:val="TextBody"/>
        <w:bidi w:val="0"/>
        <w:spacing w:lineRule="auto" w:line="288" w:before="0" w:after="200"/>
        <w:jc w:val="left"/>
        <w:rPr>
          <w:color w:val="000000"/>
        </w:rPr>
      </w:pPr>
      <w:r>
        <w:rPr>
          <w:color w:val="000000"/>
        </w:rPr>
        <w:t>    </w:t>
      </w:r>
      <w:r>
        <w:rPr>
          <w:rFonts w:ascii="Times New Roman;sans-serif" w:hAnsi="Times New Roman;sans-serif"/>
          <w:b w:val="false"/>
          <w:color w:val="000000"/>
          <w:sz w:val="20"/>
        </w:rPr>
        <w:t xml:space="preserve">The information required by Item 13 will be included in the 2024 Proxy Statement under the headings "Certain Relationships and Related Person Transactions" and "Director Independence" and is incorporated herein by reference. </w:t>
      </w:r>
    </w:p>
    <w:p>
      <w:pPr>
        <w:pStyle w:val="TextBody"/>
        <w:bidi w:val="0"/>
        <w:spacing w:before="0" w:after="2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Item 14. Principal Accountant Fees and Services</w:t>
      </w:r>
    </w:p>
    <w:p>
      <w:pPr>
        <w:pStyle w:val="TextBody"/>
        <w:bidi w:val="0"/>
        <w:spacing w:lineRule="auto" w:line="288" w:before="0" w:after="200"/>
        <w:jc w:val="left"/>
        <w:rPr>
          <w:color w:val="000000"/>
        </w:rPr>
      </w:pPr>
      <w:r>
        <w:rPr>
          <w:color w:val="000000"/>
        </w:rPr>
        <w:t>    </w:t>
      </w:r>
      <w:r>
        <w:rPr>
          <w:rFonts w:ascii="Times New Roman;sans-serif" w:hAnsi="Times New Roman;sans-serif"/>
          <w:b w:val="false"/>
          <w:color w:val="000000"/>
          <w:sz w:val="20"/>
        </w:rPr>
        <w:t>The information required by Item 14 will be included in the 2024 Proxy Statement under the heading "Proposal 2—Ratification of the Selection of Deloitte &amp; Touche LLP as Independent Registered Public Accounting Firm"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7"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v:textbox>
                <w10:wrap type="none"/>
              </v:rect>
            </w:pict>
          </mc:Fallback>
        </mc:AlternateContent>
      </w:r>
    </w:p>
    <w:p>
      <w:pPr>
        <w:pStyle w:val="TextBody"/>
        <w:bidi w:val="0"/>
        <w:spacing w:lineRule="auto" w:line="288" w:before="0" w:after="0"/>
        <w:jc w:val="left"/>
        <w:rPr/>
      </w:pPr>
      <w:hyperlink w:anchor="i8d6a21e15cb741baa6dee69bcf11e47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PART IV</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15. Exhibits, Financial Statement Schedules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We have filed the following documents as part of this Annual Report on Form 10-K:</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 Consolidated Financial Statements</w:t>
      </w:r>
    </w:p>
    <w:p>
      <w:pPr>
        <w:pStyle w:val="TextBody"/>
        <w:bidi w:val="0"/>
        <w:spacing w:before="0" w:after="0"/>
        <w:jc w:val="left"/>
        <w:rPr/>
      </w:pPr>
      <w:r>
        <w:rPr/>
      </w:r>
    </w:p>
    <w:tbl>
      <w:tblPr>
        <w:tblW w:w="5232" w:type="dxa"/>
        <w:jc w:val="center"/>
        <w:tblInd w:w="0" w:type="dxa"/>
        <w:tblLayout w:type="fixed"/>
        <w:tblCellMar>
          <w:top w:w="28" w:type="dxa"/>
          <w:left w:w="28" w:type="dxa"/>
          <w:bottom w:w="28" w:type="dxa"/>
          <w:right w:w="28" w:type="dxa"/>
        </w:tblCellMar>
      </w:tblPr>
      <w:tblGrid>
        <w:gridCol w:w="1759"/>
        <w:gridCol w:w="1546"/>
        <w:gridCol w:w="1555"/>
        <w:gridCol w:w="109"/>
        <w:gridCol w:w="109"/>
        <w:gridCol w:w="154"/>
      </w:tblGrid>
      <w:tr>
        <w:trPr/>
        <w:tc>
          <w:tcPr>
            <w:tcW w:w="1759"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Report of Independent Registered Public Accounting Firm</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d6a21e15cb741baa6dee69bcf11e47e_82">
              <w:r>
                <w:rPr>
                  <w:rStyle w:val="InternetLink"/>
                  <w:rFonts w:ascii="Times New Roman;sans-serif" w:hAnsi="Times New Roman;sans-serif"/>
                  <w:b w:val="false"/>
                  <w:color w:val="0000FF"/>
                  <w:sz w:val="20"/>
                  <w:u w:val="single"/>
                </w:rPr>
                <w:t>61</w:t>
              </w:r>
            </w:hyperlink>
          </w:p>
        </w:tc>
      </w:tr>
      <w:tr>
        <w:trPr/>
        <w:tc>
          <w:tcPr>
            <w:tcW w:w="48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Consolidated Balance Sheets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d6a21e15cb741baa6dee69bcf11e47e_85">
              <w:r>
                <w:rPr>
                  <w:rStyle w:val="InternetLink"/>
                  <w:rFonts w:ascii="Times New Roman;sans-serif" w:hAnsi="Times New Roman;sans-serif"/>
                  <w:b w:val="false"/>
                  <w:color w:val="0000FF"/>
                  <w:sz w:val="20"/>
                  <w:u w:val="single"/>
                </w:rPr>
                <w:t>63</w:t>
              </w:r>
            </w:hyperlink>
          </w:p>
        </w:tc>
      </w:tr>
      <w:tr>
        <w:trPr/>
        <w:tc>
          <w:tcPr>
            <w:tcW w:w="48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Consolidated Statements of Operations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d6a21e15cb741baa6dee69bcf11e47e_88">
              <w:r>
                <w:rPr>
                  <w:rStyle w:val="InternetLink"/>
                  <w:rFonts w:ascii="Times New Roman;sans-serif" w:hAnsi="Times New Roman;sans-serif"/>
                  <w:b w:val="false"/>
                  <w:color w:val="0000FF"/>
                  <w:sz w:val="20"/>
                  <w:u w:val="single"/>
                </w:rPr>
                <w:t>64</w:t>
              </w:r>
            </w:hyperlink>
          </w:p>
        </w:tc>
      </w:tr>
      <w:tr>
        <w:trPr/>
        <w:tc>
          <w:tcPr>
            <w:tcW w:w="48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Consolidated Statements of Comprehensive Loss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d6a21e15cb741baa6dee69bcf11e47e_91">
              <w:r>
                <w:rPr>
                  <w:rStyle w:val="InternetLink"/>
                  <w:rFonts w:ascii="Times New Roman;sans-serif" w:hAnsi="Times New Roman;sans-serif"/>
                  <w:b w:val="false"/>
                  <w:color w:val="0000FF"/>
                  <w:sz w:val="20"/>
                  <w:u w:val="single"/>
                </w:rPr>
                <w:t>65</w:t>
              </w:r>
            </w:hyperlink>
          </w:p>
        </w:tc>
      </w:tr>
      <w:tr>
        <w:trPr/>
        <w:tc>
          <w:tcPr>
            <w:tcW w:w="48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Consolidated Statements of Stockholders' Equity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d6a21e15cb741baa6dee69bcf11e47e_94">
              <w:r>
                <w:rPr>
                  <w:rStyle w:val="InternetLink"/>
                  <w:rFonts w:ascii="Times New Roman;sans-serif" w:hAnsi="Times New Roman;sans-serif"/>
                  <w:b w:val="false"/>
                  <w:color w:val="0000FF"/>
                  <w:sz w:val="20"/>
                  <w:u w:val="single"/>
                </w:rPr>
                <w:t>66</w:t>
              </w:r>
            </w:hyperlink>
          </w:p>
        </w:tc>
      </w:tr>
      <w:tr>
        <w:trPr/>
        <w:tc>
          <w:tcPr>
            <w:tcW w:w="48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Consolidated Statements of Cash Flows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d6a21e15cb741baa6dee69bcf11e47e_97">
              <w:r>
                <w:rPr>
                  <w:rStyle w:val="InternetLink"/>
                  <w:rFonts w:ascii="Times New Roman;sans-serif" w:hAnsi="Times New Roman;sans-serif"/>
                  <w:b w:val="false"/>
                  <w:color w:val="0000FF"/>
                  <w:sz w:val="20"/>
                  <w:u w:val="single"/>
                </w:rPr>
                <w:t>67</w:t>
              </w:r>
            </w:hyperlink>
          </w:p>
        </w:tc>
      </w:tr>
      <w:tr>
        <w:trPr/>
        <w:tc>
          <w:tcPr>
            <w:tcW w:w="48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Notes to Consolidated Financial Statements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d6a21e15cb741baa6dee69bcf11e47e_103">
              <w:r>
                <w:rPr>
                  <w:rStyle w:val="InternetLink"/>
                  <w:rFonts w:ascii="Times New Roman;sans-serif" w:hAnsi="Times New Roman;sans-serif"/>
                  <w:b w:val="false"/>
                  <w:color w:val="0000FF"/>
                  <w:sz w:val="20"/>
                  <w:u w:val="single"/>
                </w:rPr>
                <w:t>69</w:t>
              </w:r>
            </w:hyperlink>
          </w:p>
        </w:tc>
      </w:tr>
    </w:tbl>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 Financial Statement Schedules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No financial statement schedules are provided because the information called for is not required or is shown in the financial statements of the notes thereto.</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 Exhibits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EXHIBIT INDEX</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294"/>
        <w:gridCol w:w="258"/>
        <w:gridCol w:w="259"/>
        <w:gridCol w:w="109"/>
        <w:gridCol w:w="109"/>
        <w:gridCol w:w="109"/>
        <w:gridCol w:w="2655"/>
        <w:gridCol w:w="2645"/>
        <w:gridCol w:w="3767"/>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5" w:type="dxa"/>
            <w:tcBorders/>
            <w:vAlign w:val="center"/>
          </w:tcPr>
          <w:p>
            <w:pPr>
              <w:pStyle w:val="TableContents"/>
              <w:bidi w:val="0"/>
              <w:spacing w:before="0" w:after="283"/>
              <w:jc w:val="left"/>
              <w:rPr>
                <w:sz w:val="4"/>
                <w:szCs w:val="4"/>
              </w:rPr>
            </w:pPr>
            <w:r>
              <w:rPr>
                <w:sz w:val="4"/>
                <w:szCs w:val="4"/>
              </w:rPr>
            </w:r>
          </w:p>
        </w:tc>
        <w:tc>
          <w:tcPr>
            <w:tcW w:w="2645" w:type="dxa"/>
            <w:tcBorders/>
            <w:vAlign w:val="center"/>
          </w:tcPr>
          <w:p>
            <w:pPr>
              <w:pStyle w:val="TableContents"/>
              <w:bidi w:val="0"/>
              <w:spacing w:before="0" w:after="283"/>
              <w:jc w:val="left"/>
              <w:rPr>
                <w:sz w:val="4"/>
                <w:szCs w:val="4"/>
              </w:rPr>
            </w:pPr>
            <w:r>
              <w:rPr>
                <w:sz w:val="4"/>
                <w:szCs w:val="4"/>
              </w:rPr>
            </w:r>
          </w:p>
        </w:tc>
        <w:tc>
          <w:tcPr>
            <w:tcW w:w="3767"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ans-serif" w:hAnsi="Times New Roman;sans-serif"/>
                  <w:b w:val="false"/>
                  <w:color w:val="0000FF"/>
                  <w:sz w:val="20"/>
                  <w:u w:val="single"/>
                </w:rPr>
                <w:t>Agreement and Plan of Merger, dated as of December 19, 2019, by and among The Rubicon Project, Inc., Madison Merger Corp., and Telaria, Inc. (incorporated by reference to Exhibit 2.1 to the Registrant's Current Report on Form 8-K filed with the Commission on December 20, 2019).†</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ans-serif" w:hAnsi="Times New Roman;sans-serif"/>
                  <w:b w:val="false"/>
                  <w:color w:val="0000FF"/>
                  <w:sz w:val="20"/>
                  <w:u w:val="single"/>
                </w:rPr>
                <w:t>Stock Purchase Agreement, dated as of February 4, 2021, by and between Magnite, Inc., RTL US Holdings, Inc., and solely for certain sections therein, RTL Group S.A. (incorporated by reference to Exhibit 2.1 to the Registrant's Current Report on Form 8-K filed with the Commission on February 5, 2021).†</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ans-serif" w:hAnsi="Times New Roman;sans-serif"/>
                  <w:b w:val="false"/>
                  <w:color w:val="0000FF"/>
                  <w:sz w:val="20"/>
                  <w:u w:val="single"/>
                </w:rPr>
                <w:t>Amendment to Stock Purchase Agreement, dated as of April 30, 2021, by and among Magnite, Inc., RTL US Holding, Inc., and RTL Group S.A. (incorporated by reference to Exhibit 2.1 to the Registrant's Quarterly Report on Form 10-Q filed with the Commission on May 10, 2021).</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ans-serif" w:hAnsi="Times New Roman;sans-serif"/>
                  <w:b w:val="false"/>
                  <w:color w:val="0000FF"/>
                  <w:sz w:val="20"/>
                  <w:u w:val="single"/>
                </w:rPr>
                <w:t>Sixth Amended and Restated Certificate of Incorporation of the Registrant (incorporated by reference to Exhibit 3.1 to the Registrant's Quarterly Report on Form 10-Q filed with the Commission on May 15, 2014).</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ans-serif" w:hAnsi="Times New Roman;sans-serif"/>
                  <w:b w:val="false"/>
                  <w:color w:val="0000FF"/>
                  <w:sz w:val="20"/>
                  <w:u w:val="single"/>
                </w:rPr>
                <w:t>Certificate of Amendment to the Sixth Amended and Restated Certificate of Incorporation of Magnite, Inc., dated June 30, 2020 (incorporated by reference to Exhibit 3.1 to the Registrant's Quarterly Report on Form 10-Q filed with the Commission on August 10, 2020).</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ans-serif" w:hAnsi="Times New Roman;sans-serif"/>
                  <w:b w:val="false"/>
                  <w:color w:val="0000FF"/>
                  <w:sz w:val="20"/>
                  <w:u w:val="single"/>
                </w:rPr>
                <w:t>Fifth Amended and Restated Bylaws of Magnite, Inc. (incorporated by reference to Exhibit 3.1 to the Registrant’s Current Report on Form 8-K filed with the Commission on March 22, 2022).</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ans-serif" w:hAnsi="Times New Roman;sans-serif"/>
                  <w:b w:val="false"/>
                  <w:color w:val="0000FF"/>
                  <w:sz w:val="20"/>
                  <w:u w:val="single"/>
                </w:rPr>
                <w:t>Fourth Amended and Restated Bylaws of Magnite, Inc., dated June 30, 2020 (incorporated by reference to Exhibit 3.4 to the Registrant’s Quarterly Report on Form 10-Q filed with the Commission on August 10, 2020).</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ans-serif" w:hAnsi="Times New Roman;sans-serif"/>
                  <w:b w:val="false"/>
                  <w:color w:val="0000FF"/>
                  <w:sz w:val="20"/>
                  <w:u w:val="single"/>
                </w:rPr>
                <w:t>Description of Securities (incorporated by reference to Exhibit 4.1 to the Registrant's Annual Report on Form 10-K filed with the Commission on February 25, 2021).</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ans-serif" w:hAnsi="Times New Roman;sans-serif"/>
                  <w:b w:val="false"/>
                  <w:color w:val="0000FF"/>
                  <w:sz w:val="20"/>
                  <w:u w:val="single"/>
                </w:rPr>
                <w:t>Indenture, dated as of March 18, 2021, between Magnite, Inc., the guarantors named therein and The Bank of New York Mellon Trust Company, N.A, as trustee (incorporated by reference to Exhibit 4.1 of the Registrant’s Current Report on Form 8-K filed with the Commission on March 19, 2021).</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ans-serif" w:hAnsi="Times New Roman;sans-serif"/>
                  <w:b w:val="false"/>
                  <w:color w:val="0000FF"/>
                  <w:sz w:val="20"/>
                  <w:u w:val="single"/>
                </w:rPr>
                <w:t>Form of 0.25% Convertible Senior Notes due 2026 (included in Exhibit 4.2) (incorporated by reference to Exhibit 4.2 of the Registrant’s Current Report on Form 8-K filed with the Commission on March 19, 2021).</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8"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v:textbox>
                <w10:wrap type="none"/>
              </v:rect>
            </w:pict>
          </mc:Fallback>
        </mc:AlternateContent>
      </w:r>
    </w:p>
    <w:p>
      <w:pPr>
        <w:pStyle w:val="TextBody"/>
        <w:bidi w:val="0"/>
        <w:spacing w:lineRule="auto" w:line="288" w:before="0" w:after="0"/>
        <w:jc w:val="left"/>
        <w:rPr/>
      </w:pPr>
      <w:hyperlink w:anchor="i8d6a21e15cb741baa6dee69bcf11e47e_7">
        <w:r>
          <w:rPr>
            <w:rStyle w:val="InternetLink"/>
            <w:rFonts w:ascii="Times New Roman;sans-serif" w:hAnsi="Times New Roman;sans-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262"/>
        <w:gridCol w:w="206"/>
        <w:gridCol w:w="188"/>
        <w:gridCol w:w="109"/>
        <w:gridCol w:w="109"/>
        <w:gridCol w:w="109"/>
        <w:gridCol w:w="2798"/>
        <w:gridCol w:w="2660"/>
        <w:gridCol w:w="3764"/>
      </w:tblGrid>
      <w:tr>
        <w:trPr/>
        <w:tc>
          <w:tcPr>
            <w:tcW w:w="262"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8"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c>
          <w:tcPr>
            <w:tcW w:w="3764" w:type="dxa"/>
            <w:tcBorders/>
            <w:vAlign w:val="center"/>
          </w:tcPr>
          <w:p>
            <w:pPr>
              <w:pStyle w:val="TableContents"/>
              <w:bidi w:val="0"/>
              <w:spacing w:before="0" w:after="283"/>
              <w:jc w:val="left"/>
              <w:rPr>
                <w:sz w:val="4"/>
                <w:szCs w:val="4"/>
              </w:rPr>
            </w:pPr>
            <w:r>
              <w:rPr>
                <w:sz w:val="4"/>
                <w:szCs w:val="4"/>
              </w:rPr>
            </w:r>
          </w:p>
        </w:tc>
      </w:tr>
      <w:tr>
        <w:trPr/>
        <w:tc>
          <w:tcPr>
            <w:tcW w:w="6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ans-serif" w:hAnsi="Times New Roman;sans-serif"/>
                  <w:b w:val="false"/>
                  <w:color w:val="0000FF"/>
                  <w:sz w:val="20"/>
                  <w:u w:val="single"/>
                </w:rPr>
                <w:t>The Rubicon Project, Inc. 2007 Stock Incentive Plan and forms of agreements for employees thereunder (incorporated by reference to Exhibit 10.1 to the Registrant's Registration Statement on Form S-1/A filed with the Commission on March 20, 2014).</w:t>
              </w:r>
            </w:hyperlink>
          </w:p>
        </w:tc>
      </w:tr>
      <w:tr>
        <w:trPr/>
        <w:tc>
          <w:tcPr>
            <w:tcW w:w="6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ans-serif" w:hAnsi="Times New Roman;sans-serif"/>
                  <w:b w:val="false"/>
                  <w:color w:val="0000FF"/>
                  <w:sz w:val="20"/>
                  <w:u w:val="single"/>
                </w:rPr>
                <w:t>The Rubicon Project, Inc. 2014 Equity Incentive Plan, as amended and restated (incorporated by reference to Exhibit 10.1 to the Registrant's Current Report on Form 8-K filed with the Commission on April 8, 2016).</w:t>
              </w:r>
            </w:hyperlink>
          </w:p>
        </w:tc>
      </w:tr>
      <w:tr>
        <w:trPr/>
        <w:tc>
          <w:tcPr>
            <w:tcW w:w="6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ans-serif" w:hAnsi="Times New Roman;sans-serif"/>
                  <w:b w:val="false"/>
                  <w:color w:val="0000FF"/>
                  <w:sz w:val="20"/>
                  <w:u w:val="single"/>
                </w:rPr>
                <w:t>Form of Stock Option Grant Notice and Award Agreement for Employees under The Rubicon Project, Inc. 2014 Equity Incentive Plan (incorporated by reference to Exhibit 10.2(B) to the Registrant's Annual Report on Form 10-K filed with the Commission on March 6, 2015).</w:t>
              </w:r>
            </w:hyperlink>
          </w:p>
        </w:tc>
      </w:tr>
      <w:tr>
        <w:trPr/>
        <w:tc>
          <w:tcPr>
            <w:tcW w:w="6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ans-serif" w:hAnsi="Times New Roman;sans-serif"/>
                  <w:b w:val="false"/>
                  <w:color w:val="0000FF"/>
                  <w:sz w:val="20"/>
                  <w:u w:val="single"/>
                </w:rPr>
                <w:t>Form of Restricted Stock Unit Grant Notice and Award Agreement for Employees under The Rubicon Project, Inc. 2014 Equity Incentive Plan (incorporated by reference to Exhibit 10.2(C) to the Registrant's Annual Report on Form 10-K filed with the Commission on March 6, 2015).</w:t>
              </w:r>
            </w:hyperlink>
          </w:p>
        </w:tc>
      </w:tr>
      <w:tr>
        <w:trPr/>
        <w:tc>
          <w:tcPr>
            <w:tcW w:w="6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ans-serif" w:hAnsi="Times New Roman;sans-serif"/>
                  <w:b w:val="false"/>
                  <w:color w:val="0000FF"/>
                  <w:sz w:val="20"/>
                  <w:u w:val="single"/>
                </w:rPr>
                <w:t>Form of Stock Option Grant Notice and Award Agreement for Non-Employee Directors under The Rubicon Project, Inc. 2014 Equity Incentive Plan (incorporated by reference to Exhibit 10.2(D) to the Registrant's Annual Report on Form 10-K filed with the Commission on March 6, 2015).</w:t>
              </w:r>
            </w:hyperlink>
          </w:p>
        </w:tc>
      </w:tr>
      <w:tr>
        <w:trPr/>
        <w:tc>
          <w:tcPr>
            <w:tcW w:w="6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ans-serif" w:hAnsi="Times New Roman;sans-serif"/>
                  <w:b w:val="false"/>
                  <w:color w:val="0000FF"/>
                  <w:sz w:val="20"/>
                  <w:u w:val="single"/>
                </w:rPr>
                <w:t>Form of Restricted Stock Unit Grant Notice and Award Agreement for Non-Employee Directors under The Rubicon Project, Inc. 2014 Equity Incentive Plan (incorporated by reference to Exhibit 10.2(E) to the Registrant's Annual Report on Form 10-K filed with the Commission on March 6, 2015).</w:t>
              </w:r>
            </w:hyperlink>
          </w:p>
        </w:tc>
      </w:tr>
      <w:tr>
        <w:trPr/>
        <w:tc>
          <w:tcPr>
            <w:tcW w:w="65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07-2014eippsunoti.htm">
              <w:r>
                <w:rPr>
                  <w:rStyle w:val="InternetLink"/>
                  <w:rFonts w:ascii="Times New Roman;sans-serif" w:hAnsi="Times New Roman;sans-serif"/>
                  <w:b w:val="false"/>
                  <w:color w:val="000080"/>
                  <w:sz w:val="20"/>
                  <w:u w:val="single"/>
                </w:rPr>
                <w:t xml:space="preserve">Form of Performance Stock Unit Grant Notice and Award Agreement for Employees under the Magnite, Inc. </w:t>
              </w:r>
            </w:hyperlink>
            <w:hyperlink w:anchor="exhibit1007-2014eippsunoti.htm">
              <w:r>
                <w:rPr>
                  <w:rStyle w:val="InternetLink"/>
                  <w:rFonts w:ascii="Times New Roman;sans-serif" w:hAnsi="Times New Roman;sans-serif"/>
                  <w:b w:val="false"/>
                  <w:color w:val="000080"/>
                  <w:sz w:val="20"/>
                  <w:u w:val="single"/>
                </w:rPr>
                <w:t>2014 Equity Incentive Plan.</w:t>
              </w:r>
            </w:hyperlink>
          </w:p>
        </w:tc>
      </w:tr>
      <w:tr>
        <w:trPr/>
        <w:tc>
          <w:tcPr>
            <w:tcW w:w="65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ans-serif" w:hAnsi="Times New Roman;sans-serif"/>
                  <w:b w:val="false"/>
                  <w:color w:val="0000FF"/>
                  <w:sz w:val="20"/>
                  <w:u w:val="single"/>
                </w:rPr>
                <w:t>The Rubicon Project, Inc. 2014 Inducement Grant Equity Incentive Plan, as amended and restated (incorporated by reference to Exhibit 10.2 to the Registrant's Current Report on Form 8-K filed with the Commission on April 8, 2016).</w:t>
              </w:r>
            </w:hyperlink>
          </w:p>
        </w:tc>
      </w:tr>
      <w:tr>
        <w:trPr/>
        <w:tc>
          <w:tcPr>
            <w:tcW w:w="65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ans-serif" w:hAnsi="Times New Roman;sans-serif"/>
                  <w:b w:val="false"/>
                  <w:color w:val="0000FF"/>
                  <w:sz w:val="20"/>
                  <w:u w:val="single"/>
                </w:rPr>
                <w:t>Telaria, Inc. 2013 Equity Incentive Plan, as amended (incorporated by reference to Exhibit 99.2 to the Registrants’ Registration Statement on Form S-8, dated April 9, 2020)</w:t>
              </w:r>
            </w:hyperlink>
          </w:p>
        </w:tc>
      </w:tr>
      <w:tr>
        <w:trPr/>
        <w:tc>
          <w:tcPr>
            <w:tcW w:w="65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Times New Roman;sans-serif" w:hAnsi="Times New Roman;sans-serif"/>
                  <w:b w:val="false"/>
                  <w:color w:val="000080"/>
                  <w:sz w:val="20"/>
                  <w:u w:val="single"/>
                </w:rPr>
                <w:t>Magnite, Inc. Amended and Restated 2014 Equity Incentive Plan</w:t>
              </w:r>
            </w:hyperlink>
            <w:hyperlink r:id="rId22">
              <w:r>
                <w:rPr>
                  <w:rStyle w:val="InternetLink"/>
                  <w:rFonts w:ascii="Times New Roman;sans-serif" w:hAnsi="Times New Roman;sans-serif"/>
                  <w:b w:val="false"/>
                  <w:color w:val="000080"/>
                  <w:sz w:val="20"/>
                  <w:u w:val="single"/>
                </w:rPr>
                <w:t xml:space="preserve"> (incorporated by reference to </w:t>
              </w:r>
            </w:hyperlink>
            <w:hyperlink r:id="rId23">
              <w:r>
                <w:rPr>
                  <w:rStyle w:val="InternetLink"/>
                  <w:rFonts w:ascii="Times New Roman;sans-serif" w:hAnsi="Times New Roman;sans-serif"/>
                  <w:b w:val="false"/>
                  <w:color w:val="000080"/>
                  <w:sz w:val="20"/>
                  <w:u w:val="single"/>
                </w:rPr>
                <w:t>Exh</w:t>
              </w:r>
            </w:hyperlink>
            <w:hyperlink r:id="rId24">
              <w:r>
                <w:rPr>
                  <w:rStyle w:val="InternetLink"/>
                  <w:rFonts w:ascii="Times New Roman;sans-serif" w:hAnsi="Times New Roman;sans-serif"/>
                  <w:b w:val="false"/>
                  <w:color w:val="000080"/>
                  <w:sz w:val="20"/>
                  <w:u w:val="single"/>
                </w:rPr>
                <w:t>ibit 10.1 to the Registrant's Quarterly Report on Form 10-Q filed with the Commission on August 9, 2023)</w:t>
              </w:r>
            </w:hyperlink>
            <w:r>
              <w:rPr>
                <w:rFonts w:ascii="Times New Roman;sans-serif" w:hAnsi="Times New Roman;sans-serif"/>
                <w:b w:val="false"/>
                <w:color w:val="000000"/>
                <w:sz w:val="20"/>
              </w:rPr>
              <w:t>.</w:t>
            </w:r>
          </w:p>
        </w:tc>
      </w:tr>
      <w:tr>
        <w:trPr/>
        <w:tc>
          <w:tcPr>
            <w:tcW w:w="65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11-ar2014optionno.htm">
              <w:r>
                <w:rPr>
                  <w:rStyle w:val="InternetLink"/>
                  <w:rFonts w:ascii="Times New Roman;sans-serif" w:hAnsi="Times New Roman;sans-serif"/>
                  <w:b w:val="false"/>
                  <w:color w:val="0000FF"/>
                  <w:sz w:val="20"/>
                  <w:u w:val="single"/>
                </w:rPr>
                <w:t>Form of Stock Option Grant Notice and Award Agreement for Employees under the Magnite, Inc. Amended and Restated 2014 Equity Incentive Plan.</w:t>
              </w:r>
            </w:hyperlink>
          </w:p>
        </w:tc>
      </w:tr>
      <w:tr>
        <w:trPr/>
        <w:tc>
          <w:tcPr>
            <w:tcW w:w="65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12-ar20144yrsugra.htm">
              <w:r>
                <w:rPr>
                  <w:rStyle w:val="InternetLink"/>
                  <w:rFonts w:ascii="Times New Roman;sans-serif" w:hAnsi="Times New Roman;sans-serif"/>
                  <w:b w:val="false"/>
                  <w:color w:val="0000FF"/>
                  <w:sz w:val="20"/>
                  <w:u w:val="single"/>
                </w:rPr>
                <w:t>Form of Restricted Stock Unit Grant Notice and Award Agreement for Employees under the Magnite, Inc. Amended and Restated 2014 Equity Incentive Plan.</w:t>
              </w:r>
            </w:hyperlink>
          </w:p>
        </w:tc>
      </w:tr>
      <w:tr>
        <w:trPr/>
        <w:tc>
          <w:tcPr>
            <w:tcW w:w="65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13-ar2014psuaward.htm">
              <w:r>
                <w:rPr>
                  <w:rStyle w:val="InternetLink"/>
                  <w:rFonts w:ascii="Times New Roman;sans-serif" w:hAnsi="Times New Roman;sans-serif"/>
                  <w:b w:val="false"/>
                  <w:color w:val="0000FF"/>
                  <w:sz w:val="20"/>
                  <w:u w:val="single"/>
                </w:rPr>
                <w:t>Form of Performance Stock Unit Grant Notice and Award Agreement for Employees under the Magnite, Inc. Amended and Restated 2014 Equity Incentive Plan.</w:t>
              </w:r>
            </w:hyperlink>
          </w:p>
        </w:tc>
      </w:tr>
      <w:tr>
        <w:trPr/>
        <w:tc>
          <w:tcPr>
            <w:tcW w:w="65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14-ar2014annualbo.htm">
              <w:r>
                <w:rPr>
                  <w:rStyle w:val="InternetLink"/>
                  <w:rFonts w:ascii="Times New Roman;sans-serif" w:hAnsi="Times New Roman;sans-serif"/>
                  <w:b w:val="false"/>
                  <w:color w:val="0000FF"/>
                  <w:sz w:val="20"/>
                  <w:u w:val="single"/>
                </w:rPr>
                <w:t>Form of Restricted Stock Unit Grant Notice and Award Agreement for Non-Employee Directors under the Magnite, Inc. Amended and Restated 2014 Equity Incentive Plan.</w:t>
              </w:r>
            </w:hyperlink>
          </w:p>
        </w:tc>
      </w:tr>
      <w:tr>
        <w:trPr/>
        <w:tc>
          <w:tcPr>
            <w:tcW w:w="65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5">
              <w:r>
                <w:rPr>
                  <w:rStyle w:val="InternetLink"/>
                  <w:rFonts w:ascii="Times New Roman;sans-serif" w:hAnsi="Times New Roman;sans-serif"/>
                  <w:b w:val="false"/>
                  <w:color w:val="000080"/>
                  <w:sz w:val="20"/>
                  <w:u w:val="single"/>
                </w:rPr>
                <w:t xml:space="preserve">Magnite, Inc. Amended and Restated 2014 </w:t>
              </w:r>
            </w:hyperlink>
            <w:hyperlink r:id="rId26">
              <w:r>
                <w:rPr>
                  <w:rStyle w:val="InternetLink"/>
                  <w:rFonts w:ascii="Times New Roman;sans-serif" w:hAnsi="Times New Roman;sans-serif"/>
                  <w:b w:val="false"/>
                  <w:color w:val="000080"/>
                  <w:sz w:val="20"/>
                  <w:u w:val="single"/>
                </w:rPr>
                <w:t>Employee Stock Purchase Plan</w:t>
              </w:r>
            </w:hyperlink>
            <w:hyperlink r:id="rId27">
              <w:r>
                <w:rPr>
                  <w:rStyle w:val="InternetLink"/>
                  <w:rFonts w:ascii="Times New Roman;sans-serif" w:hAnsi="Times New Roman;sans-serif"/>
                  <w:b w:val="false"/>
                  <w:color w:val="000080"/>
                  <w:sz w:val="20"/>
                  <w:u w:val="single"/>
                </w:rPr>
                <w:t xml:space="preserve"> (incorporated by reference to Exhibit 10.</w:t>
              </w:r>
            </w:hyperlink>
            <w:hyperlink r:id="rId28">
              <w:r>
                <w:rPr>
                  <w:rStyle w:val="InternetLink"/>
                  <w:rFonts w:ascii="Times New Roman;sans-serif" w:hAnsi="Times New Roman;sans-serif"/>
                  <w:b w:val="false"/>
                  <w:color w:val="000080"/>
                  <w:sz w:val="20"/>
                  <w:u w:val="single"/>
                </w:rPr>
                <w:t>2</w:t>
              </w:r>
            </w:hyperlink>
            <w:hyperlink r:id="rId29">
              <w:r>
                <w:rPr>
                  <w:rStyle w:val="InternetLink"/>
                  <w:rFonts w:ascii="Times New Roman;sans-serif" w:hAnsi="Times New Roman;sans-serif"/>
                  <w:b w:val="false"/>
                  <w:color w:val="000080"/>
                  <w:sz w:val="20"/>
                  <w:u w:val="single"/>
                </w:rPr>
                <w:t xml:space="preserve"> to the Registrant's Quarterly Report on Form 10-Q filed with the Commission on August 9, 2023)</w:t>
              </w:r>
            </w:hyperlink>
          </w:p>
        </w:tc>
      </w:tr>
      <w:tr>
        <w:trPr/>
        <w:tc>
          <w:tcPr>
            <w:tcW w:w="65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0">
              <w:r>
                <w:rPr>
                  <w:rStyle w:val="InternetLink"/>
                  <w:rFonts w:ascii="Times New Roman;sans-serif" w:hAnsi="Times New Roman;sans-serif"/>
                  <w:b w:val="false"/>
                  <w:color w:val="0000FF"/>
                  <w:sz w:val="20"/>
                  <w:u w:val="single"/>
                </w:rPr>
                <w:t>Form of Indemnification Agreement between the Registrant and each of its directors and executive officers (incorporated by reference to Exhibit 10.17 to the Registrant's Registration Statement on Form S-1/A filed with the Commission on March 20, 2014).</w:t>
              </w:r>
            </w:hyperlink>
          </w:p>
        </w:tc>
      </w:tr>
      <w:tr>
        <w:trPr/>
        <w:tc>
          <w:tcPr>
            <w:tcW w:w="65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1">
              <w:r>
                <w:rPr>
                  <w:rStyle w:val="InternetLink"/>
                  <w:rFonts w:ascii="Times New Roman;sans-serif" w:hAnsi="Times New Roman;sans-serif"/>
                  <w:b w:val="false"/>
                  <w:color w:val="0000FF"/>
                  <w:sz w:val="20"/>
                  <w:u w:val="single"/>
                </w:rPr>
                <w:t xml:space="preserve">Form of Executive Severance and Vesting Acceleration Agreement by and between the Registrant and certain of its executive officers (incorporated by reference to Exhibit 10.23 to the Registrants Form 10-K filed with the Commission on February 27, 2020). </w:t>
              </w:r>
            </w:hyperlink>
          </w:p>
        </w:tc>
      </w:tr>
      <w:tr>
        <w:trPr/>
        <w:tc>
          <w:tcPr>
            <w:tcW w:w="65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2">
              <w:r>
                <w:rPr>
                  <w:rStyle w:val="InternetLink"/>
                  <w:rFonts w:ascii="Times New Roman;sans-serif" w:hAnsi="Times New Roman;sans-serif"/>
                  <w:b w:val="false"/>
                  <w:color w:val="0000FF"/>
                  <w:sz w:val="20"/>
                  <w:u w:val="single"/>
                </w:rPr>
                <w:t>Executive Employment Agreement between the Registrant and Michael Barrett, dated March 16, 2017 (incorporated by reference to Exhibit 10.1 to the Registrant's Current Report on Form 8-K filed with the Commission on March 22, 2017).</w:t>
              </w:r>
            </w:hyperlink>
          </w:p>
        </w:tc>
      </w:tr>
      <w:tr>
        <w:trPr/>
        <w:tc>
          <w:tcPr>
            <w:tcW w:w="65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3">
              <w:r>
                <w:rPr>
                  <w:rStyle w:val="InternetLink"/>
                  <w:rFonts w:ascii="Times New Roman;sans-serif" w:hAnsi="Times New Roman;sans-serif"/>
                  <w:b w:val="false"/>
                  <w:color w:val="0000FF"/>
                  <w:sz w:val="20"/>
                  <w:u w:val="single"/>
                </w:rPr>
                <w:t>Executive Severance and Vesting Acceleration Agreement between the Registrant and Michael Barrett, dated March 16, 2017 (incorporated by reference to Exhibit 10.2 to the Registrant's Current Report on Form 8-K filed with the Commission on March 22, 2017).</w:t>
              </w:r>
            </w:hyperlink>
          </w:p>
        </w:tc>
      </w:tr>
      <w:tr>
        <w:trPr/>
        <w:tc>
          <w:tcPr>
            <w:tcW w:w="65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4">
              <w:r>
                <w:rPr>
                  <w:rStyle w:val="InternetLink"/>
                  <w:rFonts w:ascii="Times New Roman;sans-serif" w:hAnsi="Times New Roman;sans-serif"/>
                  <w:b w:val="false"/>
                  <w:color w:val="0000FF"/>
                  <w:sz w:val="20"/>
                  <w:u w:val="single"/>
                </w:rPr>
                <w:t>Executive Severance and Vesting Acceleration Agreement between the Registrant and Aaron Saltz, dated April 1, 2020 (incorporated by reference to Exhibit 10.3 to the Registrant's Quarterly Report on Form 10-Q filed with the Commission on August 10, 2020).</w:t>
              </w:r>
            </w:hyperlink>
          </w:p>
        </w:tc>
      </w:tr>
      <w:tr>
        <w:trPr/>
        <w:tc>
          <w:tcPr>
            <w:tcW w:w="65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5">
              <w:r>
                <w:rPr>
                  <w:rStyle w:val="InternetLink"/>
                  <w:rFonts w:ascii="Times New Roman;sans-serif" w:hAnsi="Times New Roman;sans-serif"/>
                  <w:b w:val="false"/>
                  <w:color w:val="0000FF"/>
                  <w:sz w:val="20"/>
                  <w:u w:val="single"/>
                </w:rPr>
                <w:t>Office Lease between BRE HH Property Owner LLC and Magnite, Inc., dated November 20, 2020 (incorporated by reference to Exhibit 10.16 to the Registrant’s Annual Report on Form 10-K filed with the Commission on February 25, 2021).</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75260"/>
                <wp:effectExtent l="0" t="0" r="0" b="0"/>
                <wp:wrapNone/>
                <wp:docPr id="109" name="Frame1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8d6a21e15cb741baa6dee69bcf11e47e_7">
        <w:r>
          <w:rPr>
            <w:rStyle w:val="InternetLink"/>
            <w:rFonts w:ascii="Times New Roman;sans-serif" w:hAnsi="Times New Roman;sans-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236"/>
        <w:gridCol w:w="207"/>
        <w:gridCol w:w="210"/>
        <w:gridCol w:w="109"/>
        <w:gridCol w:w="109"/>
        <w:gridCol w:w="109"/>
        <w:gridCol w:w="2930"/>
        <w:gridCol w:w="2602"/>
        <w:gridCol w:w="3693"/>
      </w:tblGrid>
      <w:tr>
        <w:trPr/>
        <w:tc>
          <w:tcPr>
            <w:tcW w:w="23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0" w:type="dxa"/>
            <w:tcBorders/>
            <w:vAlign w:val="center"/>
          </w:tcPr>
          <w:p>
            <w:pPr>
              <w:pStyle w:val="TableContents"/>
              <w:bidi w:val="0"/>
              <w:spacing w:before="0" w:after="283"/>
              <w:jc w:val="left"/>
              <w:rPr>
                <w:sz w:val="4"/>
                <w:szCs w:val="4"/>
              </w:rPr>
            </w:pPr>
            <w:r>
              <w:rPr>
                <w:sz w:val="4"/>
                <w:szCs w:val="4"/>
              </w:rPr>
            </w:r>
          </w:p>
        </w:tc>
        <w:tc>
          <w:tcPr>
            <w:tcW w:w="2602" w:type="dxa"/>
            <w:tcBorders/>
            <w:vAlign w:val="center"/>
          </w:tcPr>
          <w:p>
            <w:pPr>
              <w:pStyle w:val="TableContents"/>
              <w:bidi w:val="0"/>
              <w:spacing w:before="0" w:after="283"/>
              <w:jc w:val="left"/>
              <w:rPr>
                <w:sz w:val="4"/>
                <w:szCs w:val="4"/>
              </w:rPr>
            </w:pPr>
            <w:r>
              <w:rPr>
                <w:sz w:val="4"/>
                <w:szCs w:val="4"/>
              </w:rPr>
            </w:r>
          </w:p>
        </w:tc>
        <w:tc>
          <w:tcPr>
            <w:tcW w:w="3693" w:type="dxa"/>
            <w:tcBorders/>
            <w:vAlign w:val="center"/>
          </w:tcPr>
          <w:p>
            <w:pPr>
              <w:pStyle w:val="TableContents"/>
              <w:bidi w:val="0"/>
              <w:spacing w:before="0" w:after="283"/>
              <w:jc w:val="left"/>
              <w:rPr>
                <w:sz w:val="4"/>
                <w:szCs w:val="4"/>
              </w:rPr>
            </w:pPr>
            <w:r>
              <w:rPr>
                <w:sz w:val="4"/>
                <w:szCs w:val="4"/>
              </w:rPr>
            </w:r>
          </w:p>
        </w:tc>
      </w:tr>
      <w:tr>
        <w:trPr/>
        <w:tc>
          <w:tcPr>
            <w:tcW w:w="65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6">
              <w:r>
                <w:rPr>
                  <w:rStyle w:val="InternetLink"/>
                  <w:rFonts w:ascii="Times New Roman;sans-serif" w:hAnsi="Times New Roman;sans-serif"/>
                  <w:b w:val="false"/>
                  <w:color w:val="0000FF"/>
                  <w:sz w:val="20"/>
                  <w:u w:val="single"/>
                </w:rPr>
                <w:t>Sublease between Zillow Group, Inc. and Magnite, Inc., dated September 21, 2021(incorporated by reference to Exhibit 10.16 to the Registrant's Annual Report on Form 10-K filed with the Commission on February 23, 2022).</w:t>
              </w:r>
            </w:hyperlink>
          </w:p>
        </w:tc>
      </w:tr>
      <w:tr>
        <w:trPr/>
        <w:tc>
          <w:tcPr>
            <w:tcW w:w="65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7">
              <w:r>
                <w:rPr>
                  <w:rStyle w:val="InternetLink"/>
                  <w:rFonts w:ascii="Times New Roman;sans-serif" w:hAnsi="Times New Roman;sans-serif"/>
                  <w:b w:val="false"/>
                  <w:color w:val="0000FF"/>
                  <w:sz w:val="20"/>
                  <w:u w:val="single"/>
                </w:rPr>
                <w:t>Form of Capped Call Transaction Confirmation (incorporated by reference to Exhibit 10.1 of the Registrant’s Current Report on Form 8-K filed with the Commission on March 19, 2021).</w:t>
              </w:r>
            </w:hyperlink>
          </w:p>
        </w:tc>
      </w:tr>
      <w:tr>
        <w:trPr/>
        <w:tc>
          <w:tcPr>
            <w:tcW w:w="65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8">
              <w:r>
                <w:rPr>
                  <w:rStyle w:val="InternetLink"/>
                  <w:rFonts w:ascii="Times New Roman;sans-serif" w:hAnsi="Times New Roman;sans-serif"/>
                  <w:b w:val="false"/>
                  <w:color w:val="0000FF"/>
                  <w:sz w:val="20"/>
                  <w:u w:val="single"/>
                </w:rPr>
                <w:t>Credit Agreement, dated as of April 30, 2021, by and among Magnite, Inc., Goldman Sachs Bank USA, as administrative and collateral agent, and the other lender parties thereto (incorporated by reference to Exhibit 10.2 to the Registrant's Quarterly Report on Form 10-Q filed with the Commission on May 10, 2021).</w:t>
              </w:r>
            </w:hyperlink>
          </w:p>
        </w:tc>
      </w:tr>
      <w:tr>
        <w:trPr/>
        <w:tc>
          <w:tcPr>
            <w:tcW w:w="65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9">
              <w:r>
                <w:rPr>
                  <w:rStyle w:val="InternetLink"/>
                  <w:rFonts w:ascii="Times New Roman;sans-serif" w:hAnsi="Times New Roman;sans-serif"/>
                  <w:b w:val="false"/>
                  <w:color w:val="0000FF"/>
                  <w:sz w:val="20"/>
                  <w:u w:val="single"/>
                </w:rPr>
                <w:t>Registration Rights Agreement, dated as of April 30, 2021, by and between Magnite, Inc. and RTL US Holding, Inc (incorporated by reference to Exhibit 10.3 to the Registrant's Quarterly Report on Form 10-Q filed with the Commission on May 10, 2021).</w:t>
              </w:r>
            </w:hyperlink>
          </w:p>
        </w:tc>
      </w:tr>
      <w:tr>
        <w:trPr/>
        <w:tc>
          <w:tcPr>
            <w:tcW w:w="65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0">
              <w:r>
                <w:rPr>
                  <w:rStyle w:val="InternetLink"/>
                  <w:rFonts w:ascii="Times New Roman;sans-serif" w:hAnsi="Times New Roman;sans-serif"/>
                  <w:b w:val="false"/>
                  <w:color w:val="0000FF"/>
                  <w:sz w:val="20"/>
                  <w:u w:val="single"/>
                </w:rPr>
                <w:t>Incremental Assumption Agreement dated as of June 28, 2021, relating to the Credit Agreement dated as of April 30, 2021, among Magnite, Inc., each Issuing Bank, the Swingline Lender, the other Lenders party thereto and Goldman Sachs Bank USA, as administrative agent and as collateral agent for the Lenders (incorporated by reference to Exhibit 10.1 of the Registrant’s Current Report on Form 8-K filed with the Commission on July 2, 2021).</w:t>
              </w:r>
            </w:hyperlink>
          </w:p>
        </w:tc>
      </w:tr>
      <w:tr>
        <w:trPr/>
        <w:tc>
          <w:tcPr>
            <w:tcW w:w="65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1">
              <w:r>
                <w:rPr>
                  <w:rStyle w:val="InternetLink"/>
                  <w:rFonts w:ascii="Times New Roman;sans-serif" w:hAnsi="Times New Roman;sans-serif"/>
                  <w:b w:val="false"/>
                  <w:color w:val="0000FF"/>
                  <w:sz w:val="20"/>
                  <w:u w:val="single"/>
                </w:rPr>
                <w:t>Amendment No. 2, dated as of June 14, 2023, to the Credit Agreement dated as of April 30, 2021, among Magnite, Inc. and Goldman Sachs Bank USA, as administrative agent and as collateral agent for the Lenders (incorporated by reference to Exhibit 10.3 to the Registrant's Quarterly Report on Form 10-Q filed with the Commission on August 9, 2023)</w:t>
              </w:r>
            </w:hyperlink>
          </w:p>
        </w:tc>
      </w:tr>
      <w:tr>
        <w:trPr/>
        <w:tc>
          <w:tcPr>
            <w:tcW w:w="65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28-creditagreemen.htm">
              <w:r>
                <w:rPr>
                  <w:rStyle w:val="InternetLink"/>
                  <w:rFonts w:ascii="Times New Roman;sans-serif" w:hAnsi="Times New Roman;sans-serif"/>
                  <w:b w:val="false"/>
                  <w:color w:val="0000FF"/>
                  <w:sz w:val="20"/>
                  <w:u w:val="single"/>
                </w:rPr>
                <w:t>Credit Agreement, dated as of February 6, 2024, by and among Magnite, Inc., Morgan Stanley Senior Funding, Inc. as term loan administrative agent and Citibank, N.A. as revolving facility administrative agent and collateral agent, and other lender parties thereto.</w:t>
              </w:r>
            </w:hyperlink>
          </w:p>
        </w:tc>
      </w:tr>
      <w:tr>
        <w:trPr/>
        <w:tc>
          <w:tcPr>
            <w:tcW w:w="6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211-listofsubsidiar.htm">
              <w:r>
                <w:rPr>
                  <w:rStyle w:val="InternetLink"/>
                  <w:rFonts w:ascii="Times New Roman;sans-serif" w:hAnsi="Times New Roman;sans-serif"/>
                  <w:b w:val="false"/>
                  <w:color w:val="0000FF"/>
                  <w:sz w:val="20"/>
                  <w:u w:val="single"/>
                </w:rPr>
                <w:t>List of Subsidiaries.</w:t>
              </w:r>
            </w:hyperlink>
          </w:p>
        </w:tc>
      </w:tr>
      <w:tr>
        <w:trPr/>
        <w:tc>
          <w:tcPr>
            <w:tcW w:w="6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23112-31x2023.htm">
              <w:r>
                <w:rPr>
                  <w:rStyle w:val="InternetLink"/>
                  <w:rFonts w:ascii="Times New Roman;sans-serif" w:hAnsi="Times New Roman;sans-serif"/>
                  <w:b w:val="false"/>
                  <w:color w:val="0000FF"/>
                  <w:sz w:val="20"/>
                  <w:u w:val="single"/>
                </w:rPr>
                <w:t>Consent of Deloitte &amp; Touche LLP.</w:t>
              </w:r>
            </w:hyperlink>
          </w:p>
        </w:tc>
      </w:tr>
      <w:tr>
        <w:trPr/>
        <w:tc>
          <w:tcPr>
            <w:tcW w:w="6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112-31x2023.htm">
              <w:r>
                <w:rPr>
                  <w:rStyle w:val="InternetLink"/>
                  <w:rFonts w:ascii="Times New Roman;sans-serif" w:hAnsi="Times New Roman;sans-serif"/>
                  <w:b w:val="false"/>
                  <w:color w:val="0000FF"/>
                  <w:sz w:val="20"/>
                  <w:u w:val="single"/>
                </w:rPr>
                <w:t>Certification of Principal Executive Officer Pursuant to Exchange Act Rules 13a-14(a) and 15d-14(a), as adopted pursuant to Section 302 of the Sarbanes-Oxley Act of 2002. Executive Officer Pursuant to Exchange Act Rules 13a-14(a) and 15d-14(a), as adopted pursuant to Section 302 of the Sarbanes-Oxley Act of 2002.</w:t>
              </w:r>
            </w:hyperlink>
          </w:p>
        </w:tc>
      </w:tr>
      <w:tr>
        <w:trPr/>
        <w:tc>
          <w:tcPr>
            <w:tcW w:w="6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212-31x2023.htm">
              <w:r>
                <w:rPr>
                  <w:rStyle w:val="InternetLink"/>
                  <w:rFonts w:ascii="Times New Roman;sans-serif" w:hAnsi="Times New Roman;sans-serif"/>
                  <w:b w:val="false"/>
                  <w:color w:val="0000FF"/>
                  <w:sz w:val="20"/>
                  <w:u w:val="single"/>
                </w:rPr>
                <w:t>Certification of Principal Financial Officer Pursuant to Exchange Act Rules 13a-14(a) and 15d-14(a), as adopted pursuant to Section 302 of the Sarbanes-Oxley Act of 2002. Principal Financial Officer Pursuant to Exchange Act Rules 13a-14(a) and 15d-14(a), as adopted pursuant to Section 302 of the Sarbanes-Oxley Act of 2002</w:t>
              </w:r>
            </w:hyperlink>
            <w:r>
              <w:rPr>
                <w:rFonts w:ascii="Times New Roman;sans-serif" w:hAnsi="Times New Roman;sans-serif"/>
                <w:b w:val="false"/>
                <w:color w:val="000000"/>
                <w:sz w:val="20"/>
              </w:rPr>
              <w:t>.</w:t>
            </w:r>
          </w:p>
        </w:tc>
      </w:tr>
      <w:tr>
        <w:trPr/>
        <w:tc>
          <w:tcPr>
            <w:tcW w:w="6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12-31x2023.htm">
              <w:r>
                <w:rPr>
                  <w:rStyle w:val="InternetLink"/>
                  <w:rFonts w:ascii="Times New Roman;sans-serif" w:hAnsi="Times New Roman;sans-serif"/>
                  <w:b w:val="false"/>
                  <w:color w:val="0000FF"/>
                  <w:sz w:val="20"/>
                  <w:u w:val="single"/>
                </w:rPr>
                <w:t>Certification of the Principal Executive Officer and Principal Financial Officer Pursuant to 18 U.S.C. Section 1350, as adopted pursuant to Section 906 of the Sarbanes-Oxley Act of 2002. of the Principal Executive Officer and Principal Financial Officer Pursuant to 18 U.S.C. Section 1350, as adopted pursuant to Section 906 of the Sarbanes-Oxley Act of 2002.</w:t>
              </w:r>
            </w:hyperlink>
          </w:p>
        </w:tc>
      </w:tr>
      <w:tr>
        <w:trPr/>
        <w:tc>
          <w:tcPr>
            <w:tcW w:w="65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7magniteclawbackpo.htm">
              <w:r>
                <w:rPr>
                  <w:rStyle w:val="InternetLink"/>
                  <w:rFonts w:ascii="Times New Roman;sans-serif" w:hAnsi="Times New Roman;sans-serif"/>
                  <w:b w:val="false"/>
                  <w:color w:val="000080"/>
                  <w:sz w:val="20"/>
                  <w:u w:val="single"/>
                </w:rPr>
                <w:t xml:space="preserve">Magnite, Inc. </w:t>
              </w:r>
            </w:hyperlink>
            <w:hyperlink w:anchor="exhibit97magniteclawbackpo.htm">
              <w:r>
                <w:rPr>
                  <w:rStyle w:val="InternetLink"/>
                  <w:rFonts w:ascii="Times New Roman;sans-serif" w:hAnsi="Times New Roman;sans-serif"/>
                  <w:b w:val="false"/>
                  <w:color w:val="000080"/>
                  <w:sz w:val="20"/>
                  <w:u w:val="single"/>
                </w:rPr>
                <w:t>Compensation</w:t>
              </w:r>
            </w:hyperlink>
            <w:hyperlink w:anchor="exhibit97magniteclawbackpo.htm">
              <w:r>
                <w:rPr>
                  <w:rStyle w:val="InternetLink"/>
                  <w:rFonts w:ascii="Times New Roman;sans-serif" w:hAnsi="Times New Roman;sans-serif"/>
                  <w:b w:val="false"/>
                  <w:color w:val="000080"/>
                  <w:sz w:val="20"/>
                  <w:u w:val="single"/>
                </w:rPr>
                <w:t xml:space="preserve"> Recoupment </w:t>
              </w:r>
            </w:hyperlink>
            <w:hyperlink w:anchor="exhibit97magniteclawbackpo.htm">
              <w:r>
                <w:rPr>
                  <w:rStyle w:val="InternetLink"/>
                  <w:rFonts w:ascii="Times New Roman;sans-serif" w:hAnsi="Times New Roman;sans-serif"/>
                  <w:b w:val="false"/>
                  <w:color w:val="000080"/>
                  <w:sz w:val="20"/>
                  <w:u w:val="single"/>
                </w:rPr>
                <w:t>(</w:t>
              </w:r>
            </w:hyperlink>
            <w:hyperlink w:anchor="exhibit97magniteclawbackpo.htm">
              <w:r>
                <w:rPr>
                  <w:rStyle w:val="InternetLink"/>
                  <w:rFonts w:ascii="Times New Roman;sans-serif" w:hAnsi="Times New Roman;sans-serif"/>
                  <w:b w:val="false"/>
                  <w:color w:val="000080"/>
                  <w:sz w:val="20"/>
                  <w:u w:val="single"/>
                </w:rPr>
                <w:t>Clawback</w:t>
              </w:r>
            </w:hyperlink>
            <w:hyperlink w:anchor="exhibit97magniteclawbackpo.htm">
              <w:r>
                <w:rPr>
                  <w:rStyle w:val="InternetLink"/>
                  <w:rFonts w:ascii="Times New Roman;sans-serif" w:hAnsi="Times New Roman;sans-serif"/>
                  <w:b w:val="false"/>
                  <w:color w:val="000080"/>
                  <w:sz w:val="20"/>
                  <w:u w:val="single"/>
                </w:rPr>
                <w:t>)</w:t>
              </w:r>
            </w:hyperlink>
            <w:hyperlink w:anchor="exhibit97magniteclawbackpo.htm">
              <w:r>
                <w:rPr>
                  <w:rStyle w:val="InternetLink"/>
                  <w:rFonts w:ascii="Times New Roman;sans-serif" w:hAnsi="Times New Roman;sans-serif"/>
                  <w:b w:val="false"/>
                  <w:color w:val="000080"/>
                  <w:sz w:val="20"/>
                  <w:u w:val="single"/>
                </w:rPr>
                <w:t xml:space="preserve"> Policy.</w:t>
              </w:r>
            </w:hyperlink>
          </w:p>
        </w:tc>
      </w:tr>
      <w:tr>
        <w:trPr/>
        <w:tc>
          <w:tcPr>
            <w:tcW w:w="6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XBRL Instance Document- the instance document does not appear in the Interactive Data File because its XBRL tags are embedded within the Inline XBRL document. </w:t>
            </w:r>
          </w:p>
        </w:tc>
      </w:tr>
      <w:tr>
        <w:trPr/>
        <w:tc>
          <w:tcPr>
            <w:tcW w:w="6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XBRL Taxonomy Schema Linkbase Document</w:t>
            </w:r>
          </w:p>
        </w:tc>
      </w:tr>
      <w:tr>
        <w:trPr/>
        <w:tc>
          <w:tcPr>
            <w:tcW w:w="6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Calculation Linkbase Document</w:t>
            </w:r>
          </w:p>
        </w:tc>
      </w:tr>
      <w:tr>
        <w:trPr/>
        <w:tc>
          <w:tcPr>
            <w:tcW w:w="6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Definition Linkbase Document</w:t>
            </w:r>
          </w:p>
        </w:tc>
      </w:tr>
      <w:tr>
        <w:trPr/>
        <w:tc>
          <w:tcPr>
            <w:tcW w:w="6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Label Linkbase Document</w:t>
            </w:r>
          </w:p>
        </w:tc>
      </w:tr>
      <w:tr>
        <w:trPr/>
        <w:tc>
          <w:tcPr>
            <w:tcW w:w="6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Presentation Linkbase Document</w:t>
            </w:r>
          </w:p>
        </w:tc>
      </w:tr>
      <w:tr>
        <w:trPr/>
        <w:tc>
          <w:tcPr>
            <w:tcW w:w="6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 (formatted as Inline XBRL and contained in Exhibit 101)</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Filed herewith</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Indicates a management contract or compensatory plan or arrangement</w:t>
      </w:r>
    </w:p>
    <w:p>
      <w:pPr>
        <w:pStyle w:val="TextBody"/>
        <w:bidi w:val="0"/>
        <w:spacing w:before="0" w:after="0"/>
        <w:jc w:val="left"/>
        <w:rPr/>
      </w:pPr>
      <w:r>
        <w:rPr/>
      </w:r>
    </w:p>
    <w:p>
      <w:pPr>
        <w:pStyle w:val="TextBody"/>
        <w:bidi w:val="0"/>
        <w:spacing w:lineRule="auto" w:line="288" w:before="0" w:after="0"/>
        <w:ind w:left="0" w:right="0" w:hanging="540"/>
        <w:jc w:val="left"/>
        <w:rPr/>
      </w:pPr>
      <w:r>
        <w:rPr>
          <w:rFonts w:ascii="Times New Roman;sans-serif" w:hAnsi="Times New Roman;sans-serif"/>
          <w:b w:val="false"/>
          <w:color w:val="000000"/>
          <w:sz w:val="13"/>
        </w:rPr>
        <w:t>(1)    </w:t>
      </w:r>
      <w:r>
        <w:rPr>
          <w:rFonts w:ascii="Times New Roman;sans-serif" w:hAnsi="Times New Roman;sans-serif"/>
          <w:b w:val="false"/>
          <w:color w:val="000000"/>
          <w:sz w:val="20"/>
        </w:rPr>
        <w:t>The information in this exhibit is furnished and deemed not filed with the Securities and Exchange Commission for purposes of Section 18 of the Exchange Act of 1934, as amended (the "Exchange Act"), and is not to be incorporated by reference into any filing of Magnite, Inc. under the Securities Act of 1933, as amended (the "Securities Act"), or the Exchange Act, whether made before or after the date hereof, regardless of any general incorporation language in such filing.</w:t>
      </w:r>
    </w:p>
    <w:p>
      <w:pPr>
        <w:pStyle w:val="TextBody"/>
        <w:bidi w:val="0"/>
        <w:spacing w:before="0" w:after="0"/>
        <w:ind w:left="0" w:right="0" w:hanging="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75260"/>
                <wp:effectExtent l="0" t="0" r="0" b="0"/>
                <wp:wrapNone/>
                <wp:docPr id="110" name="Frame1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8d6a21e15cb741baa6dee69bcf11e47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Item 16. Form 10-K Summary</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75260"/>
                <wp:effectExtent l="0" t="0" r="0" b="0"/>
                <wp:wrapNone/>
                <wp:docPr id="111" name="Frame1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8d6a21e15cb741baa6dee69bcf11e47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Pursuant to the requirements of Section 13 or 15(d) of the Securities Exchange Act of 1934, the registrant has duly caused this Annual Report on Form 10-K to be signed on its behalf by the undersigned, thereunto duly authorized.</w:t>
      </w:r>
    </w:p>
    <w:p>
      <w:pPr>
        <w:pStyle w:val="TextBody"/>
        <w:bidi w:val="0"/>
        <w:spacing w:lineRule="auto" w:line="288" w:before="0" w:after="0"/>
        <w:jc w:val="left"/>
        <w:rPr>
          <w:color w:val="000000"/>
        </w:rPr>
      </w:pPr>
      <w:r>
        <w:rPr>
          <w:color w:val="000000"/>
        </w:rPr>
        <w:t> </w:t>
      </w:r>
    </w:p>
    <w:tbl>
      <w:tblPr>
        <w:tblW w:w="4439" w:type="dxa"/>
        <w:jc w:val="center"/>
        <w:tblInd w:w="0" w:type="dxa"/>
        <w:tblLayout w:type="fixed"/>
        <w:tblCellMar>
          <w:top w:w="28" w:type="dxa"/>
          <w:left w:w="28" w:type="dxa"/>
          <w:bottom w:w="28" w:type="dxa"/>
          <w:right w:w="28" w:type="dxa"/>
        </w:tblCellMar>
      </w:tblPr>
      <w:tblGrid>
        <w:gridCol w:w="732"/>
        <w:gridCol w:w="645"/>
        <w:gridCol w:w="648"/>
        <w:gridCol w:w="705"/>
        <w:gridCol w:w="705"/>
        <w:gridCol w:w="1004"/>
      </w:tblGrid>
      <w:tr>
        <w:trPr/>
        <w:tc>
          <w:tcPr>
            <w:tcW w:w="732"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MAGNITE, INC.</w:t>
              <w:br/>
              <w:t>(Registrant)</w:t>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br/>
              <w:t>/s/  David Day</w:t>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David Day</w:t>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r>
        <w:trPr/>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28, 2024</w:t>
            </w:r>
          </w:p>
        </w:tc>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this report has been signed below by the following persons on behalf of the registrant and in the capacities and on the dates indicated:</w:t>
      </w:r>
    </w:p>
    <w:p>
      <w:pPr>
        <w:pStyle w:val="TextBody"/>
        <w:bidi w:val="0"/>
        <w:spacing w:before="0" w:after="0"/>
        <w:ind w:left="0" w:right="0" w:firstLine="720"/>
        <w:jc w:val="left"/>
        <w:rPr/>
      </w:pPr>
      <w:r>
        <w:rPr/>
      </w:r>
    </w:p>
    <w:tbl>
      <w:tblPr>
        <w:tblW w:w="7694" w:type="dxa"/>
        <w:jc w:val="center"/>
        <w:tblInd w:w="0" w:type="dxa"/>
        <w:tblLayout w:type="fixed"/>
        <w:tblCellMar>
          <w:top w:w="28" w:type="dxa"/>
          <w:left w:w="28" w:type="dxa"/>
          <w:bottom w:w="28" w:type="dxa"/>
          <w:right w:w="28" w:type="dxa"/>
        </w:tblCellMar>
      </w:tblPr>
      <w:tblGrid>
        <w:gridCol w:w="774"/>
        <w:gridCol w:w="682"/>
        <w:gridCol w:w="689"/>
        <w:gridCol w:w="1299"/>
        <w:gridCol w:w="1299"/>
        <w:gridCol w:w="1316"/>
        <w:gridCol w:w="477"/>
        <w:gridCol w:w="477"/>
        <w:gridCol w:w="681"/>
      </w:tblGrid>
      <w:tr>
        <w:trPr/>
        <w:tc>
          <w:tcPr>
            <w:tcW w:w="774"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Name</w:t>
            </w:r>
          </w:p>
        </w:tc>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w:t>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Date</w:t>
            </w:r>
          </w:p>
        </w:tc>
      </w:tr>
      <w:tr>
        <w:trPr/>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Michael Barrett</w:t>
            </w:r>
          </w:p>
        </w:tc>
        <w:tc>
          <w:tcPr>
            <w:tcW w:w="391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President, Chief Executive Officer and Director</w:t>
              <w:br/>
              <w:t>(Principal Executive Officer)</w:t>
            </w:r>
          </w:p>
        </w:tc>
        <w:tc>
          <w:tcPr>
            <w:tcW w:w="16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28, 2024</w:t>
            </w:r>
          </w:p>
        </w:tc>
      </w:tr>
      <w:tr>
        <w:trPr/>
        <w:tc>
          <w:tcPr>
            <w:tcW w:w="2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Michael Barrett</w:t>
            </w:r>
          </w:p>
        </w:tc>
        <w:tc>
          <w:tcPr>
            <w:tcW w:w="3914" w:type="dxa"/>
            <w:gridSpan w:val="3"/>
            <w:vMerge w:val="continue"/>
            <w:tcBorders/>
            <w:tcMar>
              <w:top w:w="0" w:type="dxa"/>
              <w:left w:w="0" w:type="dxa"/>
              <w:bottom w:w="0" w:type="dxa"/>
              <w:right w:w="0" w:type="dxa"/>
            </w:tcMar>
            <w:vAlign w:val="center"/>
          </w:tcPr>
          <w:p>
            <w:pPr>
              <w:pStyle w:val="Normal"/>
              <w:bidi w:val="0"/>
              <w:jc w:val="left"/>
              <w:rPr/>
            </w:pPr>
            <w:r>
              <w:rPr/>
            </w:r>
          </w:p>
        </w:tc>
        <w:tc>
          <w:tcPr>
            <w:tcW w:w="16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David Day</w:t>
            </w:r>
          </w:p>
        </w:tc>
        <w:tc>
          <w:tcPr>
            <w:tcW w:w="391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br/>
              <w:t>(Principal Financial Officer)</w:t>
            </w:r>
          </w:p>
        </w:tc>
        <w:tc>
          <w:tcPr>
            <w:tcW w:w="16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28, 2024</w:t>
            </w:r>
          </w:p>
        </w:tc>
      </w:tr>
      <w:tr>
        <w:trPr/>
        <w:tc>
          <w:tcPr>
            <w:tcW w:w="2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David Day</w:t>
            </w:r>
          </w:p>
        </w:tc>
        <w:tc>
          <w:tcPr>
            <w:tcW w:w="3914" w:type="dxa"/>
            <w:gridSpan w:val="3"/>
            <w:vMerge w:val="continue"/>
            <w:tcBorders/>
            <w:tcMar>
              <w:top w:w="0" w:type="dxa"/>
              <w:left w:w="0" w:type="dxa"/>
              <w:bottom w:w="0" w:type="dxa"/>
              <w:right w:w="0" w:type="dxa"/>
            </w:tcMar>
            <w:vAlign w:val="center"/>
          </w:tcPr>
          <w:p>
            <w:pPr>
              <w:pStyle w:val="Normal"/>
              <w:bidi w:val="0"/>
              <w:jc w:val="left"/>
              <w:rPr/>
            </w:pPr>
            <w:r>
              <w:rPr/>
            </w:r>
          </w:p>
        </w:tc>
        <w:tc>
          <w:tcPr>
            <w:tcW w:w="16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Brian Gephart</w:t>
            </w:r>
          </w:p>
        </w:tc>
        <w:tc>
          <w:tcPr>
            <w:tcW w:w="391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Accounting Officer</w:t>
              <w:br/>
              <w:t>(Principal Accounting Officer)</w:t>
            </w:r>
          </w:p>
        </w:tc>
        <w:tc>
          <w:tcPr>
            <w:tcW w:w="16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28, 2024</w:t>
            </w:r>
          </w:p>
        </w:tc>
      </w:tr>
      <w:tr>
        <w:trPr/>
        <w:tc>
          <w:tcPr>
            <w:tcW w:w="2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Brian Gephart</w:t>
            </w:r>
          </w:p>
        </w:tc>
        <w:tc>
          <w:tcPr>
            <w:tcW w:w="3914" w:type="dxa"/>
            <w:gridSpan w:val="3"/>
            <w:vMerge w:val="continue"/>
            <w:tcBorders/>
            <w:tcMar>
              <w:top w:w="0" w:type="dxa"/>
              <w:left w:w="0" w:type="dxa"/>
              <w:bottom w:w="0" w:type="dxa"/>
              <w:right w:w="0" w:type="dxa"/>
            </w:tcMar>
            <w:vAlign w:val="center"/>
          </w:tcPr>
          <w:p>
            <w:pPr>
              <w:pStyle w:val="Normal"/>
              <w:bidi w:val="0"/>
              <w:jc w:val="left"/>
              <w:rPr/>
            </w:pPr>
            <w:r>
              <w:rPr/>
            </w:r>
          </w:p>
        </w:tc>
        <w:tc>
          <w:tcPr>
            <w:tcW w:w="16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Paul Caine</w:t>
            </w:r>
          </w:p>
        </w:tc>
        <w:tc>
          <w:tcPr>
            <w:tcW w:w="3914" w:type="dxa"/>
            <w:gridSpan w:val="3"/>
            <w:vMerge w:val="restart"/>
            <w:tcBorders/>
            <w:tcMar>
              <w:top w:w="0" w:type="dxa"/>
              <w:left w:w="0" w:type="dxa"/>
              <w:bottom w:w="0" w:type="dxa"/>
              <w:right w:w="0" w:type="dxa"/>
            </w:tcMar>
            <w:vAlign w:val="center"/>
          </w:tcPr>
          <w:p>
            <w:pPr>
              <w:pStyle w:val="TableContents"/>
              <w:bidi w:val="0"/>
              <w:spacing w:lineRule="auto" w:line="240" w:before="1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16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28, 2024</w:t>
            </w:r>
          </w:p>
        </w:tc>
      </w:tr>
      <w:tr>
        <w:trPr/>
        <w:tc>
          <w:tcPr>
            <w:tcW w:w="2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Paul Caine</w:t>
            </w:r>
          </w:p>
        </w:tc>
        <w:tc>
          <w:tcPr>
            <w:tcW w:w="3914" w:type="dxa"/>
            <w:gridSpan w:val="3"/>
            <w:vMerge w:val="continue"/>
            <w:tcBorders/>
            <w:tcMar>
              <w:top w:w="0" w:type="dxa"/>
              <w:left w:w="0" w:type="dxa"/>
              <w:bottom w:w="0" w:type="dxa"/>
              <w:right w:w="0" w:type="dxa"/>
            </w:tcMar>
            <w:vAlign w:val="center"/>
          </w:tcPr>
          <w:p>
            <w:pPr>
              <w:pStyle w:val="Normal"/>
              <w:bidi w:val="0"/>
              <w:jc w:val="left"/>
              <w:rPr/>
            </w:pPr>
            <w:r>
              <w:rPr/>
            </w:r>
          </w:p>
        </w:tc>
        <w:tc>
          <w:tcPr>
            <w:tcW w:w="16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Robert J. Frankenberg</w:t>
            </w:r>
          </w:p>
        </w:tc>
        <w:tc>
          <w:tcPr>
            <w:tcW w:w="3914" w:type="dxa"/>
            <w:gridSpan w:val="3"/>
            <w:vMerge w:val="restart"/>
            <w:tcBorders/>
            <w:tcMar>
              <w:top w:w="0" w:type="dxa"/>
              <w:left w:w="0" w:type="dxa"/>
              <w:bottom w:w="0" w:type="dxa"/>
              <w:right w:w="0" w:type="dxa"/>
            </w:tcMar>
            <w:vAlign w:val="center"/>
          </w:tcPr>
          <w:p>
            <w:pPr>
              <w:pStyle w:val="TableContents"/>
              <w:bidi w:val="0"/>
              <w:spacing w:lineRule="auto" w:line="240" w:before="1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16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28, 2024</w:t>
            </w:r>
          </w:p>
        </w:tc>
      </w:tr>
      <w:tr>
        <w:trPr/>
        <w:tc>
          <w:tcPr>
            <w:tcW w:w="2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Robert J. Frankenberg</w:t>
            </w:r>
          </w:p>
        </w:tc>
        <w:tc>
          <w:tcPr>
            <w:tcW w:w="3914" w:type="dxa"/>
            <w:gridSpan w:val="3"/>
            <w:vMerge w:val="continue"/>
            <w:tcBorders/>
            <w:tcMar>
              <w:top w:w="0" w:type="dxa"/>
              <w:left w:w="0" w:type="dxa"/>
              <w:bottom w:w="0" w:type="dxa"/>
              <w:right w:w="0" w:type="dxa"/>
            </w:tcMar>
            <w:vAlign w:val="center"/>
          </w:tcPr>
          <w:p>
            <w:pPr>
              <w:pStyle w:val="Normal"/>
              <w:bidi w:val="0"/>
              <w:jc w:val="left"/>
              <w:rPr/>
            </w:pPr>
            <w:r>
              <w:rPr/>
            </w:r>
          </w:p>
        </w:tc>
        <w:tc>
          <w:tcPr>
            <w:tcW w:w="16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Sarah P. Harden</w:t>
            </w:r>
          </w:p>
        </w:tc>
        <w:tc>
          <w:tcPr>
            <w:tcW w:w="3914" w:type="dxa"/>
            <w:gridSpan w:val="3"/>
            <w:vMerge w:val="restart"/>
            <w:tcBorders/>
            <w:tcMar>
              <w:top w:w="0" w:type="dxa"/>
              <w:left w:w="0" w:type="dxa"/>
              <w:bottom w:w="0" w:type="dxa"/>
              <w:right w:w="0" w:type="dxa"/>
            </w:tcMar>
            <w:vAlign w:val="center"/>
          </w:tcPr>
          <w:p>
            <w:pPr>
              <w:pStyle w:val="TableContents"/>
              <w:bidi w:val="0"/>
              <w:spacing w:lineRule="auto" w:line="240" w:before="1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16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28, 2024</w:t>
            </w:r>
          </w:p>
        </w:tc>
      </w:tr>
      <w:tr>
        <w:trPr/>
        <w:tc>
          <w:tcPr>
            <w:tcW w:w="2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Sarah P. Harden</w:t>
            </w:r>
          </w:p>
        </w:tc>
        <w:tc>
          <w:tcPr>
            <w:tcW w:w="3914" w:type="dxa"/>
            <w:gridSpan w:val="3"/>
            <w:vMerge w:val="continue"/>
            <w:tcBorders/>
            <w:tcMar>
              <w:top w:w="0" w:type="dxa"/>
              <w:left w:w="0" w:type="dxa"/>
              <w:bottom w:w="0" w:type="dxa"/>
              <w:right w:w="0" w:type="dxa"/>
            </w:tcMar>
            <w:vAlign w:val="center"/>
          </w:tcPr>
          <w:p>
            <w:pPr>
              <w:pStyle w:val="Normal"/>
              <w:bidi w:val="0"/>
              <w:jc w:val="left"/>
              <w:rPr/>
            </w:pPr>
            <w:r>
              <w:rPr/>
            </w:r>
          </w:p>
        </w:tc>
        <w:tc>
          <w:tcPr>
            <w:tcW w:w="16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Doug Knopper</w:t>
            </w:r>
          </w:p>
        </w:tc>
        <w:tc>
          <w:tcPr>
            <w:tcW w:w="3914" w:type="dxa"/>
            <w:gridSpan w:val="3"/>
            <w:vMerge w:val="restart"/>
            <w:tcBorders/>
            <w:tcMar>
              <w:top w:w="0" w:type="dxa"/>
              <w:left w:w="0" w:type="dxa"/>
              <w:bottom w:w="0" w:type="dxa"/>
              <w:right w:w="0" w:type="dxa"/>
            </w:tcMar>
            <w:vAlign w:val="center"/>
          </w:tcPr>
          <w:p>
            <w:pPr>
              <w:pStyle w:val="TableContents"/>
              <w:bidi w:val="0"/>
              <w:spacing w:lineRule="auto" w:line="240" w:before="1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16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28, 2024</w:t>
            </w:r>
          </w:p>
        </w:tc>
      </w:tr>
      <w:tr>
        <w:trPr/>
        <w:tc>
          <w:tcPr>
            <w:tcW w:w="2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Doug Knopper</w:t>
            </w:r>
          </w:p>
        </w:tc>
        <w:tc>
          <w:tcPr>
            <w:tcW w:w="3914" w:type="dxa"/>
            <w:gridSpan w:val="3"/>
            <w:vMerge w:val="continue"/>
            <w:tcBorders/>
            <w:tcMar>
              <w:top w:w="0" w:type="dxa"/>
              <w:left w:w="0" w:type="dxa"/>
              <w:bottom w:w="0" w:type="dxa"/>
              <w:right w:w="0" w:type="dxa"/>
            </w:tcMar>
            <w:vAlign w:val="center"/>
          </w:tcPr>
          <w:p>
            <w:pPr>
              <w:pStyle w:val="Normal"/>
              <w:bidi w:val="0"/>
              <w:jc w:val="left"/>
              <w:rPr/>
            </w:pPr>
            <w:r>
              <w:rPr/>
            </w:r>
          </w:p>
        </w:tc>
        <w:tc>
          <w:tcPr>
            <w:tcW w:w="16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Rachel Lam</w:t>
            </w:r>
          </w:p>
        </w:tc>
        <w:tc>
          <w:tcPr>
            <w:tcW w:w="3914" w:type="dxa"/>
            <w:gridSpan w:val="3"/>
            <w:vMerge w:val="restart"/>
            <w:tcBorders/>
            <w:tcMar>
              <w:top w:w="0" w:type="dxa"/>
              <w:left w:w="0" w:type="dxa"/>
              <w:bottom w:w="0" w:type="dxa"/>
              <w:right w:w="0" w:type="dxa"/>
            </w:tcMar>
            <w:vAlign w:val="center"/>
          </w:tcPr>
          <w:p>
            <w:pPr>
              <w:pStyle w:val="TableContents"/>
              <w:bidi w:val="0"/>
              <w:spacing w:lineRule="auto" w:line="240" w:before="1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16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28, 2024</w:t>
            </w:r>
          </w:p>
        </w:tc>
      </w:tr>
      <w:tr>
        <w:trPr/>
        <w:tc>
          <w:tcPr>
            <w:tcW w:w="2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Rachel Lam</w:t>
            </w:r>
          </w:p>
        </w:tc>
        <w:tc>
          <w:tcPr>
            <w:tcW w:w="3914" w:type="dxa"/>
            <w:gridSpan w:val="3"/>
            <w:vMerge w:val="continue"/>
            <w:tcBorders/>
            <w:tcMar>
              <w:top w:w="0" w:type="dxa"/>
              <w:left w:w="0" w:type="dxa"/>
              <w:bottom w:w="0" w:type="dxa"/>
              <w:right w:w="0" w:type="dxa"/>
            </w:tcMar>
            <w:vAlign w:val="center"/>
          </w:tcPr>
          <w:p>
            <w:pPr>
              <w:pStyle w:val="Normal"/>
              <w:bidi w:val="0"/>
              <w:jc w:val="left"/>
              <w:rPr/>
            </w:pPr>
            <w:r>
              <w:rPr/>
            </w:r>
          </w:p>
        </w:tc>
        <w:tc>
          <w:tcPr>
            <w:tcW w:w="16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David Pearson</w:t>
            </w:r>
          </w:p>
        </w:tc>
        <w:tc>
          <w:tcPr>
            <w:tcW w:w="3914" w:type="dxa"/>
            <w:gridSpan w:val="3"/>
            <w:vMerge w:val="restart"/>
            <w:tcBorders/>
            <w:tcMar>
              <w:top w:w="0" w:type="dxa"/>
              <w:left w:w="0" w:type="dxa"/>
              <w:bottom w:w="0" w:type="dxa"/>
              <w:right w:w="0" w:type="dxa"/>
            </w:tcMar>
            <w:vAlign w:val="center"/>
          </w:tcPr>
          <w:p>
            <w:pPr>
              <w:pStyle w:val="TableContents"/>
              <w:bidi w:val="0"/>
              <w:spacing w:lineRule="auto" w:line="240" w:before="1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16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28, 2024</w:t>
            </w:r>
          </w:p>
        </w:tc>
      </w:tr>
      <w:tr>
        <w:trPr/>
        <w:tc>
          <w:tcPr>
            <w:tcW w:w="2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David Pearson</w:t>
            </w:r>
          </w:p>
        </w:tc>
        <w:tc>
          <w:tcPr>
            <w:tcW w:w="3914" w:type="dxa"/>
            <w:gridSpan w:val="3"/>
            <w:vMerge w:val="continue"/>
            <w:tcBorders/>
            <w:tcMar>
              <w:top w:w="0" w:type="dxa"/>
              <w:left w:w="0" w:type="dxa"/>
              <w:bottom w:w="0" w:type="dxa"/>
              <w:right w:w="0" w:type="dxa"/>
            </w:tcMar>
            <w:vAlign w:val="center"/>
          </w:tcPr>
          <w:p>
            <w:pPr>
              <w:pStyle w:val="Normal"/>
              <w:bidi w:val="0"/>
              <w:jc w:val="left"/>
              <w:rPr/>
            </w:pPr>
            <w:r>
              <w:rPr/>
            </w:r>
          </w:p>
        </w:tc>
        <w:tc>
          <w:tcPr>
            <w:tcW w:w="16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James Rossman</w:t>
            </w:r>
          </w:p>
        </w:tc>
        <w:tc>
          <w:tcPr>
            <w:tcW w:w="3914" w:type="dxa"/>
            <w:gridSpan w:val="3"/>
            <w:vMerge w:val="restart"/>
            <w:tcBorders/>
            <w:tcMar>
              <w:top w:w="0" w:type="dxa"/>
              <w:left w:w="0" w:type="dxa"/>
              <w:bottom w:w="0" w:type="dxa"/>
              <w:right w:w="0" w:type="dxa"/>
            </w:tcMar>
            <w:vAlign w:val="center"/>
          </w:tcPr>
          <w:p>
            <w:pPr>
              <w:pStyle w:val="TableContents"/>
              <w:bidi w:val="0"/>
              <w:spacing w:lineRule="auto" w:line="240" w:before="1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16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28, 2024</w:t>
            </w:r>
          </w:p>
        </w:tc>
      </w:tr>
      <w:tr>
        <w:trPr/>
        <w:tc>
          <w:tcPr>
            <w:tcW w:w="2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James Rossman</w:t>
            </w:r>
          </w:p>
        </w:tc>
        <w:tc>
          <w:tcPr>
            <w:tcW w:w="3914" w:type="dxa"/>
            <w:gridSpan w:val="3"/>
            <w:vMerge w:val="continue"/>
            <w:tcBorders/>
            <w:tcMar>
              <w:top w:w="0" w:type="dxa"/>
              <w:left w:w="0" w:type="dxa"/>
              <w:bottom w:w="0" w:type="dxa"/>
              <w:right w:w="0" w:type="dxa"/>
            </w:tcMar>
            <w:vAlign w:val="center"/>
          </w:tcPr>
          <w:p>
            <w:pPr>
              <w:pStyle w:val="Normal"/>
              <w:bidi w:val="0"/>
              <w:jc w:val="left"/>
              <w:rPr/>
            </w:pPr>
            <w:r>
              <w:rPr/>
            </w:r>
          </w:p>
        </w:tc>
        <w:tc>
          <w:tcPr>
            <w:tcW w:w="16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Robert F. Spillane</w:t>
            </w:r>
          </w:p>
        </w:tc>
        <w:tc>
          <w:tcPr>
            <w:tcW w:w="3914" w:type="dxa"/>
            <w:gridSpan w:val="3"/>
            <w:vMerge w:val="restart"/>
            <w:tcBorders/>
            <w:tcMar>
              <w:top w:w="0" w:type="dxa"/>
              <w:left w:w="0" w:type="dxa"/>
              <w:bottom w:w="0" w:type="dxa"/>
              <w:right w:w="0" w:type="dxa"/>
            </w:tcMar>
            <w:vAlign w:val="center"/>
          </w:tcPr>
          <w:p>
            <w:pPr>
              <w:pStyle w:val="TableContents"/>
              <w:bidi w:val="0"/>
              <w:spacing w:lineRule="auto" w:line="240" w:before="1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16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28, 2024</w:t>
            </w:r>
          </w:p>
        </w:tc>
      </w:tr>
      <w:tr>
        <w:trPr/>
        <w:tc>
          <w:tcPr>
            <w:tcW w:w="2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Robert F. Spillane</w:t>
            </w:r>
          </w:p>
        </w:tc>
        <w:tc>
          <w:tcPr>
            <w:tcW w:w="3914" w:type="dxa"/>
            <w:gridSpan w:val="3"/>
            <w:vMerge w:val="continue"/>
            <w:tcBorders/>
            <w:tcMar>
              <w:top w:w="0" w:type="dxa"/>
              <w:left w:w="0" w:type="dxa"/>
              <w:bottom w:w="0" w:type="dxa"/>
              <w:right w:w="0" w:type="dxa"/>
            </w:tcMar>
            <w:vAlign w:val="center"/>
          </w:tcPr>
          <w:p>
            <w:pPr>
              <w:pStyle w:val="Normal"/>
              <w:bidi w:val="0"/>
              <w:jc w:val="left"/>
              <w:rPr/>
            </w:pPr>
            <w:r>
              <w:rPr/>
            </w:r>
          </w:p>
        </w:tc>
        <w:tc>
          <w:tcPr>
            <w:tcW w:w="16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Diane Yu</w:t>
            </w:r>
          </w:p>
        </w:tc>
        <w:tc>
          <w:tcPr>
            <w:tcW w:w="3914" w:type="dxa"/>
            <w:gridSpan w:val="3"/>
            <w:vMerge w:val="restart"/>
            <w:tcBorders/>
            <w:tcMar>
              <w:top w:w="0" w:type="dxa"/>
              <w:left w:w="0" w:type="dxa"/>
              <w:bottom w:w="0" w:type="dxa"/>
              <w:right w:w="0" w:type="dxa"/>
            </w:tcMar>
            <w:vAlign w:val="center"/>
          </w:tcPr>
          <w:p>
            <w:pPr>
              <w:pStyle w:val="TableContents"/>
              <w:bidi w:val="0"/>
              <w:spacing w:lineRule="auto" w:line="240" w:before="1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16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28, 2024</w:t>
            </w:r>
          </w:p>
        </w:tc>
      </w:tr>
      <w:tr>
        <w:trPr/>
        <w:tc>
          <w:tcPr>
            <w:tcW w:w="2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Diane Yu</w:t>
            </w:r>
          </w:p>
        </w:tc>
        <w:tc>
          <w:tcPr>
            <w:tcW w:w="3914" w:type="dxa"/>
            <w:gridSpan w:val="3"/>
            <w:vMerge w:val="continue"/>
            <w:tcBorders/>
            <w:tcMar>
              <w:top w:w="0" w:type="dxa"/>
              <w:left w:w="0" w:type="dxa"/>
              <w:bottom w:w="0" w:type="dxa"/>
              <w:right w:w="0" w:type="dxa"/>
            </w:tcMar>
            <w:vAlign w:val="center"/>
          </w:tcPr>
          <w:p>
            <w:pPr>
              <w:pStyle w:val="Normal"/>
              <w:bidi w:val="0"/>
              <w:jc w:val="left"/>
              <w:rPr/>
            </w:pPr>
            <w:r>
              <w:rPr/>
            </w:r>
          </w:p>
        </w:tc>
        <w:tc>
          <w:tcPr>
            <w:tcW w:w="1635"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75260"/>
                <wp:effectExtent l="0" t="0" r="0" b="0"/>
                <wp:wrapNone/>
                <wp:docPr id="112" name="Frame1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120" w:after="283"/>
        <w:jc w:val="right"/>
        <w:rPr>
          <w:rFonts w:ascii="Times New Roman;sans-serif" w:hAnsi="Times New Roman;sans-serif"/>
          <w:b/>
          <w:color w:val="000000"/>
          <w:sz w:val="22"/>
        </w:rPr>
      </w:pPr>
      <w:r>
        <w:rPr>
          <w:rFonts w:ascii="Times New Roman;sans-serif" w:hAnsi="Times New Roman;sans-serif"/>
          <w:b/>
          <w:color w:val="000000"/>
          <w:sz w:val="22"/>
        </w:rPr>
        <w:t>Exhibit 10.07</w:t>
      </w:r>
    </w:p>
    <w:p>
      <w:pPr>
        <w:pStyle w:val="TextBody"/>
        <w:bidi w:val="0"/>
        <w:spacing w:lineRule="auto" w:line="240" w:before="240" w:after="283"/>
        <w:jc w:val="center"/>
        <w:rPr>
          <w:rFonts w:ascii="Times New Roman;sans-serif" w:hAnsi="Times New Roman;sans-serif"/>
          <w:b/>
          <w:color w:val="000000"/>
          <w:sz w:val="24"/>
        </w:rPr>
      </w:pPr>
      <w:r>
        <w:rPr>
          <w:rFonts w:ascii="Times New Roman;sans-serif" w:hAnsi="Times New Roman;sans-serif"/>
          <w:b/>
          <w:color w:val="000000"/>
          <w:sz w:val="24"/>
        </w:rPr>
        <w:t>MAGNITE, INC.</w:t>
      </w:r>
    </w:p>
    <w:p>
      <w:pPr>
        <w:pStyle w:val="TextBody"/>
        <w:bidi w:val="0"/>
        <w:spacing w:lineRule="auto" w:line="240" w:before="120" w:after="283"/>
        <w:jc w:val="center"/>
        <w:rPr>
          <w:rFonts w:ascii="Times New Roman;sans-serif" w:hAnsi="Times New Roman;sans-serif"/>
          <w:b/>
          <w:color w:val="000000"/>
          <w:sz w:val="24"/>
        </w:rPr>
      </w:pPr>
      <w:r>
        <w:rPr>
          <w:rFonts w:ascii="Times New Roman;sans-serif" w:hAnsi="Times New Roman;sans-serif"/>
          <w:b/>
          <w:color w:val="000000"/>
          <w:sz w:val="24"/>
        </w:rPr>
        <w:t>2014 EQUITY INCENTIVE PLAN</w:t>
      </w:r>
    </w:p>
    <w:p>
      <w:pPr>
        <w:pStyle w:val="TextBody"/>
        <w:bidi w:val="0"/>
        <w:spacing w:lineRule="auto" w:line="240" w:before="120" w:after="283"/>
        <w:jc w:val="center"/>
        <w:rPr>
          <w:rFonts w:ascii="Times New Roman;sans-serif" w:hAnsi="Times New Roman;sans-serif"/>
          <w:b/>
          <w:color w:val="000000"/>
          <w:sz w:val="24"/>
        </w:rPr>
      </w:pPr>
      <w:r>
        <w:rPr>
          <w:rFonts w:ascii="Times New Roman;sans-serif" w:hAnsi="Times New Roman;sans-serif"/>
          <w:b/>
          <w:color w:val="000000"/>
          <w:sz w:val="24"/>
        </w:rPr>
        <w:t>PERFORMANCE STOCK UNIT GRANT NOTICE</w:t>
      </w:r>
    </w:p>
    <w:p>
      <w:pPr>
        <w:pStyle w:val="TextBody"/>
        <w:bidi w:val="0"/>
        <w:spacing w:lineRule="auto" w:line="240" w:before="360" w:after="283"/>
        <w:jc w:val="both"/>
        <w:rPr/>
      </w:pPr>
      <w:r>
        <w:rPr>
          <w:color w:val="000000"/>
        </w:rPr>
        <w:t>    </w:t>
      </w:r>
      <w:r>
        <w:rPr>
          <w:rFonts w:ascii="Times New Roman;sans-serif" w:hAnsi="Times New Roman;sans-serif"/>
          <w:b w:val="false"/>
          <w:color w:val="000000"/>
          <w:sz w:val="22"/>
        </w:rPr>
        <w:t>Notice is hereby given of the grant by Magnite, Inc. (the “</w:t>
      </w:r>
      <w:r>
        <w:rPr>
          <w:rFonts w:ascii="Times New Roman;sans-serif" w:hAnsi="Times New Roman;sans-serif"/>
          <w:b/>
          <w:color w:val="000000"/>
          <w:sz w:val="22"/>
        </w:rPr>
        <w:t>Company</w:t>
      </w:r>
      <w:r>
        <w:rPr>
          <w:color w:val="000000"/>
        </w:rPr>
        <w:t>”</w:t>
      </w:r>
      <w:r>
        <w:rPr>
          <w:rFonts w:ascii="Times New Roman;sans-serif" w:hAnsi="Times New Roman;sans-serif"/>
          <w:b w:val="false"/>
          <w:color w:val="000000"/>
          <w:sz w:val="22"/>
        </w:rPr>
        <w:t>) to the Participant named below (the “</w:t>
      </w:r>
      <w:r>
        <w:rPr>
          <w:rFonts w:ascii="Times New Roman;sans-serif" w:hAnsi="Times New Roman;sans-serif"/>
          <w:b/>
          <w:color w:val="000000"/>
          <w:sz w:val="22"/>
        </w:rPr>
        <w:t>Participant</w:t>
      </w:r>
      <w:r>
        <w:rPr>
          <w:color w:val="000000"/>
        </w:rPr>
        <w:t>”</w:t>
      </w:r>
      <w:r>
        <w:rPr>
          <w:rFonts w:ascii="Times New Roman;sans-serif" w:hAnsi="Times New Roman;sans-serif"/>
          <w:b w:val="false"/>
          <w:color w:val="000000"/>
          <w:sz w:val="22"/>
        </w:rPr>
        <w:t>) of a Performance Stock Unit Award under the Company’s 2014 Equity Incentive Plan (the “</w:t>
      </w:r>
      <w:r>
        <w:rPr>
          <w:rFonts w:ascii="Times New Roman;sans-serif" w:hAnsi="Times New Roman;sans-serif"/>
          <w:b/>
          <w:color w:val="000000"/>
          <w:sz w:val="22"/>
        </w:rPr>
        <w:t>Plan</w:t>
      </w:r>
      <w:r>
        <w:rPr>
          <w:color w:val="000000"/>
        </w:rPr>
        <w:t>”</w:t>
      </w:r>
      <w:r>
        <w:rPr>
          <w:rFonts w:ascii="Times New Roman;sans-serif" w:hAnsi="Times New Roman;sans-serif"/>
          <w:b w:val="false"/>
          <w:color w:val="000000"/>
          <w:sz w:val="22"/>
        </w:rPr>
        <w:t xml:space="preserve">), which is available at https://www.sec.gov/Archives/edgar/data/1595974/000162828016014095/ex1012014equityincentivepl.htm and incorporated herein by reference. This Performance Stock Unit Award is governed by this Notice (including any special terms and conditions set forth in any appendices attached hereto), and the Plan, and in the event of a conflict between the terms of this Notice and the Plan, the terms of the Plan shall control. By acceptance of the Performance Stock Unit Award, and also by acceptance through performance of the vesting requirements and the Shares issuable upon vesting, Participant agrees to the terms and conditions set forth in this Notice (including any special terms and conditions set forth in any appendices attached hereto) and the Plan. Capitalized terms used but not defined in this Notice shall have the meanings given to them in the Plan. </w:t>
      </w:r>
    </w:p>
    <w:p>
      <w:pPr>
        <w:pStyle w:val="TextBody"/>
        <w:bidi w:val="0"/>
        <w:spacing w:lineRule="auto" w:line="240" w:before="360" w:after="283"/>
        <w:jc w:val="both"/>
        <w:rPr/>
      </w:pPr>
      <w:r>
        <w:rPr>
          <w:color w:val="000000"/>
        </w:rPr>
        <w:t>    </w:t>
      </w:r>
      <w:r>
        <w:rPr>
          <w:rFonts w:ascii="Times New Roman;sans-serif" w:hAnsi="Times New Roman;sans-serif"/>
          <w:b w:val="false"/>
          <w:color w:val="000000"/>
          <w:sz w:val="22"/>
        </w:rPr>
        <w:t>The Performance Stock Unit Award consists of the number of Performance Stock Units set forth below (the “</w:t>
      </w:r>
      <w:r>
        <w:rPr>
          <w:rFonts w:ascii="Times New Roman;sans-serif" w:hAnsi="Times New Roman;sans-serif"/>
          <w:b/>
          <w:color w:val="000000"/>
          <w:sz w:val="22"/>
        </w:rPr>
        <w:t>Performance Stock Units</w:t>
      </w:r>
      <w:r>
        <w:rPr>
          <w:color w:val="000000"/>
        </w:rPr>
        <w:t xml:space="preserve">” </w:t>
      </w:r>
      <w:r>
        <w:rPr>
          <w:rFonts w:ascii="Times New Roman;sans-serif" w:hAnsi="Times New Roman;sans-serif"/>
          <w:b w:val="false"/>
          <w:color w:val="000000"/>
          <w:sz w:val="22"/>
        </w:rPr>
        <w:t>or</w:t>
      </w:r>
      <w:r>
        <w:rPr>
          <w:color w:val="000000"/>
        </w:rPr>
        <w:t xml:space="preserve"> “</w:t>
      </w:r>
      <w:r>
        <w:rPr>
          <w:rFonts w:ascii="Times New Roman;sans-serif" w:hAnsi="Times New Roman;sans-serif"/>
          <w:b/>
          <w:color w:val="000000"/>
          <w:sz w:val="22"/>
        </w:rPr>
        <w:t>PSUs</w:t>
      </w:r>
      <w:r>
        <w:rPr>
          <w:color w:val="000000"/>
        </w:rPr>
        <w:t>”</w:t>
      </w:r>
      <w:r>
        <w:rPr>
          <w:rFonts w:ascii="Times New Roman;sans-serif" w:hAnsi="Times New Roman;sans-serif"/>
          <w:b w:val="false"/>
          <w:color w:val="000000"/>
          <w:sz w:val="22"/>
        </w:rPr>
        <w:t>). Each PSU represents the right to receive one share (a “</w:t>
      </w:r>
      <w:r>
        <w:rPr>
          <w:rFonts w:ascii="Times New Roman;sans-serif" w:hAnsi="Times New Roman;sans-serif"/>
          <w:b/>
          <w:color w:val="000000"/>
          <w:sz w:val="22"/>
        </w:rPr>
        <w:t>Share</w:t>
      </w:r>
      <w:r>
        <w:rPr>
          <w:color w:val="000000"/>
        </w:rPr>
        <w:t>”</w:t>
      </w:r>
      <w:r>
        <w:rPr>
          <w:rFonts w:ascii="Times New Roman;sans-serif" w:hAnsi="Times New Roman;sans-serif"/>
          <w:b w:val="false"/>
          <w:color w:val="000000"/>
          <w:sz w:val="22"/>
        </w:rPr>
        <w:t>) of the Company’s Common Stock, par value $0.00001 (the “</w:t>
      </w:r>
      <w:r>
        <w:rPr>
          <w:rFonts w:ascii="Times New Roman;sans-serif" w:hAnsi="Times New Roman;sans-serif"/>
          <w:b/>
          <w:color w:val="000000"/>
          <w:sz w:val="22"/>
        </w:rPr>
        <w:t>Common Stock</w:t>
      </w:r>
      <w:r>
        <w:rPr>
          <w:color w:val="000000"/>
        </w:rPr>
        <w:t>”</w:t>
      </w:r>
      <w:r>
        <w:rPr>
          <w:rFonts w:ascii="Times New Roman;sans-serif" w:hAnsi="Times New Roman;sans-serif"/>
          <w:b w:val="false"/>
          <w:color w:val="000000"/>
          <w:sz w:val="22"/>
        </w:rPr>
        <w:t>), subject to vesting as set forth below and to the terms and conditions of the Plan and this Notice, as follows:</w:t>
      </w:r>
    </w:p>
    <w:p>
      <w:pPr>
        <w:pStyle w:val="TextBody"/>
        <w:bidi w:val="0"/>
        <w:spacing w:before="0" w:after="0"/>
        <w:jc w:val="left"/>
        <w:rPr/>
      </w:pPr>
      <w:r>
        <w:rPr/>
      </w:r>
    </w:p>
    <w:tbl>
      <w:tblPr>
        <w:tblW w:w="4965" w:type="dxa"/>
        <w:jc w:val="left"/>
        <w:tblInd w:w="0" w:type="dxa"/>
        <w:tblLayout w:type="fixed"/>
        <w:tblCellMar>
          <w:top w:w="28" w:type="dxa"/>
          <w:left w:w="28" w:type="dxa"/>
          <w:bottom w:w="28" w:type="dxa"/>
          <w:right w:w="28" w:type="dxa"/>
        </w:tblCellMar>
      </w:tblPr>
      <w:tblGrid>
        <w:gridCol w:w="917"/>
        <w:gridCol w:w="807"/>
        <w:gridCol w:w="811"/>
        <w:gridCol w:w="712"/>
        <w:gridCol w:w="712"/>
        <w:gridCol w:w="1006"/>
      </w:tblGrid>
      <w:tr>
        <w:trPr/>
        <w:tc>
          <w:tcPr>
            <w:tcW w:w="917"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417" w:before="0" w:after="0"/>
              <w:ind w:left="0" w:right="0" w:hanging="0"/>
              <w:jc w:val="left"/>
              <w:rPr/>
            </w:pPr>
            <w:r>
              <w:rPr>
                <w:rFonts w:ascii="Times New Roman;sans-serif" w:hAnsi="Times New Roman;sans-serif"/>
                <w:b/>
                <w:color w:val="000000"/>
                <w:sz w:val="22"/>
              </w:rPr>
              <w:t>Participant Name</w:t>
            </w:r>
            <w:r>
              <w:rPr>
                <w:rFonts w:ascii="Times New Roman;sans-serif" w:hAnsi="Times New Roman;sans-serif"/>
                <w:b w:val="false"/>
                <w:color w:val="000000"/>
                <w:sz w:val="22"/>
              </w:rPr>
              <w:t>:</w:t>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___________________</w:t>
            </w:r>
          </w:p>
        </w:tc>
      </w:tr>
      <w:tr>
        <w:trPr/>
        <w:tc>
          <w:tcPr>
            <w:tcW w:w="2535" w:type="dxa"/>
            <w:gridSpan w:val="3"/>
            <w:tcBorders/>
            <w:tcMar>
              <w:top w:w="0" w:type="dxa"/>
              <w:left w:w="0" w:type="dxa"/>
              <w:bottom w:w="0" w:type="dxa"/>
              <w:right w:w="0" w:type="dxa"/>
            </w:tcMar>
            <w:vAlign w:val="center"/>
          </w:tcPr>
          <w:p>
            <w:pPr>
              <w:pStyle w:val="TableContents"/>
              <w:bidi w:val="0"/>
              <w:spacing w:lineRule="auto" w:line="417" w:before="0" w:after="0"/>
              <w:ind w:left="0" w:right="0" w:hanging="0"/>
              <w:jc w:val="left"/>
              <w:rPr/>
            </w:pPr>
            <w:r>
              <w:rPr>
                <w:rFonts w:ascii="Times New Roman;sans-serif" w:hAnsi="Times New Roman;sans-serif"/>
                <w:b/>
                <w:color w:val="000000"/>
                <w:sz w:val="22"/>
              </w:rPr>
              <w:t>Target Number of PSUs</w:t>
            </w:r>
            <w:r>
              <w:rPr>
                <w:rFonts w:ascii="Times New Roman;sans-serif" w:hAnsi="Times New Roman;sans-serif"/>
                <w:b w:val="false"/>
                <w:color w:val="000000"/>
                <w:sz w:val="22"/>
              </w:rPr>
              <w:t>:</w:t>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___________________</w:t>
            </w:r>
          </w:p>
        </w:tc>
      </w:tr>
      <w:tr>
        <w:trPr/>
        <w:tc>
          <w:tcPr>
            <w:tcW w:w="2535" w:type="dxa"/>
            <w:gridSpan w:val="3"/>
            <w:tcBorders/>
            <w:tcMar>
              <w:top w:w="0" w:type="dxa"/>
              <w:left w:w="0" w:type="dxa"/>
              <w:bottom w:w="0" w:type="dxa"/>
              <w:right w:w="0" w:type="dxa"/>
            </w:tcMar>
            <w:vAlign w:val="center"/>
          </w:tcPr>
          <w:p>
            <w:pPr>
              <w:pStyle w:val="TableContents"/>
              <w:bidi w:val="0"/>
              <w:spacing w:lineRule="auto" w:line="417" w:before="0" w:after="0"/>
              <w:ind w:left="0" w:right="0" w:hanging="0"/>
              <w:jc w:val="left"/>
              <w:rPr/>
            </w:pPr>
            <w:r>
              <w:rPr>
                <w:rFonts w:ascii="Times New Roman;sans-serif" w:hAnsi="Times New Roman;sans-serif"/>
                <w:b/>
                <w:color w:val="000000"/>
                <w:sz w:val="22"/>
              </w:rPr>
              <w:t>Issuance Date</w:t>
            </w:r>
            <w:r>
              <w:rPr>
                <w:rFonts w:ascii="Times New Roman;sans-serif" w:hAnsi="Times New Roman;sans-serif"/>
                <w:b w:val="false"/>
                <w:color w:val="000000"/>
                <w:sz w:val="22"/>
              </w:rPr>
              <w:t>:    </w:t>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___________________</w:t>
            </w:r>
          </w:p>
        </w:tc>
      </w:tr>
    </w:tbl>
    <w:p>
      <w:pPr>
        <w:pStyle w:val="TextBody"/>
        <w:bidi w:val="0"/>
        <w:spacing w:lineRule="auto" w:line="240" w:before="240" w:after="283"/>
        <w:ind w:left="0" w:right="0" w:firstLine="720"/>
        <w:jc w:val="both"/>
        <w:rPr/>
      </w:pPr>
      <w:r>
        <w:rPr>
          <w:rFonts w:ascii="Times New Roman;sans-serif" w:hAnsi="Times New Roman;sans-serif"/>
          <w:b w:val="false"/>
          <w:color w:val="000000"/>
          <w:sz w:val="22"/>
        </w:rPr>
        <w:t xml:space="preserve">The PSUs are subject to both time-based and performance-based vesting requirements as set forth below, in </w:t>
      </w:r>
      <w:r>
        <w:rPr>
          <w:rFonts w:ascii="Times New Roman;sans-serif" w:hAnsi="Times New Roman;sans-serif"/>
          <w:b w:val="false"/>
          <w:color w:val="000000"/>
          <w:sz w:val="22"/>
          <w:u w:val="single"/>
        </w:rPr>
        <w:t>Section 1</w:t>
      </w:r>
      <w:r>
        <w:rPr>
          <w:color w:val="000000"/>
        </w:rPr>
        <w:t xml:space="preserve"> </w:t>
      </w:r>
      <w:r>
        <w:rPr>
          <w:rFonts w:ascii="Times New Roman;sans-serif" w:hAnsi="Times New Roman;sans-serif"/>
          <w:b w:val="false"/>
          <w:color w:val="000000"/>
          <w:sz w:val="22"/>
        </w:rPr>
        <w:t xml:space="preserve">and in </w:t>
      </w:r>
      <w:r>
        <w:rPr>
          <w:rFonts w:ascii="Times New Roman;sans-serif" w:hAnsi="Times New Roman;sans-serif"/>
          <w:b w:val="false"/>
          <w:color w:val="000000"/>
          <w:sz w:val="22"/>
          <w:u w:val="single"/>
        </w:rPr>
        <w:t>Exhibit A</w:t>
      </w:r>
      <w:r>
        <w:rPr>
          <w:rFonts w:ascii="Times New Roman;sans-serif" w:hAnsi="Times New Roman;sans-serif"/>
          <w:b w:val="false"/>
          <w:color w:val="000000"/>
          <w:sz w:val="22"/>
        </w:rPr>
        <w:t>.</w:t>
      </w:r>
    </w:p>
    <w:p>
      <w:pPr>
        <w:pStyle w:val="TextBody"/>
        <w:bidi w:val="0"/>
        <w:spacing w:lineRule="auto" w:line="240" w:before="240" w:after="283"/>
        <w:ind w:left="0" w:right="0" w:firstLine="720"/>
        <w:jc w:val="both"/>
        <w:rPr/>
      </w:pPr>
      <w:r>
        <w:rPr>
          <w:rFonts w:ascii="Times New Roman;sans-serif" w:hAnsi="Times New Roman;sans-serif"/>
          <w:b w:val="false"/>
          <w:color w:val="000000"/>
          <w:sz w:val="22"/>
        </w:rPr>
        <w:t>For purposes of this Notice and except as otherwise provided herein, “</w:t>
      </w:r>
      <w:r>
        <w:rPr>
          <w:rFonts w:ascii="Times New Roman;sans-serif" w:hAnsi="Times New Roman;sans-serif"/>
          <w:b/>
          <w:color w:val="000000"/>
          <w:sz w:val="22"/>
        </w:rPr>
        <w:t>Vesting Date</w:t>
      </w:r>
      <w:r>
        <w:rPr>
          <w:color w:val="000000"/>
        </w:rPr>
        <w:t xml:space="preserve">” </w:t>
      </w:r>
      <w:r>
        <w:rPr>
          <w:rFonts w:ascii="Times New Roman;sans-serif" w:hAnsi="Times New Roman;sans-serif"/>
          <w:b w:val="false"/>
          <w:color w:val="000000"/>
          <w:sz w:val="22"/>
        </w:rPr>
        <w:t>means the third (3</w:t>
      </w:r>
      <w:r>
        <w:rPr>
          <w:rFonts w:ascii="Times New Roman;sans-serif" w:hAnsi="Times New Roman;sans-serif"/>
          <w:b w:val="false"/>
          <w:color w:val="000000"/>
          <w:sz w:val="14"/>
        </w:rPr>
        <w:t>rd</w:t>
      </w:r>
      <w:r>
        <w:rPr>
          <w:rFonts w:ascii="Times New Roman;sans-serif" w:hAnsi="Times New Roman;sans-serif"/>
          <w:b w:val="false"/>
          <w:color w:val="000000"/>
          <w:sz w:val="22"/>
        </w:rPr>
        <w:t>) anniversary of the “</w:t>
      </w:r>
      <w:r>
        <w:rPr>
          <w:rFonts w:ascii="Times New Roman;sans-serif" w:hAnsi="Times New Roman;sans-serif"/>
          <w:b/>
          <w:color w:val="000000"/>
          <w:sz w:val="22"/>
        </w:rPr>
        <w:t>Issuance Date</w:t>
      </w:r>
      <w:r>
        <w:rPr>
          <w:color w:val="000000"/>
        </w:rPr>
        <w:t xml:space="preserve">” </w:t>
      </w:r>
      <w:r>
        <w:rPr>
          <w:rFonts w:ascii="Times New Roman;sans-serif" w:hAnsi="Times New Roman;sans-serif"/>
          <w:b w:val="false"/>
          <w:color w:val="000000"/>
          <w:sz w:val="22"/>
        </w:rPr>
        <w:t xml:space="preserve">set forth above. Except as expressly provided in </w:t>
      </w:r>
      <w:r>
        <w:rPr>
          <w:rFonts w:ascii="Times New Roman;sans-serif" w:hAnsi="Times New Roman;sans-serif"/>
          <w:b w:val="false"/>
          <w:color w:val="000000"/>
          <w:sz w:val="22"/>
          <w:u w:val="single"/>
        </w:rPr>
        <w:t>Section 2</w:t>
      </w:r>
      <w:r>
        <w:rPr>
          <w:color w:val="000000"/>
        </w:rPr>
        <w:t xml:space="preserve"> </w:t>
      </w:r>
      <w:r>
        <w:rPr>
          <w:rFonts w:ascii="Times New Roman;sans-serif" w:hAnsi="Times New Roman;sans-serif"/>
          <w:b w:val="false"/>
          <w:color w:val="000000"/>
          <w:sz w:val="22"/>
        </w:rPr>
        <w:t xml:space="preserve">below, if Participant ceases to remain in Continuous Service for any or no reason before the Vesting Date, all unvested Performance Stock Units and Participant’s right to acquire any Shares of Common Stock hereunder will immediately terminate and be forfeited. For purposes of clarity, the vesting of the Performance Stock Units shall not be subject to any vesting acceleration provisions contained in the Plan and/or any employment or service agreement, offer letter, severance agreement, or any other agreement between Participant and the Company or any Affiliate. Furthermore, under all circumstances, the vesting of Performance Stock Units shall be subject to the satisfaction of Participant’s obligations as set forth in </w:t>
      </w:r>
      <w:r>
        <w:rPr>
          <w:rFonts w:ascii="Times New Roman;sans-serif" w:hAnsi="Times New Roman;sans-serif"/>
          <w:b w:val="false"/>
          <w:color w:val="000000"/>
          <w:sz w:val="22"/>
          <w:u w:val="single"/>
        </w:rPr>
        <w:t>Section 6(b)</w:t>
      </w:r>
      <w:r>
        <w:rPr>
          <w:rFonts w:ascii="Times New Roman;sans-serif" w:hAnsi="Times New Roman;sans-serif"/>
          <w:b w:val="false"/>
          <w:color w:val="000000"/>
          <w:sz w:val="22"/>
        </w:rPr>
        <w:t>.</w:t>
      </w:r>
    </w:p>
    <w:p>
      <w:pPr>
        <w:pStyle w:val="TextBody"/>
        <w:bidi w:val="0"/>
        <w:spacing w:lineRule="auto" w:line="240" w:before="240" w:after="283"/>
        <w:jc w:val="left"/>
        <w:rPr/>
      </w:pPr>
      <w:r>
        <w:rPr>
          <w:color w:val="000000"/>
        </w:rPr>
        <w:t>    </w:t>
      </w:r>
      <w:r>
        <w:rPr>
          <w:rFonts w:ascii="Times New Roman;sans-serif" w:hAnsi="Times New Roman;sans-serif"/>
          <w:b w:val="false"/>
          <w:color w:val="000000"/>
          <w:sz w:val="22"/>
        </w:rPr>
        <w:t>The Performance Stock Unit Award is subject to the terms and conditions, and the representations of Participant, set forth below and including any special terms and conditions set forth in any appendices attached hereto.</w:t>
      </w:r>
    </w:p>
    <w:p>
      <w:pPr>
        <w:pStyle w:val="TextBody"/>
        <w:bidi w:val="0"/>
        <w:spacing w:before="0" w:after="0"/>
        <w:jc w:val="center"/>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75260"/>
                <wp:effectExtent l="0" t="0" r="0" b="0"/>
                <wp:wrapNone/>
                <wp:docPr id="113" name="Frame1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2"/>
                              </w:rPr>
                              <w:t>-1-</w:t>
                            </w:r>
                            <w:r>
                              <w:rPr>
                                <w:color w:val="000000"/>
                              </w:rPr>
                              <w:t xml:space="preserve">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2"/>
                        </w:rPr>
                        <w:t>-1-</w:t>
                      </w:r>
                      <w:r>
                        <w:rPr>
                          <w:color w:val="000000"/>
                        </w:rPr>
                        <w:t xml:space="preserve"> </w:t>
                      </w:r>
                    </w:p>
                  </w:txbxContent>
                </v:textbox>
                <w10:wrap type="none"/>
              </v:rect>
            </w:pict>
          </mc:Fallback>
        </mc:AlternateContent>
      </w:r>
    </w:p>
    <w:p>
      <w:pPr>
        <w:pStyle w:val="TextBody"/>
        <w:bidi w:val="0"/>
        <w:spacing w:lineRule="auto" w:line="304" w:before="0" w:after="240"/>
        <w:ind w:left="0" w:right="0" w:firstLine="720"/>
        <w:jc w:val="both"/>
        <w:rPr/>
      </w:pPr>
      <w:r>
        <w:rPr>
          <w:rFonts w:ascii="Times New Roman;sans-serif" w:hAnsi="Times New Roman;sans-serif"/>
          <w:b/>
          <w:color w:val="000000"/>
          <w:sz w:val="22"/>
        </w:rPr>
        <w:t>1.    Vesting of PSUs and Payment of Shares</w:t>
      </w:r>
      <w:r>
        <w:rPr>
          <w:rFonts w:ascii="Times New Roman;sans-serif" w:hAnsi="Times New Roman;sans-serif"/>
          <w:b w:val="false"/>
          <w:color w:val="000000"/>
          <w:sz w:val="22"/>
        </w:rPr>
        <w:t xml:space="preserve">.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(a)    </w:t>
      </w:r>
      <w:r>
        <w:rPr>
          <w:rFonts w:ascii="Times New Roman;sans-serif" w:hAnsi="Times New Roman;sans-serif"/>
          <w:b w:val="false"/>
          <w:color w:val="000000"/>
          <w:sz w:val="22"/>
          <w:u w:val="single"/>
        </w:rPr>
        <w:t>Prior to Vesting</w:t>
      </w:r>
      <w:r>
        <w:rPr>
          <w:rFonts w:ascii="Times New Roman;sans-serif" w:hAnsi="Times New Roman;sans-serif"/>
          <w:b w:val="false"/>
          <w:color w:val="000000"/>
          <w:sz w:val="22"/>
        </w:rPr>
        <w:t>. Prior to vesting and actual payment on any vested Performance Stock Unit, such Performance Stock Unit will represent an unsecured obligation of the Company, for which there is no trust and no obligation other than to make payment as contemplated by this Notice and the Plan. Neither Participant nor any person claiming under or through Participant will have any of the rights or privileges of a stockholder of the Company in respect of any Performance Stock Units, or any Shares deliverable hereunder unless and until such PSUs have vested in accordance with the provisions of this Notice and the underlying Shares have been issued and recorded on the records of the Company or its transfer agents or registrars. No adjustment shall be made for any dividends (ordinary or extraordinary, whether cash, securities, or other property) or distributions or other rights for which the record date is prior to the date Shares are issued, except as provided in Section 10 of the Plan.</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(b)    </w:t>
      </w:r>
      <w:r>
        <w:rPr>
          <w:rFonts w:ascii="Times New Roman;sans-serif" w:hAnsi="Times New Roman;sans-serif"/>
          <w:b w:val="false"/>
          <w:color w:val="000000"/>
          <w:sz w:val="22"/>
          <w:u w:val="single"/>
        </w:rPr>
        <w:t>Time-Based and Performance-Based Vesting</w:t>
      </w:r>
      <w:r>
        <w:rPr>
          <w:rFonts w:ascii="Times New Roman;sans-serif" w:hAnsi="Times New Roman;sans-serif"/>
          <w:b w:val="false"/>
          <w:color w:val="000000"/>
          <w:sz w:val="22"/>
        </w:rPr>
        <w:t xml:space="preserve">. The PSUs are subject to both time-based and performance-based vesting as provided herein. Subject to </w:t>
      </w:r>
      <w:r>
        <w:rPr>
          <w:rFonts w:ascii="Times New Roman;sans-serif" w:hAnsi="Times New Roman;sans-serif"/>
          <w:b w:val="false"/>
          <w:color w:val="000000"/>
          <w:sz w:val="22"/>
          <w:u w:val="single"/>
        </w:rPr>
        <w:t>Section 2</w:t>
      </w:r>
      <w:r>
        <w:rPr>
          <w:rFonts w:ascii="Times New Roman;sans-serif" w:hAnsi="Times New Roman;sans-serif"/>
          <w:b w:val="false"/>
          <w:color w:val="000000"/>
          <w:sz w:val="22"/>
        </w:rPr>
        <w:t xml:space="preserve">, the number of PSUs that vest and become payable shall be determined based on the Company’s achievement of the performance goals set forth on </w:t>
      </w:r>
      <w:r>
        <w:rPr>
          <w:rFonts w:ascii="Times New Roman;sans-serif" w:hAnsi="Times New Roman;sans-serif"/>
          <w:b w:val="false"/>
          <w:color w:val="000000"/>
          <w:sz w:val="22"/>
          <w:u w:val="single"/>
        </w:rPr>
        <w:t>Exhibit A</w:t>
      </w:r>
      <w:r>
        <w:rPr>
          <w:color w:val="000000"/>
        </w:rPr>
        <w:t xml:space="preserve"> </w:t>
      </w:r>
      <w:r>
        <w:rPr>
          <w:rFonts w:ascii="Times New Roman;sans-serif" w:hAnsi="Times New Roman;sans-serif"/>
          <w:b w:val="false"/>
          <w:color w:val="000000"/>
          <w:sz w:val="22"/>
        </w:rPr>
        <w:t xml:space="preserve">attached hereto for the Performance Period (as defined in </w:t>
      </w:r>
      <w:r>
        <w:rPr>
          <w:rFonts w:ascii="Times New Roman;sans-serif" w:hAnsi="Times New Roman;sans-serif"/>
          <w:b w:val="false"/>
          <w:color w:val="000000"/>
          <w:sz w:val="22"/>
          <w:u w:val="single"/>
        </w:rPr>
        <w:t>Exhibit A</w:t>
      </w:r>
      <w:r>
        <w:rPr>
          <w:rFonts w:ascii="Times New Roman;sans-serif" w:hAnsi="Times New Roman;sans-serif"/>
          <w:b w:val="false"/>
          <w:color w:val="000000"/>
          <w:sz w:val="22"/>
        </w:rPr>
        <w:t xml:space="preserve">). In addition, except as expressly provided in </w:t>
      </w:r>
      <w:r>
        <w:rPr>
          <w:rFonts w:ascii="Times New Roman;sans-serif" w:hAnsi="Times New Roman;sans-serif"/>
          <w:b w:val="false"/>
          <w:color w:val="000000"/>
          <w:sz w:val="22"/>
          <w:u w:val="single"/>
        </w:rPr>
        <w:t>Section 2</w:t>
      </w:r>
      <w:r>
        <w:rPr>
          <w:rFonts w:ascii="Times New Roman;sans-serif" w:hAnsi="Times New Roman;sans-serif"/>
          <w:b w:val="false"/>
          <w:color w:val="000000"/>
          <w:sz w:val="22"/>
        </w:rPr>
        <w:t xml:space="preserve">, the vesting of any PSUs that are determined to be eligible to vest pursuant to </w:t>
      </w:r>
      <w:r>
        <w:rPr>
          <w:rFonts w:ascii="Times New Roman;sans-serif" w:hAnsi="Times New Roman;sans-serif"/>
          <w:b w:val="false"/>
          <w:color w:val="000000"/>
          <w:sz w:val="22"/>
          <w:u w:val="single"/>
        </w:rPr>
        <w:t>Exhibit A</w:t>
      </w:r>
      <w:r>
        <w:rPr>
          <w:color w:val="000000"/>
        </w:rPr>
        <w:t xml:space="preserve"> </w:t>
      </w:r>
      <w:r>
        <w:rPr>
          <w:rFonts w:ascii="Times New Roman;sans-serif" w:hAnsi="Times New Roman;sans-serif"/>
          <w:b w:val="false"/>
          <w:color w:val="000000"/>
          <w:sz w:val="22"/>
        </w:rPr>
        <w:t xml:space="preserve">shall be contingent on Participant’s Continuous Service through the Vesting Date.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(c)    </w:t>
      </w:r>
      <w:r>
        <w:rPr>
          <w:rFonts w:ascii="Times New Roman;sans-serif" w:hAnsi="Times New Roman;sans-serif"/>
          <w:b w:val="false"/>
          <w:color w:val="000000"/>
          <w:sz w:val="22"/>
          <w:u w:val="single"/>
        </w:rPr>
        <w:t>Payment of Vested PSUs</w:t>
      </w:r>
      <w:r>
        <w:rPr>
          <w:rFonts w:ascii="Times New Roman;sans-serif" w:hAnsi="Times New Roman;sans-serif"/>
          <w:b w:val="false"/>
          <w:color w:val="000000"/>
          <w:sz w:val="22"/>
        </w:rPr>
        <w:t xml:space="preserve">. Each Performance Stock Unit represents the right to receive payment on the date it vests in the form of one Share. Subject to </w:t>
      </w:r>
      <w:r>
        <w:rPr>
          <w:rFonts w:ascii="Times New Roman;sans-serif" w:hAnsi="Times New Roman;sans-serif"/>
          <w:b w:val="false"/>
          <w:color w:val="000000"/>
          <w:sz w:val="22"/>
          <w:u w:val="single"/>
        </w:rPr>
        <w:t>Section 3</w:t>
      </w:r>
      <w:r>
        <w:rPr>
          <w:color w:val="000000"/>
        </w:rPr>
        <w:t xml:space="preserve"> </w:t>
      </w:r>
      <w:r>
        <w:rPr>
          <w:rFonts w:ascii="Times New Roman;sans-serif" w:hAnsi="Times New Roman;sans-serif"/>
          <w:b w:val="false"/>
          <w:color w:val="000000"/>
          <w:sz w:val="22"/>
        </w:rPr>
        <w:t>and the next paragraph, any Performance Stock Units that vest will be paid to Participant in whole Shares as soon as practicable after vesting, but in each such case within the period ending no later than the fifteenth (15</w:t>
      </w:r>
      <w:r>
        <w:rPr>
          <w:rFonts w:ascii="Times New Roman;sans-serif" w:hAnsi="Times New Roman;sans-serif"/>
          <w:b w:val="false"/>
          <w:color w:val="000000"/>
          <w:sz w:val="14"/>
        </w:rPr>
        <w:t>th</w:t>
      </w:r>
      <w:r>
        <w:rPr>
          <w:rFonts w:ascii="Times New Roman;sans-serif" w:hAnsi="Times New Roman;sans-serif"/>
          <w:b w:val="false"/>
          <w:color w:val="000000"/>
          <w:sz w:val="22"/>
        </w:rPr>
        <w:t>) day of the third (3</w:t>
      </w:r>
      <w:r>
        <w:rPr>
          <w:rFonts w:ascii="Times New Roman;sans-serif" w:hAnsi="Times New Roman;sans-serif"/>
          <w:b w:val="false"/>
          <w:color w:val="000000"/>
          <w:sz w:val="14"/>
        </w:rPr>
        <w:t>rd</w:t>
      </w:r>
      <w:r>
        <w:rPr>
          <w:rFonts w:ascii="Times New Roman;sans-serif" w:hAnsi="Times New Roman;sans-serif"/>
          <w:b w:val="false"/>
          <w:color w:val="000000"/>
          <w:sz w:val="22"/>
        </w:rPr>
        <w:t xml:space="preserve">) month following the applicable Vesting Date. In no event will Participant be permitted, directly or indirectly, to specify the taxable year of payment of any Performance Stock Units payable under this Notice. Any distribution or delivery of Shares to be made to Participant will, if Participant is then deceased, be made to Participant’s designated beneficiary, or if no beneficiary survives Participant, the administrator or executor of Participant’s estate. Any such transferee must furnish the Company with written notice of his or her status as transferee and evidence satisfactory to the Company to establish the validity of the transfer and compliance with any laws or regulations pertaining to said transfer. After PSUs have vested in accordance with the provisions of this Notice and the underlying Shares have been issued and recorded on the records of the Company or its transfer agents or registrars, Participant will have all the rights of a stockholder of the Company with respect to voting such Shares and receipt of dividends and distributions on such Shares.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(d)    </w:t>
      </w:r>
      <w:r>
        <w:rPr>
          <w:rFonts w:ascii="Times New Roman;sans-serif" w:hAnsi="Times New Roman;sans-serif"/>
          <w:b w:val="false"/>
          <w:color w:val="000000"/>
          <w:sz w:val="22"/>
          <w:u w:val="single"/>
        </w:rPr>
        <w:t>409A</w:t>
      </w:r>
      <w:r>
        <w:rPr>
          <w:rFonts w:ascii="Times New Roman;sans-serif" w:hAnsi="Times New Roman;sans-serif"/>
          <w:b w:val="false"/>
          <w:color w:val="000000"/>
          <w:sz w:val="22"/>
        </w:rPr>
        <w:t xml:space="preserve">. Notwithstanding anything in the Plan, this Notice, or any other agreement to the contrary, if the vesting of the balance, or some lesser portion of the balance, of the Performance Stock Units is accelerated in connection with the termination of Participant’s Continuous Service (provided that such termination is a “separation from service” within the meaning of Section 409A, as determined by the Company), other than due to death, and if (x) Participant is a “specified employee” within the meaning of Section 409A at the time of the termination of Participant’s Continuous Service and (y) the payment of such accelerated Performance Stock Units will result in the imposition of additional tax under Section 409A if paid to Participant on or within the six (6) month period following the termination of Participant’s Continuous Service, then the payment of such accelerated Performance Stock Units will not be made until the date that is six (6) months and one (1) day following the date of termination of Participant’s Continuous Service, unless Participant dies following the date his or her Continuous Service terminates, in which case, the PSUs will be paid in Shares to Participant’s estate as soon as practicable following his or her death. It is the intent of this Notice that the grant of Performance Stock Units and any Shares issuable upon vesting of the Performance Stock Units be exempt from the requirements of Section 409A to the greatest extent provided under the regulations promulgated so that none of the Performance Stock Units or Shares issuable upon vesting of PSUs will be subject to the additional tax imposed under Section 409A, and any ambiguities herein will be interpreted to so comply. To the extent that any Performance Stock Units or any Shares issuable under the terms of any Performance Stock Units are determined to be subject to the requirements of Section 409A, it is the intent of this Notice that the award comply with Section 409A, and any ambiguities will be interpreted to so comply. For purposes of </w:t>
      </w:r>
    </w:p>
    <w:p>
      <w:pPr>
        <w:pStyle w:val="TextBody"/>
        <w:bidi w:val="0"/>
        <w:spacing w:before="0" w:after="0"/>
        <w:jc w:val="center"/>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75260"/>
                <wp:effectExtent l="0" t="0" r="0" b="0"/>
                <wp:wrapNone/>
                <wp:docPr id="114" name="Frame1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2"/>
                              </w:rPr>
                              <w:t>-2-</w:t>
                            </w:r>
                            <w:r>
                              <w:rPr>
                                <w:color w:val="000000"/>
                              </w:rPr>
                              <w:t xml:space="preserve">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2"/>
                        </w:rPr>
                        <w:t>-2-</w:t>
                      </w:r>
                      <w:r>
                        <w:rPr>
                          <w:color w:val="000000"/>
                        </w:rPr>
                        <w:t xml:space="preserve"> </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this Notice, “</w:t>
      </w:r>
      <w:r>
        <w:rPr>
          <w:rFonts w:ascii="Times New Roman;sans-serif" w:hAnsi="Times New Roman;sans-serif"/>
          <w:b/>
          <w:color w:val="000000"/>
          <w:sz w:val="22"/>
        </w:rPr>
        <w:t>Section 409A</w:t>
      </w:r>
      <w:r>
        <w:rPr>
          <w:color w:val="000000"/>
        </w:rPr>
        <w:t xml:space="preserve">” </w:t>
      </w:r>
      <w:r>
        <w:rPr>
          <w:rFonts w:ascii="Times New Roman;sans-serif" w:hAnsi="Times New Roman;sans-serif"/>
          <w:b w:val="false"/>
          <w:color w:val="000000"/>
          <w:sz w:val="22"/>
        </w:rPr>
        <w:t>means Section 409A of the Code, and any proposed, temporary or final Treasury Regulations and Internal Revenue Service guidance thereunder, as each may be amended from time to time.</w:t>
      </w:r>
    </w:p>
    <w:p>
      <w:pPr>
        <w:pStyle w:val="TextBody"/>
        <w:bidi w:val="0"/>
        <w:spacing w:lineRule="auto" w:line="240" w:before="0" w:after="240"/>
        <w:ind w:left="0" w:right="0" w:firstLine="720"/>
        <w:jc w:val="both"/>
        <w:rPr/>
      </w:pPr>
      <w:r>
        <w:rPr>
          <w:rFonts w:ascii="Times New Roman;sans-serif" w:hAnsi="Times New Roman;sans-serif"/>
          <w:b/>
          <w:color w:val="000000"/>
          <w:sz w:val="22"/>
        </w:rPr>
        <w:t>2.    Termination of Continuous Service; Sale Transaction</w:t>
      </w:r>
      <w:r>
        <w:rPr>
          <w:rFonts w:ascii="Times New Roman;sans-serif" w:hAnsi="Times New Roman;sans-serif"/>
          <w:b w:val="false"/>
          <w:color w:val="000000"/>
          <w:sz w:val="22"/>
        </w:rPr>
        <w:t xml:space="preserve">.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(a)    </w:t>
      </w:r>
      <w:r>
        <w:rPr>
          <w:rFonts w:ascii="Times New Roman;sans-serif" w:hAnsi="Times New Roman;sans-serif"/>
          <w:b w:val="false"/>
          <w:color w:val="000000"/>
          <w:sz w:val="22"/>
          <w:u w:val="single"/>
        </w:rPr>
        <w:t>General</w:t>
      </w:r>
      <w:r>
        <w:rPr>
          <w:rFonts w:ascii="Times New Roman;sans-serif" w:hAnsi="Times New Roman;sans-serif"/>
          <w:b w:val="false"/>
          <w:color w:val="000000"/>
          <w:sz w:val="22"/>
        </w:rPr>
        <w:t xml:space="preserve">. Except as otherwise provided below in this </w:t>
      </w:r>
      <w:r>
        <w:rPr>
          <w:rFonts w:ascii="Times New Roman;sans-serif" w:hAnsi="Times New Roman;sans-serif"/>
          <w:b w:val="false"/>
          <w:color w:val="000000"/>
          <w:sz w:val="22"/>
          <w:u w:val="single"/>
        </w:rPr>
        <w:t>Section 2</w:t>
      </w:r>
      <w:r>
        <w:rPr>
          <w:rFonts w:ascii="Times New Roman;sans-serif" w:hAnsi="Times New Roman;sans-serif"/>
          <w:b w:val="false"/>
          <w:color w:val="000000"/>
          <w:sz w:val="22"/>
        </w:rPr>
        <w:t xml:space="preserve">, if Participant’s Continuous Service terminates for any reason prior to the Vesting Date, the then-outstanding and unvested Performance Stock Units will thereupon terminate and be forfeited at no cost to the Company and Participant will have no further rights with respect to such forfeited Performance Stock Units or any underlying Shares.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(b)    </w:t>
      </w:r>
      <w:r>
        <w:rPr>
          <w:rFonts w:ascii="Times New Roman;sans-serif" w:hAnsi="Times New Roman;sans-serif"/>
          <w:b w:val="false"/>
          <w:color w:val="000000"/>
          <w:sz w:val="22"/>
          <w:u w:val="single"/>
        </w:rPr>
        <w:t>Involuntary Termination Prior to a Sale Transaction</w:t>
      </w:r>
      <w:r>
        <w:rPr>
          <w:rFonts w:ascii="Times New Roman;sans-serif" w:hAnsi="Times New Roman;sans-serif"/>
          <w:b w:val="false"/>
          <w:color w:val="000000"/>
          <w:sz w:val="22"/>
        </w:rPr>
        <w:t>. If Participant’s Continuous Service terminates due to an Involuntary Termination at any time after the Issuance Date set forth on the cover page of this Notice and prior to the earlier of the Vesting Date or any Sale Transaction, the following provisions shall apply:</w:t>
      </w: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(i)    If such a termination of Participant’s Continuous Service occurs prior to the first anniversary of the Issuance Date, the Performance Stock Units will thereupon terminate and be forfeited at no cost to the Company and Participant will have no further rights with respect to such forfeited Performance Stock Units or any underlying Shares.</w:t>
      </w:r>
    </w:p>
    <w:p>
      <w:pPr>
        <w:pStyle w:val="TextBody"/>
        <w:bidi w:val="0"/>
        <w:spacing w:lineRule="auto" w:line="240" w:before="0" w:after="240"/>
        <w:ind w:left="0" w:right="0" w:hanging="720"/>
        <w:jc w:val="both"/>
        <w:rPr/>
      </w:pPr>
      <w:r>
        <w:rPr>
          <w:rFonts w:ascii="Times New Roman;sans-serif" w:hAnsi="Times New Roman;sans-serif"/>
          <w:b w:val="false"/>
          <w:color w:val="000000"/>
          <w:sz w:val="22"/>
        </w:rPr>
        <w:t xml:space="preserve">(ii)    If such a termination of Participant’s Continuous Service occurs on or after the first anniversary of the Issuance Date and prior to the last day of the Performance Period, this award of PSUs shall remain outstanding and shall vest at the end of the Performance Period as determined in accordance with </w:t>
      </w:r>
      <w:r>
        <w:rPr>
          <w:rFonts w:ascii="Times New Roman;sans-serif" w:hAnsi="Times New Roman;sans-serif"/>
          <w:b w:val="false"/>
          <w:color w:val="000000"/>
          <w:sz w:val="22"/>
          <w:u w:val="single"/>
        </w:rPr>
        <w:t>Exhibit A</w:t>
      </w:r>
      <w:r>
        <w:rPr>
          <w:color w:val="000000"/>
        </w:rPr>
        <w:t xml:space="preserve"> </w:t>
      </w:r>
      <w:r>
        <w:rPr>
          <w:rFonts w:ascii="Times New Roman;sans-serif" w:hAnsi="Times New Roman;sans-serif"/>
          <w:b w:val="false"/>
          <w:color w:val="000000"/>
          <w:sz w:val="22"/>
        </w:rPr>
        <w:t>hereto; provided, however, that the Target Number of PSUs shall be pro-rated by multiplying (x) the Target Number of PSUs set forth on the cover page of this Notice by (y) a fraction, the numerator of which is the number of full months of Participant’s Continuous Service from the beginning of the Performance Period through the date of termination of Participant’s Continuous Service, and the denominator of which is thirty-six (36). The Vesting Date for any PSUs that vest pursuant to this paragraph shall be the last day of the Performance Period.</w:t>
      </w:r>
    </w:p>
    <w:p>
      <w:pPr>
        <w:pStyle w:val="TextBody"/>
        <w:bidi w:val="0"/>
        <w:spacing w:lineRule="auto" w:line="240" w:before="0" w:after="240"/>
        <w:ind w:left="0" w:right="0" w:hanging="720"/>
        <w:jc w:val="both"/>
        <w:rPr/>
      </w:pPr>
      <w:r>
        <w:rPr>
          <w:rFonts w:ascii="Times New Roman;sans-serif" w:hAnsi="Times New Roman;sans-serif"/>
          <w:b w:val="false"/>
          <w:color w:val="000000"/>
          <w:sz w:val="22"/>
        </w:rPr>
        <w:t xml:space="preserve">(iii)    If such a termination of Participant’s Continuous Service occurs on or after the last day of the Performance Period and prior to the Vesting Date, any PSUs that are then outstanding and eligible to vest as determined in accordance with </w:t>
      </w:r>
      <w:r>
        <w:rPr>
          <w:rFonts w:ascii="Times New Roman;sans-serif" w:hAnsi="Times New Roman;sans-serif"/>
          <w:b w:val="false"/>
          <w:color w:val="000000"/>
          <w:sz w:val="22"/>
          <w:u w:val="single"/>
        </w:rPr>
        <w:t>Exhibit A</w:t>
      </w:r>
      <w:r>
        <w:rPr>
          <w:color w:val="000000"/>
        </w:rPr>
        <w:t xml:space="preserve"> </w:t>
      </w:r>
      <w:r>
        <w:rPr>
          <w:rFonts w:ascii="Times New Roman;sans-serif" w:hAnsi="Times New Roman;sans-serif"/>
          <w:b w:val="false"/>
          <w:color w:val="000000"/>
          <w:sz w:val="22"/>
        </w:rPr>
        <w:t xml:space="preserve">hereto shall vest as of the date of termination of Participant’s Continuous Service. The Vesting Date for any PSUs that vest pursuant to this paragraph shall be the date of termination of Participant’s Continuous Service.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(c)    </w:t>
      </w:r>
      <w:r>
        <w:rPr>
          <w:rFonts w:ascii="Times New Roman;sans-serif" w:hAnsi="Times New Roman;sans-serif"/>
          <w:b w:val="false"/>
          <w:color w:val="000000"/>
          <w:sz w:val="22"/>
          <w:u w:val="single"/>
        </w:rPr>
        <w:t>Termination Due to Death or Disability Prior to a Sale Transaction</w:t>
      </w:r>
      <w:r>
        <w:rPr>
          <w:rFonts w:ascii="Times New Roman;sans-serif" w:hAnsi="Times New Roman;sans-serif"/>
          <w:b w:val="false"/>
          <w:color w:val="000000"/>
          <w:sz w:val="22"/>
        </w:rPr>
        <w:t>. If Participant’s Continuous Service terminates due to Participant’s death or Disability at any time after the Issuance Date and prior to the earlier of the Vesting Date or any Sale Transaction, the following provisions shall apply:</w:t>
      </w: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(i)    If such a termination of Participant’s Continuous Service occurs prior to the last day of the Performance Period, this award of PSUs shall immediately vest as to a number of PSUs equal to (x) the Target Number of PSUs set forth on the cover page of this Notice multiplied by (y) a fraction, the numerator of which is the number of full months of Participant’s Continuous Service from the beginning of the Performance Period through the date of termination of Participant’s Continuous Service, and the denominator of which is thirty-six (36). The Vesting Date for any PSUs that vest pursuant to this paragraph shall be the date of termination of Participant’s Continuous Service.</w:t>
      </w:r>
    </w:p>
    <w:p>
      <w:pPr>
        <w:pStyle w:val="TextBody"/>
        <w:bidi w:val="0"/>
        <w:spacing w:lineRule="auto" w:line="240" w:before="0" w:after="240"/>
        <w:ind w:left="0" w:right="0" w:hanging="720"/>
        <w:jc w:val="both"/>
        <w:rPr/>
      </w:pPr>
      <w:r>
        <w:rPr>
          <w:rFonts w:ascii="Times New Roman;sans-serif" w:hAnsi="Times New Roman;sans-serif"/>
          <w:b w:val="false"/>
          <w:color w:val="000000"/>
          <w:sz w:val="22"/>
        </w:rPr>
        <w:t xml:space="preserve">(ii)    If such a termination of Participant’s Continuous Service occurs on or after the last day of the Performance Period and prior to the Vesting Date, any PSUs that are then outstanding and eligible to vest as determined in accordance with </w:t>
      </w:r>
      <w:r>
        <w:rPr>
          <w:rFonts w:ascii="Times New Roman;sans-serif" w:hAnsi="Times New Roman;sans-serif"/>
          <w:b w:val="false"/>
          <w:color w:val="000000"/>
          <w:sz w:val="22"/>
          <w:u w:val="single"/>
        </w:rPr>
        <w:t>Exhibit A</w:t>
      </w:r>
      <w:r>
        <w:rPr>
          <w:color w:val="000000"/>
        </w:rPr>
        <w:t xml:space="preserve"> </w:t>
      </w:r>
      <w:r>
        <w:rPr>
          <w:rFonts w:ascii="Times New Roman;sans-serif" w:hAnsi="Times New Roman;sans-serif"/>
          <w:b w:val="false"/>
          <w:color w:val="000000"/>
          <w:sz w:val="22"/>
        </w:rPr>
        <w:t xml:space="preserve">hereto shall vest as of the date of termination of Participant’s Continuous Service. The Vesting Date for any PSUs </w:t>
      </w:r>
    </w:p>
    <w:p>
      <w:pPr>
        <w:pStyle w:val="TextBody"/>
        <w:bidi w:val="0"/>
        <w:spacing w:before="0" w:after="0"/>
        <w:jc w:val="center"/>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75260"/>
                <wp:effectExtent l="0" t="0" r="0" b="0"/>
                <wp:wrapNone/>
                <wp:docPr id="115" name="Frame1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2"/>
                              </w:rPr>
                              <w:t>-3-</w:t>
                            </w:r>
                            <w:r>
                              <w:rPr>
                                <w:color w:val="000000"/>
                              </w:rPr>
                              <w:t xml:space="preserve">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2"/>
                        </w:rPr>
                        <w:t>-3-</w:t>
                      </w:r>
                      <w:r>
                        <w:rPr>
                          <w:color w:val="000000"/>
                        </w:rPr>
                        <w:t xml:space="preserve"> </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that vest pursuant to this paragraph shall be the date of termination of Participant’s Continuous Service.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(d)    </w:t>
      </w:r>
      <w:r>
        <w:rPr>
          <w:rFonts w:ascii="Times New Roman;sans-serif" w:hAnsi="Times New Roman;sans-serif"/>
          <w:b w:val="false"/>
          <w:color w:val="000000"/>
          <w:sz w:val="22"/>
          <w:u w:val="single"/>
        </w:rPr>
        <w:t>Sale Transaction</w:t>
      </w:r>
      <w:r>
        <w:rPr>
          <w:rFonts w:ascii="Times New Roman;sans-serif" w:hAnsi="Times New Roman;sans-serif"/>
          <w:b w:val="false"/>
          <w:color w:val="000000"/>
          <w:sz w:val="22"/>
        </w:rPr>
        <w:t xml:space="preserve">. </w:t>
      </w:r>
    </w:p>
    <w:p>
      <w:pPr>
        <w:pStyle w:val="TextBody"/>
        <w:bidi w:val="0"/>
        <w:spacing w:lineRule="auto" w:line="240" w:before="0" w:after="240"/>
        <w:ind w:left="0" w:right="0" w:hanging="720"/>
        <w:jc w:val="both"/>
        <w:rPr/>
      </w:pPr>
      <w:r>
        <w:rPr>
          <w:rFonts w:ascii="Times New Roman;sans-serif" w:hAnsi="Times New Roman;sans-serif"/>
          <w:b w:val="false"/>
          <w:color w:val="000000"/>
          <w:sz w:val="22"/>
        </w:rPr>
        <w:t xml:space="preserve">(i)    If a Sale Transaction occurs prior to the last day of the Performance Period and prior to any termination of Participant’s Continuous Service, the number of PSUs subject to this award shall become “fixed” and no longer subject to performance-based vesting after such Sale Transaction. For purposes of so fixing the number of PSUs, the Performance Period shall be considered to end with the Sale Transaction and such number of PSUs shall be determined in accordance with </w:t>
      </w:r>
      <w:r>
        <w:rPr>
          <w:rFonts w:ascii="Times New Roman;sans-serif" w:hAnsi="Times New Roman;sans-serif"/>
          <w:b w:val="false"/>
          <w:color w:val="000000"/>
          <w:sz w:val="22"/>
          <w:u w:val="single"/>
        </w:rPr>
        <w:t>Exhibit A</w:t>
      </w:r>
      <w:r>
        <w:rPr>
          <w:color w:val="000000"/>
        </w:rPr>
        <w:t xml:space="preserve"> </w:t>
      </w:r>
      <w:r>
        <w:rPr>
          <w:rFonts w:ascii="Times New Roman;sans-serif" w:hAnsi="Times New Roman;sans-serif"/>
          <w:b w:val="false"/>
          <w:color w:val="000000"/>
          <w:sz w:val="22"/>
        </w:rPr>
        <w:t>based on the Company’s performance for the shortened Performance Period (such fixed number of PSUs as so determined, the “</w:t>
      </w:r>
      <w:r>
        <w:rPr>
          <w:rFonts w:ascii="Times New Roman;sans-serif" w:hAnsi="Times New Roman;sans-serif"/>
          <w:b/>
          <w:color w:val="000000"/>
          <w:sz w:val="22"/>
        </w:rPr>
        <w:t>Fixed PSUs</w:t>
      </w:r>
      <w:r>
        <w:rPr>
          <w:color w:val="000000"/>
        </w:rPr>
        <w:t>”</w:t>
      </w:r>
      <w:r>
        <w:rPr>
          <w:rFonts w:ascii="Times New Roman;sans-serif" w:hAnsi="Times New Roman;sans-serif"/>
          <w:b w:val="false"/>
          <w:color w:val="000000"/>
          <w:sz w:val="22"/>
        </w:rPr>
        <w:t xml:space="preserve">). No adjustment shall be made pursuant to this </w:t>
      </w:r>
      <w:r>
        <w:rPr>
          <w:rFonts w:ascii="Times New Roman;sans-serif" w:hAnsi="Times New Roman;sans-serif"/>
          <w:b w:val="false"/>
          <w:color w:val="000000"/>
          <w:sz w:val="22"/>
          <w:u w:val="single"/>
        </w:rPr>
        <w:t>Section 2(d)</w:t>
      </w:r>
      <w:r>
        <w:rPr>
          <w:color w:val="000000"/>
        </w:rPr>
        <w:t xml:space="preserve"> </w:t>
      </w:r>
      <w:r>
        <w:rPr>
          <w:rFonts w:ascii="Times New Roman;sans-serif" w:hAnsi="Times New Roman;sans-serif"/>
          <w:b w:val="false"/>
          <w:color w:val="000000"/>
          <w:sz w:val="22"/>
        </w:rPr>
        <w:t xml:space="preserve">as to any Sale Transaction that occurs after the last day of the Performance Period. </w:t>
      </w: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(ii)    If such Sale Transaction is a Corporate Transaction and, in connection with the Sale Transaction, the Board or its Committee has made a provision for the assumption of this award of PSUs or the award would otherwise continue in accordance with its terms in the circumstances, the Fixed PSUs shall remain outstanding and eligible to vest on the Vesting Date set forth on the cover page of this Notice, subject to Participant’s Continuous Service through such date; provided, however, that if on, immediately prior to or at any time within twenty-four (24) months following the Sale Transaction, Participant’s Continuous Service terminates as a result of an Involuntary Termination or as a result of Participant’s death or Disability, the Fixed PSUs shall fully vest upon such termination of Participant’s Continuous Service (with the date of such termination being the Vesting Date of such Fixed PSUs). </w:t>
      </w: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(iii)    If such Sale Transaction is a Corporate Transaction and, in connection with the Sale Transaction, the Board or its Committee has not made a provision for the assumption of this award of PSUs and this award is to terminate in connection with the Sale Transaction pursuant to Section 10(c) of the Plan, the Fixed PSUs shall fully vest upon the closing of the Sale Transaction (with the closing date of such Sale Transaction being the Vesting Date of such Fixed PSUs).</w:t>
      </w:r>
    </w:p>
    <w:p>
      <w:pPr>
        <w:pStyle w:val="TextBody"/>
        <w:bidi w:val="0"/>
        <w:spacing w:lineRule="auto" w:line="240" w:before="0" w:after="240"/>
        <w:ind w:left="0" w:right="0" w:hanging="720"/>
        <w:jc w:val="both"/>
        <w:rPr/>
      </w:pPr>
      <w:r>
        <w:rPr>
          <w:rFonts w:ascii="Times New Roman;sans-serif" w:hAnsi="Times New Roman;sans-serif"/>
          <w:b w:val="false"/>
          <w:color w:val="000000"/>
          <w:sz w:val="22"/>
        </w:rPr>
        <w:t xml:space="preserve">(iv)    If a Sale Transaction occurs prior to the last day of the Performance Period and after the Participant’s Continuous Service has terminated pursuant to an Involuntary Termination as described in </w:t>
      </w:r>
      <w:r>
        <w:rPr>
          <w:rFonts w:ascii="Times New Roman;sans-serif" w:hAnsi="Times New Roman;sans-serif"/>
          <w:b w:val="false"/>
          <w:color w:val="000000"/>
          <w:sz w:val="22"/>
          <w:u w:val="single"/>
        </w:rPr>
        <w:t>Section 2(b)</w:t>
      </w:r>
      <w:r>
        <w:rPr>
          <w:rFonts w:ascii="Times New Roman;sans-serif" w:hAnsi="Times New Roman;sans-serif"/>
          <w:b w:val="false"/>
          <w:color w:val="000000"/>
          <w:sz w:val="22"/>
        </w:rPr>
        <w:t xml:space="preserve">, the number of Fixed PSUs shall be determined as described in </w:t>
      </w:r>
      <w:r>
        <w:rPr>
          <w:rFonts w:ascii="Times New Roman;sans-serif" w:hAnsi="Times New Roman;sans-serif"/>
          <w:b w:val="false"/>
          <w:color w:val="000000"/>
          <w:sz w:val="22"/>
          <w:u w:val="single"/>
        </w:rPr>
        <w:t>Section 2(d)(i)</w:t>
      </w:r>
      <w:r>
        <w:rPr>
          <w:rFonts w:ascii="Times New Roman;sans-serif" w:hAnsi="Times New Roman;sans-serif"/>
          <w:b w:val="false"/>
          <w:color w:val="000000"/>
          <w:sz w:val="22"/>
        </w:rPr>
        <w:t xml:space="preserve">, and such Fixed PSUs shall fully vest upon the closing of the Sale Transaction (with the closing date of such Sale Transaction being the Vesting Date of such Fixed PSUs).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(e)    </w:t>
      </w:r>
      <w:r>
        <w:rPr>
          <w:rFonts w:ascii="Times New Roman;sans-serif" w:hAnsi="Times New Roman;sans-serif"/>
          <w:b w:val="false"/>
          <w:color w:val="000000"/>
          <w:sz w:val="22"/>
          <w:u w:val="single"/>
        </w:rPr>
        <w:t>Definitions</w:t>
      </w:r>
      <w:r>
        <w:rPr>
          <w:rFonts w:ascii="Times New Roman;sans-serif" w:hAnsi="Times New Roman;sans-serif"/>
          <w:b w:val="false"/>
          <w:color w:val="000000"/>
          <w:sz w:val="22"/>
        </w:rPr>
        <w:t>. As used in this Notice, the terms “</w:t>
      </w:r>
      <w:r>
        <w:rPr>
          <w:rFonts w:ascii="Times New Roman;sans-serif" w:hAnsi="Times New Roman;sans-serif"/>
          <w:b/>
          <w:color w:val="000000"/>
          <w:sz w:val="22"/>
        </w:rPr>
        <w:t>Involuntary Termination</w:t>
      </w:r>
      <w:r>
        <w:rPr>
          <w:color w:val="000000"/>
        </w:rPr>
        <w:t xml:space="preserve">” </w:t>
      </w:r>
      <w:r>
        <w:rPr>
          <w:rFonts w:ascii="Times New Roman;sans-serif" w:hAnsi="Times New Roman;sans-serif"/>
          <w:b w:val="false"/>
          <w:color w:val="000000"/>
          <w:sz w:val="22"/>
        </w:rPr>
        <w:t>(including the related terms “</w:t>
      </w:r>
      <w:r>
        <w:rPr>
          <w:rFonts w:ascii="Times New Roman;sans-serif" w:hAnsi="Times New Roman;sans-serif"/>
          <w:b/>
          <w:color w:val="000000"/>
          <w:sz w:val="22"/>
        </w:rPr>
        <w:t>Cause</w:t>
      </w:r>
      <w:r>
        <w:rPr>
          <w:color w:val="000000"/>
        </w:rPr>
        <w:t xml:space="preserve">” </w:t>
      </w:r>
      <w:r>
        <w:rPr>
          <w:rFonts w:ascii="Times New Roman;sans-serif" w:hAnsi="Times New Roman;sans-serif"/>
          <w:b w:val="false"/>
          <w:color w:val="000000"/>
          <w:sz w:val="22"/>
        </w:rPr>
        <w:t>and “</w:t>
      </w:r>
      <w:r>
        <w:rPr>
          <w:rFonts w:ascii="Times New Roman;sans-serif" w:hAnsi="Times New Roman;sans-serif"/>
          <w:b/>
          <w:color w:val="000000"/>
          <w:sz w:val="22"/>
        </w:rPr>
        <w:t>Good Reason</w:t>
      </w:r>
      <w:r>
        <w:rPr>
          <w:color w:val="000000"/>
        </w:rPr>
        <w:t>”</w:t>
      </w:r>
      <w:r>
        <w:rPr>
          <w:rFonts w:ascii="Times New Roman;sans-serif" w:hAnsi="Times New Roman;sans-serif"/>
          <w:b w:val="false"/>
          <w:color w:val="000000"/>
          <w:sz w:val="22"/>
        </w:rPr>
        <w:t>), “</w:t>
      </w:r>
      <w:r>
        <w:rPr>
          <w:rFonts w:ascii="Times New Roman;sans-serif" w:hAnsi="Times New Roman;sans-serif"/>
          <w:b/>
          <w:color w:val="000000"/>
          <w:sz w:val="22"/>
        </w:rPr>
        <w:t>Disability</w:t>
      </w:r>
      <w:r>
        <w:rPr>
          <w:color w:val="000000"/>
        </w:rPr>
        <w:t xml:space="preserve">” </w:t>
      </w:r>
      <w:r>
        <w:rPr>
          <w:rFonts w:ascii="Times New Roman;sans-serif" w:hAnsi="Times New Roman;sans-serif"/>
          <w:b w:val="false"/>
          <w:color w:val="000000"/>
          <w:sz w:val="22"/>
        </w:rPr>
        <w:t>and “</w:t>
      </w:r>
      <w:r>
        <w:rPr>
          <w:rFonts w:ascii="Times New Roman;sans-serif" w:hAnsi="Times New Roman;sans-serif"/>
          <w:b/>
          <w:color w:val="000000"/>
          <w:sz w:val="22"/>
        </w:rPr>
        <w:t>Sale Transaction</w:t>
      </w:r>
      <w:r>
        <w:rPr>
          <w:color w:val="000000"/>
        </w:rPr>
        <w:t xml:space="preserve">” </w:t>
      </w:r>
      <w:r>
        <w:rPr>
          <w:rFonts w:ascii="Times New Roman;sans-serif" w:hAnsi="Times New Roman;sans-serif"/>
          <w:b w:val="false"/>
          <w:color w:val="000000"/>
          <w:sz w:val="22"/>
        </w:rPr>
        <w:t>have the meanings ascribed to such terms in that certain Executive Severance and Vesting Acceleration Agreement, by and between the Company and Participant (the “</w:t>
      </w:r>
      <w:r>
        <w:rPr>
          <w:rFonts w:ascii="Times New Roman;sans-serif" w:hAnsi="Times New Roman;sans-serif"/>
          <w:b/>
          <w:color w:val="000000"/>
          <w:sz w:val="22"/>
        </w:rPr>
        <w:t>Severance Agreement</w:t>
      </w:r>
      <w:r>
        <w:rPr>
          <w:color w:val="000000"/>
        </w:rPr>
        <w:t>”</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(f)    </w:t>
      </w:r>
      <w:r>
        <w:rPr>
          <w:rFonts w:ascii="Times New Roman;sans-serif" w:hAnsi="Times New Roman;sans-serif"/>
          <w:b w:val="false"/>
          <w:color w:val="000000"/>
          <w:sz w:val="22"/>
          <w:u w:val="single"/>
        </w:rPr>
        <w:t>Release</w:t>
      </w:r>
      <w:r>
        <w:rPr>
          <w:rFonts w:ascii="Times New Roman;sans-serif" w:hAnsi="Times New Roman;sans-serif"/>
          <w:b w:val="false"/>
          <w:color w:val="000000"/>
          <w:sz w:val="22"/>
        </w:rPr>
        <w:t xml:space="preserve">. Notwithstanding any other provision herein, in the Plan or in any other agreement, Participant’s right to any accelerated vesting or other benefit with respect to the PSUs under this </w:t>
      </w:r>
      <w:r>
        <w:rPr>
          <w:rFonts w:ascii="Times New Roman;sans-serif" w:hAnsi="Times New Roman;sans-serif"/>
          <w:b w:val="false"/>
          <w:color w:val="000000"/>
          <w:sz w:val="22"/>
          <w:u w:val="single"/>
        </w:rPr>
        <w:t>Section 2</w:t>
      </w:r>
      <w:r>
        <w:rPr>
          <w:color w:val="000000"/>
        </w:rPr>
        <w:t xml:space="preserve"> </w:t>
      </w:r>
      <w:r>
        <w:rPr>
          <w:rFonts w:ascii="Times New Roman;sans-serif" w:hAnsi="Times New Roman;sans-serif"/>
          <w:b w:val="false"/>
          <w:color w:val="000000"/>
          <w:sz w:val="22"/>
        </w:rPr>
        <w:t xml:space="preserve">in connection with a termination of Participant’s Continuous Service is subject to Participant’s providing a release of claims in accordance with </w:t>
      </w:r>
      <w:r>
        <w:rPr>
          <w:rFonts w:ascii="Times New Roman;sans-serif" w:hAnsi="Times New Roman;sans-serif"/>
          <w:b w:val="false"/>
          <w:color w:val="000000"/>
          <w:sz w:val="22"/>
          <w:u w:val="single"/>
        </w:rPr>
        <w:t>Section 3(a)</w:t>
      </w:r>
      <w:r>
        <w:rPr>
          <w:color w:val="000000"/>
        </w:rPr>
        <w:t xml:space="preserve"> </w:t>
      </w:r>
      <w:r>
        <w:rPr>
          <w:rFonts w:ascii="Times New Roman;sans-serif" w:hAnsi="Times New Roman;sans-serif"/>
          <w:b w:val="false"/>
          <w:color w:val="000000"/>
          <w:sz w:val="22"/>
        </w:rPr>
        <w:t xml:space="preserve">of the Severance Agreement and complying with Participant’s obligations set forth in </w:t>
      </w:r>
      <w:r>
        <w:rPr>
          <w:rFonts w:ascii="Times New Roman;sans-serif" w:hAnsi="Times New Roman;sans-serif"/>
          <w:b w:val="false"/>
          <w:color w:val="000000"/>
          <w:sz w:val="22"/>
          <w:u w:val="single"/>
        </w:rPr>
        <w:t>Section 3(b)</w:t>
      </w:r>
      <w:r>
        <w:rPr>
          <w:color w:val="000000"/>
        </w:rPr>
        <w:t xml:space="preserve"> </w:t>
      </w:r>
      <w:r>
        <w:rPr>
          <w:rFonts w:ascii="Times New Roman;sans-serif" w:hAnsi="Times New Roman;sans-serif"/>
          <w:b w:val="false"/>
          <w:color w:val="000000"/>
          <w:sz w:val="22"/>
        </w:rPr>
        <w:t>of the Severance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(g)    </w:t>
      </w:r>
      <w:r>
        <w:rPr>
          <w:rFonts w:ascii="Times New Roman;sans-serif" w:hAnsi="Times New Roman;sans-serif"/>
          <w:b w:val="false"/>
          <w:color w:val="000000"/>
          <w:sz w:val="22"/>
          <w:u w:val="single"/>
        </w:rPr>
        <w:t>Determination of Pro-Rata Vesting</w:t>
      </w:r>
      <w:r>
        <w:rPr>
          <w:rFonts w:ascii="Times New Roman;sans-serif" w:hAnsi="Times New Roman;sans-serif"/>
          <w:b w:val="false"/>
          <w:color w:val="000000"/>
          <w:sz w:val="22"/>
        </w:rPr>
        <w:t xml:space="preserve">. For purposes of determining pro-rata vesting of PSUs under </w:t>
      </w:r>
      <w:r>
        <w:rPr>
          <w:rFonts w:ascii="Times New Roman;sans-serif" w:hAnsi="Times New Roman;sans-serif"/>
          <w:b w:val="false"/>
          <w:color w:val="000000"/>
          <w:sz w:val="22"/>
          <w:u w:val="single"/>
        </w:rPr>
        <w:t>Section 2(b) or 2(c)</w:t>
      </w:r>
      <w:r>
        <w:rPr>
          <w:rFonts w:ascii="Times New Roman;sans-serif" w:hAnsi="Times New Roman;sans-serif"/>
          <w:b w:val="false"/>
          <w:color w:val="000000"/>
          <w:sz w:val="22"/>
        </w:rPr>
        <w:t>, a “full month” means the period from the date of one calendar month to the same date the next calendar month (e.g., from May 15 to June 15), or the last day of the next calendar month if the date is the 29</w:t>
      </w:r>
      <w:r>
        <w:rPr>
          <w:rFonts w:ascii="Times New Roman;sans-serif" w:hAnsi="Times New Roman;sans-serif"/>
          <w:b w:val="false"/>
          <w:color w:val="000000"/>
          <w:sz w:val="14"/>
        </w:rPr>
        <w:t>th</w:t>
      </w:r>
      <w:r>
        <w:rPr>
          <w:rFonts w:ascii="Times New Roman;sans-serif" w:hAnsi="Times New Roman;sans-serif"/>
          <w:b w:val="false"/>
          <w:color w:val="000000"/>
          <w:sz w:val="22"/>
        </w:rPr>
        <w:t>, 30</w:t>
      </w:r>
      <w:r>
        <w:rPr>
          <w:rFonts w:ascii="Times New Roman;sans-serif" w:hAnsi="Times New Roman;sans-serif"/>
          <w:b w:val="false"/>
          <w:color w:val="000000"/>
          <w:sz w:val="14"/>
        </w:rPr>
        <w:t>th</w:t>
      </w:r>
      <w:r>
        <w:rPr>
          <w:rFonts w:ascii="Times New Roman;sans-serif" w:hAnsi="Times New Roman;sans-serif"/>
          <w:b w:val="false"/>
          <w:color w:val="000000"/>
          <w:sz w:val="22"/>
        </w:rPr>
        <w:t>, or 31</w:t>
      </w:r>
      <w:r>
        <w:rPr>
          <w:rFonts w:ascii="Times New Roman;sans-serif" w:hAnsi="Times New Roman;sans-serif"/>
          <w:b w:val="false"/>
          <w:color w:val="000000"/>
          <w:sz w:val="14"/>
        </w:rPr>
        <w:t>st</w:t>
      </w:r>
      <w:r>
        <w:rPr>
          <w:color w:val="000000"/>
        </w:rPr>
        <w:t xml:space="preserve"> </w:t>
      </w:r>
      <w:r>
        <w:rPr>
          <w:rFonts w:ascii="Times New Roman;sans-serif" w:hAnsi="Times New Roman;sans-serif"/>
          <w:b w:val="false"/>
          <w:color w:val="000000"/>
          <w:sz w:val="22"/>
        </w:rPr>
        <w:t xml:space="preserve">and the next calendar month does not have at least 29, 30 or 31 days, as the case may be. Any Performance Stock Units remaining unvested after any such determination </w:t>
      </w:r>
    </w:p>
    <w:p>
      <w:pPr>
        <w:pStyle w:val="TextBody"/>
        <w:bidi w:val="0"/>
        <w:spacing w:before="0" w:after="0"/>
        <w:jc w:val="center"/>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75260"/>
                <wp:effectExtent l="0" t="0" r="0" b="0"/>
                <wp:wrapNone/>
                <wp:docPr id="116" name="Frame1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2"/>
                              </w:rPr>
                              <w:t>-4-</w:t>
                            </w:r>
                            <w:r>
                              <w:rPr>
                                <w:color w:val="000000"/>
                              </w:rPr>
                              <w:t xml:space="preserve">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2"/>
                        </w:rPr>
                        <w:t>-4-</w:t>
                      </w:r>
                      <w:r>
                        <w:rPr>
                          <w:color w:val="000000"/>
                        </w:rPr>
                        <w:t xml:space="preserve"> </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of pro-rata vesting shall terminate and be forfeited at no cost to the Company and Participant will have no further rights with respect to such forfeited Performance Stock Units or any underlying Shares. </w:t>
      </w:r>
    </w:p>
    <w:p>
      <w:pPr>
        <w:pStyle w:val="TextBody"/>
        <w:bidi w:val="0"/>
        <w:spacing w:lineRule="auto" w:line="240" w:before="0" w:after="240"/>
        <w:ind w:left="0" w:right="0" w:firstLine="720"/>
        <w:jc w:val="both"/>
        <w:rPr/>
      </w:pPr>
      <w:r>
        <w:rPr>
          <w:rFonts w:ascii="Times New Roman;sans-serif" w:hAnsi="Times New Roman;sans-serif"/>
          <w:b/>
          <w:color w:val="000000"/>
          <w:sz w:val="22"/>
        </w:rPr>
        <w:t>3.    Tax Consequences, Withholding, and Liability</w:t>
      </w:r>
      <w:r>
        <w:rPr>
          <w:rFonts w:ascii="Times New Roman;sans-serif" w:hAnsi="Times New Roman;sans-serif"/>
          <w:b w:val="false"/>
          <w:color w:val="000000"/>
          <w:sz w:val="22"/>
        </w:rPr>
        <w:t xml:space="preserve">. </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    Participant understands that Participant may suffer adverse tax consequences as a result of the grant or vesting of the Performance Stock Units and issuance and/or disposition of the Shares. Participant understands that the actual tax consequences associated with the Performance Stock Units and Shares are complicated and depend, in part, on Participant’s specific situation and may also depend on the resolution of currently uncertain tax law and other variables not within the control of the Company. THEREFORE, PARTICIPANT SHOULD SEEK INDEPENDENT ADVICE REGARDING THE APPLICABLE PROVISIONS OF THE FEDERAL TAX LAW AND THE TAX LAWS OF ANY MUNICIPALITY, STATE OR NON-U.S. JURISDICTION TO WHICH PARTICIPANT IS SUBJECT. By accepting (through performance) the Performance Stock Units and any Shares, Participant acknowledges and agrees that Participant has either consulted with a competent tax advisor independent of the Company to obtain tax advice concerning the PSUs and Shares in light of Participant’s specific situation or has had the opportunity to consult with such a tax advisor and has chosen not to do so. Neither the Company nor any of its employees, counsel, or agents has provided to Participant, and Participant has not relied upon from the Company or any of its employees, counsel, or agents, any written or oral advice or representation regarding the U.S. federal, state, local or non-U.S. tax consequences of the receipt, ownership and vesting of the Performance Stock Units, the issuance of Shares in connection with vesting of the Performance Stock Units, the other transactions contemplated by this Notice, or the value of the Company or the PSUs or Shares at any time. With respect to such matters, Participant relies solely on Participant’s own advisors.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(b)    Participant (and not the Company) shall be responsible for Participant’s own tax liability that may arise as a result of the receipt, ownership and vesting of the Performance Stock Units, the issuance of Shares pursuant to the Performance Stock Units, or the other transactions contemplated by this Notice. Pursuant to such procedures as the Plan administrator may specify from time to time, the Company shall satisfy its obligations to pay withholding taxes or other tax deposits in connection with the receipt, ownership and/or vesting of the Performance Stock Units, the issuance of Shares pursuant to the Performance Stock Units, or the other transactions contemplated by this Notice in accordance with applicable law or regulation (the “</w:t>
      </w:r>
      <w:r>
        <w:rPr>
          <w:rFonts w:ascii="Times New Roman;sans-serif" w:hAnsi="Times New Roman;sans-serif"/>
          <w:b/>
          <w:color w:val="000000"/>
          <w:sz w:val="22"/>
        </w:rPr>
        <w:t>Tax Obligations</w:t>
      </w:r>
      <w:r>
        <w:rPr>
          <w:color w:val="000000"/>
        </w:rPr>
        <w:t>”</w:t>
      </w:r>
      <w:r>
        <w:rPr>
          <w:rFonts w:ascii="Times New Roman;sans-serif" w:hAnsi="Times New Roman;sans-serif"/>
          <w:b w:val="false"/>
          <w:color w:val="000000"/>
          <w:sz w:val="22"/>
        </w:rPr>
        <w:t>). If amounts paid by the Company in respect of Tax Obligations are less than Participant’s tax obligations, Participant is solely responsible for any additional taxes due. If amounts paid by the Company in respect of Tax Obligations exceed Participant’s tax obligations, Participant’s sole recourse will be against the relevant taxing authorities, and the Company and its Affiliates will have no obligation to issue additional Shares or pay cash to Participant in respect thereof. Participant is responsible for determining Participant’s actual income tax liabilities and making appropriate payments to the relevant taxing authorities to fulfill Participant’s tax obligations and avoid interest and penalties.</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    Payment by the Company or its Affiliate of the Tax Obligations will result in a commensurate obligation of Participant to pay, or cause to be paid, to the Company or its Affiliate, in accordance with Section 9(h) of the Plan, the amount of Tax Obligations so paid, and the Company shall not be required to issue any of the Shares or any interest in the Shares unless and until Participant has satisfied this obligation. To the extent determined appropriate by the Company in its discretion, it shall have the right (but not the obligation) to cause Participant to satisfy any or all Tax Obligations by withholding and retaining Shares otherwise deliverable to Participant having an aggregate Fair Market Value equal to the amount of such Tax Obligations. If, at the time Shares are to be issued, those Shares are not freely tradeable on a national securities exchange or market system (and for this purpose, a blackout pursuant to the Company’s insider trading policy will not be considered to render the Shares not freely tradeable), Participant may in Participant’s sole discretion satisfy the Tax Obligations by electing to have the Company withhold and retain such number of Shares otherwise deliverable to Participant, and/or by surrendering such number of Shares already delivered to Participant, having an aggregate Fair Market Value equal to the amount of such Tax Obligations. In order to satisfy the Tax Obligations, the Company will not withhold the amount of such Tax Obligations from Participant’s paycheck(s) and/or any other amounts payable to Participant unless the net proceeds from any automatic sale of certain shares of the </w:t>
      </w:r>
    </w:p>
    <w:p>
      <w:pPr>
        <w:pStyle w:val="TextBody"/>
        <w:bidi w:val="0"/>
        <w:spacing w:before="0" w:after="0"/>
        <w:jc w:val="center"/>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75260"/>
                <wp:effectExtent l="0" t="0" r="0" b="0"/>
                <wp:wrapNone/>
                <wp:docPr id="117" name="Frame1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2"/>
                              </w:rPr>
                              <w:t>-5-</w:t>
                            </w:r>
                            <w:r>
                              <w:rPr>
                                <w:color w:val="000000"/>
                              </w:rPr>
                              <w:t xml:space="preserve">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2"/>
                        </w:rPr>
                        <w:t>-5-</w:t>
                      </w:r>
                      <w:r>
                        <w:rPr>
                          <w:color w:val="000000"/>
                        </w:rPr>
                        <w:t xml:space="preserve"> </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 xml:space="preserve">Performance Stock as set forth in </w:t>
      </w:r>
      <w:r>
        <w:rPr>
          <w:rFonts w:ascii="Times New Roman;sans-serif" w:hAnsi="Times New Roman;sans-serif"/>
          <w:b w:val="false"/>
          <w:color w:val="000000"/>
          <w:sz w:val="22"/>
          <w:u w:val="single"/>
        </w:rPr>
        <w:t>Section 3(d)</w:t>
      </w:r>
      <w:r>
        <w:rPr>
          <w:color w:val="000000"/>
        </w:rPr>
        <w:t xml:space="preserve"> </w:t>
      </w:r>
      <w:r>
        <w:rPr>
          <w:rFonts w:ascii="Times New Roman;sans-serif" w:hAnsi="Times New Roman;sans-serif"/>
          <w:b w:val="false"/>
          <w:color w:val="000000"/>
          <w:sz w:val="22"/>
        </w:rPr>
        <w:t xml:space="preserve">below are not sufficient to satisfy such Tax Obligations in their entirety.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(d)    In the event that (i) Participant is not subject to the requirements of Section 16 of the Securities Exchange Act of 1934 on a date that the risk of forfeiture to the Company as described in this Notice lapses with respect to some or all of the Performance Stock Units (“</w:t>
      </w:r>
      <w:r>
        <w:rPr>
          <w:rFonts w:ascii="Times New Roman;sans-serif" w:hAnsi="Times New Roman;sans-serif"/>
          <w:b/>
          <w:color w:val="000000"/>
          <w:sz w:val="22"/>
        </w:rPr>
        <w:t>Lapse Date</w:t>
      </w:r>
      <w:r>
        <w:rPr>
          <w:color w:val="000000"/>
        </w:rPr>
        <w:t>”</w:t>
      </w:r>
      <w:r>
        <w:rPr>
          <w:rFonts w:ascii="Times New Roman;sans-serif" w:hAnsi="Times New Roman;sans-serif"/>
          <w:b w:val="false"/>
          <w:color w:val="000000"/>
          <w:sz w:val="22"/>
        </w:rPr>
        <w:t>) and (ii) Participant incurs a tax liability on such Lapse Date as a result of such lapse, then the Applicable Percentage (as defined below) of the Shares issuable pursuant to the Performance Stock Units with respect to which the risk of forfeiture shall have lapsed on the Lapse Date, shall be sold within an administratively reasonable period of time on or after the Lapse Date by a broker selected or approved by the Company at such fees and pursuant to such rules and process as the Company may reasonably approve. Participant will bear the brokerage fees and other costs associated with sales and related transmission of funds. The net proceeds from such sale shall be remitted to the relevant tax authorities as determined by the Company for Participant’s benefit in the amounts directed by the Company, or paid to the Company in reimbursement of any Tax Obligations paid by the Company, and any remaining net proceeds shall be delivered to Participant or a brokerage account maintained for Participant. For these purposes the “</w:t>
      </w:r>
      <w:r>
        <w:rPr>
          <w:rFonts w:ascii="Times New Roman;sans-serif" w:hAnsi="Times New Roman;sans-serif"/>
          <w:b/>
          <w:color w:val="000000"/>
          <w:sz w:val="22"/>
        </w:rPr>
        <w:t>Applicable Percentage</w:t>
      </w:r>
      <w:r>
        <w:rPr>
          <w:color w:val="000000"/>
        </w:rPr>
        <w:t xml:space="preserve">” </w:t>
      </w:r>
      <w:r>
        <w:rPr>
          <w:rFonts w:ascii="Times New Roman;sans-serif" w:hAnsi="Times New Roman;sans-serif"/>
          <w:b w:val="false"/>
          <w:color w:val="000000"/>
          <w:sz w:val="22"/>
        </w:rPr>
        <w:t xml:space="preserve">means, in the Company’s sole discretion, an amount reasonably expected to be required to satisfy any or all Tax Obligations and selling expenses. Participant shall have no right to affect or influence any adjustments that the Company may elect to make to the Applicable Percentage for this purpose. There is no assurance that the price at which Shares sold pursuant to this </w:t>
      </w:r>
      <w:r>
        <w:rPr>
          <w:rFonts w:ascii="Times New Roman;sans-serif" w:hAnsi="Times New Roman;sans-serif"/>
          <w:b w:val="false"/>
          <w:color w:val="000000"/>
          <w:sz w:val="22"/>
          <w:u w:val="single"/>
        </w:rPr>
        <w:t>Section 3(d)</w:t>
      </w:r>
      <w:r>
        <w:rPr>
          <w:color w:val="000000"/>
        </w:rPr>
        <w:t xml:space="preserve"> </w:t>
      </w:r>
      <w:r>
        <w:rPr>
          <w:rFonts w:ascii="Times New Roman;sans-serif" w:hAnsi="Times New Roman;sans-serif"/>
          <w:b w:val="false"/>
          <w:color w:val="000000"/>
          <w:sz w:val="22"/>
        </w:rPr>
        <w:t>will equal the value at which Shares vesting on the Lapse Date are taxed.</w:t>
      </w:r>
    </w:p>
    <w:p>
      <w:pPr>
        <w:pStyle w:val="TextBody"/>
        <w:bidi w:val="0"/>
        <w:spacing w:lineRule="auto" w:line="240" w:before="0" w:after="240"/>
        <w:ind w:left="0" w:right="0" w:firstLine="720"/>
        <w:jc w:val="both"/>
        <w:rPr/>
      </w:pPr>
      <w:r>
        <w:rPr>
          <w:rFonts w:ascii="Times New Roman;sans-serif" w:hAnsi="Times New Roman;sans-serif"/>
          <w:b/>
          <w:color w:val="000000"/>
          <w:sz w:val="22"/>
        </w:rPr>
        <w:t>4.    No Guarantee of Continued Service</w:t>
      </w:r>
      <w:r>
        <w:rPr>
          <w:rFonts w:ascii="Times New Roman;sans-serif" w:hAnsi="Times New Roman;sans-serif"/>
          <w:b w:val="false"/>
          <w:color w:val="000000"/>
          <w:sz w:val="22"/>
        </w:rPr>
        <w:t xml:space="preserve">. THE VESTING OF THE PERFORMANCE STOCK UNITS PURSUANT TO THE VESTING SCHEDULE APPLICABLE THERETO IS EARNED ONLY BY CONTINUOUS SERVICE AT THE WILL OF THE COMPANY (OR THE AFFILIATE OR SUBSIDIARY EMPLOYING OR RETAINING PARTICIPANT) AND NOT THROUGH THE ACT OF BEING HIRED, BEING GRANTED A PERFORMANCE STOCK UNIT AWARD OR ACQUIRING SHARES UPON VESTING OF PERFORMANCE STOCK UNITS. THIS NOTICE, THE TRANSACTIONS CONTEMPLATED HEREUNDER AND THE VESTING SCHEDULE APPLICABLE TO PERFORMANCE STOCK UNITS DO NOT CONSTITUTE AN EXPRESS OR IMPLIED PROMISE OF CONTINUED ENGAGEMENT TO PROVIDE SERVICE FOR THE VESTING PERIOD, FOR ANY PERIOD, OR AT ALL, AND SHALL NOT INTERFERE IN ANY WAY WITH PARTICIPANT’S RIGHT OR THE RIGHT OF THE COMPANY (OR THE AFFILIATE OR SUBSIDIARY EMPLOYING OR RETAINING PARTICIPANT) TO TERMINATE PARTICIPANT’S CONTINUOUS SERVICE AT ANY TIME, FOR ANY REASON OR NO REASON, WITH OR WITHOUT NOTICE, AND WITH OR WITHOUT CAUSE. </w:t>
      </w:r>
    </w:p>
    <w:p>
      <w:pPr>
        <w:pStyle w:val="TextBody"/>
        <w:bidi w:val="0"/>
        <w:spacing w:lineRule="auto" w:line="240" w:before="0" w:after="240"/>
        <w:ind w:left="0" w:right="0" w:firstLine="720"/>
        <w:jc w:val="both"/>
        <w:rPr>
          <w:rFonts w:ascii="Times New Roman;sans-serif" w:hAnsi="Times New Roman;sans-serif"/>
          <w:b/>
          <w:color w:val="000000"/>
          <w:sz w:val="22"/>
        </w:rPr>
      </w:pPr>
      <w:r>
        <w:rPr>
          <w:rFonts w:ascii="Times New Roman;sans-serif" w:hAnsi="Times New Roman;sans-serif"/>
          <w:b/>
          <w:color w:val="000000"/>
          <w:sz w:val="22"/>
        </w:rPr>
        <w:t xml:space="preserve">5.    Participant Representations. </w:t>
      </w:r>
    </w:p>
    <w:p>
      <w:pPr>
        <w:pStyle w:val="TextBody"/>
        <w:bidi w:val="0"/>
        <w:spacing w:lineRule="auto" w:line="240" w:before="0" w:after="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(a)    Participant acknowledges that (i) Participant was and is free to use professional advisors of Participant’s choice in connection with this Notice and grant of the Performance Stock Units; (ii) Participant understands this Notice and the meaning and consequences of receiving grants of PSUs and Shares issued upon vesting of PSUs; (iii) Participant has reviewed and understands this Notice and the Plan; (iv) receipt of the PSUs and any Shares issued upon vesting of the PSUs is voluntary and Participant is accepting the PSUs and any Shares issued freely and without coercion or duress; and (v) Participant has not received and is not relying, and will not rely, upon any advice, representations or assurances made by or on behalf of the Company or any of its Affiliates or any employee of or counsel to the Company or any of its Affiliates regarding any tax or other effects or implications of the PSUs or Shares or other matters contemplated by this award of Performance Stock Units.</w:t>
      </w:r>
    </w:p>
    <w:p>
      <w:pPr>
        <w:pStyle w:val="TextBody"/>
        <w:bidi w:val="0"/>
        <w:spacing w:before="0" w:after="0"/>
        <w:jc w:val="both"/>
        <w:rPr/>
      </w:pPr>
      <w:r>
        <w:rPr/>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(b)    Participant is aware of the Company’s business affairs and financial condition and understands that an investment in the Shares involves a high degree of risk. Participant has not received and is not relying, and will not rely, upon any advice, representations or assurances made by or on behalf of the Company or any of its Affiliates or any employee of or counsel to the Company or any of its Affiliates regarding the Company’s prospects or the value of the PSUs or Shares. </w:t>
      </w:r>
    </w:p>
    <w:p>
      <w:pPr>
        <w:pStyle w:val="TextBody"/>
        <w:bidi w:val="0"/>
        <w:spacing w:before="0" w:after="0"/>
        <w:jc w:val="center"/>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75260"/>
                <wp:effectExtent l="0" t="0" r="0" b="0"/>
                <wp:wrapNone/>
                <wp:docPr id="118" name="Frame1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2"/>
                              </w:rPr>
                              <w:t>-6-</w:t>
                            </w:r>
                            <w:r>
                              <w:rPr>
                                <w:color w:val="000000"/>
                              </w:rPr>
                              <w:t xml:space="preserve">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2"/>
                        </w:rPr>
                        <w:t>-6-</w:t>
                      </w:r>
                      <w:r>
                        <w:rPr>
                          <w:color w:val="000000"/>
                        </w:rPr>
                        <w:t xml:space="preserve"> </w:t>
                      </w:r>
                    </w:p>
                  </w:txbxContent>
                </v:textbox>
                <w10:wrap type="none"/>
              </v:rect>
            </w:pict>
          </mc:Fallback>
        </mc:AlternateContent>
      </w:r>
    </w:p>
    <w:p>
      <w:pPr>
        <w:pStyle w:val="TextBody"/>
        <w:bidi w:val="0"/>
        <w:spacing w:lineRule="auto" w:line="240" w:before="0" w:after="0"/>
        <w:ind w:left="0" w:right="0" w:firstLine="720"/>
        <w:jc w:val="both"/>
        <w:rPr/>
      </w:pPr>
      <w:r>
        <w:rPr>
          <w:rFonts w:ascii="Times New Roman;sans-serif" w:hAnsi="Times New Roman;sans-serif"/>
          <w:b/>
          <w:color w:val="000000"/>
          <w:sz w:val="22"/>
        </w:rPr>
        <w:t>6.    Additional Conditions to Issuance of Stock.</w:t>
      </w:r>
      <w:r>
        <w:rPr>
          <w:color w:val="000000"/>
        </w:rPr>
        <w:t xml:space="preserve"> </w:t>
      </w:r>
    </w:p>
    <w:p>
      <w:pPr>
        <w:pStyle w:val="TextBody"/>
        <w:bidi w:val="0"/>
        <w:spacing w:before="0" w:after="0"/>
        <w:ind w:left="0" w:right="0" w:firstLine="1440"/>
        <w:jc w:val="both"/>
        <w:rPr/>
      </w:pPr>
      <w:r>
        <w:rPr/>
      </w:r>
    </w:p>
    <w:p>
      <w:pPr>
        <w:pStyle w:val="TextBody"/>
        <w:bidi w:val="0"/>
        <w:spacing w:lineRule="auto" w:line="240" w:before="0" w:after="0"/>
        <w:ind w:left="0" w:right="0" w:firstLine="1440"/>
        <w:jc w:val="both"/>
        <w:rPr/>
      </w:pPr>
      <w:r>
        <w:rPr>
          <w:rFonts w:ascii="Times New Roman;sans-serif" w:hAnsi="Times New Roman;sans-serif"/>
          <w:b w:val="false"/>
          <w:color w:val="000000"/>
          <w:sz w:val="22"/>
        </w:rPr>
        <w:t>(a)    </w:t>
      </w:r>
      <w:r>
        <w:rPr>
          <w:rFonts w:ascii="Times New Roman;sans-serif" w:hAnsi="Times New Roman;sans-serif"/>
          <w:b w:val="false"/>
          <w:color w:val="000000"/>
          <w:sz w:val="22"/>
          <w:u w:val="single"/>
        </w:rPr>
        <w:t>Legal and Regulatory Compliance</w:t>
      </w:r>
      <w:r>
        <w:rPr>
          <w:rFonts w:ascii="Times New Roman;sans-serif" w:hAnsi="Times New Roman;sans-serif"/>
          <w:b w:val="false"/>
          <w:color w:val="000000"/>
          <w:sz w:val="22"/>
        </w:rPr>
        <w:t>. The issuance of Shares upon or after vesting of the Performance Stock Units shall be subject to compliance with all applicable requirements of federal, state or foreign law with respect to such securities. If at any time the Company determines, in its discretion, that the listing, registration or qualification of the Shares upon any securities exchange or under any state or federal law, or the consent or approval of any governmental regulatory authority is necessary as a condition to the issuance of Shares to Participant (or his or her estate), such issuance will not occur unless and until such listing, registration, qualification, consent or approval will have been effected or obtained free of any conditions not acceptable to the Company. If the Company determines that the issuance of any Shares will violate federal securities laws or other applicable laws or regulations or the requirements of any exchange or market system upon which the Shares are listed, the Company may defer issuance until the earliest date at which the Company reasonably anticipates that the issuance of Shares will no longer cause such violation. Accordingly, Participant may not be able to receive Shares when desired even though the Performance Stock Units have vested. The Company will make all reasonable efforts to meet the requirements of any such state or federal law or securities exchange and to obtain any such consent or approval of any such governmental authority, but the inability of the Company to obtain from any regulatory body having jurisdiction the authority, if any, deemed by the Company’s legal counsel to be necessary to the lawful issuance of any Shares shall relieve the Company of any liability in respect of the failure to issue such Shares as to which such requisite authority shall not have been obtained. As a condition to the issuance of Shares, the Company may require Participant to satisfy any qualifications that may be necessary or appropriate, to evidence compliance with any applicable law or regulation and to make any representation or warranty with respect thereto as may be requested by the Company. Without limiting the foregoing, if at the time of vesting of any Performance Stock Units, there is not in effect under the Securities Act of 1933, as amended (the “</w:t>
      </w:r>
      <w:r>
        <w:rPr>
          <w:rFonts w:ascii="Times New Roman;sans-serif" w:hAnsi="Times New Roman;sans-serif"/>
          <w:b/>
          <w:color w:val="000000"/>
          <w:sz w:val="22"/>
        </w:rPr>
        <w:t>Securities Act</w:t>
      </w:r>
      <w:r>
        <w:rPr>
          <w:color w:val="000000"/>
        </w:rPr>
        <w:t>”</w:t>
      </w:r>
      <w:r>
        <w:rPr>
          <w:rFonts w:ascii="Times New Roman;sans-serif" w:hAnsi="Times New Roman;sans-serif"/>
          <w:b w:val="false"/>
          <w:color w:val="000000"/>
          <w:sz w:val="22"/>
        </w:rPr>
        <w:t>), a registration statement covering the Shares to be issued, and available for delivery a prospectus meeting the requirements of Section 10(a)(3) of the Securities Act, Participant shall, if required by the Company, as a condition to vesting and issuance of the Shares, make appropriate representations in a form satisfactory to the Company to support issuance of the Shares in compliance with applicable laws and regulations, including to the effect that such Shares will not be sold other than (A) pursuant to an effective registration statement under the Securities Act, or an applicable exemption from the registration requirements of such Act; (B) in compliance with all applicable state securities laws and regulations; and (C) in compliance with all terms and conditions of the Plan, this Notice, and any other written agreement between Participant and the Company or any of its Affiliates.</w:t>
      </w:r>
    </w:p>
    <w:p>
      <w:pPr>
        <w:pStyle w:val="TextBody"/>
        <w:bidi w:val="0"/>
        <w:spacing w:before="0" w:after="0"/>
        <w:ind w:left="0" w:right="0" w:firstLine="1440"/>
        <w:jc w:val="both"/>
        <w:rPr/>
      </w:pPr>
      <w:r>
        <w:rPr/>
      </w:r>
    </w:p>
    <w:p>
      <w:pPr>
        <w:pStyle w:val="TextBody"/>
        <w:bidi w:val="0"/>
        <w:spacing w:lineRule="auto" w:line="240" w:before="0" w:after="0"/>
        <w:ind w:left="0" w:right="0" w:firstLine="1440"/>
        <w:jc w:val="both"/>
        <w:rPr/>
      </w:pPr>
      <w:r>
        <w:rPr>
          <w:rFonts w:ascii="Times New Roman;sans-serif" w:hAnsi="Times New Roman;sans-serif"/>
          <w:b w:val="false"/>
          <w:color w:val="000000"/>
          <w:sz w:val="22"/>
        </w:rPr>
        <w:t>(b)    </w:t>
      </w:r>
      <w:r>
        <w:rPr>
          <w:rFonts w:ascii="Times New Roman;sans-serif" w:hAnsi="Times New Roman;sans-serif"/>
          <w:b w:val="false"/>
          <w:color w:val="000000"/>
          <w:sz w:val="22"/>
          <w:u w:val="single"/>
        </w:rPr>
        <w:t>Obligations to the Company</w:t>
      </w:r>
      <w:r>
        <w:rPr>
          <w:rFonts w:ascii="Times New Roman;sans-serif" w:hAnsi="Times New Roman;sans-serif"/>
          <w:b w:val="false"/>
          <w:color w:val="000000"/>
          <w:sz w:val="22"/>
        </w:rPr>
        <w:t>. As a condition to receipt and vesting of any Performance Stock Units and issuance of Shares as a result of vesting, Participant must enter into the Company’s Intellectual Property Assignment and Confidential Information Agreement, or a similar or successor agreement for the protection of the Company’s intellectual property and confidential information, in form specified by the Company (the “</w:t>
      </w:r>
      <w:r>
        <w:rPr>
          <w:rFonts w:ascii="Times New Roman;sans-serif" w:hAnsi="Times New Roman;sans-serif"/>
          <w:b/>
          <w:color w:val="000000"/>
          <w:sz w:val="22"/>
        </w:rPr>
        <w:t>Proprietary Interests Agreement</w:t>
      </w:r>
      <w:r>
        <w:rPr>
          <w:color w:val="000000"/>
        </w:rPr>
        <w:t>”</w:t>
      </w:r>
      <w:r>
        <w:rPr>
          <w:rFonts w:ascii="Times New Roman;sans-serif" w:hAnsi="Times New Roman;sans-serif"/>
          <w:b w:val="false"/>
          <w:color w:val="000000"/>
          <w:sz w:val="22"/>
        </w:rPr>
        <w:t xml:space="preserve">), if Participant has not already done so, and Participant’s acceptance of Performance Stock Units and any Shares will constitute Participant’s agreement to the Proprietary Interests Agreement. If Participant breaches in any material respect the Proprietary Interests Agreement or any other contract between Participant and the Company, or Participant’s common law duty of confidentiality or trade secret protection, or any Company policy prohibiting misappropriation of property or any illegal or fraudulent acts, the Company may suspend any vesting of any Performance Stock Units or issuance of any Shares pending Participant’s cure of such breach, and if such breach cannot be cured or is not cured to the Company’s reasonable satisfaction within such time not less than twenty (20) days as the Company may specify, the Company may terminate any Performance Stock Units for which Shares have not been issued and will have no obligation to issue any Shares in respect of any such terminated Performance Stock Units or to provide any consideration to Participant in respect thereof. </w:t>
      </w:r>
    </w:p>
    <w:p>
      <w:pPr>
        <w:pStyle w:val="TextBody"/>
        <w:bidi w:val="0"/>
        <w:spacing w:before="0" w:after="0"/>
        <w:ind w:left="0" w:right="0" w:firstLine="1440"/>
        <w:jc w:val="both"/>
        <w:rPr/>
      </w:pPr>
      <w:r>
        <w:rPr/>
      </w:r>
    </w:p>
    <w:p>
      <w:pPr>
        <w:pStyle w:val="TextBody"/>
        <w:bidi w:val="0"/>
        <w:spacing w:lineRule="auto" w:line="304" w:before="0" w:after="240"/>
        <w:ind w:left="0" w:right="0" w:firstLine="720"/>
        <w:jc w:val="both"/>
        <w:rPr>
          <w:rFonts w:ascii="Times New Roman;sans-serif" w:hAnsi="Times New Roman;sans-serif"/>
          <w:b/>
          <w:color w:val="000000"/>
          <w:sz w:val="22"/>
        </w:rPr>
      </w:pPr>
      <w:r>
        <w:rPr>
          <w:rFonts w:ascii="Times New Roman;sans-serif" w:hAnsi="Times New Roman;sans-serif"/>
          <w:b/>
          <w:color w:val="000000"/>
          <w:sz w:val="22"/>
        </w:rPr>
        <w:t>7.    Handling of Shares; Restrictive Legends and Stop-Transfer Orders.</w:t>
      </w:r>
    </w:p>
    <w:p>
      <w:pPr>
        <w:pStyle w:val="TextBody"/>
        <w:bidi w:val="0"/>
        <w:spacing w:lineRule="auto" w:line="240" w:before="240" w:after="283"/>
        <w:ind w:left="0" w:right="0" w:firstLine="1440"/>
        <w:jc w:val="both"/>
        <w:rPr/>
      </w:pPr>
      <w:r>
        <w:rPr>
          <w:rFonts w:ascii="Times New Roman;sans-serif" w:hAnsi="Times New Roman;sans-serif"/>
          <w:b w:val="false"/>
          <w:color w:val="000000"/>
          <w:sz w:val="22"/>
        </w:rPr>
        <w:t>(a)    </w:t>
      </w:r>
      <w:r>
        <w:rPr>
          <w:rFonts w:ascii="Times New Roman;sans-serif" w:hAnsi="Times New Roman;sans-serif"/>
          <w:b w:val="false"/>
          <w:color w:val="000000"/>
          <w:sz w:val="22"/>
          <w:u w:val="single"/>
        </w:rPr>
        <w:t>Book Entries</w:t>
      </w:r>
      <w:r>
        <w:rPr>
          <w:rFonts w:ascii="Times New Roman;sans-serif" w:hAnsi="Times New Roman;sans-serif"/>
          <w:b w:val="false"/>
          <w:color w:val="000000"/>
          <w:sz w:val="22"/>
        </w:rPr>
        <w:t xml:space="preserve">. The Company will cause the Shares to be recorded in book entry or other electronic form and reflected in records maintained by or for the Company. </w:t>
      </w:r>
    </w:p>
    <w:p>
      <w:pPr>
        <w:pStyle w:val="TextBody"/>
        <w:bidi w:val="0"/>
        <w:jc w:val="both"/>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75260"/>
                <wp:effectExtent l="0" t="0" r="0" b="0"/>
                <wp:wrapNone/>
                <wp:docPr id="119" name="Frame1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2"/>
                              </w:rPr>
                              <w:t>-7-</w:t>
                            </w:r>
                            <w:r>
                              <w:rPr>
                                <w:color w:val="000000"/>
                              </w:rPr>
                              <w:t xml:space="preserve">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2"/>
                        </w:rPr>
                        <w:t>-7-</w:t>
                      </w:r>
                      <w:r>
                        <w:rPr>
                          <w:color w:val="000000"/>
                        </w:rPr>
                        <w:t xml:space="preserve"> </w:t>
                      </w:r>
                    </w:p>
                  </w:txbxContent>
                </v:textbox>
                <w10:wrap type="none"/>
              </v:rect>
            </w:pict>
          </mc:Fallback>
        </mc:AlternateContent>
      </w:r>
    </w:p>
    <w:p>
      <w:pPr>
        <w:pStyle w:val="TextBody"/>
        <w:bidi w:val="0"/>
        <w:spacing w:lineRule="auto" w:line="240" w:before="0" w:after="0"/>
        <w:ind w:left="0" w:right="0" w:firstLine="1440"/>
        <w:jc w:val="both"/>
        <w:rPr/>
      </w:pPr>
      <w:r>
        <w:rPr>
          <w:rFonts w:ascii="Times New Roman;sans-serif" w:hAnsi="Times New Roman;sans-serif"/>
          <w:b w:val="false"/>
          <w:color w:val="000000"/>
          <w:sz w:val="22"/>
        </w:rPr>
        <w:t>(b)    </w:t>
      </w:r>
      <w:r>
        <w:rPr>
          <w:rFonts w:ascii="Times New Roman;sans-serif" w:hAnsi="Times New Roman;sans-serif"/>
          <w:b w:val="false"/>
          <w:color w:val="000000"/>
          <w:sz w:val="22"/>
          <w:u w:val="single"/>
        </w:rPr>
        <w:t>Stop-Transfer Notices</w:t>
      </w:r>
      <w:r>
        <w:rPr>
          <w:rFonts w:ascii="Times New Roman;sans-serif" w:hAnsi="Times New Roman;sans-serif"/>
          <w:b w:val="false"/>
          <w:color w:val="000000"/>
          <w:sz w:val="22"/>
        </w:rPr>
        <w:t>. In order to ensure compliance with the restrictions referred to herein and Company policies, the Company may issue appropriate “stop transfer” instructions to its transfer agent, if any, and that, if the Company transfers its own securities, it may make appropriate notations to the same effect in its own records.</w:t>
      </w:r>
    </w:p>
    <w:p>
      <w:pPr>
        <w:pStyle w:val="TextBody"/>
        <w:bidi w:val="0"/>
        <w:spacing w:before="0" w:after="0"/>
        <w:jc w:val="both"/>
        <w:rPr/>
      </w:pPr>
      <w:r>
        <w:rPr/>
      </w:r>
    </w:p>
    <w:p>
      <w:pPr>
        <w:pStyle w:val="TextBody"/>
        <w:bidi w:val="0"/>
        <w:spacing w:lineRule="auto" w:line="240" w:before="0" w:after="0"/>
        <w:ind w:left="0" w:right="0" w:firstLine="1440"/>
        <w:jc w:val="both"/>
        <w:rPr/>
      </w:pPr>
      <w:r>
        <w:rPr>
          <w:rFonts w:ascii="Times New Roman;sans-serif" w:hAnsi="Times New Roman;sans-serif"/>
          <w:b w:val="false"/>
          <w:color w:val="000000"/>
          <w:sz w:val="22"/>
        </w:rPr>
        <w:t>(c)    </w:t>
      </w:r>
      <w:r>
        <w:rPr>
          <w:rFonts w:ascii="Times New Roman;sans-serif" w:hAnsi="Times New Roman;sans-serif"/>
          <w:b w:val="false"/>
          <w:color w:val="000000"/>
          <w:sz w:val="22"/>
          <w:u w:val="single"/>
        </w:rPr>
        <w:t>Refusal to Transfer</w:t>
      </w:r>
      <w:r>
        <w:rPr>
          <w:rFonts w:ascii="Times New Roman;sans-serif" w:hAnsi="Times New Roman;sans-serif"/>
          <w:b w:val="false"/>
          <w:color w:val="000000"/>
          <w:sz w:val="22"/>
        </w:rPr>
        <w:t>. The Company shall not be required (i) to transfer on its books any Shares that have been sold or otherwise transferred in violation of any of the provisions of this Notice or any other agreement to which the Shares are subject or any laws governing the Shares or (ii) to treat as owner of such Shares or to accord the right to vote or pay dividends to any purchaser or other transferee to whom such Shares shall have been so transferred.</w:t>
      </w:r>
    </w:p>
    <w:p>
      <w:pPr>
        <w:pStyle w:val="TextBody"/>
        <w:bidi w:val="0"/>
        <w:spacing w:before="0" w:after="0"/>
        <w:ind w:left="0" w:right="0" w:firstLine="1440"/>
        <w:jc w:val="both"/>
        <w:rPr/>
      </w:pPr>
      <w:r>
        <w:rPr/>
      </w:r>
    </w:p>
    <w:p>
      <w:pPr>
        <w:pStyle w:val="TextBody"/>
        <w:bidi w:val="0"/>
        <w:spacing w:lineRule="auto" w:line="240" w:before="0" w:after="240"/>
        <w:ind w:left="0" w:right="0" w:firstLine="720"/>
        <w:jc w:val="both"/>
        <w:rPr/>
      </w:pPr>
      <w:r>
        <w:rPr>
          <w:rFonts w:ascii="Times New Roman;sans-serif" w:hAnsi="Times New Roman;sans-serif"/>
          <w:b/>
          <w:color w:val="000000"/>
          <w:sz w:val="22"/>
        </w:rPr>
        <w:t xml:space="preserve">8.    Restrictions on Transfer. </w:t>
      </w:r>
      <w:r>
        <w:rPr>
          <w:rFonts w:ascii="Times New Roman;sans-serif" w:hAnsi="Times New Roman;sans-serif"/>
          <w:b w:val="false"/>
          <w:color w:val="000000"/>
          <w:sz w:val="22"/>
        </w:rPr>
        <w:t>Except as otherwise expressly provided in this Notice, the Performance Stock Units will not be transferred, assigned, pledged or hypothecated in any way (whether by operation of law or otherwise) and will not be subject to sale under execution, attachment or similar process. Upon any attempt to transfer, assign, pledge, hypothecate or otherwise dispose of the Performance Stock Units, or upon any attempted sale under any execution, attachment or similar process, the affected PSUs will become null and void. The Company may impose such restrictions, conditions or limitations as it determines appropriate as to the timing and manner of any resales by the Participant or other subsequent transfers by the Participant of any vested Shares, including without limitation (a) restrictions under an insider trading policy, (b) restrictions designed to delay and/or coordinate the timing and manner of sales by Participant and other holders, and (c) restrictions as to the use of a specified brokerage firm for such resales or other transfers.</w:t>
      </w:r>
    </w:p>
    <w:p>
      <w:pPr>
        <w:pStyle w:val="TextBody"/>
        <w:bidi w:val="0"/>
        <w:spacing w:lineRule="auto" w:line="240" w:before="0" w:after="240"/>
        <w:ind w:left="0" w:right="0" w:firstLine="720"/>
        <w:jc w:val="both"/>
        <w:rPr>
          <w:rFonts w:ascii="Times New Roman;sans-serif" w:hAnsi="Times New Roman;sans-serif"/>
          <w:b/>
          <w:color w:val="000000"/>
          <w:sz w:val="22"/>
        </w:rPr>
      </w:pPr>
      <w:r>
        <w:rPr>
          <w:rFonts w:ascii="Times New Roman;sans-serif" w:hAnsi="Times New Roman;sans-serif"/>
          <w:b/>
          <w:color w:val="000000"/>
          <w:sz w:val="22"/>
        </w:rPr>
        <w:t xml:space="preserve">9.    Additional Agreements.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(a)    </w:t>
      </w:r>
      <w:r>
        <w:rPr>
          <w:rFonts w:ascii="Times New Roman;sans-serif" w:hAnsi="Times New Roman;sans-serif"/>
          <w:b w:val="false"/>
          <w:color w:val="000000"/>
          <w:sz w:val="22"/>
          <w:u w:val="single"/>
        </w:rPr>
        <w:t>Electronic Delivery</w:t>
      </w:r>
      <w:r>
        <w:rPr>
          <w:rFonts w:ascii="Times New Roman;sans-serif" w:hAnsi="Times New Roman;sans-serif"/>
          <w:b w:val="false"/>
          <w:color w:val="000000"/>
          <w:sz w:val="22"/>
        </w:rPr>
        <w:t>. The Company may, in its sole discretion, decide to deliver any documents related to Performance Stock Units or Shares by electronic means or request Participant’s consent to participate in the Plan by electronic means. Participant hereby consents to receive such documents by electronic delivery and agrees to administration of this Notice, the PSUs and the Shares through any on-line or electronic system established and maintained by the Company or another third party designated by the Company.</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(b)    </w:t>
      </w:r>
      <w:r>
        <w:rPr>
          <w:rFonts w:ascii="Times New Roman;sans-serif" w:hAnsi="Times New Roman;sans-serif"/>
          <w:b w:val="false"/>
          <w:color w:val="000000"/>
          <w:sz w:val="22"/>
          <w:u w:val="single"/>
        </w:rPr>
        <w:t>Proprietary Information</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color w:val="000000"/>
          <w:sz w:val="22"/>
        </w:rPr>
        <w:t>Participant agrees that all financial and other information relating to the Company furnished to Participant constitutes “Proprietary Information” that is the property of the Company. Participant shall hold in confidence and not disclose or, except within the scope of Participant’s Continuous Service, use any Proprietary Information. Participant shall not be obligated under this paragraph with respect to information Participant can document is or becomes readily publicly available without restriction through no fault of Participant. Upon termination of Participant’s Continuous Service, Participant shall promptly return to Company all items containing or embodying Proprietary Information (including all copies). This paragraph supplements, but does not limit, any other agreement between Participant and the Company, or any applicable law, related to protection, ownership, or use of the Company’s information or property.</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(c)    </w:t>
      </w:r>
      <w:r>
        <w:rPr>
          <w:rFonts w:ascii="Times New Roman;sans-serif" w:hAnsi="Times New Roman;sans-serif"/>
          <w:b w:val="false"/>
          <w:color w:val="000000"/>
          <w:sz w:val="22"/>
          <w:u w:val="single"/>
        </w:rPr>
        <w:t>Consideration</w:t>
      </w:r>
      <w:r>
        <w:rPr>
          <w:rFonts w:ascii="Times New Roman;sans-serif" w:hAnsi="Times New Roman;sans-serif"/>
          <w:b w:val="false"/>
          <w:color w:val="000000"/>
          <w:sz w:val="22"/>
        </w:rPr>
        <w:t>. The Performance Stock Units and Shares are issued in consideration of services provided by Participant and/or other benefit to the corporation within the meaning of Section 152 of the General Corporation Law of the State of Delaware; Participant is not required to make any cash payment to the Company in respect of issuance of Performance Stock Units or Shares.</w:t>
      </w:r>
    </w:p>
    <w:p>
      <w:pPr>
        <w:pStyle w:val="TextBody"/>
        <w:bidi w:val="0"/>
        <w:spacing w:lineRule="auto" w:line="240" w:before="240" w:after="240"/>
        <w:ind w:left="0" w:right="0" w:firstLine="720"/>
        <w:jc w:val="both"/>
        <w:rPr/>
      </w:pPr>
      <w:r>
        <w:rPr>
          <w:rFonts w:ascii="Times New Roman;sans-serif" w:hAnsi="Times New Roman;sans-serif"/>
          <w:b/>
          <w:color w:val="000000"/>
          <w:sz w:val="22"/>
        </w:rPr>
        <w:t>10.    </w:t>
      </w:r>
      <w:r>
        <w:rPr>
          <w:rFonts w:ascii="Times New Roman;sans-serif" w:hAnsi="Times New Roman;sans-serif"/>
          <w:b/>
          <w:i/>
          <w:color w:val="000000"/>
          <w:sz w:val="22"/>
        </w:rPr>
        <w:t>Data Privacy</w:t>
      </w:r>
      <w:r>
        <w:rPr>
          <w:rFonts w:ascii="Times New Roman;sans-serif" w:hAnsi="Times New Roman;sans-serif"/>
          <w:b/>
          <w:color w:val="000000"/>
          <w:sz w:val="22"/>
        </w:rPr>
        <w:t xml:space="preserve">. </w:t>
      </w:r>
      <w:r>
        <w:rPr>
          <w:rFonts w:ascii="Times New Roman;sans-serif" w:hAnsi="Times New Roman;sans-serif"/>
          <w:b/>
          <w:i/>
          <w:color w:val="000000"/>
          <w:sz w:val="22"/>
        </w:rPr>
        <w:t>If Participant would like to participate in the Plan, Participant understands Participant will need to review and acknowledge the information provided in this Section 10, which describes the processing and/or transfer of personal data as described below.</w:t>
      </w:r>
    </w:p>
    <w:p>
      <w:pPr>
        <w:pStyle w:val="TextBody"/>
        <w:bidi w:val="0"/>
        <w:spacing w:lineRule="auto" w:line="240" w:before="0" w:after="240"/>
        <w:ind w:left="0" w:right="0" w:firstLine="1440"/>
        <w:jc w:val="both"/>
        <w:rPr/>
      </w:pPr>
      <w:r>
        <w:rPr>
          <w:rFonts w:ascii="Times New Roman;sans-serif" w:hAnsi="Times New Roman;sans-serif"/>
          <w:b/>
          <w:i/>
          <w:color w:val="000000"/>
          <w:sz w:val="22"/>
        </w:rPr>
        <w:t>(a)</w:t>
      </w:r>
      <w:r>
        <w:rPr>
          <w:rFonts w:ascii="Times New Roman;sans-serif" w:hAnsi="Times New Roman;sans-serif"/>
          <w:b/>
          <w:i/>
          <w:color w:val="000000"/>
          <w:sz w:val="22"/>
          <w:u w:val="single"/>
        </w:rPr>
        <w:t>EEA+ Controller</w:t>
      </w:r>
      <w:r>
        <w:rPr>
          <w:rFonts w:ascii="Times New Roman;sans-serif" w:hAnsi="Times New Roman;sans-serif"/>
          <w:b/>
          <w:i/>
          <w:color w:val="000000"/>
          <w:sz w:val="22"/>
        </w:rPr>
        <w:t>. If Participant is based in the European Union (“EU”), the European Economic Area or the United Kingdom (collectively “EEA+”), Participant should note that the Company, with its registered address at 1250 Broadway, 15</w:t>
      </w:r>
      <w:r>
        <w:rPr>
          <w:rFonts w:ascii="Times New Roman;sans-serif" w:hAnsi="Times New Roman;sans-serif"/>
          <w:b/>
          <w:i/>
          <w:color w:val="000000"/>
          <w:sz w:val="14"/>
        </w:rPr>
        <w:t>th</w:t>
      </w:r>
      <w:r>
        <w:rPr>
          <w:color w:val="000000"/>
        </w:rPr>
        <w:t xml:space="preserve"> </w:t>
      </w:r>
      <w:r>
        <w:rPr>
          <w:rFonts w:ascii="Times New Roman;sans-serif" w:hAnsi="Times New Roman;sans-serif"/>
          <w:b/>
          <w:i/>
          <w:color w:val="000000"/>
          <w:sz w:val="22"/>
        </w:rPr>
        <w:t xml:space="preserve">Floor, New York, New York, 10001 </w:t>
      </w:r>
    </w:p>
    <w:p>
      <w:pPr>
        <w:pStyle w:val="TextBody"/>
        <w:bidi w:val="0"/>
        <w:spacing w:before="0" w:after="0"/>
        <w:jc w:val="center"/>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75260"/>
                <wp:effectExtent l="0" t="0" r="0" b="0"/>
                <wp:wrapNone/>
                <wp:docPr id="120" name="Frame1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2"/>
                              </w:rPr>
                              <w:t>-8-</w:t>
                            </w:r>
                            <w:r>
                              <w:rPr>
                                <w:color w:val="000000"/>
                              </w:rPr>
                              <w:t xml:space="preserve">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2"/>
                        </w:rPr>
                        <w:t>-8-</w:t>
                      </w:r>
                      <w:r>
                        <w:rPr>
                          <w:color w:val="000000"/>
                        </w:rPr>
                        <w:t xml:space="preserve"> </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i/>
          <w:color w:val="000000"/>
          <w:sz w:val="22"/>
        </w:rPr>
      </w:pPr>
      <w:r>
        <w:rPr>
          <w:rFonts w:ascii="Times New Roman;sans-serif" w:hAnsi="Times New Roman;sans-serif"/>
          <w:b/>
          <w:i/>
          <w:color w:val="000000"/>
          <w:sz w:val="22"/>
        </w:rPr>
        <w:t>United States of America, is the controller responsible for the processing of Participant’s personal data in connection with this Notice and the Plan.</w:t>
      </w:r>
    </w:p>
    <w:p>
      <w:pPr>
        <w:pStyle w:val="TextBody"/>
        <w:bidi w:val="0"/>
        <w:spacing w:lineRule="auto" w:line="240" w:before="0" w:after="0"/>
        <w:ind w:left="0" w:right="0" w:firstLine="1440"/>
        <w:jc w:val="both"/>
        <w:rPr/>
      </w:pPr>
      <w:r>
        <w:rPr>
          <w:rFonts w:ascii="Times New Roman;sans-serif" w:hAnsi="Times New Roman;sans-serif"/>
          <w:b/>
          <w:i/>
          <w:color w:val="000000"/>
          <w:sz w:val="22"/>
        </w:rPr>
        <w:t>(b)</w:t>
      </w:r>
      <w:r>
        <w:rPr>
          <w:rFonts w:ascii="Times New Roman;sans-serif" w:hAnsi="Times New Roman;sans-serif"/>
          <w:b/>
          <w:i/>
          <w:color w:val="000000"/>
          <w:sz w:val="22"/>
          <w:u w:val="single"/>
        </w:rPr>
        <w:t>Data Collection and Usage</w:t>
      </w:r>
      <w:r>
        <w:rPr>
          <w:rFonts w:ascii="Times New Roman;sans-serif" w:hAnsi="Times New Roman;sans-serif"/>
          <w:b/>
          <w:i/>
          <w:color w:val="000000"/>
          <w:sz w:val="22"/>
        </w:rPr>
        <w:t>. The Company collects, uses and otherwise processes certain personal data about Participant, including, but not limited to, Participant’s name, home address and telephone number, email address, date of birth, social insurance number, passport or other identification number (e.g., resident registration number), salary, nationality, job title, any shares of stock or directorships held in the Company, details of all PSUs granted under the Plan or any other entitlement to shares of stock or equivalent benefits awarded, canceled, exercised, vested, unvested or outstanding in Participant’s favor, which the Company receives from Participant, the Subsidiary or Affiliate retaining Participant (the “Employer”) or otherwise in connection with this Notice or the Plan (“Data”), for the purposes of implementing, administering and managing the Plan and allocating Shares pursuant to the Plan.</w:t>
      </w:r>
    </w:p>
    <w:p>
      <w:pPr>
        <w:pStyle w:val="TextBody"/>
        <w:bidi w:val="0"/>
        <w:spacing w:before="0" w:after="0"/>
        <w:ind w:left="0" w:right="0" w:firstLine="1440"/>
        <w:jc w:val="both"/>
        <w:rPr/>
      </w:pPr>
      <w:r>
        <w:rPr/>
      </w:r>
    </w:p>
    <w:p>
      <w:pPr>
        <w:pStyle w:val="TextBody"/>
        <w:bidi w:val="0"/>
        <w:spacing w:lineRule="auto" w:line="240" w:before="0" w:after="240"/>
        <w:ind w:left="0" w:right="0" w:firstLine="1440"/>
        <w:jc w:val="both"/>
        <w:rPr/>
      </w:pPr>
      <w:r>
        <w:rPr>
          <w:rFonts w:ascii="Times New Roman;sans-serif" w:hAnsi="Times New Roman;sans-serif"/>
          <w:b/>
          <w:i/>
          <w:color w:val="000000"/>
          <w:sz w:val="22"/>
        </w:rPr>
        <w:t>(c)</w:t>
      </w:r>
      <w:r>
        <w:rPr>
          <w:rFonts w:ascii="Times New Roman;sans-serif" w:hAnsi="Times New Roman;sans-serif"/>
          <w:b/>
          <w:i/>
          <w:color w:val="000000"/>
          <w:sz w:val="22"/>
          <w:u w:val="single"/>
        </w:rPr>
        <w:t>Stock Plan Administration Service Providers</w:t>
      </w:r>
      <w:r>
        <w:rPr>
          <w:rFonts w:ascii="Times New Roman;sans-serif" w:hAnsi="Times New Roman;sans-serif"/>
          <w:b/>
          <w:i/>
          <w:color w:val="000000"/>
          <w:sz w:val="22"/>
        </w:rPr>
        <w:t>. Participant understands that the Company transfers Participant’s Data to ETRADE or another independent service provider, which is assisting the Company with the implementation, administration and management of the Plan. In the future, the Company may select a different service provider and share Data with such other provider serving in a similar manner. Such service provider will open an account for Participant to receive and trade Shares acquired under the Plan. Participant may be asked to agree on separate terms and data processing practices with any such service provider, with such agreement being a condition to the ability to participate in the Plan.</w:t>
      </w:r>
    </w:p>
    <w:p>
      <w:pPr>
        <w:pStyle w:val="TextBody"/>
        <w:bidi w:val="0"/>
        <w:spacing w:lineRule="auto" w:line="240" w:before="0" w:after="240"/>
        <w:ind w:left="0" w:right="0" w:firstLine="1440"/>
        <w:jc w:val="both"/>
        <w:rPr/>
      </w:pPr>
      <w:r>
        <w:rPr>
          <w:rFonts w:ascii="Times New Roman;sans-serif" w:hAnsi="Times New Roman;sans-serif"/>
          <w:b/>
          <w:i/>
          <w:color w:val="000000"/>
          <w:sz w:val="22"/>
        </w:rPr>
        <w:t>(d)</w:t>
      </w:r>
      <w:r>
        <w:rPr>
          <w:rFonts w:ascii="Times New Roman;sans-serif" w:hAnsi="Times New Roman;sans-serif"/>
          <w:b/>
          <w:i/>
          <w:color w:val="000000"/>
          <w:sz w:val="22"/>
          <w:u w:val="single"/>
        </w:rPr>
        <w:t>International Data Transfers.</w:t>
      </w:r>
      <w:r>
        <w:rPr>
          <w:color w:val="000000"/>
        </w:rPr>
        <w:t xml:space="preserve"> </w:t>
      </w:r>
      <w:r>
        <w:rPr>
          <w:rFonts w:ascii="Times New Roman;sans-serif" w:hAnsi="Times New Roman;sans-serif"/>
          <w:b/>
          <w:i/>
          <w:color w:val="000000"/>
          <w:sz w:val="22"/>
        </w:rPr>
        <w:t xml:space="preserve">Participant understands that the Company and, as of the date hereof, any third parties assisting in the implementation, administration and management of the Plan are based in the United States. If Participant is located outside the United States, Participant understands and acknowledges that Participant’s country may have enacted data privacy laws that are different from the laws of the United States. </w:t>
      </w:r>
    </w:p>
    <w:p>
      <w:pPr>
        <w:pStyle w:val="TextBody"/>
        <w:bidi w:val="0"/>
        <w:spacing w:lineRule="auto" w:line="240" w:before="0" w:after="240"/>
        <w:ind w:left="0" w:right="0" w:firstLine="1440"/>
        <w:jc w:val="both"/>
        <w:rPr/>
      </w:pPr>
      <w:r>
        <w:rPr>
          <w:rFonts w:ascii="Times New Roman;sans-serif" w:hAnsi="Times New Roman;sans-serif"/>
          <w:b/>
          <w:i/>
          <w:color w:val="000000"/>
          <w:sz w:val="22"/>
        </w:rPr>
        <w:t>(e)</w:t>
      </w:r>
      <w:r>
        <w:rPr>
          <w:rFonts w:ascii="Times New Roman;sans-serif" w:hAnsi="Times New Roman;sans-serif"/>
          <w:b/>
          <w:i/>
          <w:color w:val="000000"/>
          <w:sz w:val="22"/>
          <w:u w:val="single"/>
        </w:rPr>
        <w:t>Data Retention</w:t>
      </w:r>
      <w:r>
        <w:rPr>
          <w:rFonts w:ascii="Times New Roman;sans-serif" w:hAnsi="Times New Roman;sans-serif"/>
          <w:b/>
          <w:i/>
          <w:color w:val="000000"/>
          <w:sz w:val="22"/>
        </w:rPr>
        <w:t>. The Company will hold and use the Data only as long as is necessary to implement, administer and manage Participant’s participation in the Plan, or as required to comply with legal or regulatory obligations, including under tax and securities laws.</w:t>
      </w:r>
    </w:p>
    <w:p>
      <w:pPr>
        <w:pStyle w:val="TextBody"/>
        <w:bidi w:val="0"/>
        <w:spacing w:lineRule="auto" w:line="240" w:before="0" w:after="240"/>
        <w:ind w:left="0" w:right="0" w:firstLine="1440"/>
        <w:jc w:val="both"/>
        <w:rPr/>
      </w:pPr>
      <w:r>
        <w:rPr>
          <w:rFonts w:ascii="Times New Roman;sans-serif" w:hAnsi="Times New Roman;sans-serif"/>
          <w:b/>
          <w:i/>
          <w:color w:val="000000"/>
          <w:sz w:val="22"/>
        </w:rPr>
        <w:t>(f)</w:t>
      </w:r>
      <w:r>
        <w:rPr>
          <w:rFonts w:ascii="Times New Roman;sans-serif" w:hAnsi="Times New Roman;sans-serif"/>
          <w:b/>
          <w:i/>
          <w:color w:val="000000"/>
          <w:sz w:val="22"/>
          <w:u w:val="single"/>
        </w:rPr>
        <w:t>Necessary Disclosure of Personal Data</w:t>
      </w:r>
      <w:r>
        <w:rPr>
          <w:rFonts w:ascii="Times New Roman;sans-serif" w:hAnsi="Times New Roman;sans-serif"/>
          <w:b/>
          <w:i/>
          <w:color w:val="000000"/>
          <w:sz w:val="22"/>
        </w:rPr>
        <w:t>. Participant understands that providing the Company with Data is necessary for the performance of this Notice and that Participant’s refusal to provide Data would make it impossible for the Company to perform its contractual obligations, grant Restricted Stock Units under the Plan to Participant or administer or maintain the Plan, and may affect Participant’s ability to participate in the Plan.</w:t>
      </w:r>
    </w:p>
    <w:p>
      <w:pPr>
        <w:pStyle w:val="TextBody"/>
        <w:bidi w:val="0"/>
        <w:spacing w:lineRule="auto" w:line="304" w:before="0" w:after="240"/>
        <w:ind w:left="0" w:right="0" w:firstLine="720"/>
        <w:jc w:val="both"/>
        <w:rPr>
          <w:rFonts w:ascii="Times New Roman;sans-serif" w:hAnsi="Times New Roman;sans-serif"/>
          <w:b/>
          <w:color w:val="000000"/>
          <w:sz w:val="22"/>
        </w:rPr>
      </w:pPr>
      <w:r>
        <w:rPr>
          <w:rFonts w:ascii="Times New Roman;sans-serif" w:hAnsi="Times New Roman;sans-serif"/>
          <w:b/>
          <w:color w:val="000000"/>
          <w:sz w:val="22"/>
        </w:rPr>
        <w:t>11.    General.</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(a)    </w:t>
      </w:r>
      <w:r>
        <w:rPr>
          <w:rFonts w:ascii="Times New Roman;sans-serif" w:hAnsi="Times New Roman;sans-serif"/>
          <w:b w:val="false"/>
          <w:color w:val="000000"/>
          <w:sz w:val="22"/>
          <w:u w:val="single"/>
        </w:rPr>
        <w:t>No Waiver; Remedies</w:t>
      </w:r>
      <w:r>
        <w:rPr>
          <w:rFonts w:ascii="Times New Roman;sans-serif" w:hAnsi="Times New Roman;sans-serif"/>
          <w:b w:val="false"/>
          <w:color w:val="000000"/>
          <w:sz w:val="22"/>
        </w:rPr>
        <w:t>. Either party’s failure to enforce any provision of this Notice shall not in any way be construed as a waiver of any such provision, or prevent that party from thereafter enforcing such provision and each and every other provision of this Notice. The rights granted both parties herein are cumulative and shall not constitute a waiver of either party’s right to assert all other legal remedies available to it under the circumstances.</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(b)    </w:t>
      </w:r>
      <w:r>
        <w:rPr>
          <w:rFonts w:ascii="Times New Roman;sans-serif" w:hAnsi="Times New Roman;sans-serif"/>
          <w:b w:val="false"/>
          <w:color w:val="000000"/>
          <w:sz w:val="22"/>
          <w:u w:val="single"/>
        </w:rPr>
        <w:t>Successors and Assigns</w:t>
      </w:r>
      <w:r>
        <w:rPr>
          <w:rFonts w:ascii="Times New Roman;sans-serif" w:hAnsi="Times New Roman;sans-serif"/>
          <w:b w:val="false"/>
          <w:color w:val="000000"/>
          <w:sz w:val="22"/>
        </w:rPr>
        <w:t>. The terms of this Notice shall inure to the benefit of the successors and assigns of the Company. Subject to the restrictions on transfer herein set forth, the terms of this Notice shall be binding upon Participant and Participant’s heirs, executors, administrators, successors and assigns. The rights and obligations of Participant under this Notice may only be assigned with the prior written consent of the Company.</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(c)    </w:t>
      </w:r>
      <w:r>
        <w:rPr>
          <w:rFonts w:ascii="Times New Roman;sans-serif" w:hAnsi="Times New Roman;sans-serif"/>
          <w:b w:val="false"/>
          <w:color w:val="000000"/>
          <w:sz w:val="22"/>
          <w:u w:val="single"/>
        </w:rPr>
        <w:t>Notices</w:t>
      </w:r>
      <w:r>
        <w:rPr>
          <w:rFonts w:ascii="Times New Roman;sans-serif" w:hAnsi="Times New Roman;sans-serif"/>
          <w:b w:val="false"/>
          <w:color w:val="000000"/>
          <w:sz w:val="22"/>
        </w:rPr>
        <w:t xml:space="preserve">. Any notice hereunder shall be in writing (which shall include electronic transmission) and shall be deemed received (i) the business day following electronic verification of receipt if sent electronically, (ii) upon personal delivery to the party to whom the notice is directed, (iii) </w:t>
      </w:r>
    </w:p>
    <w:p>
      <w:pPr>
        <w:pStyle w:val="TextBody"/>
        <w:bidi w:val="0"/>
        <w:spacing w:before="0" w:after="0"/>
        <w:jc w:val="center"/>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75260"/>
                <wp:effectExtent l="0" t="0" r="0" b="0"/>
                <wp:wrapNone/>
                <wp:docPr id="121" name="Frame1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2"/>
                              </w:rPr>
                              <w:t>-9-</w:t>
                            </w:r>
                            <w:r>
                              <w:rPr>
                                <w:color w:val="000000"/>
                              </w:rPr>
                              <w:t xml:space="preserve">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2"/>
                        </w:rPr>
                        <w:t>-9-</w:t>
                      </w:r>
                      <w:r>
                        <w:rPr>
                          <w:color w:val="000000"/>
                        </w:rPr>
                        <w:t xml:space="preserve"> </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business day following deposit with a reputable overnight courier, or (iv) five days after deposit in the U.S. mail, First Class with postage prepaid. Notice shall be addressed to the Company at its principal executive office and to Participant at the address that he or she most recently provided to the Company. Participant agrees that it is Participant’s responsibility to notify the Company of any changes to his or her mailing address so that Participant may receive any shareholder information to be delivered by regular mail.</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(d)    </w:t>
      </w:r>
      <w:r>
        <w:rPr>
          <w:rFonts w:ascii="Times New Roman;sans-serif" w:hAnsi="Times New Roman;sans-serif"/>
          <w:b w:val="false"/>
          <w:color w:val="000000"/>
          <w:sz w:val="22"/>
          <w:u w:val="single"/>
        </w:rPr>
        <w:t>Interpretation</w:t>
      </w:r>
      <w:r>
        <w:rPr>
          <w:rFonts w:ascii="Times New Roman;sans-serif" w:hAnsi="Times New Roman;sans-serif"/>
          <w:b w:val="false"/>
          <w:color w:val="000000"/>
          <w:sz w:val="22"/>
        </w:rPr>
        <w:t xml:space="preserve">. Headings herein are for convenience of reference only, do not constitute a part of this Notice, and will not affect the meaning or interpretation of this Notice. References herein to Sections are references to the referenced Section hereof, unless otherwise specified. The Board or its Committee will have the power to interpret the Plan and this Notice and to adopt such rules for the administration, interpretation and application of the Plan and this Notice as are consistent therewith and to interpret or revoke any such rules (including, but not limited to, the determination of whether or not any Performance Stock Units have vested). All actions taken and all interpretations and determinations made by the Board or its Committee in good faith will be final and binding upon Participant, the Company and all other interested persons. Neither the Board or its Committee nor any person acting on behalf of the Board or its Committee will be personally liable for any action, determination or interpretation made in good faith with respect to the Plan or this Notice.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(e)    </w:t>
      </w:r>
      <w:r>
        <w:rPr>
          <w:rFonts w:ascii="Times New Roman;sans-serif" w:hAnsi="Times New Roman;sans-serif"/>
          <w:b w:val="false"/>
          <w:color w:val="000000"/>
          <w:sz w:val="22"/>
          <w:u w:val="single"/>
        </w:rPr>
        <w:t>Modifications to Notice</w:t>
      </w:r>
      <w:r>
        <w:rPr>
          <w:rFonts w:ascii="Times New Roman;sans-serif" w:hAnsi="Times New Roman;sans-serif"/>
          <w:b w:val="false"/>
          <w:color w:val="000000"/>
          <w:sz w:val="22"/>
        </w:rPr>
        <w:t>. Modifications to this Notice can be made only in an express written contract executed by a duly authorized officer of the Company and shall not require the consent of the Participant unless such modification would materially adversely affect the rights of the Participant hereunder. Notwithstanding anything to the contrary in the Plan or this Notice, the Company reserves the right to revise this Notice as it deems necessary or advisable, in its sole discretion and without the consent of Participant, to comply with Section 409A or to otherwise avoid imposition of any additional tax or income recognition under Section 409A in connection to this award of Performance Stock Units.</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(f)    </w:t>
      </w:r>
      <w:r>
        <w:rPr>
          <w:rFonts w:ascii="Times New Roman;sans-serif" w:hAnsi="Times New Roman;sans-serif"/>
          <w:b w:val="false"/>
          <w:color w:val="000000"/>
          <w:sz w:val="22"/>
          <w:u w:val="single"/>
        </w:rPr>
        <w:t>Governing Law; Severability</w:t>
      </w:r>
      <w:r>
        <w:rPr>
          <w:rFonts w:ascii="Times New Roman;sans-serif" w:hAnsi="Times New Roman;sans-serif"/>
          <w:b w:val="false"/>
          <w:color w:val="000000"/>
          <w:sz w:val="22"/>
        </w:rPr>
        <w:t xml:space="preserve">. This Notice is governed by the internal substantive laws, but not the choice of law rules, of Delaware. If any provision of this Notice becomes or is declared by a court or arbitrator having jurisdiction over a dispute hereunder to be illegal, unenforceable or void, such provision shall be amended to the extent necessary to conform to applicable law so as to be valid and enforceable and to achieve, to the extent possible, the economic, business and other purposes of such illegal, unenforceable, or void provision or, if such provision cannot be so amended without materially altering the intention of the parties, then such provision shall deleted from this Notice and the remainder of this Notice shall continue in full force and effect.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(g)    </w:t>
      </w:r>
      <w:r>
        <w:rPr>
          <w:rFonts w:ascii="Times New Roman;sans-serif" w:hAnsi="Times New Roman;sans-serif"/>
          <w:b w:val="false"/>
          <w:color w:val="000000"/>
          <w:sz w:val="22"/>
          <w:u w:val="single"/>
        </w:rPr>
        <w:t>Entire Agreement</w:t>
      </w:r>
      <w:r>
        <w:rPr>
          <w:rFonts w:ascii="Times New Roman;sans-serif" w:hAnsi="Times New Roman;sans-serif"/>
          <w:b w:val="false"/>
          <w:color w:val="000000"/>
          <w:sz w:val="22"/>
        </w:rPr>
        <w:t>. The Plan and this Notice form a contract and constitute the entire understanding between Participant and the Company with respect to the PSUs and the Shares issuable upon vesting of the PSUs and supersede in their entirety all prior undertakings and agreements of the Company and Participant with respect thereto.</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(h)    </w:t>
      </w:r>
      <w:r>
        <w:rPr>
          <w:rFonts w:ascii="Times New Roman;sans-serif" w:hAnsi="Times New Roman;sans-serif"/>
          <w:b w:val="false"/>
          <w:color w:val="000000"/>
          <w:sz w:val="22"/>
          <w:u w:val="single"/>
        </w:rPr>
        <w:t>Appendix</w:t>
      </w:r>
      <w:r>
        <w:rPr>
          <w:rFonts w:ascii="Times New Roman;sans-serif" w:hAnsi="Times New Roman;sans-serif"/>
          <w:b w:val="false"/>
          <w:color w:val="000000"/>
          <w:sz w:val="22"/>
        </w:rPr>
        <w:t>. The award of PSUs shall be subject to any additional terms and conditions for Non-U.S. Employees set forth in Appendix A attached hereto (“</w:t>
      </w:r>
      <w:r>
        <w:rPr>
          <w:rFonts w:ascii="Times New Roman;sans-serif" w:hAnsi="Times New Roman;sans-serif"/>
          <w:b/>
          <w:color w:val="000000"/>
          <w:sz w:val="22"/>
        </w:rPr>
        <w:t>Appendix A</w:t>
      </w:r>
      <w:r>
        <w:rPr>
          <w:color w:val="000000"/>
        </w:rPr>
        <w:t>”</w:t>
      </w:r>
      <w:r>
        <w:rPr>
          <w:rFonts w:ascii="Times New Roman;sans-serif" w:hAnsi="Times New Roman;sans-serif"/>
          <w:b w:val="false"/>
          <w:color w:val="000000"/>
          <w:sz w:val="22"/>
        </w:rPr>
        <w:t>) and any special terms and conditions for Participant’s country set forth in Appendix B attached hereto (“</w:t>
      </w:r>
      <w:r>
        <w:rPr>
          <w:rFonts w:ascii="Times New Roman;sans-serif" w:hAnsi="Times New Roman;sans-serif"/>
          <w:b/>
          <w:color w:val="000000"/>
          <w:sz w:val="22"/>
        </w:rPr>
        <w:t>Appendix B</w:t>
      </w:r>
      <w:r>
        <w:rPr>
          <w:color w:val="000000"/>
        </w:rPr>
        <w:t>”</w:t>
      </w:r>
      <w:r>
        <w:rPr>
          <w:rFonts w:ascii="Times New Roman;sans-serif" w:hAnsi="Times New Roman;sans-serif"/>
          <w:b w:val="false"/>
          <w:color w:val="000000"/>
          <w:sz w:val="22"/>
        </w:rPr>
        <w:t>). Moreover, if Participant relocates to one of the countries included in Appendix B, the special terms and conditions for such country will apply to Participant to the extent the Company determines that the application of such terms and conditions is necessary or advisable for legal or administrative reasons. Appendix A and Appendix B constitute part of the Notice.</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(i)    </w:t>
      </w:r>
      <w:r>
        <w:rPr>
          <w:rFonts w:ascii="Times New Roman;sans-serif" w:hAnsi="Times New Roman;sans-serif"/>
          <w:b w:val="false"/>
          <w:color w:val="000000"/>
          <w:sz w:val="22"/>
          <w:u w:val="single"/>
        </w:rPr>
        <w:t>Imposition of Other Requirements</w:t>
      </w:r>
      <w:r>
        <w:rPr>
          <w:rFonts w:ascii="Times New Roman;sans-serif" w:hAnsi="Times New Roman;sans-serif"/>
          <w:b w:val="false"/>
          <w:color w:val="000000"/>
          <w:sz w:val="22"/>
        </w:rPr>
        <w:t>. The Company reserves the right to impose other requirements on Participant’s participation in the Plan, on the PSUs and on any Shares acquired under the Plan, to the extent the Company determines it is necessary or advisable for legal or administrative reasons, and to require Participant to sign any additional agreements or undertakings that may be necessary to accomplish the foregoing.</w:t>
      </w:r>
    </w:p>
    <w:p>
      <w:pPr>
        <w:pStyle w:val="TextBody"/>
        <w:bidi w:val="0"/>
        <w:spacing w:before="0" w:after="0"/>
        <w:jc w:val="center"/>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75260"/>
                <wp:effectExtent l="0" t="0" r="0" b="0"/>
                <wp:wrapNone/>
                <wp:docPr id="122" name="Frame1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2"/>
                              </w:rPr>
                              <w:t>-10-</w:t>
                            </w:r>
                            <w:r>
                              <w:rPr>
                                <w:color w:val="000000"/>
                              </w:rPr>
                              <w:t xml:space="preserve">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2"/>
                        </w:rPr>
                        <w:t>-10-</w:t>
                      </w:r>
                      <w:r>
                        <w:rPr>
                          <w:color w:val="000000"/>
                        </w:rPr>
                        <w:t xml:space="preserve"> </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(j)    </w:t>
      </w:r>
      <w:r>
        <w:rPr>
          <w:rFonts w:ascii="Times New Roman;sans-serif" w:hAnsi="Times New Roman;sans-serif"/>
          <w:b w:val="false"/>
          <w:color w:val="000000"/>
          <w:sz w:val="22"/>
          <w:u w:val="single"/>
        </w:rPr>
        <w:t>Insider Trading/Market Abuse</w:t>
      </w:r>
      <w:r>
        <w:rPr>
          <w:rFonts w:ascii="Times New Roman;sans-serif" w:hAnsi="Times New Roman;sans-serif"/>
          <w:b w:val="false"/>
          <w:color w:val="000000"/>
          <w:sz w:val="22"/>
        </w:rPr>
        <w:t xml:space="preserve">. Participant acknowledges that, depending on Participant’s or Participant’s broker’s country or where the Shares are listed, Participant may be subject to insider trading restrictions and/or market abuse laws which may affect Participant’s ability to acquire, sell or otherwise dispose of Shares, rights to Shares or rights linked to the value of shares during such times Participant is considered to have “inside information” regarding the Company (as defined in the laws or regulations in the applicable jurisdictions).  Local insider trading laws and regulations may prohibit the cancellation or amendment of orders Participant placed before Participant possessed inside information.  Furthermore, Participant could be prohibited from (i) disclosing the inside information to any third party and (ii) “tipping” third parties (including fellow employees) or causing them otherwise to buy or sell securities. Any restrictions under these laws or regulations are separate from and in addition to any restrictions that may be imposed under any applicable insider trading policy of the Company.  Participant is responsible for complying with any restrictions and should speak to their personal advisor on this matter. </w:t>
      </w:r>
    </w:p>
    <w:p>
      <w:pPr>
        <w:pStyle w:val="TextBody"/>
        <w:bidi w:val="0"/>
        <w:spacing w:before="0" w:after="240"/>
        <w:ind w:left="0" w:right="0" w:firstLine="1440"/>
        <w:jc w:val="both"/>
        <w:rPr/>
      </w:pPr>
      <w:r>
        <w:rPr/>
      </w:r>
    </w:p>
    <w:p>
      <w:pPr>
        <w:pStyle w:val="TextBody"/>
        <w:bidi w:val="0"/>
        <w:spacing w:before="0" w:after="240"/>
        <w:ind w:left="0" w:right="0" w:firstLine="1440"/>
        <w:jc w:val="both"/>
        <w:rPr/>
      </w:pPr>
      <w:r>
        <w:rPr/>
      </w:r>
    </w:p>
    <w:p>
      <w:pPr>
        <w:pStyle w:val="TextBody"/>
        <w:bidi w:val="0"/>
        <w:spacing w:before="0" w:after="240"/>
        <w:ind w:left="0" w:right="0" w:firstLine="1440"/>
        <w:jc w:val="both"/>
        <w:rPr/>
      </w:pPr>
      <w:r>
        <w:rPr/>
      </w:r>
    </w:p>
    <w:p>
      <w:pPr>
        <w:pStyle w:val="TextBody"/>
        <w:bidi w:val="0"/>
        <w:spacing w:before="0" w:after="240"/>
        <w:ind w:left="0" w:right="0" w:firstLine="1440"/>
        <w:jc w:val="both"/>
        <w:rPr/>
      </w:pPr>
      <w:r>
        <w:rPr/>
      </w:r>
    </w:p>
    <w:tbl>
      <w:tblPr>
        <w:tblW w:w="2294" w:type="dxa"/>
        <w:jc w:val="left"/>
        <w:tblInd w:w="0" w:type="dxa"/>
        <w:tblLayout w:type="fixed"/>
        <w:tblCellMar>
          <w:top w:w="28" w:type="dxa"/>
          <w:left w:w="28" w:type="dxa"/>
          <w:bottom w:w="28" w:type="dxa"/>
          <w:right w:w="28" w:type="dxa"/>
        </w:tblCellMar>
      </w:tblPr>
      <w:tblGrid>
        <w:gridCol w:w="288"/>
        <w:gridCol w:w="253"/>
        <w:gridCol w:w="254"/>
        <w:gridCol w:w="438"/>
        <w:gridCol w:w="438"/>
        <w:gridCol w:w="623"/>
      </w:tblGrid>
      <w:tr>
        <w:trPr/>
        <w:tc>
          <w:tcPr>
            <w:tcW w:w="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Dated: </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both"/>
              <w:rPr/>
            </w:pPr>
            <w:r>
              <w:rPr>
                <w:rFonts w:ascii="Times New Roman;sans-serif" w:hAnsi="Times New Roman;sans-serif"/>
                <w:b w:val="false"/>
                <w:color w:val="000000"/>
                <w:sz w:val="20"/>
              </w:rPr>
              <w:t>MAGNITE, INC.</w:t>
              <w:br/>
            </w:r>
            <w:r>
              <w:rPr>
                <w:rFonts w:ascii="Times New Roman;sans-serif" w:hAnsi="Times New Roman;sans-serif"/>
                <w:b w:val="false"/>
                <w:sz w:val="20"/>
              </w:rPr>
              <w:br/>
            </w:r>
            <w:r>
              <w:rPr>
                <w:rFonts w:ascii="Times New Roman;sans-serif" w:hAnsi="Times New Roman;sans-serif"/>
                <w:b w:val="false"/>
                <w:color w:val="000000"/>
                <w:sz w:val="20"/>
              </w:rPr>
              <w:t>By:</w:t>
              <w:br/>
            </w:r>
            <w:r>
              <w:rPr>
                <w:rFonts w:ascii="Times New Roman;sans-serif" w:hAnsi="Times New Roman;sans-serif"/>
                <w:b w:val="false"/>
                <w:sz w:val="20"/>
              </w:rPr>
              <w:br/>
              <w:br/>
            </w:r>
            <w:r>
              <w:rPr>
                <w:rFonts w:ascii="Times New Roman;sans-serif" w:hAnsi="Times New Roman;sans-serif"/>
                <w:b w:val="false"/>
                <w:color w:val="000000"/>
                <w:sz w:val="20"/>
              </w:rPr>
              <w:t>Name</w:t>
              <w:br/>
            </w:r>
            <w:r>
              <w:rPr>
                <w:rFonts w:ascii="Times New Roman;sans-serif" w:hAnsi="Times New Roman;sans-serif"/>
                <w:b w:val="false"/>
                <w:sz w:val="20"/>
              </w:rPr>
              <w:br/>
              <w:br/>
            </w:r>
            <w:r>
              <w:rPr>
                <w:rFonts w:ascii="Times New Roman;sans-serif" w:hAnsi="Times New Roman;sans-serif"/>
                <w:b w:val="false"/>
                <w:color w:val="000000"/>
                <w:sz w:val="20"/>
              </w:rPr>
              <w:t>Title</w:t>
            </w:r>
          </w:p>
        </w:tc>
      </w:tr>
    </w:tbl>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lineRule="auto" w:line="304"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Acknowledged and Accepted</w:t>
      </w:r>
    </w:p>
    <w:p>
      <w:pPr>
        <w:pStyle w:val="TextBody"/>
        <w:bidi w:val="0"/>
        <w:spacing w:before="0" w:after="240"/>
        <w:jc w:val="both"/>
        <w:rPr/>
      </w:pPr>
      <w:r>
        <w:rPr/>
      </w:r>
    </w:p>
    <w:p>
      <w:pPr>
        <w:pStyle w:val="TextBody"/>
        <w:bidi w:val="0"/>
        <w:spacing w:before="0" w:after="240"/>
        <w:jc w:val="both"/>
        <w:rPr/>
      </w:pPr>
      <w:r>
        <w:rPr/>
      </w:r>
    </w:p>
    <w:p>
      <w:pPr>
        <w:pStyle w:val="TextBody"/>
        <w:bidi w:val="0"/>
        <w:spacing w:lineRule="auto" w:line="304" w:before="0" w:after="240"/>
        <w:jc w:val="both"/>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__________________________</w:t>
      </w:r>
    </w:p>
    <w:p>
      <w:pPr>
        <w:pStyle w:val="TextBody"/>
        <w:bidi w:val="0"/>
        <w:spacing w:lineRule="auto" w:line="304"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Participant</w:t>
      </w:r>
    </w:p>
    <w:p>
      <w:pPr>
        <w:pStyle w:val="TextBody"/>
        <w:bidi w:val="0"/>
        <w:spacing w:before="0" w:after="0"/>
        <w:jc w:val="center"/>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75260"/>
                <wp:effectExtent l="0" t="0" r="0" b="0"/>
                <wp:wrapNone/>
                <wp:docPr id="123" name="Frame1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2"/>
                              </w:rPr>
                              <w:t>-11-</w:t>
                            </w:r>
                            <w:r>
                              <w:rPr>
                                <w:color w:val="000000"/>
                              </w:rPr>
                              <w:t xml:space="preserve">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2"/>
                        </w:rPr>
                        <w:t>-11-</w:t>
                      </w:r>
                      <w:r>
                        <w:rPr>
                          <w:color w:val="000000"/>
                        </w:rPr>
                        <w:t xml:space="preserve"> </w:t>
                      </w:r>
                    </w:p>
                  </w:txbxContent>
                </v:textbox>
                <w10:wrap type="none"/>
              </v:rect>
            </w:pict>
          </mc:Fallback>
        </mc:AlternateContent>
      </w:r>
    </w:p>
    <w:p>
      <w:pPr>
        <w:pStyle w:val="TextBody"/>
        <w:bidi w:val="0"/>
        <w:spacing w:before="0" w:after="240"/>
        <w:jc w:val="both"/>
        <w:rPr/>
      </w:pPr>
      <w:r>
        <w:rPr/>
      </w:r>
    </w:p>
    <w:p>
      <w:pPr>
        <w:pStyle w:val="TextBody"/>
        <w:bidi w:val="0"/>
        <w:spacing w:lineRule="auto" w:line="240"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EXHIBIT A</w:t>
      </w:r>
    </w:p>
    <w:p>
      <w:pPr>
        <w:pStyle w:val="TextBody"/>
        <w:bidi w:val="0"/>
        <w:spacing w:lineRule="auto" w:line="240" w:before="0" w:after="240"/>
        <w:jc w:val="center"/>
        <w:rPr>
          <w:rFonts w:ascii="Times New Roman;sans-serif" w:hAnsi="Times New Roman;sans-serif"/>
          <w:b/>
          <w:color w:val="000000"/>
          <w:sz w:val="22"/>
        </w:rPr>
      </w:pPr>
      <w:r>
        <w:rPr>
          <w:rFonts w:ascii="Times New Roman;sans-serif" w:hAnsi="Times New Roman;sans-serif"/>
          <w:b/>
          <w:color w:val="000000"/>
          <w:sz w:val="22"/>
        </w:rPr>
        <w:t>PERFORMANCE-BASED VESTING</w:t>
      </w:r>
    </w:p>
    <w:p>
      <w:pPr>
        <w:pStyle w:val="TextBody"/>
        <w:bidi w:val="0"/>
        <w:spacing w:lineRule="auto" w:line="240" w:before="0" w:after="0"/>
        <w:ind w:left="0" w:right="0" w:firstLine="720"/>
        <w:jc w:val="left"/>
        <w:rPr/>
      </w:pPr>
      <w:r>
        <w:rPr>
          <w:rFonts w:ascii="Times New Roman;sans-serif" w:hAnsi="Times New Roman;sans-serif"/>
          <w:b w:val="false"/>
          <w:color w:val="000000"/>
          <w:sz w:val="22"/>
        </w:rPr>
        <w:t xml:space="preserve">Subject to </w:t>
      </w:r>
      <w:r>
        <w:rPr>
          <w:rFonts w:ascii="Times New Roman;sans-serif" w:hAnsi="Times New Roman;sans-serif"/>
          <w:b w:val="false"/>
          <w:color w:val="000000"/>
          <w:sz w:val="22"/>
          <w:u w:val="single"/>
        </w:rPr>
        <w:t>Sections 1 and 2</w:t>
      </w:r>
      <w:r>
        <w:rPr>
          <w:color w:val="000000"/>
        </w:rPr>
        <w:t xml:space="preserve"> </w:t>
      </w:r>
      <w:r>
        <w:rPr>
          <w:rFonts w:ascii="Times New Roman;sans-serif" w:hAnsi="Times New Roman;sans-serif"/>
          <w:b w:val="false"/>
          <w:color w:val="000000"/>
          <w:sz w:val="22"/>
        </w:rPr>
        <w:t>of this Notice, the PSUs shall vest and become non-forfeitable with respect to the Vesting Percentage of the Target Number of PSUs (the “</w:t>
      </w:r>
      <w:r>
        <w:rPr>
          <w:rFonts w:ascii="Times New Roman;sans-serif" w:hAnsi="Times New Roman;sans-serif"/>
          <w:b/>
          <w:color w:val="000000"/>
          <w:sz w:val="22"/>
        </w:rPr>
        <w:t>Vesting Percentage</w:t>
      </w:r>
      <w:r>
        <w:rPr>
          <w:color w:val="000000"/>
        </w:rPr>
        <w:t>”</w:t>
      </w:r>
      <w:r>
        <w:rPr>
          <w:rFonts w:ascii="Times New Roman;sans-serif" w:hAnsi="Times New Roman;sans-serif"/>
          <w:b w:val="false"/>
          <w:color w:val="000000"/>
          <w:sz w:val="22"/>
        </w:rPr>
        <w:t>) set forth in the chart below based on the Company’s Relative TSR Ranking for the Performance Period (as each such term is defined below); provided, however, that in no event shall the Vesting Percentage exceed one hundred fifty percent (150%):</w:t>
      </w:r>
    </w:p>
    <w:p>
      <w:pPr>
        <w:pStyle w:val="TextBody"/>
        <w:bidi w:val="0"/>
        <w:spacing w:before="0" w:after="0"/>
        <w:ind w:left="0" w:right="0" w:firstLine="720"/>
        <w:jc w:val="left"/>
        <w:rPr/>
      </w:pPr>
      <w:r>
        <w:rPr/>
      </w:r>
    </w:p>
    <w:tbl>
      <w:tblPr>
        <w:tblW w:w="7020" w:type="dxa"/>
        <w:jc w:val="left"/>
        <w:tblInd w:w="0" w:type="dxa"/>
        <w:tblLayout w:type="fixed"/>
        <w:tblCellMar>
          <w:top w:w="28" w:type="dxa"/>
          <w:left w:w="28" w:type="dxa"/>
          <w:bottom w:w="28" w:type="dxa"/>
          <w:right w:w="28" w:type="dxa"/>
        </w:tblCellMar>
      </w:tblPr>
      <w:tblGrid>
        <w:gridCol w:w="835"/>
        <w:gridCol w:w="735"/>
        <w:gridCol w:w="740"/>
        <w:gridCol w:w="1380"/>
        <w:gridCol w:w="1380"/>
        <w:gridCol w:w="1950"/>
      </w:tblGrid>
      <w:tr>
        <w:trPr/>
        <w:tc>
          <w:tcPr>
            <w:tcW w:w="83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950"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Relative TSR Ranking</w:t>
            </w:r>
          </w:p>
        </w:tc>
        <w:tc>
          <w:tcPr>
            <w:tcW w:w="47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Vesting Percentage of Target Number of PSUs</w:t>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2"/>
              </w:rPr>
              <w:t>80</w:t>
            </w:r>
            <w:r>
              <w:rPr>
                <w:rFonts w:ascii="Times New Roman;sans-serif" w:hAnsi="Times New Roman;sans-serif"/>
                <w:b w:val="false"/>
                <w:color w:val="000000"/>
                <w:sz w:val="14"/>
              </w:rPr>
              <w:t>th</w:t>
            </w:r>
            <w:r>
              <w:rPr>
                <w:color w:val="000000"/>
              </w:rPr>
              <w:t xml:space="preserve"> </w:t>
            </w:r>
            <w:r>
              <w:rPr>
                <w:rFonts w:ascii="Times New Roman;sans-serif" w:hAnsi="Times New Roman;sans-serif"/>
                <w:b w:val="false"/>
                <w:color w:val="000000"/>
                <w:sz w:val="22"/>
              </w:rPr>
              <w:t>or higher</w:t>
            </w:r>
          </w:p>
        </w:tc>
        <w:tc>
          <w:tcPr>
            <w:tcW w:w="47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150%</w:t>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2"/>
              </w:rPr>
              <w:t>55</w:t>
            </w:r>
            <w:r>
              <w:rPr>
                <w:rFonts w:ascii="Times New Roman;sans-serif" w:hAnsi="Times New Roman;sans-serif"/>
                <w:b w:val="false"/>
                <w:color w:val="000000"/>
                <w:sz w:val="14"/>
              </w:rPr>
              <w:t>th</w:t>
            </w:r>
          </w:p>
        </w:tc>
        <w:tc>
          <w:tcPr>
            <w:tcW w:w="47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100%</w:t>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2"/>
              </w:rPr>
              <w:t>20</w:t>
            </w:r>
            <w:r>
              <w:rPr>
                <w:rFonts w:ascii="Times New Roman;sans-serif" w:hAnsi="Times New Roman;sans-serif"/>
                <w:b w:val="false"/>
                <w:color w:val="000000"/>
                <w:sz w:val="14"/>
              </w:rPr>
              <w:t>th</w:t>
            </w:r>
          </w:p>
        </w:tc>
        <w:tc>
          <w:tcPr>
            <w:tcW w:w="47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25%</w:t>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2"/>
              </w:rPr>
              <w:t>Below 20</w:t>
            </w:r>
            <w:r>
              <w:rPr>
                <w:rFonts w:ascii="Times New Roman;sans-serif" w:hAnsi="Times New Roman;sans-serif"/>
                <w:b w:val="false"/>
                <w:color w:val="000000"/>
                <w:sz w:val="14"/>
              </w:rPr>
              <w:t>th</w:t>
            </w:r>
          </w:p>
        </w:tc>
        <w:tc>
          <w:tcPr>
            <w:tcW w:w="47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0%</w:t>
            </w:r>
          </w:p>
        </w:tc>
      </w:tr>
    </w:tbl>
    <w:p>
      <w:pPr>
        <w:pStyle w:val="TextBody"/>
        <w:bidi w:val="0"/>
        <w:spacing w:before="0" w:after="0"/>
        <w:jc w:val="left"/>
        <w:rPr/>
      </w:pPr>
      <w:r>
        <w:rPr/>
      </w:r>
    </w:p>
    <w:p>
      <w:pPr>
        <w:pStyle w:val="TextBody"/>
        <w:bidi w:val="0"/>
        <w:spacing w:lineRule="auto" w:line="240" w:before="0" w:after="240"/>
        <w:ind w:left="0" w:right="0" w:firstLine="720"/>
        <w:jc w:val="left"/>
        <w:rPr/>
      </w:pPr>
      <w:r>
        <w:rPr>
          <w:rFonts w:ascii="Times New Roman;sans-serif" w:hAnsi="Times New Roman;sans-serif"/>
          <w:b w:val="false"/>
          <w:color w:val="000000"/>
          <w:sz w:val="22"/>
        </w:rPr>
        <w:t xml:space="preserve">The Vesting Percentage will be interpolated on a linear basis between the levels stated in the chart above. For example, if the Relative TSR Ranking for the Performance Period were the 65th percentile, the Vesting Percentage would be 120%. Notwithstanding the foregoing, in the event the Company’s TSR for the Performance Period is a negative number, the Vesting Percentage shall not exceed one hundred percent (100%). Any PSUs that do not vest based on the performance requirements set forth in this </w:t>
      </w:r>
      <w:r>
        <w:rPr>
          <w:rFonts w:ascii="Times New Roman;sans-serif" w:hAnsi="Times New Roman;sans-serif"/>
          <w:b w:val="false"/>
          <w:color w:val="000000"/>
          <w:sz w:val="22"/>
          <w:u w:val="single"/>
        </w:rPr>
        <w:t>Exhibit A</w:t>
      </w:r>
      <w:r>
        <w:rPr>
          <w:color w:val="000000"/>
        </w:rPr>
        <w:t xml:space="preserve"> </w:t>
      </w:r>
      <w:r>
        <w:rPr>
          <w:rFonts w:ascii="Times New Roman;sans-serif" w:hAnsi="Times New Roman;sans-serif"/>
          <w:b w:val="false"/>
          <w:color w:val="000000"/>
          <w:sz w:val="22"/>
        </w:rPr>
        <w:t xml:space="preserve">(and which have not previously terminated pursuant to the terms of this Notice) will automatically terminate as of the last day of the Performance Period. The number of PSUs that are eligible to vest based on performance as provided in this </w:t>
      </w:r>
      <w:r>
        <w:rPr>
          <w:rFonts w:ascii="Times New Roman;sans-serif" w:hAnsi="Times New Roman;sans-serif"/>
          <w:b w:val="false"/>
          <w:color w:val="000000"/>
          <w:sz w:val="22"/>
          <w:u w:val="single"/>
        </w:rPr>
        <w:t>Exhibit A</w:t>
      </w:r>
      <w:r>
        <w:rPr>
          <w:color w:val="000000"/>
        </w:rPr>
        <w:t xml:space="preserve"> </w:t>
      </w:r>
      <w:r>
        <w:rPr>
          <w:rFonts w:ascii="Times New Roman;sans-serif" w:hAnsi="Times New Roman;sans-serif"/>
          <w:b w:val="false"/>
          <w:color w:val="000000"/>
          <w:sz w:val="22"/>
        </w:rPr>
        <w:t>will be determined by the Board or its Committee following the end of the Performance Period. Any such determination by the Board or Committee shall be final and binding.</w:t>
      </w:r>
    </w:p>
    <w:p>
      <w:pPr>
        <w:pStyle w:val="TextBody"/>
        <w:bidi w:val="0"/>
        <w:spacing w:lineRule="auto" w:line="240"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For purposes of this Performance Stock Unit Award, the following definitions shall apply: </w:t>
      </w:r>
    </w:p>
    <w:p>
      <w:pPr>
        <w:pStyle w:val="TextBody"/>
        <w:bidi w:val="0"/>
        <w:spacing w:lineRule="auto" w:line="240" w:before="0" w:after="240"/>
        <w:ind w:left="0" w:right="0" w:hanging="720"/>
        <w:jc w:val="left"/>
        <w:rPr/>
      </w:pPr>
      <w:r>
        <w:rPr>
          <w:color w:val="000000"/>
        </w:rPr>
        <w:t>•“</w:t>
      </w:r>
      <w:r>
        <w:rPr>
          <w:rFonts w:ascii="Times New Roman;sans-serif" w:hAnsi="Times New Roman;sans-serif"/>
          <w:b/>
          <w:color w:val="000000"/>
          <w:sz w:val="22"/>
        </w:rPr>
        <w:t>TSR</w:t>
      </w:r>
      <w:r>
        <w:rPr>
          <w:color w:val="000000"/>
        </w:rPr>
        <w:t xml:space="preserve">” </w:t>
      </w:r>
      <w:r>
        <w:rPr>
          <w:rFonts w:ascii="Times New Roman;sans-serif" w:hAnsi="Times New Roman;sans-serif"/>
          <w:b w:val="false"/>
          <w:color w:val="000000"/>
          <w:sz w:val="22"/>
        </w:rPr>
        <w:t>means total shareholder return and shall be determined with respect to the Company and any other company in the Russell 2000 Index by dividing (a) the applicable Ending Price by the applicable Beginning Price. For purposes of determining TSR, the value of dividends and other distributions shall be determined by treating them as reinvested in additional shares at the closing market price on the ex-dividend date. Any non-cash distributions shall be valued at fair market value.</w:t>
      </w:r>
    </w:p>
    <w:p>
      <w:pPr>
        <w:pStyle w:val="TextBody"/>
        <w:bidi w:val="0"/>
        <w:spacing w:lineRule="auto" w:line="240" w:before="0" w:after="240"/>
        <w:ind w:left="0" w:right="0" w:hanging="720"/>
        <w:jc w:val="left"/>
        <w:rPr/>
      </w:pPr>
      <w:r>
        <w:rPr>
          <w:color w:val="000000"/>
        </w:rPr>
        <w:t>•“</w:t>
      </w:r>
      <w:r>
        <w:rPr>
          <w:rFonts w:ascii="Times New Roman;sans-serif" w:hAnsi="Times New Roman;sans-serif"/>
          <w:b/>
          <w:color w:val="000000"/>
          <w:sz w:val="22"/>
        </w:rPr>
        <w:t>Performance Period</w:t>
      </w:r>
      <w:r>
        <w:rPr>
          <w:color w:val="000000"/>
        </w:rPr>
        <w:t xml:space="preserve">” </w:t>
      </w:r>
      <w:r>
        <w:rPr>
          <w:rFonts w:ascii="Times New Roman;sans-serif" w:hAnsi="Times New Roman;sans-serif"/>
          <w:b w:val="false"/>
          <w:color w:val="000000"/>
          <w:sz w:val="22"/>
        </w:rPr>
        <w:t>means the period commencing on the Issuance Date set forth on the cover page of this Notice and ending on the day before the third (3</w:t>
      </w:r>
      <w:r>
        <w:rPr>
          <w:rFonts w:ascii="Times New Roman;sans-serif" w:hAnsi="Times New Roman;sans-serif"/>
          <w:b w:val="false"/>
          <w:color w:val="000000"/>
          <w:sz w:val="14"/>
        </w:rPr>
        <w:t>rd</w:t>
      </w:r>
      <w:r>
        <w:rPr>
          <w:rFonts w:ascii="Times New Roman;sans-serif" w:hAnsi="Times New Roman;sans-serif"/>
          <w:b w:val="false"/>
          <w:color w:val="000000"/>
          <w:sz w:val="22"/>
        </w:rPr>
        <w:t>) anniversary of the Issuance Date.</w:t>
      </w:r>
    </w:p>
    <w:p>
      <w:pPr>
        <w:pStyle w:val="TextBody"/>
        <w:bidi w:val="0"/>
        <w:spacing w:lineRule="auto" w:line="240" w:before="0" w:after="240"/>
        <w:ind w:left="0" w:right="0" w:hanging="720"/>
        <w:jc w:val="left"/>
        <w:rPr/>
      </w:pPr>
      <w:r>
        <w:rPr>
          <w:color w:val="000000"/>
        </w:rPr>
        <w:t>•“</w:t>
      </w:r>
      <w:r>
        <w:rPr>
          <w:rFonts w:ascii="Times New Roman;sans-serif" w:hAnsi="Times New Roman;sans-serif"/>
          <w:b/>
          <w:color w:val="000000"/>
          <w:sz w:val="22"/>
        </w:rPr>
        <w:t>Beginning Price</w:t>
      </w:r>
      <w:r>
        <w:rPr>
          <w:color w:val="000000"/>
        </w:rPr>
        <w:t xml:space="preserve">” </w:t>
      </w:r>
      <w:r>
        <w:rPr>
          <w:rFonts w:ascii="Times New Roman;sans-serif" w:hAnsi="Times New Roman;sans-serif"/>
          <w:b w:val="false"/>
          <w:color w:val="000000"/>
          <w:sz w:val="22"/>
        </w:rPr>
        <w:t xml:space="preserve">means, with respect to the Company and any other company in the Russell 2000 Index, the average of the closing market prices of such company’s common stock on the principal exchange on which such stock is traded for the period of twenty (20) consecutive trading days ending with the last trading day immediately prior to the beginning of the Performance Period or, in the case of a company that is not traded on a stock exchange on the first day of the Performance Period, the average of the closing market prices of such company’s common stock on the principal exchange on which such stock is thereafter first admitted to trading for the twenty (20) consecutive trading days commencing with the first day in the Performance Period on which such company’s </w:t>
      </w:r>
    </w:p>
    <w:p>
      <w:pPr>
        <w:pStyle w:val="TextBody"/>
        <w:bidi w:val="0"/>
        <w:spacing w:before="0" w:after="0"/>
        <w:jc w:val="center"/>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75260"/>
                <wp:effectExtent l="0" t="0" r="0" b="0"/>
                <wp:wrapNone/>
                <wp:docPr id="124" name="Frame1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2"/>
                              </w:rPr>
                              <w:t>-12-</w:t>
                            </w:r>
                            <w:r>
                              <w:rPr>
                                <w:color w:val="000000"/>
                              </w:rPr>
                              <w:t xml:space="preserve">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2"/>
                        </w:rPr>
                        <w:t>-12-</w:t>
                      </w:r>
                      <w:r>
                        <w:rPr>
                          <w:color w:val="000000"/>
                        </w:rPr>
                        <w:t xml:space="preserve"> </w:t>
                      </w:r>
                    </w:p>
                  </w:txbxContent>
                </v:textbox>
                <w10:wrap type="none"/>
              </v:rect>
            </w:pict>
          </mc:Fallback>
        </mc:AlternateContent>
      </w:r>
    </w:p>
    <w:p>
      <w:pPr>
        <w:pStyle w:val="TextBody"/>
        <w:bidi w:val="0"/>
        <w:spacing w:lineRule="auto" w:line="240"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common stock is so traded. In either case, as to a stock which goes ex-dividend during such 20-day period, the closing market prices as to such stock for the portion of the 20-day period preceding the ex-dividend date shall be equitably adjusted to exclude the amount of the related dividend.</w:t>
      </w:r>
    </w:p>
    <w:p>
      <w:pPr>
        <w:pStyle w:val="TextBody"/>
        <w:bidi w:val="0"/>
        <w:spacing w:lineRule="auto" w:line="240" w:before="0" w:after="240"/>
        <w:ind w:left="0" w:right="0" w:hanging="720"/>
        <w:jc w:val="left"/>
        <w:rPr/>
      </w:pPr>
      <w:r>
        <w:rPr>
          <w:color w:val="000000"/>
        </w:rPr>
        <w:t>•“</w:t>
      </w:r>
      <w:r>
        <w:rPr>
          <w:rFonts w:ascii="Times New Roman;sans-serif" w:hAnsi="Times New Roman;sans-serif"/>
          <w:b/>
          <w:color w:val="000000"/>
          <w:sz w:val="22"/>
        </w:rPr>
        <w:t>Ending Price</w:t>
      </w:r>
      <w:r>
        <w:rPr>
          <w:color w:val="000000"/>
        </w:rPr>
        <w:t xml:space="preserve">” </w:t>
      </w:r>
      <w:r>
        <w:rPr>
          <w:rFonts w:ascii="Times New Roman;sans-serif" w:hAnsi="Times New Roman;sans-serif"/>
          <w:b w:val="false"/>
          <w:color w:val="000000"/>
          <w:sz w:val="22"/>
        </w:rPr>
        <w:t>means, with respect to the Company and any other company in the Russell 2000 Index, the average of the closing market prices of such company’s common stock on the principal exchange on which such stock is traded for the twenty (20) consecutive trading days ending with the last day of the Performance Period. As to a stock which goes ex-dividend during such 20-day period, the closing market prices as to such stock for the portion of the 20-day period preceding the ex-dividend date shall be equitably adjusted to exclude the amount of the related dividend.</w:t>
      </w:r>
    </w:p>
    <w:p>
      <w:pPr>
        <w:pStyle w:val="TextBody"/>
        <w:bidi w:val="0"/>
        <w:spacing w:lineRule="auto" w:line="240" w:before="0" w:after="240"/>
        <w:ind w:left="0" w:right="0" w:hanging="720"/>
        <w:jc w:val="left"/>
        <w:rPr/>
      </w:pPr>
      <w:r>
        <w:rPr>
          <w:color w:val="000000"/>
        </w:rPr>
        <w:t>•“</w:t>
      </w:r>
      <w:r>
        <w:rPr>
          <w:rFonts w:ascii="Times New Roman;sans-serif" w:hAnsi="Times New Roman;sans-serif"/>
          <w:b/>
          <w:color w:val="000000"/>
          <w:sz w:val="22"/>
        </w:rPr>
        <w:t>Relative TSR Ranking</w:t>
      </w:r>
      <w:r>
        <w:rPr>
          <w:color w:val="000000"/>
        </w:rPr>
        <w:t xml:space="preserve">” </w:t>
      </w:r>
      <w:r>
        <w:rPr>
          <w:rFonts w:ascii="Times New Roman;sans-serif" w:hAnsi="Times New Roman;sans-serif"/>
          <w:b w:val="false"/>
          <w:color w:val="000000"/>
          <w:sz w:val="22"/>
        </w:rPr>
        <w:t>means the percentile ranking of the Company’s TSR among the TSRs for the Russell 2000 Index Companies for the Performance Period. For purposes of clarity, the Company’s TSR shall be ranked against the TSRs for such companies regardless of whether the Company is a member of the Russell 2000 Index throughout the Performance Period.</w:t>
      </w:r>
    </w:p>
    <w:p>
      <w:pPr>
        <w:pStyle w:val="TextBody"/>
        <w:bidi w:val="0"/>
        <w:spacing w:lineRule="auto" w:line="240" w:before="0" w:after="240"/>
        <w:ind w:left="0" w:right="0" w:hanging="720"/>
        <w:jc w:val="left"/>
        <w:rPr/>
      </w:pPr>
      <w:r>
        <w:rPr>
          <w:color w:val="000000"/>
        </w:rPr>
        <w:t>•“</w:t>
      </w:r>
      <w:r>
        <w:rPr>
          <w:rFonts w:ascii="Times New Roman;sans-serif" w:hAnsi="Times New Roman;sans-serif"/>
          <w:b/>
          <w:color w:val="000000"/>
          <w:sz w:val="22"/>
        </w:rPr>
        <w:t>Russell 2000 Index Companies</w:t>
      </w:r>
      <w:r>
        <w:rPr>
          <w:color w:val="000000"/>
        </w:rPr>
        <w:t xml:space="preserve">” </w:t>
      </w:r>
      <w:r>
        <w:rPr>
          <w:rFonts w:ascii="Times New Roman;sans-serif" w:hAnsi="Times New Roman;sans-serif"/>
          <w:b w:val="false"/>
          <w:color w:val="000000"/>
          <w:sz w:val="22"/>
        </w:rPr>
        <w:t xml:space="preserve">means each company that is (a) in the Russell 2000 Index on the first day of the Performance Period and continues trading throughout the entire Performance Period or (b) in the Russell 2000 Index on the first day of the Performance Period and ceases to be in the Russell 2000 Index (or its successor) during the Performance Period due to its bankruptcy or insolvency, provided that the TSR for any company described in this clause (b) shall be deemed for purposes of determining the Company’s Relative TSR Ranking to be equal to the lowest TSR for any company that is in the Russell 2000 Index (or its successor) for the entire Performance Period. </w:t>
      </w:r>
    </w:p>
    <w:p>
      <w:pPr>
        <w:pStyle w:val="TextBody"/>
        <w:bidi w:val="0"/>
        <w:spacing w:lineRule="auto" w:line="240" w:before="0" w:after="0"/>
        <w:jc w:val="left"/>
        <w:rPr/>
      </w:pPr>
      <w:r>
        <w:rPr>
          <w:rFonts w:ascii="Times New Roman;sans-serif" w:hAnsi="Times New Roman;sans-serif"/>
          <w:b w:val="false"/>
          <w:color w:val="000000"/>
          <w:sz w:val="22"/>
          <w:u w:val="single"/>
        </w:rPr>
        <w:t>Effect of a Sale Transaction</w:t>
      </w:r>
      <w:r>
        <w:rPr>
          <w:rFonts w:ascii="Times New Roman;sans-serif" w:hAnsi="Times New Roman;sans-serif"/>
          <w:b w:val="false"/>
          <w:color w:val="000000"/>
          <w:sz w:val="22"/>
        </w:rPr>
        <w:t>. Upon a Sale Transaction, the Ending Price used for determining the Company’s TSR shall equal the transaction price per share of the Common Stock paid in connection with the Sale Transaction. The Ending Price for the purpose of determining the TSRs for the companies in the Russell 2000 Index shall be determined as otherwise provided above but measured based on the average of the closing market prices of such companies’ shares on the principal exchange on which such shares are traded for the period of twenty (20) consecutive trading days ending with the last trading day immediately prior to the date of the closing of such Sale Transaction.</w:t>
      </w:r>
    </w:p>
    <w:p>
      <w:pPr>
        <w:pStyle w:val="TextBody"/>
        <w:bidi w:val="0"/>
        <w:spacing w:before="0" w:after="0"/>
        <w:jc w:val="left"/>
        <w:rPr/>
      </w:pPr>
      <w:r>
        <w:rPr/>
      </w:r>
    </w:p>
    <w:p>
      <w:pPr>
        <w:pStyle w:val="TextBody"/>
        <w:bidi w:val="0"/>
        <w:spacing w:lineRule="auto" w:line="240" w:before="0" w:after="240"/>
        <w:jc w:val="both"/>
        <w:rPr/>
      </w:pPr>
      <w:r>
        <w:rPr>
          <w:rFonts w:ascii="Times New Roman;sans-serif" w:hAnsi="Times New Roman;sans-serif"/>
          <w:b w:val="false"/>
          <w:color w:val="000000"/>
          <w:sz w:val="22"/>
          <w:u w:val="single"/>
        </w:rPr>
        <w:t>Adjustment</w:t>
      </w:r>
      <w:r>
        <w:rPr>
          <w:rFonts w:ascii="Times New Roman;sans-serif" w:hAnsi="Times New Roman;sans-serif"/>
          <w:b w:val="false"/>
          <w:color w:val="000000"/>
          <w:sz w:val="22"/>
        </w:rPr>
        <w:t>. With respect to the computation of TSR, Beginning Price, and Ending Price, there shall also be an equitable and proportionate adjustment to the extent (if any) necessary to preserve the intended incentives of the awards and mitigate the impact of any stock split, stock dividend or reverse stock split occurring during the Performance Period.</w:t>
      </w:r>
    </w:p>
    <w:p>
      <w:pPr>
        <w:pStyle w:val="TextBody"/>
        <w:bidi w:val="0"/>
        <w:spacing w:lineRule="auto" w:line="240" w:before="0" w:after="240"/>
        <w:jc w:val="left"/>
        <w:rPr/>
      </w:pPr>
      <w:r>
        <w:rPr>
          <w:rFonts w:ascii="Times New Roman;sans-serif" w:hAnsi="Times New Roman;sans-serif"/>
          <w:b w:val="false"/>
          <w:color w:val="000000"/>
          <w:sz w:val="22"/>
          <w:u w:val="single"/>
        </w:rPr>
        <w:t>Determination</w:t>
      </w:r>
      <w:r>
        <w:rPr>
          <w:rFonts w:ascii="Times New Roman;sans-serif" w:hAnsi="Times New Roman;sans-serif"/>
          <w:b w:val="false"/>
          <w:color w:val="000000"/>
          <w:sz w:val="22"/>
        </w:rPr>
        <w:t xml:space="preserve">. The determination of the Board or its Committee as to the Company’s Relative TSR Ranking for the Performance Period shall be final and binding. </w:t>
      </w:r>
    </w:p>
    <w:p>
      <w:pPr>
        <w:pStyle w:val="TextBody"/>
        <w:bidi w:val="0"/>
        <w:spacing w:before="0" w:after="0"/>
        <w:jc w:val="center"/>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75260"/>
                <wp:effectExtent l="0" t="0" r="0" b="0"/>
                <wp:wrapNone/>
                <wp:docPr id="125" name="Frame1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2"/>
                              </w:rPr>
                              <w:t>-13-</w:t>
                            </w:r>
                            <w:r>
                              <w:rPr>
                                <w:color w:val="000000"/>
                              </w:rPr>
                              <w:t xml:space="preserve">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2"/>
                        </w:rPr>
                        <w:t>-13-</w:t>
                      </w:r>
                      <w:r>
                        <w:rPr>
                          <w:color w:val="000000"/>
                        </w:rPr>
                        <w:t xml:space="preserve"> </w:t>
                      </w:r>
                    </w:p>
                  </w:txbxContent>
                </v:textbox>
                <w10:wrap type="none"/>
              </v:rect>
            </w:pict>
          </mc:Fallback>
        </mc:AlternateContent>
      </w:r>
    </w:p>
    <w:p>
      <w:pPr>
        <w:pStyle w:val="TextBody"/>
        <w:bidi w:val="0"/>
        <w:spacing w:lineRule="auto" w:line="240" w:before="0" w:after="0"/>
        <w:jc w:val="center"/>
        <w:rPr>
          <w:rFonts w:ascii="Times New Roman;sans-serif" w:hAnsi="Times New Roman;sans-serif"/>
          <w:b/>
          <w:color w:val="000000"/>
          <w:sz w:val="22"/>
          <w:u w:val="single"/>
        </w:rPr>
      </w:pPr>
      <w:r>
        <w:rPr>
          <w:rFonts w:ascii="Times New Roman;sans-serif" w:hAnsi="Times New Roman;sans-serif"/>
          <w:b/>
          <w:color w:val="000000"/>
          <w:sz w:val="22"/>
          <w:u w:val="single"/>
        </w:rPr>
        <w:t>APPENDIX A</w:t>
      </w:r>
    </w:p>
    <w:p>
      <w:pPr>
        <w:pStyle w:val="TextBody"/>
        <w:bidi w:val="0"/>
        <w:spacing w:before="0" w:after="0"/>
        <w:jc w:val="center"/>
        <w:rPr/>
      </w:pPr>
      <w:r>
        <w:rPr/>
      </w:r>
    </w:p>
    <w:p>
      <w:pPr>
        <w:pStyle w:val="TextBody"/>
        <w:bidi w:val="0"/>
        <w:spacing w:lineRule="auto" w:line="240" w:before="120" w:after="283"/>
        <w:jc w:val="center"/>
        <w:rPr>
          <w:rFonts w:ascii="Times New Roman;sans-serif" w:hAnsi="Times New Roman;sans-serif"/>
          <w:b/>
          <w:color w:val="000000"/>
          <w:sz w:val="22"/>
        </w:rPr>
      </w:pPr>
      <w:r>
        <w:rPr>
          <w:rFonts w:ascii="Times New Roman;sans-serif" w:hAnsi="Times New Roman;sans-serif"/>
          <w:b/>
          <w:color w:val="000000"/>
          <w:sz w:val="22"/>
        </w:rPr>
        <w:t xml:space="preserve">ADDITIONAL TERMS AND CONDITIONS OF PERFORMANCE STOCK UNIT GRANT </w:t>
        <w:br/>
        <w:t>FOR NON-U.S. EMPLOYEES</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1.</w:t>
      </w:r>
      <w:r>
        <w:rPr>
          <w:color w:val="000000"/>
        </w:rPr>
        <w:t>    </w:t>
      </w:r>
      <w:r>
        <w:rPr>
          <w:rFonts w:ascii="Times New Roman;sans-serif" w:hAnsi="Times New Roman;sans-serif"/>
          <w:b w:val="false"/>
          <w:color w:val="000000"/>
          <w:sz w:val="22"/>
          <w:u w:val="single"/>
        </w:rPr>
        <w:t>Terms of Plan Participation for Non-U.S. Participants</w:t>
      </w:r>
      <w:r>
        <w:rPr>
          <w:rFonts w:ascii="Times New Roman;sans-serif" w:hAnsi="Times New Roman;sans-serif"/>
          <w:b w:val="false"/>
          <w:color w:val="000000"/>
          <w:sz w:val="22"/>
        </w:rPr>
        <w:t xml:space="preserve">. Participant understands that this Appendix A contains additional terms and conditions that, together with the Plan and the Notice, govern Participant’s participation in the Plan if Participant is working or resident in a country other than the United States. Participant further understands that Participant’s participation in the Plan also will be subject to any terms and conditions for Participant’s country set forth in Appendix B attached hereto. </w:t>
      </w:r>
      <w:r>
        <w:rPr>
          <w:rFonts w:ascii="Times New Roman;sans-serif" w:hAnsi="Times New Roman;sans-serif"/>
          <w:b w:val="false"/>
          <w:i/>
          <w:color w:val="000000"/>
          <w:sz w:val="22"/>
        </w:rPr>
        <w:t xml:space="preserve">Capitalized terms used but not defined in this Appendix A shall have the same meanings assigned to them in the Plan and/or Notice.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2.</w:t>
      </w:r>
      <w:r>
        <w:rPr>
          <w:color w:val="000000"/>
        </w:rPr>
        <w:t>    </w:t>
      </w:r>
      <w:r>
        <w:rPr>
          <w:rFonts w:ascii="Times New Roman;sans-serif" w:hAnsi="Times New Roman;sans-serif"/>
          <w:b w:val="false"/>
          <w:color w:val="000000"/>
          <w:sz w:val="22"/>
          <w:u w:val="single"/>
        </w:rPr>
        <w:t>Tax Consequences, Withholding, and Liability</w:t>
      </w:r>
      <w:r>
        <w:rPr>
          <w:rFonts w:ascii="Times New Roman;sans-serif" w:hAnsi="Times New Roman;sans-serif"/>
          <w:b w:val="false"/>
          <w:color w:val="000000"/>
          <w:sz w:val="22"/>
        </w:rPr>
        <w:t xml:space="preserve">. The following provision supplements </w:t>
      </w:r>
      <w:r>
        <w:rPr>
          <w:rFonts w:ascii="Times New Roman;sans-serif" w:hAnsi="Times New Roman;sans-serif"/>
          <w:b w:val="false"/>
          <w:color w:val="000000"/>
          <w:sz w:val="22"/>
          <w:u w:val="single"/>
        </w:rPr>
        <w:t>Section 3</w:t>
      </w:r>
      <w:r>
        <w:rPr>
          <w:color w:val="000000"/>
        </w:rPr>
        <w:t xml:space="preserve"> </w:t>
      </w:r>
      <w:r>
        <w:rPr>
          <w:rFonts w:ascii="Times New Roman;sans-serif" w:hAnsi="Times New Roman;sans-serif"/>
          <w:b w:val="false"/>
          <w:color w:val="000000"/>
          <w:sz w:val="22"/>
        </w:rPr>
        <w:t>of the Notice:</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By accepting (through performance) the PSUs and any Shares, Participant authorizes the Company and/or the Subsidiary or Affiliate employing or retaining Participant (the “</w:t>
      </w:r>
      <w:r>
        <w:rPr>
          <w:rFonts w:ascii="Times New Roman;sans-serif" w:hAnsi="Times New Roman;sans-serif"/>
          <w:b/>
          <w:color w:val="000000"/>
          <w:sz w:val="22"/>
        </w:rPr>
        <w:t>Employer</w:t>
      </w:r>
      <w:r>
        <w:rPr>
          <w:color w:val="000000"/>
        </w:rPr>
        <w:t>”</w:t>
      </w:r>
      <w:r>
        <w:rPr>
          <w:rFonts w:ascii="Times New Roman;sans-serif" w:hAnsi="Times New Roman;sans-serif"/>
          <w:b w:val="false"/>
          <w:color w:val="000000"/>
          <w:sz w:val="22"/>
        </w:rPr>
        <w:t>), or their respective agents, at the Company’s discretion, to satisfy the obligations with regard to all Tax Obligations by one or a combination of the methods set forth in Section 9(h) of the Plan. If Participant is or becomes subject to Tax Obligations in more than one jurisdiction, Participant acknowledges that the Company</w:t>
      </w:r>
      <w:r>
        <w:rPr>
          <w:color w:val="000000"/>
        </w:rPr>
        <w:t xml:space="preserve"> </w:t>
      </w:r>
      <w:r>
        <w:rPr>
          <w:rFonts w:ascii="Times New Roman;sans-serif" w:hAnsi="Times New Roman;sans-serif"/>
          <w:b w:val="false"/>
          <w:color w:val="000000"/>
          <w:sz w:val="22"/>
        </w:rPr>
        <w:t>and/or the Employer (or former employer, as applicable) may be required to withhold or account for Tax Obligations in more than one jurisdiction.</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If the Tax Obligations are satisfied by withholding in Shares, for tax purposes, Participant is deemed to have been issued the full number of Shares subject to the vested PSUs, notwithstanding that a number of the Shares are held back solely for the purpose of paying the Tax Obligations.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3.</w:t>
      </w:r>
      <w:r>
        <w:rPr>
          <w:color w:val="000000"/>
        </w:rPr>
        <w:t>    </w:t>
      </w:r>
      <w:r>
        <w:rPr>
          <w:rFonts w:ascii="Times New Roman;sans-serif" w:hAnsi="Times New Roman;sans-serif"/>
          <w:b w:val="false"/>
          <w:color w:val="000000"/>
          <w:sz w:val="22"/>
          <w:u w:val="single"/>
        </w:rPr>
        <w:t>Nature of Grant</w:t>
      </w:r>
      <w:r>
        <w:rPr>
          <w:rFonts w:ascii="Times New Roman;sans-serif" w:hAnsi="Times New Roman;sans-serif"/>
          <w:b w:val="false"/>
          <w:color w:val="000000"/>
          <w:sz w:val="22"/>
        </w:rPr>
        <w:t xml:space="preserve">. By accepting (through performance) the PSUs and any Shares, Participant acknowledges, understands and agrees that: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 xml:space="preserve">the grant of the PSUs is voluntary and occasional and does not create any contractual or other right to receive future grants of PSUs, or benefits in lieu of PSUs, even if PSUs have been granted in the past;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 xml:space="preserve">all decisions with respect to future PSU or other grants, if any, will be at the sole discretion of the Company;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the PSUs and any Shares acquired under the Plan, and the income and value of the same, are not intended to replace any pension rights or compensation;</w:t>
      </w:r>
    </w:p>
    <w:p>
      <w:pPr>
        <w:pStyle w:val="TextBody"/>
        <w:bidi w:val="0"/>
        <w:spacing w:lineRule="auto" w:line="240" w:before="0" w:after="0"/>
        <w:ind w:left="0" w:right="0" w:firstLine="1440"/>
        <w:jc w:val="left"/>
        <w:rPr/>
      </w:pPr>
      <w:r>
        <w:rPr>
          <w:rFonts w:ascii="Times New Roman;sans-serif" w:hAnsi="Times New Roman;sans-serif"/>
          <w:b w:val="false"/>
          <w:color w:val="000000"/>
          <w:sz w:val="22"/>
        </w:rPr>
        <w:t>(d)</w:t>
      </w:r>
      <w:r>
        <w:rPr>
          <w:rFonts w:ascii="Times New Roman;sans-serif" w:hAnsi="Times New Roman;sans-serif"/>
          <w:b w:val="false"/>
          <w:color w:val="000000"/>
          <w:sz w:val="22"/>
        </w:rPr>
        <w:t xml:space="preserve">the PSUs and any Shares acquired under the Plan, and the income and value of the same, are not part of Participant’s normal or expected compensation for any purposes including, but not limited to, calculating any severance, resignation, termination, redundancy, dismissal, end-of-service payments, bonuses, long-service awards, pension or retirement benefits or payments or welfare benefits or similar payments and in no event should be considered as compensation for, or relating in any way to, past services for the Company or the Employer or any Affiliate; </w:t>
      </w:r>
    </w:p>
    <w:p>
      <w:pPr>
        <w:pStyle w:val="TextBody"/>
        <w:bidi w:val="0"/>
        <w:spacing w:before="0" w:after="0"/>
        <w:jc w:val="left"/>
        <w:rPr/>
      </w:pPr>
      <w:r>
        <w:rPr/>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(e)</w:t>
      </w:r>
      <w:r>
        <w:rPr>
          <w:rFonts w:ascii="Times New Roman;sans-serif" w:hAnsi="Times New Roman;sans-serif"/>
          <w:b w:val="false"/>
          <w:color w:val="000000"/>
          <w:sz w:val="22"/>
        </w:rPr>
        <w:t xml:space="preserve">the future value of the Shares underlying the PSUs is unknown, indeterminable, and cannot be predicted with certainty;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(f)</w:t>
      </w:r>
      <w:r>
        <w:rPr>
          <w:rFonts w:ascii="Times New Roman;sans-serif" w:hAnsi="Times New Roman;sans-serif"/>
          <w:b w:val="false"/>
          <w:color w:val="000000"/>
          <w:sz w:val="22"/>
        </w:rPr>
        <w:t xml:space="preserve">if the underlying Shares do not increase in value, the PSUs will have no value; </w:t>
      </w:r>
    </w:p>
    <w:p>
      <w:pPr>
        <w:pStyle w:val="TextBody"/>
        <w:bidi w:val="0"/>
        <w:spacing w:lineRule="auto" w:line="240"/>
        <w:ind w:left="0" w:right="0" w:firstLine="1440"/>
        <w:jc w:val="both"/>
        <w:rPr/>
      </w:pPr>
      <w:r>
        <w:rPr>
          <w:rFonts w:ascii="Times New Roman;sans-serif" w:hAnsi="Times New Roman;sans-serif"/>
          <w:b w:val="false"/>
          <w:color w:val="000000"/>
          <w:sz w:val="22"/>
        </w:rPr>
        <w:t>(g)</w:t>
      </w:r>
      <w:r>
        <w:rPr>
          <w:rFonts w:ascii="Times New Roman;sans-serif" w:hAnsi="Times New Roman;sans-serif"/>
          <w:b w:val="false"/>
          <w:color w:val="000000"/>
          <w:sz w:val="22"/>
        </w:rPr>
        <w:t xml:space="preserve">for purposes of the PSUs, Participant’s Continuous Service will be considered terminated as of the date Participant is no longer actively providing services to the Company or the </w:t>
      </w:r>
    </w:p>
    <w:p>
      <w:pPr>
        <w:pStyle w:val="TextBody"/>
        <w:bidi w:val="0"/>
        <w:spacing w:before="0" w:after="0"/>
        <w:jc w:val="center"/>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75260"/>
                <wp:effectExtent l="0" t="0" r="0" b="0"/>
                <wp:wrapNone/>
                <wp:docPr id="126" name="Frame1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2"/>
                              </w:rPr>
                              <w:t>-14-</w:t>
                            </w:r>
                            <w:r>
                              <w:rPr>
                                <w:color w:val="000000"/>
                              </w:rPr>
                              <w:t xml:space="preserve">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2"/>
                        </w:rPr>
                        <w:t>-14-</w:t>
                      </w:r>
                      <w:r>
                        <w:rPr>
                          <w:color w:val="000000"/>
                        </w:rPr>
                        <w:t xml:space="preserve"> </w:t>
                      </w:r>
                    </w:p>
                  </w:txbxContent>
                </v:textbox>
                <w10:wrap type="none"/>
              </v:rect>
            </w:pict>
          </mc:Fallback>
        </mc:AlternateContent>
      </w:r>
    </w:p>
    <w:p>
      <w:pPr>
        <w:pStyle w:val="TextBody"/>
        <w:bidi w:val="0"/>
        <w:spacing w:lineRule="auto" w:line="240" w:before="0" w:after="0"/>
        <w:jc w:val="both"/>
        <w:rPr/>
      </w:pPr>
      <w:r>
        <w:rPr>
          <w:rFonts w:ascii="Times New Roman;sans-serif" w:hAnsi="Times New Roman;sans-serif"/>
          <w:b w:val="false"/>
          <w:color w:val="000000"/>
          <w:sz w:val="22"/>
        </w:rPr>
        <w:t>Employer (regardless of the reason for such termination and whether or not later found to be invalid or in breach of employment laws in the jurisdiction where Participant is employed or providing services, or the terms of Participant’s employment or service agreement, if any), and unless otherwise expressly provided in this Notice or determined by the Company, (i) Participant’s right to vest in the PSUs under the Plan, if any, will terminate as of such date and will not be extended by any notice period (</w:t>
      </w:r>
      <w:r>
        <w:rPr>
          <w:rFonts w:ascii="Times New Roman;sans-serif" w:hAnsi="Times New Roman;sans-serif"/>
          <w:b w:val="false"/>
          <w:i/>
          <w:color w:val="000000"/>
          <w:sz w:val="22"/>
        </w:rPr>
        <w:t>e.g</w:t>
      </w:r>
      <w:r>
        <w:rPr>
          <w:rFonts w:ascii="Times New Roman;sans-serif" w:hAnsi="Times New Roman;sans-serif"/>
          <w:b w:val="false"/>
          <w:color w:val="000000"/>
          <w:sz w:val="22"/>
        </w:rPr>
        <w:t>., Participant’s period of service would not include any contractual notice period or any period of “garden leave” or similar period mandated under employment laws in the jurisdiction where Participant is employed or the terms of Participant’s employment agreement, if any); the Board or Committee shall have the exclusive discretion to determine when Participant is no longer actively providing services for purposes of the PSUs (including whether Participant may still be considered to be providing services while on a leave of absence);</w:t>
      </w:r>
    </w:p>
    <w:p>
      <w:pPr>
        <w:pStyle w:val="TextBody"/>
        <w:bidi w:val="0"/>
        <w:spacing w:before="0" w:after="0"/>
        <w:jc w:val="both"/>
        <w:rPr/>
      </w:pPr>
      <w:r>
        <w:rPr/>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(h)</w:t>
      </w:r>
      <w:r>
        <w:rPr>
          <w:rFonts w:ascii="Times New Roman;sans-serif" w:hAnsi="Times New Roman;sans-serif"/>
          <w:b w:val="false"/>
          <w:color w:val="000000"/>
          <w:sz w:val="22"/>
        </w:rPr>
        <w:t xml:space="preserve">no claim or entitlement to compensation or damages shall arise from forfeiture of the PSUs resulting from the termination of Participant’s Continuous Service (for any reason whatsoever, whether or not later found to be invalid or in breach of employment laws in the jurisdiction where Participant is employed or providing services, or the terms of Participant’s employment or service agreement, if any), and in consideration of the grant of the PSUs to which Participant is otherwise not entitled, Participant irrevocably agrees never to institute any claim against the Company, the Employer or any Affiliate, waives his or her ability, if any, to bring any such claim, and releases the Company, the Employer and any Affiliate from any such claim; if, notwithstanding the foregoing, any such claim is allowed by a court of competent jurisdiction, then, by participating in the Plan, Participant shall be deemed irrevocably to have agreed not to pursue such claim and agrees to execute any and all documents necessary to request dismissal or withdrawal of such claim;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(i)</w:t>
      </w:r>
      <w:r>
        <w:rPr>
          <w:rFonts w:ascii="Times New Roman;sans-serif" w:hAnsi="Times New Roman;sans-serif"/>
          <w:b w:val="false"/>
          <w:color w:val="000000"/>
          <w:sz w:val="22"/>
        </w:rPr>
        <w:t xml:space="preserve">unless otherwise provided in the Plan or by the Company in its discretion, the PSUs and the benefits evidenced by the Notice do not create any entitlement to have the PSUs or any such benefits transferred to, or assumed by, another company nor to be exchanged, cashed out or substituted for, in connection with any corporate transaction affecting the Shares; and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(j)</w:t>
      </w:r>
      <w:r>
        <w:rPr>
          <w:rFonts w:ascii="Times New Roman;sans-serif" w:hAnsi="Times New Roman;sans-serif"/>
          <w:b w:val="false"/>
          <w:color w:val="000000"/>
          <w:sz w:val="22"/>
        </w:rPr>
        <w:t>neither the Company, the Employer nor any Affiliate shall be liable for any foreign exchange rate fluctuation between Participant’s local currency and the U.S. dollar that may affect the value of the PSUs or of any amounts due to Participant pursuant to the vesting of the PSUs or the subsequent sale of any Shares acquired upon vesting.</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4.    </w:t>
      </w:r>
      <w:r>
        <w:rPr>
          <w:rFonts w:ascii="Times New Roman;sans-serif" w:hAnsi="Times New Roman;sans-serif"/>
          <w:b w:val="false"/>
          <w:color w:val="000000"/>
          <w:sz w:val="22"/>
          <w:u w:val="single"/>
        </w:rPr>
        <w:t>Venue</w:t>
      </w:r>
      <w:r>
        <w:rPr>
          <w:rFonts w:ascii="Times New Roman;sans-serif" w:hAnsi="Times New Roman;sans-serif"/>
          <w:b w:val="false"/>
          <w:color w:val="000000"/>
          <w:sz w:val="22"/>
        </w:rPr>
        <w:t xml:space="preserve">. For purposes of litigating any dispute that arises under the Notice, the parties hereby submit to and consent to the jurisdiction of the State of California, and agree that such litigation will be conducted in the courts of Los Angeles County, California, or the federal courts for the United States for the Central District of California, and no other courts, where this award of PSUs is made and/or to be performed.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5.    </w:t>
      </w:r>
      <w:r>
        <w:rPr>
          <w:rFonts w:ascii="Times New Roman;sans-serif" w:hAnsi="Times New Roman;sans-serif"/>
          <w:b w:val="false"/>
          <w:color w:val="000000"/>
          <w:sz w:val="22"/>
          <w:u w:val="single"/>
        </w:rPr>
        <w:t>Language</w:t>
      </w:r>
      <w:r>
        <w:rPr>
          <w:rFonts w:ascii="Times New Roman;sans-serif" w:hAnsi="Times New Roman;sans-serif"/>
          <w:b w:val="false"/>
          <w:color w:val="000000"/>
          <w:sz w:val="22"/>
        </w:rPr>
        <w:t xml:space="preserve">. If the Notice or any other document related to the Plan has been translated into a language other than English and the meaning of the translated version is different than the English version, the English version will control.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6.    </w:t>
      </w:r>
      <w:r>
        <w:rPr>
          <w:rFonts w:ascii="Times New Roman;sans-serif" w:hAnsi="Times New Roman;sans-serif"/>
          <w:b w:val="false"/>
          <w:color w:val="000000"/>
          <w:sz w:val="22"/>
          <w:u w:val="single"/>
        </w:rPr>
        <w:t>Foreign Asset / Account Reporting Requirements, Exchange Controls and Tax Requirements</w:t>
      </w:r>
      <w:r>
        <w:rPr>
          <w:rFonts w:ascii="Times New Roman;sans-serif" w:hAnsi="Times New Roman;sans-serif"/>
          <w:b w:val="false"/>
          <w:color w:val="000000"/>
          <w:sz w:val="22"/>
        </w:rPr>
        <w:t xml:space="preserve">. Participant acknowledges that Participant’s country may have certain foreign asset and/or account reporting requirements and exchange controls which may affect Participant’s ability to acquire or hold Shares under the Plan or cash received from participating in the Plan (including from any dividends received or sale proceeds arising from the sale of Shares) in a brokerage, legal entity or bank account outside Participant’s country. Participant understands that Participant may be required to report such accounts, assets and balances or transactions to the tax or other authorities in Participant’s country. Participant also may be required to repatriate sale proceeds or other funds received as a result of Participant’s participation in the Plan to their country through a designated bank or broker and/or within a certain time after receipt. In addition, Participant may be subject to tax payment and/or reporting obligations in connection with any income realized under the Plan and/or from the sale of Shares. Participant acknowledges that it is their responsibility to be compliant with all such requirements, and that </w:t>
      </w:r>
    </w:p>
    <w:p>
      <w:pPr>
        <w:pStyle w:val="TextBody"/>
        <w:bidi w:val="0"/>
        <w:spacing w:before="0" w:after="0"/>
        <w:jc w:val="center"/>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75260"/>
                <wp:effectExtent l="0" t="0" r="0" b="0"/>
                <wp:wrapNone/>
                <wp:docPr id="127" name="Frame1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2"/>
                              </w:rPr>
                              <w:t>-15-</w:t>
                            </w:r>
                            <w:r>
                              <w:rPr>
                                <w:color w:val="000000"/>
                              </w:rPr>
                              <w:t xml:space="preserve">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2"/>
                        </w:rPr>
                        <w:t>-15-</w:t>
                      </w:r>
                      <w:r>
                        <w:rPr>
                          <w:color w:val="000000"/>
                        </w:rPr>
                        <w:t xml:space="preserve"> </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Participant should consult their personal legal and tax advisors, as applicable, to ensure compliance with applicable regulations.</w:t>
      </w:r>
    </w:p>
    <w:p>
      <w:pPr>
        <w:pStyle w:val="TextBody"/>
        <w:bidi w:val="0"/>
        <w:spacing w:before="0" w:after="240"/>
        <w:ind w:left="0" w:right="0" w:firstLine="720"/>
        <w:jc w:val="both"/>
        <w:rPr/>
      </w:pPr>
      <w:r>
        <w:rPr/>
      </w:r>
    </w:p>
    <w:p>
      <w:pPr>
        <w:pStyle w:val="TextBody"/>
        <w:bidi w:val="0"/>
        <w:spacing w:before="0" w:after="283"/>
        <w:jc w:val="left"/>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75260"/>
                <wp:effectExtent l="0" t="0" r="0" b="0"/>
                <wp:wrapNone/>
                <wp:docPr id="128" name="Frame1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2"/>
                              </w:rPr>
                              <w:t>-16-</w:t>
                            </w:r>
                            <w:r>
                              <w:rPr>
                                <w:color w:val="000000"/>
                              </w:rPr>
                              <w:t xml:space="preserve">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2"/>
                        </w:rPr>
                        <w:t>-16-</w:t>
                      </w:r>
                      <w:r>
                        <w:rPr>
                          <w:color w:val="000000"/>
                        </w:rPr>
                        <w:t xml:space="preserve"> </w:t>
                      </w:r>
                    </w:p>
                  </w:txbxContent>
                </v:textbox>
                <w10:wrap type="none"/>
              </v:rect>
            </w:pict>
          </mc:Fallback>
        </mc:AlternateContent>
      </w:r>
    </w:p>
    <w:p>
      <w:pPr>
        <w:pStyle w:val="TextBody"/>
        <w:bidi w:val="0"/>
        <w:spacing w:lineRule="auto" w:line="240" w:before="0" w:after="0"/>
        <w:jc w:val="center"/>
        <w:rPr>
          <w:rFonts w:ascii="Times New Roman;sans-serif" w:hAnsi="Times New Roman;sans-serif"/>
          <w:b/>
          <w:color w:val="000000"/>
          <w:sz w:val="22"/>
          <w:u w:val="single"/>
        </w:rPr>
      </w:pPr>
      <w:r>
        <w:rPr>
          <w:rFonts w:ascii="Times New Roman;sans-serif" w:hAnsi="Times New Roman;sans-serif"/>
          <w:b/>
          <w:color w:val="000000"/>
          <w:sz w:val="22"/>
          <w:u w:val="single"/>
        </w:rPr>
        <w:t>APPENDIX B</w:t>
      </w:r>
    </w:p>
    <w:p>
      <w:pPr>
        <w:pStyle w:val="TextBody"/>
        <w:bidi w:val="0"/>
        <w:spacing w:before="0" w:after="0"/>
        <w:jc w:val="center"/>
        <w:rPr/>
      </w:pPr>
      <w:r>
        <w:rPr/>
      </w:r>
    </w:p>
    <w:p>
      <w:pPr>
        <w:pStyle w:val="TextBody"/>
        <w:bidi w:val="0"/>
        <w:spacing w:lineRule="auto" w:line="240" w:before="0" w:after="0"/>
        <w:ind w:left="0" w:right="0" w:firstLine="720"/>
        <w:jc w:val="center"/>
        <w:rPr>
          <w:rFonts w:ascii="Times New Roman;sans-serif" w:hAnsi="Times New Roman;sans-serif"/>
          <w:b/>
          <w:color w:val="000000"/>
          <w:sz w:val="22"/>
        </w:rPr>
      </w:pPr>
      <w:r>
        <w:rPr>
          <w:rFonts w:ascii="Times New Roman;sans-serif" w:hAnsi="Times New Roman;sans-serif"/>
          <w:b/>
          <w:color w:val="000000"/>
          <w:sz w:val="22"/>
        </w:rPr>
        <w:t>COUNTRY-SPECIFIC PROVISIONS FOR NON-U.S. EMPLOYEES</w:t>
      </w:r>
    </w:p>
    <w:p>
      <w:pPr>
        <w:pStyle w:val="TextBody"/>
        <w:bidi w:val="0"/>
        <w:spacing w:before="0" w:after="0"/>
        <w:ind w:left="0" w:right="0" w:firstLine="720"/>
        <w:jc w:val="center"/>
        <w:rPr/>
      </w:pPr>
      <w:r>
        <w:rPr/>
      </w:r>
    </w:p>
    <w:p>
      <w:pPr>
        <w:pStyle w:val="TextBody"/>
        <w:bidi w:val="0"/>
        <w:spacing w:lineRule="auto" w:line="240" w:before="0" w:after="0"/>
        <w:jc w:val="left"/>
        <w:rPr>
          <w:rFonts w:ascii="Times New Roman;sans-serif" w:hAnsi="Times New Roman;sans-serif"/>
          <w:b/>
          <w:i/>
          <w:color w:val="000000"/>
          <w:sz w:val="22"/>
        </w:rPr>
      </w:pPr>
      <w:r>
        <w:rPr>
          <w:rFonts w:ascii="Times New Roman;sans-serif" w:hAnsi="Times New Roman;sans-serif"/>
          <w:b/>
          <w:i/>
          <w:color w:val="000000"/>
          <w:sz w:val="22"/>
        </w:rPr>
        <w:t xml:space="preserve">Terms and Conditions </w:t>
      </w:r>
    </w:p>
    <w:p>
      <w:pPr>
        <w:pStyle w:val="TextBody"/>
        <w:bidi w:val="0"/>
        <w:spacing w:before="0" w:after="0"/>
        <w:jc w:val="left"/>
        <w:rPr/>
      </w:pPr>
      <w:r>
        <w:rPr/>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This Appendix B includes additional terms and conditions that govern the PSUs granted to Participant under the Plan if Participant works or resides in one of the countries listed below. If Participant is a citizen or resident of a country other than the one in which Participant currently is working (or if Participant is considered as such for local law purposes), or if Participant transfers employment or residence to another country after PSUs have been granted to Participant under the Plan, the Company, in its discretion, will determine the extent to which the terms and conditions herein will be applicable to Participant.</w:t>
      </w:r>
    </w:p>
    <w:p>
      <w:pPr>
        <w:pStyle w:val="TextBody"/>
        <w:bidi w:val="0"/>
        <w:spacing w:lineRule="auto" w:line="240" w:before="0" w:after="240"/>
        <w:jc w:val="both"/>
        <w:rPr>
          <w:rFonts w:ascii="Times New Roman;sans-serif" w:hAnsi="Times New Roman;sans-serif"/>
          <w:b w:val="false"/>
          <w:i/>
          <w:color w:val="000000"/>
          <w:sz w:val="22"/>
        </w:rPr>
      </w:pPr>
      <w:r>
        <w:rPr>
          <w:rFonts w:ascii="Times New Roman;sans-serif" w:hAnsi="Times New Roman;sans-serif"/>
          <w:b w:val="false"/>
          <w:i/>
          <w:color w:val="000000"/>
          <w:sz w:val="22"/>
        </w:rPr>
        <w:t xml:space="preserve">Capitalized terms used but not otherwise defined herein shall have the meaning given to such terms in the Plan, the Notice or Appendix A. </w:t>
      </w:r>
    </w:p>
    <w:p>
      <w:pPr>
        <w:pStyle w:val="TextBody"/>
        <w:bidi w:val="0"/>
        <w:spacing w:lineRule="auto" w:line="240" w:before="0" w:after="240"/>
        <w:jc w:val="both"/>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This Appendix B also includes information regarding securities laws, exchange controls and certain other issues of which Participant should be aware with respect to his or her participation in the Plan. The information is based on the securities, exchange control and other laws in effect in the respective countries as of November 2014. Such laws are often complex and change frequently. As a result, the Company recommends that Participant not rely on the information in this Appendix B as the only source of information relating to the consequences of his or her participation in the Plan because the information included herein may be out of date at the time that Participant acquires Shares under the Plan or subsequently sells such Shares. </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In addition, the information contained herein is general in nature and may not apply to Participant’s particular situation and the Company is not in a position to assure Participant of any particular result. Accordingly, Participant is advised to seek appropriate professional advice as to how the relevant laws in Participant’s country may apply to his or her individual situation. </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Finally, if Participant is a citizen or resident of a country other than the one in which Participant currently is working or residing (or if Participant is considered as such for local law purposes), or if Participant transfers employment or residence to another country after PSUs have been granted to Participant under the Plan, the information contained herein may not be applicable to Participant in the same manner. </w:t>
      </w:r>
    </w:p>
    <w:p>
      <w:pPr>
        <w:pStyle w:val="TextBody"/>
        <w:bidi w:val="0"/>
        <w:spacing w:lineRule="auto" w:line="240"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AUSTRALIA</w:t>
      </w:r>
    </w:p>
    <w:p>
      <w:pPr>
        <w:pStyle w:val="TextBody"/>
        <w:bidi w:val="0"/>
        <w:spacing w:lineRule="auto" w:line="240"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40" w:before="0" w:after="240"/>
        <w:jc w:val="both"/>
        <w:rPr/>
      </w:pPr>
      <w:r>
        <w:rPr>
          <w:rFonts w:ascii="Times New Roman;sans-serif" w:hAnsi="Times New Roman;sans-serif"/>
          <w:b/>
          <w:color w:val="000000"/>
          <w:sz w:val="22"/>
        </w:rPr>
        <w:t>Securities Law Information</w:t>
      </w:r>
      <w:r>
        <w:rPr>
          <w:rFonts w:ascii="Times New Roman;sans-serif" w:hAnsi="Times New Roman;sans-serif"/>
          <w:b w:val="false"/>
          <w:color w:val="000000"/>
          <w:sz w:val="22"/>
        </w:rPr>
        <w:t>. If Shares are acquired under the Plan and subsequently offered for sale to a person or entity resident in Australia, such offer may be subject to disclosure requirements under Australian law. Participants should obtain legal advice regarding any applicable disclosure requirements prior to making any such offer.</w:t>
      </w:r>
    </w:p>
    <w:p>
      <w:pPr>
        <w:pStyle w:val="TextBody"/>
        <w:bidi w:val="0"/>
        <w:spacing w:before="0" w:after="0"/>
        <w:jc w:val="center"/>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75260"/>
                <wp:effectExtent l="0" t="0" r="0" b="0"/>
                <wp:wrapNone/>
                <wp:docPr id="129" name="Frame1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2"/>
                              </w:rPr>
                              <w:t>-17-</w:t>
                            </w:r>
                            <w:r>
                              <w:rPr>
                                <w:color w:val="000000"/>
                              </w:rPr>
                              <w:t xml:space="preserve">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2"/>
                        </w:rPr>
                        <w:t>-17-</w:t>
                      </w:r>
                      <w:r>
                        <w:rPr>
                          <w:color w:val="000000"/>
                        </w:rPr>
                        <w:t xml:space="preserve"> </w:t>
                      </w:r>
                    </w:p>
                  </w:txbxContent>
                </v:textbox>
                <w10:wrap type="none"/>
              </v:rect>
            </w:pict>
          </mc:Fallback>
        </mc:AlternateContent>
      </w:r>
    </w:p>
    <w:p>
      <w:pPr>
        <w:pStyle w:val="TextBody"/>
        <w:bidi w:val="0"/>
        <w:spacing w:lineRule="auto" w:line="240"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BRAZIL</w:t>
      </w:r>
    </w:p>
    <w:p>
      <w:pPr>
        <w:pStyle w:val="TextBody"/>
        <w:bidi w:val="0"/>
        <w:spacing w:lineRule="auto" w:line="240" w:before="0" w:after="240"/>
        <w:jc w:val="left"/>
        <w:rPr>
          <w:rFonts w:ascii="Times New Roman;sans-serif" w:hAnsi="Times New Roman;sans-serif"/>
          <w:b/>
          <w:i/>
          <w:color w:val="000000"/>
          <w:sz w:val="22"/>
        </w:rPr>
      </w:pPr>
      <w:r>
        <w:rPr>
          <w:rFonts w:ascii="Times New Roman;sans-serif" w:hAnsi="Times New Roman;sans-serif"/>
          <w:b/>
          <w:i/>
          <w:color w:val="000000"/>
          <w:sz w:val="22"/>
        </w:rPr>
        <w:t xml:space="preserve">Terms and Conditions </w:t>
      </w:r>
    </w:p>
    <w:p>
      <w:pPr>
        <w:pStyle w:val="TextBody"/>
        <w:bidi w:val="0"/>
        <w:spacing w:lineRule="auto" w:line="240" w:before="0" w:after="240"/>
        <w:jc w:val="both"/>
        <w:rPr/>
      </w:pPr>
      <w:r>
        <w:rPr>
          <w:rFonts w:ascii="Times New Roman;sans-serif" w:hAnsi="Times New Roman;sans-serif"/>
          <w:b/>
          <w:color w:val="000000"/>
          <w:sz w:val="22"/>
        </w:rPr>
        <w:t>Compliance with Law</w:t>
      </w:r>
      <w:r>
        <w:rPr>
          <w:rFonts w:ascii="Times New Roman;sans-serif" w:hAnsi="Times New Roman;sans-serif"/>
          <w:b w:val="false"/>
          <w:color w:val="000000"/>
          <w:sz w:val="22"/>
        </w:rPr>
        <w:t>. By participating in the Plan, Participant agrees to comply with all applicable Brazilian laws and to pay any and all applicable taxes associated with the acquisition and sale of Shares acquired under the Plan, or the receipt of any dividends in the future.</w:t>
      </w:r>
    </w:p>
    <w:p>
      <w:pPr>
        <w:pStyle w:val="TextBody"/>
        <w:bidi w:val="0"/>
        <w:spacing w:lineRule="auto" w:line="240"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40" w:before="0" w:after="240"/>
        <w:jc w:val="both"/>
        <w:rPr/>
      </w:pPr>
      <w:r>
        <w:rPr>
          <w:rFonts w:ascii="Times New Roman;sans-serif" w:hAnsi="Times New Roman;sans-serif"/>
          <w:b/>
          <w:color w:val="000000"/>
          <w:sz w:val="22"/>
        </w:rPr>
        <w:t>Exchange Control Information</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color w:val="000000"/>
          <w:sz w:val="22"/>
        </w:rPr>
        <w:t>Participants who are residents or domiciled in Brazil must submit a declaration of assets and rights held outside of Brazil, including Shares acquired under the Plan, to the Central Bank if the aggregate value of such assets and rights is at least US$100,000. Participants should consult their personal legal advisors for further details regarding this requirement.</w:t>
      </w:r>
    </w:p>
    <w:p>
      <w:pPr>
        <w:pStyle w:val="TextBody"/>
        <w:bidi w:val="0"/>
        <w:spacing w:lineRule="auto" w:line="240"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CANADA</w:t>
      </w:r>
    </w:p>
    <w:p>
      <w:pPr>
        <w:pStyle w:val="TextBody"/>
        <w:bidi w:val="0"/>
        <w:spacing w:lineRule="auto" w:line="240" w:before="0" w:after="240"/>
        <w:jc w:val="both"/>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40" w:before="0" w:after="240"/>
        <w:jc w:val="both"/>
        <w:rPr/>
      </w:pPr>
      <w:r>
        <w:rPr>
          <w:rFonts w:ascii="Times New Roman;sans-serif" w:hAnsi="Times New Roman;sans-serif"/>
          <w:b/>
          <w:color w:val="000000"/>
          <w:sz w:val="22"/>
        </w:rPr>
        <w:t>Labor Law Acknowledgement</w:t>
      </w:r>
      <w:r>
        <w:rPr>
          <w:rFonts w:ascii="Times New Roman;sans-serif" w:hAnsi="Times New Roman;sans-serif"/>
          <w:b w:val="false"/>
          <w:color w:val="000000"/>
          <w:sz w:val="22"/>
        </w:rPr>
        <w:t xml:space="preserve">. This provision replaces </w:t>
      </w:r>
      <w:r>
        <w:rPr>
          <w:rFonts w:ascii="Times New Roman;sans-serif" w:hAnsi="Times New Roman;sans-serif"/>
          <w:b w:val="false"/>
          <w:color w:val="000000"/>
          <w:sz w:val="22"/>
          <w:u w:val="single"/>
        </w:rPr>
        <w:t>Section 3(h)</w:t>
      </w:r>
      <w:r>
        <w:rPr>
          <w:color w:val="000000"/>
        </w:rPr>
        <w:t xml:space="preserve"> </w:t>
      </w:r>
      <w:r>
        <w:rPr>
          <w:rFonts w:ascii="Times New Roman;sans-serif" w:hAnsi="Times New Roman;sans-serif"/>
          <w:b w:val="false"/>
          <w:color w:val="000000"/>
          <w:sz w:val="22"/>
        </w:rPr>
        <w:t xml:space="preserve">of Appendix A and supplements </w:t>
      </w:r>
      <w:r>
        <w:rPr>
          <w:rFonts w:ascii="Times New Roman;sans-serif" w:hAnsi="Times New Roman;sans-serif"/>
          <w:b w:val="false"/>
          <w:color w:val="000000"/>
          <w:sz w:val="22"/>
          <w:u w:val="single"/>
        </w:rPr>
        <w:t>Section 2</w:t>
      </w:r>
      <w:r>
        <w:rPr>
          <w:color w:val="000000"/>
        </w:rPr>
        <w:t xml:space="preserve"> </w:t>
      </w:r>
      <w:r>
        <w:rPr>
          <w:rFonts w:ascii="Times New Roman;sans-serif" w:hAnsi="Times New Roman;sans-serif"/>
          <w:b w:val="false"/>
          <w:color w:val="000000"/>
          <w:sz w:val="22"/>
        </w:rPr>
        <w:t>of the Notice:</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for purposes of the PSUs, Participant’s Continuous Service will be considered terminated as of the earlier of: (i) the date on which Participant’s employment with the Company and/or the Employer is terminated; (ii) the date on which Participant receives a written notice of termination of Continuous Service regardless of any notice period or period of pay in lieu of such notice required under any employment laws in Participant’s country (including, without limitation, statutory law, regulatory law, and/or common law), even if such law is otherwise applicable to Participant’s benefits from the Company and/or the Employer; or (iii) the date on which Participant is no longer actively providing services to the Company and/or the Employer (regardless of the reason for such termination and regardless of whether it is later found to be invalid), and unless otherwise expressly provided in this Notice or determined by the Company, Participant’s right to vest in the PSUs under the Plan, if any, will terminate as of such date; the Board or Committee shall have the exclusive discretion to determine when Participant is no longer actively providing services for purposes of the PSUs (including whether Participant may still be considered to be providing services while on a leave of absence);</w:t>
      </w:r>
    </w:p>
    <w:p>
      <w:pPr>
        <w:pStyle w:val="TextBody"/>
        <w:bidi w:val="0"/>
        <w:spacing w:lineRule="auto" w:line="240" w:before="0" w:after="240"/>
        <w:jc w:val="both"/>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40" w:before="0" w:after="240"/>
        <w:jc w:val="both"/>
        <w:rPr/>
      </w:pPr>
      <w:r>
        <w:rPr>
          <w:rFonts w:ascii="Times New Roman;sans-serif" w:hAnsi="Times New Roman;sans-serif"/>
          <w:b/>
          <w:color w:val="000000"/>
          <w:sz w:val="22"/>
        </w:rPr>
        <w:t>Securities Law Information</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color w:val="000000"/>
          <w:sz w:val="22"/>
        </w:rPr>
        <w:t>Shares acquired under the Plan may result in Canadian securities laws issues if such Shares are sold through a broker other than the designated broker or if the sale does not take place through the facilities of a stock exchange outside Canada on which the Shares are listed (</w:t>
      </w:r>
      <w:r>
        <w:rPr>
          <w:rFonts w:ascii="Times New Roman;sans-serif" w:hAnsi="Times New Roman;sans-serif"/>
          <w:b w:val="false"/>
          <w:i/>
          <w:color w:val="000000"/>
          <w:sz w:val="22"/>
        </w:rPr>
        <w:t>i.e.</w:t>
      </w:r>
      <w:r>
        <w:rPr>
          <w:rFonts w:ascii="Times New Roman;sans-serif" w:hAnsi="Times New Roman;sans-serif"/>
          <w:b w:val="false"/>
          <w:color w:val="000000"/>
          <w:sz w:val="22"/>
        </w:rPr>
        <w:t xml:space="preserve">, the Nasdaq). </w:t>
      </w:r>
    </w:p>
    <w:p>
      <w:pPr>
        <w:pStyle w:val="TextBody"/>
        <w:bidi w:val="0"/>
        <w:spacing w:lineRule="auto" w:line="240" w:before="0" w:after="240"/>
        <w:jc w:val="both"/>
        <w:rPr/>
      </w:pPr>
      <w:r>
        <w:rPr>
          <w:rFonts w:ascii="Times New Roman;sans-serif" w:hAnsi="Times New Roman;sans-serif"/>
          <w:b/>
          <w:color w:val="000000"/>
          <w:sz w:val="22"/>
        </w:rPr>
        <w:t>Tax Reporting Obligation</w:t>
      </w:r>
      <w:r>
        <w:rPr>
          <w:rFonts w:ascii="Times New Roman;sans-serif" w:hAnsi="Times New Roman;sans-serif"/>
          <w:b w:val="false"/>
          <w:color w:val="000000"/>
          <w:sz w:val="22"/>
        </w:rPr>
        <w:t>. Foreign property (including Shares acquired under the Plan and possibly the PSUs) must be reported on Form T1135 (Foreign Income Verification Statement) if the total value of foreign property exceeds C$100,000 at any time during the year. Participants should consult their personal tax advisors for further details regarding this requirement.</w:t>
      </w:r>
    </w:p>
    <w:p>
      <w:pPr>
        <w:pStyle w:val="TextBody"/>
        <w:bidi w:val="0"/>
        <w:spacing w:lineRule="auto" w:line="240"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FRANCE</w:t>
      </w:r>
    </w:p>
    <w:p>
      <w:pPr>
        <w:pStyle w:val="TextBody"/>
        <w:bidi w:val="0"/>
        <w:spacing w:lineRule="auto" w:line="240" w:before="0" w:after="0"/>
        <w:jc w:val="both"/>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before="0" w:after="0"/>
        <w:jc w:val="both"/>
        <w:rPr/>
      </w:pPr>
      <w:r>
        <w:rPr/>
      </w:r>
    </w:p>
    <w:p>
      <w:pPr>
        <w:pStyle w:val="TextBody"/>
        <w:bidi w:val="0"/>
        <w:spacing w:lineRule="auto" w:line="240"/>
        <w:jc w:val="both"/>
        <w:rPr/>
      </w:pPr>
      <w:r>
        <w:rPr>
          <w:rFonts w:ascii="Times New Roman;sans-serif" w:hAnsi="Times New Roman;sans-serif"/>
          <w:b/>
          <w:color w:val="000000"/>
          <w:sz w:val="22"/>
        </w:rPr>
        <w:t>Language Consent</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color w:val="000000"/>
          <w:sz w:val="22"/>
        </w:rPr>
        <w:t>By participating in the Plan, Participant confirms having read and understood the documents relating to the PSUs and his or her participation in the Plan (</w:t>
      </w:r>
      <w:r>
        <w:rPr>
          <w:rFonts w:ascii="Times New Roman;sans-serif" w:hAnsi="Times New Roman;sans-serif"/>
          <w:b w:val="false"/>
          <w:i/>
          <w:color w:val="000000"/>
          <w:sz w:val="22"/>
        </w:rPr>
        <w:t xml:space="preserve">i.e., </w:t>
      </w:r>
      <w:r>
        <w:rPr>
          <w:rFonts w:ascii="Times New Roman;sans-serif" w:hAnsi="Times New Roman;sans-serif"/>
          <w:b w:val="false"/>
          <w:color w:val="000000"/>
          <w:sz w:val="22"/>
        </w:rPr>
        <w:t>the Plan and this Notice), which were provided to Participant in the English language. Participant accepts the terms of these documents accordingly.</w:t>
      </w:r>
    </w:p>
    <w:p>
      <w:pPr>
        <w:pStyle w:val="TextBody"/>
        <w:bidi w:val="0"/>
        <w:spacing w:before="0" w:after="0"/>
        <w:jc w:val="center"/>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75260"/>
                <wp:effectExtent l="0" t="0" r="0" b="0"/>
                <wp:wrapNone/>
                <wp:docPr id="130" name="Frame1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2"/>
                              </w:rPr>
                              <w:t>-18-</w:t>
                            </w:r>
                            <w:r>
                              <w:rPr>
                                <w:color w:val="000000"/>
                              </w:rPr>
                              <w:t xml:space="preserve">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2"/>
                        </w:rPr>
                        <w:t>-18-</w:t>
                      </w:r>
                      <w:r>
                        <w:rPr>
                          <w:color w:val="000000"/>
                        </w:rPr>
                        <w:t xml:space="preserve"> </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color w:val="000000"/>
          <w:sz w:val="22"/>
        </w:rPr>
        <w:t>Consentement Relatif à la Langue Utilisée</w:t>
      </w:r>
      <w:r>
        <w:rPr>
          <w:rFonts w:ascii="Times New Roman;sans-serif" w:hAnsi="Times New Roman;sans-serif"/>
          <w:b w:val="false"/>
          <w:color w:val="000000"/>
          <w:sz w:val="22"/>
        </w:rPr>
        <w:t xml:space="preserve">. </w:t>
      </w:r>
      <w:r>
        <w:rPr>
          <w:rFonts w:ascii="Times New Roman;sans-serif" w:hAnsi="Times New Roman;sans-serif"/>
          <w:b w:val="false"/>
          <w:i/>
          <w:color w:val="000000"/>
          <w:sz w:val="22"/>
        </w:rPr>
        <w:t>En participant au Plan, le Participant confirme avoir lu et compris les documents relatifs aux PSUs et à sa participation au Plan (à savoir, le Plan et le présent Avis) qui lui ont été communiqués en langue anglaise. Le Participant accepte les termes de ces documents en connaissance de cause.</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before="0" w:after="0"/>
        <w:jc w:val="both"/>
        <w:rPr/>
      </w:pPr>
      <w:r>
        <w:rPr/>
      </w:r>
    </w:p>
    <w:p>
      <w:pPr>
        <w:pStyle w:val="TextBody"/>
        <w:bidi w:val="0"/>
        <w:spacing w:lineRule="auto" w:line="240" w:before="0" w:after="240"/>
        <w:jc w:val="both"/>
        <w:rPr/>
      </w:pPr>
      <w:r>
        <w:rPr>
          <w:rFonts w:ascii="Times New Roman;sans-serif" w:hAnsi="Times New Roman;sans-serif"/>
          <w:b/>
          <w:color w:val="000000"/>
          <w:sz w:val="22"/>
        </w:rPr>
        <w:t>Foreign Asset/Account Reporting Information</w:t>
      </w:r>
      <w:r>
        <w:rPr>
          <w:rFonts w:ascii="Times New Roman;sans-serif" w:hAnsi="Times New Roman;sans-serif"/>
          <w:b w:val="false"/>
          <w:color w:val="000000"/>
          <w:sz w:val="22"/>
        </w:rPr>
        <w:t>. Participants in France must declare any foreign bank investment, or brokerage account opened, used or closed during the fiscal year to the French tax authorities when filing their annual tax returns. Participants should consult their personal tax advisors for details regarding this requirement.</w:t>
      </w:r>
    </w:p>
    <w:p>
      <w:pPr>
        <w:pStyle w:val="TextBody"/>
        <w:bidi w:val="0"/>
        <w:spacing w:lineRule="auto" w:line="240" w:before="0" w:after="0"/>
        <w:jc w:val="center"/>
        <w:rPr>
          <w:rFonts w:ascii="Times New Roman;sans-serif" w:hAnsi="Times New Roman;sans-serif"/>
          <w:b/>
          <w:color w:val="000000"/>
          <w:sz w:val="22"/>
          <w:u w:val="single"/>
        </w:rPr>
      </w:pPr>
      <w:r>
        <w:rPr>
          <w:rFonts w:ascii="Times New Roman;sans-serif" w:hAnsi="Times New Roman;sans-serif"/>
          <w:b/>
          <w:color w:val="000000"/>
          <w:sz w:val="22"/>
          <w:u w:val="single"/>
        </w:rPr>
        <w:t>GERMANY</w:t>
      </w:r>
    </w:p>
    <w:p>
      <w:pPr>
        <w:pStyle w:val="TextBody"/>
        <w:bidi w:val="0"/>
        <w:spacing w:before="0" w:after="0"/>
        <w:jc w:val="center"/>
        <w:rPr/>
      </w:pPr>
      <w:r>
        <w:rPr/>
      </w:r>
    </w:p>
    <w:p>
      <w:pPr>
        <w:pStyle w:val="TextBody"/>
        <w:bidi w:val="0"/>
        <w:spacing w:lineRule="auto" w:line="240" w:before="0" w:after="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before="0" w:after="0"/>
        <w:jc w:val="left"/>
        <w:rPr/>
      </w:pPr>
      <w:r>
        <w:rPr/>
      </w:r>
    </w:p>
    <w:p>
      <w:pPr>
        <w:pStyle w:val="TextBody"/>
        <w:bidi w:val="0"/>
        <w:spacing w:lineRule="auto" w:line="240" w:before="0" w:after="0"/>
        <w:jc w:val="both"/>
        <w:rPr/>
      </w:pPr>
      <w:r>
        <w:rPr>
          <w:rFonts w:ascii="Times New Roman;sans-serif" w:hAnsi="Times New Roman;sans-serif"/>
          <w:b/>
          <w:color w:val="000000"/>
          <w:sz w:val="22"/>
        </w:rPr>
        <w:t>Exchange Control Information</w:t>
      </w:r>
      <w:r>
        <w:rPr>
          <w:rFonts w:ascii="Times New Roman;sans-serif" w:hAnsi="Times New Roman;sans-serif"/>
          <w:b w:val="false"/>
          <w:color w:val="000000"/>
          <w:sz w:val="22"/>
        </w:rPr>
        <w:t>. Cross-border payments in excess of €12,500 in connection with the acquisition or sale of securities (</w:t>
      </w:r>
      <w:r>
        <w:rPr>
          <w:rFonts w:ascii="Times New Roman;sans-serif" w:hAnsi="Times New Roman;sans-serif"/>
          <w:b w:val="false"/>
          <w:i/>
          <w:color w:val="000000"/>
          <w:sz w:val="22"/>
        </w:rPr>
        <w:t>e.g.</w:t>
      </w:r>
      <w:r>
        <w:rPr>
          <w:rFonts w:ascii="Times New Roman;sans-serif" w:hAnsi="Times New Roman;sans-serif"/>
          <w:b w:val="false"/>
          <w:color w:val="000000"/>
          <w:sz w:val="22"/>
        </w:rPr>
        <w:t>, transfer of proceeds from the sale of Shares into Germany) must be reported electronically to the German Federal Bank. The online filing portal may be accessed at the website of the German Federal Bank. Participants should consult their personal tax advisors for details regarding this requirement.</w:t>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color w:val="000000"/>
          <w:sz w:val="22"/>
          <w:u w:val="single"/>
        </w:rPr>
      </w:pPr>
      <w:r>
        <w:rPr>
          <w:rFonts w:ascii="Times New Roman;sans-serif" w:hAnsi="Times New Roman;sans-serif"/>
          <w:b/>
          <w:color w:val="000000"/>
          <w:sz w:val="22"/>
          <w:u w:val="single"/>
        </w:rPr>
        <w:t>ITALY</w:t>
      </w:r>
    </w:p>
    <w:p>
      <w:pPr>
        <w:pStyle w:val="TextBody"/>
        <w:bidi w:val="0"/>
        <w:spacing w:before="0" w:after="0"/>
        <w:jc w:val="center"/>
        <w:rPr/>
      </w:pPr>
      <w:r>
        <w:rPr/>
      </w:r>
    </w:p>
    <w:p>
      <w:pPr>
        <w:pStyle w:val="TextBody"/>
        <w:bidi w:val="0"/>
        <w:spacing w:lineRule="auto" w:line="240" w:before="0" w:after="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color w:val="000000"/>
          <w:sz w:val="22"/>
        </w:rPr>
        <w:t>Data Privacy</w:t>
      </w:r>
      <w:r>
        <w:rPr>
          <w:rFonts w:ascii="Times New Roman;sans-serif" w:hAnsi="Times New Roman;sans-serif"/>
          <w:b w:val="false"/>
          <w:color w:val="000000"/>
          <w:sz w:val="22"/>
        </w:rPr>
        <w:t xml:space="preserve">. This provision replaces in its entirety </w:t>
      </w:r>
      <w:r>
        <w:rPr>
          <w:rFonts w:ascii="Times New Roman;sans-serif" w:hAnsi="Times New Roman;sans-serif"/>
          <w:b w:val="false"/>
          <w:color w:val="000000"/>
          <w:sz w:val="22"/>
          <w:u w:val="single"/>
        </w:rPr>
        <w:t>Section 10</w:t>
      </w:r>
      <w:r>
        <w:rPr>
          <w:color w:val="000000"/>
        </w:rPr>
        <w:t xml:space="preserve"> </w:t>
      </w:r>
      <w:r>
        <w:rPr>
          <w:rFonts w:ascii="Times New Roman;sans-serif" w:hAnsi="Times New Roman;sans-serif"/>
          <w:b w:val="false"/>
          <w:color w:val="000000"/>
          <w:sz w:val="22"/>
        </w:rPr>
        <w:t>of the Notice:</w:t>
      </w:r>
    </w:p>
    <w:p>
      <w:pPr>
        <w:pStyle w:val="TextBody"/>
        <w:bidi w:val="0"/>
        <w:spacing w:before="0" w:after="0"/>
        <w:jc w:val="left"/>
        <w:rPr/>
      </w:pPr>
      <w:r>
        <w:rPr/>
      </w:r>
    </w:p>
    <w:p>
      <w:pPr>
        <w:pStyle w:val="TextBody"/>
        <w:bidi w:val="0"/>
        <w:spacing w:lineRule="auto" w:line="240" w:before="0" w:after="240"/>
        <w:jc w:val="both"/>
        <w:rPr>
          <w:rFonts w:ascii="Times New Roman;sans-serif" w:hAnsi="Times New Roman;sans-serif"/>
          <w:b/>
          <w:i/>
          <w:color w:val="000000"/>
          <w:sz w:val="22"/>
        </w:rPr>
      </w:pPr>
      <w:r>
        <w:rPr>
          <w:rFonts w:ascii="Times New Roman;sans-serif" w:hAnsi="Times New Roman;sans-serif"/>
          <w:b/>
          <w:i/>
          <w:color w:val="000000"/>
          <w:sz w:val="22"/>
        </w:rPr>
        <w:t xml:space="preserve">Participant understands that the Company may hold certain personal information about Participant, including Participant’s name, home address and telephone number, date of birth, social insurance number or other identification number, salary, nationality, job title, any shares of stock or directorships Participant holds in the Company, details of the Plan or any other entitlement to shares of stock awarded, canceled, exercised, vested, unvested or outstanding in Participant’s favor (“Data”), for the exclusive purpose of implementing, administering and managing Participant’s participation in the Plan. </w:t>
      </w:r>
    </w:p>
    <w:p>
      <w:pPr>
        <w:pStyle w:val="TextBody"/>
        <w:bidi w:val="0"/>
        <w:spacing w:lineRule="auto" w:line="240" w:before="0" w:after="240"/>
        <w:jc w:val="both"/>
        <w:rPr/>
      </w:pPr>
      <w:r>
        <w:rPr>
          <w:rFonts w:ascii="Times New Roman;sans-serif" w:hAnsi="Times New Roman;sans-serif"/>
          <w:b/>
          <w:i/>
          <w:color w:val="000000"/>
          <w:sz w:val="22"/>
        </w:rPr>
        <w:t>Participant also understands that providing the Company with the Data is necessary for the performance of the Plan and that Participant’s refusal to provide such Data would make it impossible for the Company to perform its contractual obligations and may affect Participant’s ability to participate in the Plan. The Controller of personal data processing is Magnite, Inc., with registered offices at 1250 Broadway, 15</w:t>
      </w:r>
      <w:r>
        <w:rPr>
          <w:rFonts w:ascii="Times New Roman;sans-serif" w:hAnsi="Times New Roman;sans-serif"/>
          <w:b/>
          <w:i/>
          <w:color w:val="000000"/>
          <w:sz w:val="14"/>
        </w:rPr>
        <w:t>th</w:t>
      </w:r>
      <w:r>
        <w:rPr>
          <w:color w:val="000000"/>
        </w:rPr>
        <w:t xml:space="preserve"> </w:t>
      </w:r>
      <w:r>
        <w:rPr>
          <w:rFonts w:ascii="Times New Roman;sans-serif" w:hAnsi="Times New Roman;sans-serif"/>
          <w:b/>
          <w:i/>
          <w:color w:val="000000"/>
          <w:sz w:val="22"/>
        </w:rPr>
        <w:t>Floor, New York, NY 10001, U.S.A., and, pursuant to D.lgs 196/2003, its representative in Italy is Magnite S.r.l. with registered offices at Corsa Giaccomo Matteotti 7, CAP 20121 Milano, Italy.</w:t>
      </w:r>
    </w:p>
    <w:p>
      <w:pPr>
        <w:pStyle w:val="TextBody"/>
        <w:bidi w:val="0"/>
        <w:spacing w:lineRule="auto" w:line="240" w:before="0" w:after="240"/>
        <w:jc w:val="both"/>
        <w:rPr>
          <w:rFonts w:ascii="Times New Roman;sans-serif" w:hAnsi="Times New Roman;sans-serif"/>
          <w:b/>
          <w:i/>
          <w:color w:val="000000"/>
          <w:sz w:val="22"/>
        </w:rPr>
      </w:pPr>
      <w:r>
        <w:rPr>
          <w:rFonts w:ascii="Times New Roman;sans-serif" w:hAnsi="Times New Roman;sans-serif"/>
          <w:b/>
          <w:i/>
          <w:color w:val="000000"/>
          <w:sz w:val="22"/>
        </w:rPr>
        <w:t xml:space="preserve">Participant understands that Participant’s Data will not be publicized, but it may be transferred to Morgan Stanley Smith Barney, Equity Administration Solutions, Inc., their respective affiliates and other financial institutions or brokers involved in the management and administration of the Plan. Participant further understands that the Company and/or its Affiliates will transfer Data amongst themselves as necessary for the purpose of implementation, administration and management of Participant’s participation in the Plan, and that the Affiliates may each further transfer Data to third parties assisting the Company in the implementation, administration and management of the Plan, including any requisite transfer to Morgan Stanley Smith Barney, Equity Administration Solutions, Inc., their respective affiliates, or another third party with whom Participant may elect to deposit any Shares acquired under the Plan. Such recipients may receive, possess, use, retain and transfer the Data in electronic or other form, for the purposes of implementing, administering and managing </w:t>
      </w:r>
    </w:p>
    <w:p>
      <w:pPr>
        <w:pStyle w:val="TextBody"/>
        <w:bidi w:val="0"/>
        <w:spacing w:before="0" w:after="0"/>
        <w:jc w:val="center"/>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75260"/>
                <wp:effectExtent l="0" t="0" r="0" b="0"/>
                <wp:wrapNone/>
                <wp:docPr id="131" name="Frame1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2"/>
                              </w:rPr>
                              <w:t>-19-</w:t>
                            </w:r>
                            <w:r>
                              <w:rPr>
                                <w:color w:val="000000"/>
                              </w:rPr>
                              <w:t xml:space="preserve">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2"/>
                        </w:rPr>
                        <w:t>-19-</w:t>
                      </w:r>
                      <w:r>
                        <w:rPr>
                          <w:color w:val="000000"/>
                        </w:rPr>
                        <w:t xml:space="preserve"> </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i/>
          <w:color w:val="000000"/>
          <w:sz w:val="22"/>
        </w:rPr>
      </w:pPr>
      <w:r>
        <w:rPr>
          <w:rFonts w:ascii="Times New Roman;sans-serif" w:hAnsi="Times New Roman;sans-serif"/>
          <w:b/>
          <w:i/>
          <w:color w:val="000000"/>
          <w:sz w:val="22"/>
        </w:rPr>
        <w:t>Participant’s participation in the Plan. Participant understands that these recipients may be located in the European Economic Area, or elsewhere, such as the U.S. Should the Company exercise its discretion in suspending all necessary legal obligations connected with the management and administration of the Plan, it will delete Participant’s Data as soon as it has accomplished all the necessary legal obligations connected with the management and administration of the Plan.</w:t>
      </w:r>
    </w:p>
    <w:p>
      <w:pPr>
        <w:pStyle w:val="TextBody"/>
        <w:bidi w:val="0"/>
        <w:spacing w:lineRule="auto" w:line="240" w:before="0" w:after="240"/>
        <w:jc w:val="both"/>
        <w:rPr>
          <w:rFonts w:ascii="Times New Roman;sans-serif" w:hAnsi="Times New Roman;sans-serif"/>
          <w:b/>
          <w:i/>
          <w:color w:val="000000"/>
          <w:sz w:val="22"/>
        </w:rPr>
      </w:pPr>
      <w:r>
        <w:rPr>
          <w:rFonts w:ascii="Times New Roman;sans-serif" w:hAnsi="Times New Roman;sans-serif"/>
          <w:b/>
          <w:i/>
          <w:color w:val="000000"/>
          <w:sz w:val="22"/>
        </w:rPr>
        <w:t>Participant understands that Data processing related to the purposes specified above shall take place under automated or non-automated conditions, anonymously when possible, that comply with the purposes for which Data are collected and with such confidentiality and security provisions as set forth by applicable Italian data privacy laws and regulations, with specific reference to Legislative Decree no. 196/2003.</w:t>
      </w:r>
    </w:p>
    <w:p>
      <w:pPr>
        <w:pStyle w:val="TextBody"/>
        <w:bidi w:val="0"/>
        <w:spacing w:lineRule="auto" w:line="240" w:before="0" w:after="240"/>
        <w:jc w:val="both"/>
        <w:rPr>
          <w:rFonts w:ascii="Times New Roman;sans-serif" w:hAnsi="Times New Roman;sans-serif"/>
          <w:b/>
          <w:i/>
          <w:color w:val="000000"/>
          <w:sz w:val="22"/>
        </w:rPr>
      </w:pPr>
      <w:r>
        <w:rPr>
          <w:rFonts w:ascii="Times New Roman;sans-serif" w:hAnsi="Times New Roman;sans-serif"/>
          <w:b/>
          <w:i/>
          <w:color w:val="000000"/>
          <w:sz w:val="22"/>
        </w:rPr>
        <w:t>The processing activity, including communication, the transfer of Participant’s Data abroad, including outside of the European Economic Area, as herein specified and pursuant to applicable Italian data privacy laws and regulations, does not require Participant’s consent thereto as the processing is necessary to performance of contractual obligations related to implementation, administration and management of the Plan. Participant understands that, pursuant to Section 7 of the Legislative Decree no. 196/2003, Participant has the right to, including but not limited to, access, delete, update, ask for rectification of Participant’s Data and cease, for legitimate reason, the Data processing. Furthermore, Participant is aware that Participant’s Data will not be used for direct marketing purposes. In addition, the Data provided can be reviewed and questions or complaints can be addressed by contacting the Company.</w:t>
      </w:r>
    </w:p>
    <w:p>
      <w:pPr>
        <w:pStyle w:val="TextBody"/>
        <w:bidi w:val="0"/>
        <w:spacing w:lineRule="auto" w:line="240" w:before="0" w:after="240"/>
        <w:jc w:val="both"/>
        <w:rPr/>
      </w:pPr>
      <w:r>
        <w:rPr>
          <w:rFonts w:ascii="Times New Roman;sans-serif" w:hAnsi="Times New Roman;sans-serif"/>
          <w:b/>
          <w:color w:val="000000"/>
          <w:sz w:val="22"/>
        </w:rPr>
        <w:t>Plan Document Acknowledgment</w:t>
      </w:r>
      <w:r>
        <w:rPr>
          <w:rFonts w:ascii="Times New Roman;sans-serif" w:hAnsi="Times New Roman;sans-serif"/>
          <w:b w:val="false"/>
          <w:color w:val="000000"/>
          <w:sz w:val="22"/>
        </w:rPr>
        <w:t>. In participating in the Plan, Participant acknowledges that he or she has received a copy of the Plan and this Notice and has reviewed the Plan and this Notice in their entirety and fully understands and accepts all provisions of the Plan and this Notice. Participant further acknowledges that Participant has read and specifically and expressly approves the sections of the Notice and Appendix A addressing (i) Forfeiture Upon Termination of Continuous Service (</w:t>
      </w:r>
      <w:r>
        <w:rPr>
          <w:rFonts w:ascii="Times New Roman;sans-serif" w:hAnsi="Times New Roman;sans-serif"/>
          <w:b w:val="false"/>
          <w:color w:val="000000"/>
          <w:sz w:val="22"/>
          <w:u w:val="single"/>
        </w:rPr>
        <w:t>Section 2 of the Notice</w:t>
      </w:r>
      <w:r>
        <w:rPr>
          <w:rFonts w:ascii="Times New Roman;sans-serif" w:hAnsi="Times New Roman;sans-serif"/>
          <w:b w:val="false"/>
          <w:color w:val="000000"/>
          <w:sz w:val="22"/>
        </w:rPr>
        <w:t>), (ii) Tax Consequences, Withholding, and Liability (</w:t>
      </w:r>
      <w:r>
        <w:rPr>
          <w:rFonts w:ascii="Times New Roman;sans-serif" w:hAnsi="Times New Roman;sans-serif"/>
          <w:b w:val="false"/>
          <w:color w:val="000000"/>
          <w:sz w:val="22"/>
          <w:u w:val="single"/>
        </w:rPr>
        <w:t>Section 3 of the Notice</w:t>
      </w:r>
      <w:r>
        <w:rPr>
          <w:rFonts w:ascii="Times New Roman;sans-serif" w:hAnsi="Times New Roman;sans-serif"/>
          <w:b w:val="false"/>
          <w:color w:val="000000"/>
          <w:sz w:val="22"/>
        </w:rPr>
        <w:t>), (iii) Data Privacy (</w:t>
      </w:r>
      <w:r>
        <w:rPr>
          <w:rFonts w:ascii="Times New Roman;sans-serif" w:hAnsi="Times New Roman;sans-serif"/>
          <w:b w:val="false"/>
          <w:color w:val="000000"/>
          <w:sz w:val="22"/>
          <w:u w:val="single"/>
        </w:rPr>
        <w:t>Section 10 of the Notice</w:t>
      </w:r>
      <w:r>
        <w:rPr>
          <w:rFonts w:ascii="Times New Roman;sans-serif" w:hAnsi="Times New Roman;sans-serif"/>
          <w:b w:val="false"/>
          <w:color w:val="000000"/>
          <w:sz w:val="22"/>
        </w:rPr>
        <w:t>); (iv) Governing Law; Severability (</w:t>
      </w:r>
      <w:r>
        <w:rPr>
          <w:rFonts w:ascii="Times New Roman;sans-serif" w:hAnsi="Times New Roman;sans-serif"/>
          <w:b w:val="false"/>
          <w:color w:val="000000"/>
          <w:sz w:val="22"/>
          <w:u w:val="single"/>
        </w:rPr>
        <w:t>Section 11(f) of the Notice</w:t>
      </w:r>
      <w:r>
        <w:rPr>
          <w:rFonts w:ascii="Times New Roman;sans-serif" w:hAnsi="Times New Roman;sans-serif"/>
          <w:b w:val="false"/>
          <w:color w:val="000000"/>
          <w:sz w:val="22"/>
        </w:rPr>
        <w:t>), (v) Imposition of Other Requirements (</w:t>
      </w:r>
      <w:r>
        <w:rPr>
          <w:rFonts w:ascii="Times New Roman;sans-serif" w:hAnsi="Times New Roman;sans-serif"/>
          <w:b w:val="false"/>
          <w:color w:val="000000"/>
          <w:sz w:val="22"/>
          <w:u w:val="single"/>
        </w:rPr>
        <w:t>Section 11(i) of the Notice</w:t>
      </w:r>
      <w:r>
        <w:rPr>
          <w:rFonts w:ascii="Times New Roman;sans-serif" w:hAnsi="Times New Roman;sans-serif"/>
          <w:b w:val="false"/>
          <w:color w:val="000000"/>
          <w:sz w:val="22"/>
        </w:rPr>
        <w:t>); (vi) Nature of Grant (</w:t>
      </w:r>
      <w:r>
        <w:rPr>
          <w:rFonts w:ascii="Times New Roman;sans-serif" w:hAnsi="Times New Roman;sans-serif"/>
          <w:b w:val="false"/>
          <w:color w:val="000000"/>
          <w:sz w:val="22"/>
          <w:u w:val="single"/>
        </w:rPr>
        <w:t>Section 3 of Appendix A</w:t>
      </w:r>
      <w:r>
        <w:rPr>
          <w:rFonts w:ascii="Times New Roman;sans-serif" w:hAnsi="Times New Roman;sans-serif"/>
          <w:b w:val="false"/>
          <w:color w:val="000000"/>
          <w:sz w:val="22"/>
        </w:rPr>
        <w:t>), (vii) Venue (</w:t>
      </w:r>
      <w:r>
        <w:rPr>
          <w:rFonts w:ascii="Times New Roman;sans-serif" w:hAnsi="Times New Roman;sans-serif"/>
          <w:b w:val="false"/>
          <w:color w:val="000000"/>
          <w:sz w:val="22"/>
          <w:u w:val="single"/>
        </w:rPr>
        <w:t>Section 4 of Appendix A</w:t>
      </w:r>
      <w:r>
        <w:rPr>
          <w:rFonts w:ascii="Times New Roman;sans-serif" w:hAnsi="Times New Roman;sans-serif"/>
          <w:b w:val="false"/>
          <w:color w:val="000000"/>
          <w:sz w:val="22"/>
        </w:rPr>
        <w:t>), and (viii) Language (</w:t>
      </w:r>
      <w:r>
        <w:rPr>
          <w:rFonts w:ascii="Times New Roman;sans-serif" w:hAnsi="Times New Roman;sans-serif"/>
          <w:b w:val="false"/>
          <w:color w:val="000000"/>
          <w:sz w:val="22"/>
          <w:u w:val="single"/>
        </w:rPr>
        <w:t>Section 5 of Appendix A</w:t>
      </w:r>
      <w:r>
        <w:rPr>
          <w:rFonts w:ascii="Times New Roman;sans-serif" w:hAnsi="Times New Roman;sans-serif"/>
          <w:b w:val="false"/>
          <w:color w:val="000000"/>
          <w:sz w:val="22"/>
        </w:rPr>
        <w:t xml:space="preserve">). </w:t>
      </w:r>
    </w:p>
    <w:p>
      <w:pPr>
        <w:pStyle w:val="TextBody"/>
        <w:bidi w:val="0"/>
        <w:spacing w:before="0" w:after="240"/>
        <w:jc w:val="both"/>
        <w:rPr/>
      </w:pPr>
      <w:r>
        <w:rPr/>
      </w:r>
    </w:p>
    <w:p>
      <w:pPr>
        <w:pStyle w:val="TextBody"/>
        <w:bidi w:val="0"/>
        <w:spacing w:lineRule="auto" w:line="240"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40" w:before="0" w:after="0"/>
        <w:jc w:val="both"/>
        <w:rPr/>
      </w:pPr>
      <w:r>
        <w:rPr>
          <w:rFonts w:ascii="Times New Roman;sans-serif" w:hAnsi="Times New Roman;sans-serif"/>
          <w:b/>
          <w:color w:val="000000"/>
          <w:sz w:val="22"/>
        </w:rPr>
        <w:t>Exchange Control Information</w:t>
      </w:r>
      <w:r>
        <w:rPr>
          <w:rFonts w:ascii="Times New Roman;sans-serif" w:hAnsi="Times New Roman;sans-serif"/>
          <w:b w:val="false"/>
          <w:color w:val="000000"/>
          <w:sz w:val="22"/>
        </w:rPr>
        <w:t>. Participants are required to report investments held abroad or foreign financial assets (</w:t>
      </w:r>
      <w:r>
        <w:rPr>
          <w:rFonts w:ascii="Times New Roman;sans-serif" w:hAnsi="Times New Roman;sans-serif"/>
          <w:b w:val="false"/>
          <w:i/>
          <w:color w:val="000000"/>
          <w:sz w:val="22"/>
        </w:rPr>
        <w:t>e.g.</w:t>
      </w:r>
      <w:r>
        <w:rPr>
          <w:rFonts w:ascii="Times New Roman;sans-serif" w:hAnsi="Times New Roman;sans-serif"/>
          <w:b w:val="false"/>
          <w:color w:val="000000"/>
          <w:sz w:val="22"/>
        </w:rPr>
        <w:t>, cash, Shares) that may generate income taxable in Italy on an annual tax return (UNICO Form, RW Schedule) or on a special form if no tax return is due, irrespective of their value. The same reporting duties apply to Italian residents who are beneficial owners of the investments, even if they do not directly hold investments abroad or foreign assets.</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color w:val="000000"/>
          <w:sz w:val="22"/>
        </w:rPr>
        <w:t>Foreign Asset/Account Reporting Information</w:t>
      </w:r>
      <w:r>
        <w:rPr>
          <w:rFonts w:ascii="Times New Roman;sans-serif" w:hAnsi="Times New Roman;sans-serif"/>
          <w:b w:val="false"/>
          <w:color w:val="000000"/>
          <w:sz w:val="22"/>
        </w:rPr>
        <w:t>. A tax on the value of any financial assets held outside of Italy by Italian residents will apply at an annual rate of 0.2% for fiscal year 2014. The taxable amount will be the fair market value of the financial assets, assessed at the end of the calendar year in the place where the financial assets are held, using the documentation issued by the local broker. Participants should consult their personal tax advisors for details regarding this requirement.</w:t>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color w:val="000000"/>
          <w:sz w:val="22"/>
          <w:u w:val="single"/>
        </w:rPr>
      </w:pPr>
      <w:r>
        <w:rPr>
          <w:rFonts w:ascii="Times New Roman;sans-serif" w:hAnsi="Times New Roman;sans-serif"/>
          <w:b/>
          <w:color w:val="000000"/>
          <w:sz w:val="22"/>
          <w:u w:val="single"/>
        </w:rPr>
        <w:t>JAPAN</w:t>
      </w:r>
    </w:p>
    <w:p>
      <w:pPr>
        <w:pStyle w:val="TextBody"/>
        <w:bidi w:val="0"/>
        <w:spacing w:before="0" w:after="0"/>
        <w:jc w:val="center"/>
        <w:rPr/>
      </w:pPr>
      <w:r>
        <w:rPr/>
      </w:r>
    </w:p>
    <w:p>
      <w:pPr>
        <w:pStyle w:val="TextBody"/>
        <w:bidi w:val="0"/>
        <w:spacing w:lineRule="auto" w:line="240" w:before="0" w:after="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before="0" w:after="0"/>
        <w:jc w:val="left"/>
        <w:rPr/>
      </w:pPr>
      <w:r>
        <w:rPr/>
      </w:r>
    </w:p>
    <w:p>
      <w:pPr>
        <w:pStyle w:val="TextBody"/>
        <w:bidi w:val="0"/>
        <w:spacing w:lineRule="auto" w:line="240"/>
        <w:jc w:val="both"/>
        <w:rPr/>
      </w:pPr>
      <w:r>
        <w:rPr>
          <w:rFonts w:ascii="Times New Roman;sans-serif" w:hAnsi="Times New Roman;sans-serif"/>
          <w:b/>
          <w:color w:val="000000"/>
          <w:sz w:val="22"/>
        </w:rPr>
        <w:t>Foreign Asset/Account Reporting Information</w:t>
      </w:r>
      <w:r>
        <w:rPr>
          <w:rFonts w:ascii="Times New Roman;sans-serif" w:hAnsi="Times New Roman;sans-serif"/>
          <w:b w:val="false"/>
          <w:color w:val="000000"/>
          <w:sz w:val="22"/>
        </w:rPr>
        <w:t>.  Participants holding assets outside of Japan (</w:t>
      </w:r>
      <w:r>
        <w:rPr>
          <w:rFonts w:ascii="Times New Roman;sans-serif" w:hAnsi="Times New Roman;sans-serif"/>
          <w:b w:val="false"/>
          <w:i/>
          <w:color w:val="000000"/>
          <w:sz w:val="22"/>
        </w:rPr>
        <w:t>e.g.</w:t>
      </w:r>
      <w:r>
        <w:rPr>
          <w:rFonts w:ascii="Times New Roman;sans-serif" w:hAnsi="Times New Roman;sans-serif"/>
          <w:b w:val="false"/>
          <w:color w:val="000000"/>
          <w:sz w:val="22"/>
        </w:rPr>
        <w:t>, Shares acquired under the Plan) with a value exceeding ¥50,000,000 (as of December 31 each year) are required to comply with annual tax reporting obligations with respect to such assets. Participants should consult their personal tax advisors for details regarding this requirement.</w:t>
      </w:r>
    </w:p>
    <w:p>
      <w:pPr>
        <w:pStyle w:val="TextBody"/>
        <w:bidi w:val="0"/>
        <w:spacing w:before="0" w:after="0"/>
        <w:jc w:val="center"/>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75260"/>
                <wp:effectExtent l="0" t="0" r="0" b="0"/>
                <wp:wrapNone/>
                <wp:docPr id="132" name="Frame1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2"/>
                              </w:rPr>
                              <w:t>-20-</w:t>
                            </w:r>
                            <w:r>
                              <w:rPr>
                                <w:color w:val="000000"/>
                              </w:rPr>
                              <w:t xml:space="preserve">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2"/>
                        </w:rPr>
                        <w:t>-20-</w:t>
                      </w:r>
                      <w:r>
                        <w:rPr>
                          <w:color w:val="000000"/>
                        </w:rPr>
                        <w:t xml:space="preserve"> </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center"/>
        <w:rPr>
          <w:rFonts w:ascii="Times New Roman;sans-serif" w:hAnsi="Times New Roman;sans-serif"/>
          <w:b/>
          <w:color w:val="000000"/>
          <w:sz w:val="22"/>
          <w:u w:val="single"/>
        </w:rPr>
      </w:pPr>
      <w:r>
        <w:rPr>
          <w:rFonts w:ascii="Times New Roman;sans-serif" w:hAnsi="Times New Roman;sans-serif"/>
          <w:b/>
          <w:color w:val="000000"/>
          <w:sz w:val="22"/>
          <w:u w:val="single"/>
        </w:rPr>
        <w:t>SINGAPORE</w:t>
      </w:r>
    </w:p>
    <w:p>
      <w:pPr>
        <w:pStyle w:val="TextBody"/>
        <w:bidi w:val="0"/>
        <w:spacing w:before="0" w:after="0"/>
        <w:jc w:val="center"/>
        <w:rPr/>
      </w:pPr>
      <w:r>
        <w:rPr/>
      </w:r>
    </w:p>
    <w:p>
      <w:pPr>
        <w:pStyle w:val="TextBody"/>
        <w:bidi w:val="0"/>
        <w:spacing w:lineRule="auto" w:line="240" w:before="0" w:after="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before="0" w:after="0"/>
        <w:jc w:val="left"/>
        <w:rPr/>
      </w:pPr>
      <w:r>
        <w:rPr/>
      </w:r>
    </w:p>
    <w:p>
      <w:pPr>
        <w:pStyle w:val="TextBody"/>
        <w:bidi w:val="0"/>
        <w:spacing w:lineRule="auto" w:line="240" w:before="0" w:after="0"/>
        <w:jc w:val="both"/>
        <w:rPr/>
      </w:pPr>
      <w:r>
        <w:rPr>
          <w:rFonts w:ascii="Times New Roman;sans-serif" w:hAnsi="Times New Roman;sans-serif"/>
          <w:b/>
          <w:color w:val="000000"/>
          <w:sz w:val="22"/>
        </w:rPr>
        <w:t>Securities Law Information</w:t>
      </w:r>
      <w:r>
        <w:rPr>
          <w:rFonts w:ascii="Times New Roman;sans-serif" w:hAnsi="Times New Roman;sans-serif"/>
          <w:b w:val="false"/>
          <w:color w:val="000000"/>
          <w:sz w:val="22"/>
        </w:rPr>
        <w:t>. The grant of PSUs under the Plan is being made pursuant to the “Qualifying Person” exemption under section 273(1)(f) of the Singapore Securities and Futures Act (Chapter 289, 2006 Ed.) (“</w:t>
      </w:r>
      <w:r>
        <w:rPr>
          <w:rFonts w:ascii="Times New Roman;sans-serif" w:hAnsi="Times New Roman;sans-serif"/>
          <w:b/>
          <w:color w:val="000000"/>
          <w:sz w:val="22"/>
        </w:rPr>
        <w:t>SFA</w:t>
      </w:r>
      <w:r>
        <w:rPr>
          <w:color w:val="000000"/>
        </w:rPr>
        <w:t>”</w:t>
      </w:r>
      <w:r>
        <w:rPr>
          <w:rFonts w:ascii="Times New Roman;sans-serif" w:hAnsi="Times New Roman;sans-serif"/>
          <w:b w:val="false"/>
          <w:color w:val="000000"/>
          <w:sz w:val="22"/>
        </w:rPr>
        <w:t>). The Plan has not been lodged or registered as a prospectus with the Monetary Authority of Singapore. Further, the PSUs granted under the Plan are subject to section 257 of the SFA and Participant is not permitted to sell, or offer to sell, any Shares in Singapore unless such sale or offer is made pursuant to the exemptions under Part XIII Division (1) Subdivision (4) (other than section 280) of the SFA.</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color w:val="000000"/>
          <w:sz w:val="22"/>
        </w:rPr>
        <w:t>Director Notification Obligation</w:t>
      </w:r>
      <w:r>
        <w:rPr>
          <w:rFonts w:ascii="Times New Roman;sans-serif" w:hAnsi="Times New Roman;sans-serif"/>
          <w:b w:val="false"/>
          <w:color w:val="000000"/>
          <w:sz w:val="22"/>
        </w:rPr>
        <w:t>. Directors, associate directors or shadow directors of a Singapore Subsidiary or Affiliate are subject to certain notification requirements under the Singapore Companies Act. Among these requirements is an obligation to notify such entity in writing within two business days of any of the following events: (i) the acquisition or disposal of an interest (</w:t>
      </w:r>
      <w:r>
        <w:rPr>
          <w:rFonts w:ascii="Times New Roman;sans-serif" w:hAnsi="Times New Roman;sans-serif"/>
          <w:b w:val="false"/>
          <w:i/>
          <w:color w:val="000000"/>
          <w:sz w:val="22"/>
        </w:rPr>
        <w:t>e.g.</w:t>
      </w:r>
      <w:r>
        <w:rPr>
          <w:rFonts w:ascii="Times New Roman;sans-serif" w:hAnsi="Times New Roman;sans-serif"/>
          <w:b w:val="false"/>
          <w:color w:val="000000"/>
          <w:sz w:val="22"/>
        </w:rPr>
        <w:t>, PSUs granted under the Plan or Shares) in the Company or any Subsidiary or Affiliate, (ii) any change in previously-disclosed interests (</w:t>
      </w:r>
      <w:r>
        <w:rPr>
          <w:rFonts w:ascii="Times New Roman;sans-serif" w:hAnsi="Times New Roman;sans-serif"/>
          <w:b w:val="false"/>
          <w:i/>
          <w:color w:val="000000"/>
          <w:sz w:val="22"/>
        </w:rPr>
        <w:t>e.g.</w:t>
      </w:r>
      <w:r>
        <w:rPr>
          <w:rFonts w:ascii="Times New Roman;sans-serif" w:hAnsi="Times New Roman;sans-serif"/>
          <w:b w:val="false"/>
          <w:color w:val="000000"/>
          <w:sz w:val="22"/>
        </w:rPr>
        <w:t xml:space="preserve">, sale of Shares), or (iii) becoming a director, associate director or shadow director of a Subsidiary or Affiliate in Singapore, if the individual holds such an interest at that time. </w: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color w:val="000000"/>
          <w:sz w:val="22"/>
          <w:u w:val="single"/>
        </w:rPr>
      </w:pPr>
      <w:r>
        <w:rPr>
          <w:rFonts w:ascii="Times New Roman;sans-serif" w:hAnsi="Times New Roman;sans-serif"/>
          <w:b/>
          <w:color w:val="000000"/>
          <w:sz w:val="22"/>
          <w:u w:val="single"/>
        </w:rPr>
        <w:t>UNITED KINGDOM</w:t>
      </w:r>
    </w:p>
    <w:p>
      <w:pPr>
        <w:pStyle w:val="TextBody"/>
        <w:bidi w:val="0"/>
        <w:spacing w:before="0" w:after="0"/>
        <w:jc w:val="center"/>
        <w:rPr/>
      </w:pPr>
      <w:r>
        <w:rPr/>
      </w:r>
    </w:p>
    <w:p>
      <w:pPr>
        <w:pStyle w:val="TextBody"/>
        <w:bidi w:val="0"/>
        <w:spacing w:lineRule="auto" w:line="240" w:before="0" w:after="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before="0" w:after="0"/>
        <w:jc w:val="left"/>
        <w:rPr/>
      </w:pPr>
      <w:r>
        <w:rPr/>
      </w:r>
    </w:p>
    <w:p>
      <w:pPr>
        <w:pStyle w:val="TextBody"/>
        <w:bidi w:val="0"/>
        <w:spacing w:lineRule="auto" w:line="240" w:before="0" w:after="240"/>
        <w:jc w:val="both"/>
        <w:rPr/>
      </w:pPr>
      <w:r>
        <w:rPr>
          <w:rFonts w:ascii="Times New Roman;sans-serif" w:hAnsi="Times New Roman;sans-serif"/>
          <w:b/>
          <w:color w:val="000000"/>
          <w:sz w:val="22"/>
        </w:rPr>
        <w:t>Tax Obligations.</w:t>
      </w:r>
      <w:r>
        <w:rPr>
          <w:color w:val="000000"/>
        </w:rPr>
        <w:t xml:space="preserve"> </w:t>
      </w:r>
      <w:r>
        <w:rPr>
          <w:rFonts w:ascii="Times New Roman;sans-serif" w:hAnsi="Times New Roman;sans-serif"/>
          <w:b w:val="false"/>
          <w:color w:val="000000"/>
          <w:sz w:val="22"/>
        </w:rPr>
        <w:t xml:space="preserve">The following provision supplements </w:t>
      </w:r>
      <w:r>
        <w:rPr>
          <w:rFonts w:ascii="Times New Roman;sans-serif" w:hAnsi="Times New Roman;sans-serif"/>
          <w:b w:val="false"/>
          <w:color w:val="000000"/>
          <w:sz w:val="22"/>
          <w:u w:val="single"/>
        </w:rPr>
        <w:t>Section 3 of the Notice</w:t>
      </w:r>
      <w:r>
        <w:rPr>
          <w:color w:val="000000"/>
        </w:rPr>
        <w:t xml:space="preserve"> </w:t>
      </w:r>
      <w:r>
        <w:rPr>
          <w:rFonts w:ascii="Times New Roman;sans-serif" w:hAnsi="Times New Roman;sans-serif"/>
          <w:b w:val="false"/>
          <w:color w:val="000000"/>
          <w:sz w:val="22"/>
        </w:rPr>
        <w:t xml:space="preserve">as supplemented by </w:t>
      </w:r>
      <w:r>
        <w:rPr>
          <w:rFonts w:ascii="Times New Roman;sans-serif" w:hAnsi="Times New Roman;sans-serif"/>
          <w:b w:val="false"/>
          <w:color w:val="000000"/>
          <w:sz w:val="22"/>
          <w:u w:val="single"/>
        </w:rPr>
        <w:t>Section 2 of Appendix A</w:t>
      </w:r>
      <w:r>
        <w:rPr>
          <w:color w:val="000000"/>
        </w:rPr>
        <w:t xml:space="preserve"> </w:t>
      </w:r>
      <w:r>
        <w:rPr>
          <w:rFonts w:ascii="Times New Roman;sans-serif" w:hAnsi="Times New Roman;sans-serif"/>
          <w:b w:val="false"/>
          <w:color w:val="000000"/>
          <w:sz w:val="22"/>
        </w:rPr>
        <w:t>(Tax Consequences, Withholding, and Liability):</w:t>
      </w:r>
    </w:p>
    <w:p>
      <w:pPr>
        <w:pStyle w:val="TextBody"/>
        <w:bidi w:val="0"/>
        <w:spacing w:lineRule="auto" w:line="240" w:before="0" w:after="0"/>
        <w:jc w:val="both"/>
        <w:rPr/>
      </w:pPr>
      <w:r>
        <w:rPr>
          <w:rFonts w:ascii="Times New Roman;sans-serif" w:hAnsi="Times New Roman;sans-serif"/>
          <w:b w:val="false"/>
          <w:color w:val="000000"/>
          <w:sz w:val="22"/>
        </w:rPr>
        <w:t>If payment or withholding of any income tax liability arising in connection with Participant’s participation in the Plan is not made by Participant to the Employer within ninety (90) days of the end of the U.K. tax year during which the event giving rise to the income tax liability occurs or such other period specified in Section 222(1)(c) of the U.K. Income Tax (Earnings and Pensions) Act 2003 (the “</w:t>
      </w:r>
      <w:r>
        <w:rPr>
          <w:rFonts w:ascii="Times New Roman;sans-serif" w:hAnsi="Times New Roman;sans-serif"/>
          <w:b/>
          <w:color w:val="000000"/>
          <w:sz w:val="22"/>
        </w:rPr>
        <w:t>Due Date</w:t>
      </w:r>
      <w:r>
        <w:rPr>
          <w:color w:val="000000"/>
        </w:rPr>
        <w:t>”</w:t>
      </w:r>
      <w:r>
        <w:rPr>
          <w:rFonts w:ascii="Times New Roman;sans-serif" w:hAnsi="Times New Roman;sans-serif"/>
          <w:b w:val="false"/>
          <w:color w:val="000000"/>
          <w:sz w:val="22"/>
        </w:rPr>
        <w:t>), Participant understands and agrees that the amount of any uncollected income tax will constitute a loan owed by Participant to the Company and/or the Employer, effective on the Due Date. Participant further understands and agrees that the loan will bear interest at the then-current official rate of Her Majesty’s Revenue and Customs (“</w:t>
      </w:r>
      <w:r>
        <w:rPr>
          <w:rFonts w:ascii="Times New Roman;sans-serif" w:hAnsi="Times New Roman;sans-serif"/>
          <w:b/>
          <w:color w:val="000000"/>
          <w:sz w:val="22"/>
        </w:rPr>
        <w:t>HMRC</w:t>
      </w:r>
      <w:r>
        <w:rPr>
          <w:color w:val="000000"/>
        </w:rPr>
        <w:t>”</w:t>
      </w:r>
      <w:r>
        <w:rPr>
          <w:rFonts w:ascii="Times New Roman;sans-serif" w:hAnsi="Times New Roman;sans-serif"/>
          <w:b w:val="false"/>
          <w:color w:val="000000"/>
          <w:sz w:val="22"/>
        </w:rPr>
        <w:t>), it will be immediately due and repayable by Participant, and the Company and/or the Employer may recover it at any time thereafter by any of the means referred to in the Plan or this Notice.</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2"/>
        </w:rPr>
        <w:t>Notwithstanding the foregoing, if Participant is a director or an executive officer of the Company (within the meaning of such terms for purposes of Section 13(k) of the Exchange Act), Participant will not be eligible for such a loan to cover the income tax liability. In the event that Participant is a director or executive officer and the income tax is not collected from or paid by Participant by the Due Date, Participant understands that the amount of any uncollected income tax may constitute an additional benefit to Participant on which additional income tax and National Insurance Contributions will be payable. Participant understands and agrees that Participant will be responsible for reporting and paying any income tax due on this additional benefit directly to HMRC under the self-assessment regime and for reimbursing the Company or the Employer (as appropriate) for the value of any employee National Insurance Contributions (“</w:t>
      </w:r>
      <w:r>
        <w:rPr>
          <w:rFonts w:ascii="Times New Roman;sans-serif" w:hAnsi="Times New Roman;sans-serif"/>
          <w:b/>
          <w:color w:val="000000"/>
          <w:sz w:val="22"/>
        </w:rPr>
        <w:t>NICs</w:t>
      </w:r>
      <w:r>
        <w:rPr>
          <w:color w:val="000000"/>
        </w:rPr>
        <w:t>”</w:t>
      </w:r>
      <w:r>
        <w:rPr>
          <w:rFonts w:ascii="Times New Roman;sans-serif" w:hAnsi="Times New Roman;sans-serif"/>
          <w:b w:val="false"/>
          <w:color w:val="000000"/>
          <w:sz w:val="22"/>
        </w:rPr>
        <w:t>) due on this additional benefit which the Company or the Employer may recover from Participant by any of the means referred to in the Plan or this Notice.</w:t>
      </w:r>
    </w:p>
    <w:p>
      <w:pPr>
        <w:pStyle w:val="TextBody"/>
        <w:bidi w:val="0"/>
        <w:spacing w:lineRule="auto" w:line="240" w:before="240" w:after="240"/>
        <w:jc w:val="both"/>
        <w:rPr/>
      </w:pPr>
      <w:r>
        <w:rPr>
          <w:rFonts w:ascii="Times New Roman;sans-serif" w:hAnsi="Times New Roman;sans-serif"/>
          <w:b/>
          <w:color w:val="000000"/>
          <w:sz w:val="22"/>
        </w:rPr>
        <w:t>Joint Election for Transfer of Liability for Employer National Insurance Contributions.</w:t>
      </w:r>
      <w:r>
        <w:rPr>
          <w:color w:val="000000"/>
        </w:rPr>
        <w:t xml:space="preserve"> </w:t>
      </w:r>
      <w:r>
        <w:rPr>
          <w:rFonts w:ascii="Times New Roman;sans-serif" w:hAnsi="Times New Roman;sans-serif"/>
          <w:b w:val="false"/>
          <w:color w:val="000000"/>
          <w:sz w:val="22"/>
        </w:rPr>
        <w:t xml:space="preserve">The following provision supplements </w:t>
      </w:r>
      <w:r>
        <w:rPr>
          <w:rFonts w:ascii="Times New Roman;sans-serif" w:hAnsi="Times New Roman;sans-serif"/>
          <w:b w:val="false"/>
          <w:color w:val="000000"/>
          <w:sz w:val="22"/>
          <w:u w:val="single"/>
        </w:rPr>
        <w:t>Section 3 of the Notice</w:t>
      </w:r>
      <w:r>
        <w:rPr>
          <w:color w:val="000000"/>
        </w:rPr>
        <w:t xml:space="preserve"> </w:t>
      </w:r>
      <w:r>
        <w:rPr>
          <w:rFonts w:ascii="Times New Roman;sans-serif" w:hAnsi="Times New Roman;sans-serif"/>
          <w:b w:val="false"/>
          <w:color w:val="000000"/>
          <w:sz w:val="22"/>
        </w:rPr>
        <w:t xml:space="preserve">as supplemented by </w:t>
      </w:r>
      <w:r>
        <w:rPr>
          <w:rFonts w:ascii="Times New Roman;sans-serif" w:hAnsi="Times New Roman;sans-serif"/>
          <w:b w:val="false"/>
          <w:color w:val="000000"/>
          <w:sz w:val="22"/>
          <w:u w:val="single"/>
        </w:rPr>
        <w:t>Section 2 of Appendix A</w:t>
      </w:r>
      <w:r>
        <w:rPr>
          <w:color w:val="000000"/>
        </w:rPr>
        <w:t xml:space="preserve"> </w:t>
      </w:r>
      <w:r>
        <w:rPr>
          <w:rFonts w:ascii="Times New Roman;sans-serif" w:hAnsi="Times New Roman;sans-serif"/>
          <w:b w:val="false"/>
          <w:color w:val="000000"/>
          <w:sz w:val="22"/>
        </w:rPr>
        <w:t xml:space="preserve">(Tax Consequences, Withholding, and Liability): </w:t>
      </w:r>
    </w:p>
    <w:p>
      <w:pPr>
        <w:pStyle w:val="TextBody"/>
        <w:bidi w:val="0"/>
        <w:spacing w:before="0" w:after="0"/>
        <w:jc w:val="center"/>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75260"/>
                <wp:effectExtent l="0" t="0" r="0" b="0"/>
                <wp:wrapNone/>
                <wp:docPr id="133" name="Frame1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2"/>
                              </w:rPr>
                              <w:t>-21-</w:t>
                            </w:r>
                            <w:r>
                              <w:rPr>
                                <w:color w:val="000000"/>
                              </w:rPr>
                              <w:t xml:space="preserve">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2"/>
                        </w:rPr>
                        <w:t>-21-</w:t>
                      </w:r>
                      <w:r>
                        <w:rPr>
                          <w:color w:val="000000"/>
                        </w:rPr>
                        <w:t xml:space="preserve"> </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As a condition of participation in the Plan and the issuance of Shares upon vesting of the PSUs, Participant agrees to accept any liability for secondary Class 1 NICs that may be payable by the Company or the Employer in connection with the PSUs and any event giving rise to Tax Obligations (the “</w:t>
      </w:r>
      <w:r>
        <w:rPr>
          <w:rFonts w:ascii="Times New Roman;sans-serif" w:hAnsi="Times New Roman;sans-serif"/>
          <w:b/>
          <w:color w:val="000000"/>
          <w:sz w:val="22"/>
        </w:rPr>
        <w:t>Employer NICs</w:t>
      </w:r>
      <w:r>
        <w:rPr>
          <w:color w:val="000000"/>
        </w:rPr>
        <w:t>”</w:t>
      </w:r>
      <w:r>
        <w:rPr>
          <w:rFonts w:ascii="Times New Roman;sans-serif" w:hAnsi="Times New Roman;sans-serif"/>
          <w:b w:val="false"/>
          <w:color w:val="000000"/>
          <w:sz w:val="22"/>
        </w:rPr>
        <w:t xml:space="preserve">). The Employer NICs may be collected by the Company or the Employer using any of the methods described in the Plan or this Notice. </w:t>
      </w:r>
    </w:p>
    <w:p>
      <w:pPr>
        <w:pStyle w:val="TextBody"/>
        <w:bidi w:val="0"/>
        <w:spacing w:lineRule="auto" w:line="240" w:before="0" w:after="240"/>
        <w:jc w:val="both"/>
        <w:rPr/>
      </w:pPr>
      <w:r>
        <w:rPr>
          <w:rFonts w:ascii="Times New Roman;sans-serif" w:hAnsi="Times New Roman;sans-serif"/>
          <w:b w:val="false"/>
          <w:color w:val="000000"/>
          <w:sz w:val="22"/>
        </w:rPr>
        <w:t>Without prejudice to the foregoing, Participant agrees to execute a joint election with the Company and/or the Employer (a “</w:t>
      </w:r>
      <w:r>
        <w:rPr>
          <w:rFonts w:ascii="Times New Roman;sans-serif" w:hAnsi="Times New Roman;sans-serif"/>
          <w:b/>
          <w:color w:val="000000"/>
          <w:sz w:val="22"/>
        </w:rPr>
        <w:t>Joint Election</w:t>
      </w:r>
      <w:r>
        <w:rPr>
          <w:color w:val="000000"/>
        </w:rPr>
        <w:t>”</w:t>
      </w:r>
      <w:r>
        <w:rPr>
          <w:rFonts w:ascii="Times New Roman;sans-serif" w:hAnsi="Times New Roman;sans-serif"/>
          <w:b w:val="false"/>
          <w:color w:val="000000"/>
          <w:sz w:val="22"/>
        </w:rPr>
        <w:t>), the form of such Joint Election being formally approved by HMRC, and any other consent or elections required to accomplish the transfer of the Employer NICs liability to Participant. Participant further agrees to execute such other elections as may be required by any successor to the Company and/or the Employer for the purpose of continuing the effectiveness of Participant’s Joint Election. If Participant does not complete the Joint Election prior to vesting of the PSUs, or if approval of the Joint Election is withdrawn by HMRC and a new Joint Election is not entered into, the PSUs shall become null and void and will not vest, without any liability to the Company, the Employer or any Affiliate.</w:t>
      </w:r>
    </w:p>
    <w:p>
      <w:pPr>
        <w:pStyle w:val="TextBody"/>
        <w:bidi w:val="0"/>
        <w:spacing w:before="0" w:after="24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75260"/>
                <wp:effectExtent l="0" t="0" r="0" b="0"/>
                <wp:wrapNone/>
                <wp:docPr id="134" name="Frame1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2"/>
                              </w:rPr>
                              <w:t>-22-</w:t>
                            </w:r>
                            <w:r>
                              <w:rPr>
                                <w:color w:val="000000"/>
                              </w:rPr>
                              <w:t xml:space="preserve">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2"/>
                        </w:rPr>
                        <w:t>-22-</w:t>
                      </w:r>
                      <w:r>
                        <w:rPr>
                          <w:color w:val="000000"/>
                        </w:rPr>
                        <w:t xml:space="preserve"> </w:t>
                      </w:r>
                    </w:p>
                  </w:txbxContent>
                </v:textbox>
                <w10:wrap type="none"/>
              </v:rect>
            </w:pict>
          </mc:Fallback>
        </mc:AlternateContent>
      </w:r>
    </w:p>
    <w:p>
      <w:pPr>
        <w:pStyle w:val="TextBody"/>
        <w:bidi w:val="0"/>
        <w:spacing w:lineRule="auto" w:line="240" w:before="120" w:after="283"/>
        <w:jc w:val="right"/>
        <w:rPr>
          <w:rFonts w:ascii="Times New Roman;sans-serif" w:hAnsi="Times New Roman;sans-serif"/>
          <w:b/>
          <w:color w:val="000000"/>
          <w:sz w:val="22"/>
        </w:rPr>
      </w:pPr>
      <w:r>
        <w:rPr>
          <w:rFonts w:ascii="Times New Roman;sans-serif" w:hAnsi="Times New Roman;sans-serif"/>
          <w:b/>
          <w:color w:val="000000"/>
          <w:sz w:val="22"/>
        </w:rPr>
        <w:t>Exhibit 10.11</w:t>
      </w:r>
    </w:p>
    <w:p>
      <w:pPr>
        <w:pStyle w:val="TextBody"/>
        <w:bidi w:val="0"/>
        <w:spacing w:lineRule="auto" w:line="240" w:before="240" w:after="283"/>
        <w:jc w:val="center"/>
        <w:rPr>
          <w:rFonts w:ascii="Times New Roman;sans-serif" w:hAnsi="Times New Roman;sans-serif"/>
          <w:b/>
          <w:color w:val="000000"/>
          <w:sz w:val="24"/>
        </w:rPr>
      </w:pPr>
      <w:r>
        <w:rPr>
          <w:rFonts w:ascii="Times New Roman;sans-serif" w:hAnsi="Times New Roman;sans-serif"/>
          <w:b/>
          <w:color w:val="000000"/>
          <w:sz w:val="24"/>
        </w:rPr>
        <w:t>MAGNITE, INC.</w:t>
      </w:r>
    </w:p>
    <w:p>
      <w:pPr>
        <w:pStyle w:val="TextBody"/>
        <w:bidi w:val="0"/>
        <w:spacing w:lineRule="auto" w:line="240" w:before="120" w:after="283"/>
        <w:jc w:val="center"/>
        <w:rPr>
          <w:rFonts w:ascii="Times New Roman;sans-serif" w:hAnsi="Times New Roman;sans-serif"/>
          <w:b/>
          <w:color w:val="000000"/>
          <w:sz w:val="24"/>
        </w:rPr>
      </w:pPr>
      <w:r>
        <w:rPr>
          <w:rFonts w:ascii="Times New Roman;sans-serif" w:hAnsi="Times New Roman;sans-serif"/>
          <w:b/>
          <w:color w:val="000000"/>
          <w:sz w:val="24"/>
        </w:rPr>
        <w:t>AMENDED AND RESTATED 2014 EQUITY INCENTIVE PLAN</w:t>
      </w:r>
    </w:p>
    <w:p>
      <w:pPr>
        <w:pStyle w:val="TextBody"/>
        <w:bidi w:val="0"/>
        <w:spacing w:lineRule="auto" w:line="240" w:before="120" w:after="283"/>
        <w:jc w:val="center"/>
        <w:rPr>
          <w:rFonts w:ascii="Times New Roman;sans-serif" w:hAnsi="Times New Roman;sans-serif"/>
          <w:b/>
          <w:color w:val="000000"/>
          <w:sz w:val="22"/>
        </w:rPr>
      </w:pPr>
      <w:r>
        <w:rPr>
          <w:rFonts w:ascii="Times New Roman;sans-serif" w:hAnsi="Times New Roman;sans-serif"/>
          <w:b/>
          <w:color w:val="000000"/>
          <w:sz w:val="22"/>
        </w:rPr>
        <w:t>STOCK OPTION GRANT NOTICE</w:t>
      </w:r>
    </w:p>
    <w:p>
      <w:pPr>
        <w:pStyle w:val="TextBody"/>
        <w:bidi w:val="0"/>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 xml:space="preserve">FOR EMPLOYEES </w:t>
      </w:r>
    </w:p>
    <w:p>
      <w:pPr>
        <w:pStyle w:val="TextBody"/>
        <w:bidi w:val="0"/>
        <w:spacing w:lineRule="auto" w:line="240" w:before="360" w:after="283"/>
        <w:jc w:val="both"/>
        <w:rPr/>
      </w:pPr>
      <w:r>
        <w:rPr>
          <w:color w:val="000000"/>
        </w:rPr>
        <w:t>    </w:t>
      </w:r>
      <w:r>
        <w:rPr>
          <w:rFonts w:ascii="Times New Roman;sans-serif" w:hAnsi="Times New Roman;sans-serif"/>
          <w:b w:val="false"/>
          <w:color w:val="000000"/>
          <w:sz w:val="22"/>
        </w:rPr>
        <w:t>Notice is hereby given of the grant by Magnite, Inc. (the “</w:t>
      </w:r>
      <w:r>
        <w:rPr>
          <w:rFonts w:ascii="Times New Roman;sans-serif" w:hAnsi="Times New Roman;sans-serif"/>
          <w:b/>
          <w:color w:val="000000"/>
          <w:sz w:val="22"/>
        </w:rPr>
        <w:t>Company</w:t>
      </w:r>
      <w:r>
        <w:rPr>
          <w:color w:val="000000"/>
        </w:rPr>
        <w:t>”</w:t>
      </w:r>
      <w:r>
        <w:rPr>
          <w:rFonts w:ascii="Times New Roman;sans-serif" w:hAnsi="Times New Roman;sans-serif"/>
          <w:b w:val="false"/>
          <w:color w:val="000000"/>
          <w:sz w:val="22"/>
        </w:rPr>
        <w:t>) to the Participant named below (the “</w:t>
      </w:r>
      <w:r>
        <w:rPr>
          <w:rFonts w:ascii="Times New Roman;sans-serif" w:hAnsi="Times New Roman;sans-serif"/>
          <w:b/>
          <w:color w:val="000000"/>
          <w:sz w:val="22"/>
        </w:rPr>
        <w:t>Participant</w:t>
      </w:r>
      <w:r>
        <w:rPr>
          <w:color w:val="000000"/>
        </w:rPr>
        <w:t>”</w:t>
      </w:r>
      <w:r>
        <w:rPr>
          <w:rFonts w:ascii="Times New Roman;sans-serif" w:hAnsi="Times New Roman;sans-serif"/>
          <w:b w:val="false"/>
          <w:color w:val="000000"/>
          <w:sz w:val="22"/>
        </w:rPr>
        <w:t>) of an Option award as described below (the “</w:t>
      </w:r>
      <w:r>
        <w:rPr>
          <w:rFonts w:ascii="Times New Roman;sans-serif" w:hAnsi="Times New Roman;sans-serif"/>
          <w:b/>
          <w:color w:val="000000"/>
          <w:sz w:val="22"/>
        </w:rPr>
        <w:t>Option</w:t>
      </w:r>
      <w:r>
        <w:rPr>
          <w:color w:val="000000"/>
        </w:rPr>
        <w:t>”</w:t>
      </w:r>
      <w:r>
        <w:rPr>
          <w:rFonts w:ascii="Times New Roman;sans-serif" w:hAnsi="Times New Roman;sans-serif"/>
          <w:b w:val="false"/>
          <w:color w:val="000000"/>
          <w:sz w:val="22"/>
        </w:rPr>
        <w:t>) under the Company’s Amended and Restated 2014 Equity Incentive Plan (the “</w:t>
      </w:r>
      <w:r>
        <w:rPr>
          <w:rFonts w:ascii="Times New Roman;sans-serif" w:hAnsi="Times New Roman;sans-serif"/>
          <w:b/>
          <w:color w:val="000000"/>
          <w:sz w:val="22"/>
        </w:rPr>
        <w:t>Plan</w:t>
      </w:r>
      <w:r>
        <w:rPr>
          <w:color w:val="000000"/>
        </w:rPr>
        <w:t>”</w:t>
      </w:r>
      <w:r>
        <w:rPr>
          <w:rFonts w:ascii="Times New Roman;sans-serif" w:hAnsi="Times New Roman;sans-serif"/>
          <w:b w:val="false"/>
          <w:color w:val="000000"/>
          <w:sz w:val="22"/>
        </w:rPr>
        <w:t>). The Option gives Participant the right to purchase the number of shares (each a “</w:t>
      </w:r>
      <w:r>
        <w:rPr>
          <w:rFonts w:ascii="Times New Roman;sans-serif" w:hAnsi="Times New Roman;sans-serif"/>
          <w:b/>
          <w:color w:val="000000"/>
          <w:sz w:val="22"/>
        </w:rPr>
        <w:t>Share</w:t>
      </w:r>
      <w:r>
        <w:rPr>
          <w:color w:val="000000"/>
        </w:rPr>
        <w:t>”</w:t>
      </w:r>
      <w:r>
        <w:rPr>
          <w:rFonts w:ascii="Times New Roman;sans-serif" w:hAnsi="Times New Roman;sans-serif"/>
          <w:b w:val="false"/>
          <w:color w:val="000000"/>
          <w:sz w:val="22"/>
        </w:rPr>
        <w:t>) of the Company’s Common Stock, par value $0.00001 (the “</w:t>
      </w:r>
      <w:r>
        <w:rPr>
          <w:rFonts w:ascii="Times New Roman;sans-serif" w:hAnsi="Times New Roman;sans-serif"/>
          <w:b/>
          <w:color w:val="000000"/>
          <w:sz w:val="22"/>
        </w:rPr>
        <w:t>Common Stock</w:t>
      </w:r>
      <w:r>
        <w:rPr>
          <w:color w:val="000000"/>
        </w:rPr>
        <w:t>”</w:t>
      </w:r>
      <w:r>
        <w:rPr>
          <w:rFonts w:ascii="Times New Roman;sans-serif" w:hAnsi="Times New Roman;sans-serif"/>
          <w:b w:val="false"/>
          <w:color w:val="000000"/>
          <w:sz w:val="22"/>
        </w:rPr>
        <w:t>) set forth below at the exercise price set forth below and subject to vesting as set forth below. The Option is governed by and subject to this Stock Option Grant Notice (including any special terms and conditions set forth in any appendices attached hereto) (the “</w:t>
      </w:r>
      <w:r>
        <w:rPr>
          <w:rFonts w:ascii="Times New Roman;sans-serif" w:hAnsi="Times New Roman;sans-serif"/>
          <w:b/>
          <w:color w:val="000000"/>
          <w:sz w:val="22"/>
        </w:rPr>
        <w:t>Notice</w:t>
      </w:r>
      <w:r>
        <w:rPr>
          <w:color w:val="000000"/>
        </w:rPr>
        <w:t>”</w:t>
      </w:r>
      <w:r>
        <w:rPr>
          <w:rFonts w:ascii="Times New Roman;sans-serif" w:hAnsi="Times New Roman;sans-serif"/>
          <w:b w:val="false"/>
          <w:color w:val="000000"/>
          <w:sz w:val="22"/>
        </w:rPr>
        <w:t xml:space="preserve">), which include various agreements and representations by Participant and the Plan (which is available at </w:t>
      </w:r>
      <w:hyperlink r:id="rId42">
        <w:r>
          <w:rPr>
            <w:rStyle w:val="InternetLink"/>
            <w:rFonts w:ascii="Times New Roman;sans-serif" w:hAnsi="Times New Roman;sans-serif"/>
            <w:b w:val="false"/>
            <w:color w:val="0000FF"/>
            <w:sz w:val="22"/>
            <w:u w:val="single"/>
          </w:rPr>
          <w:t>https://www.sec.gov/Archives/edgar/data/1595974/000159597423000031/exhibit101-arequityplan.htm</w:t>
        </w:r>
      </w:hyperlink>
      <w:r>
        <w:rPr>
          <w:color w:val="000000"/>
        </w:rPr>
        <w:t xml:space="preserve"> </w:t>
      </w:r>
      <w:r>
        <w:rPr>
          <w:rFonts w:ascii="Times New Roman;sans-serif" w:hAnsi="Times New Roman;sans-serif"/>
          <w:b w:val="false"/>
          <w:color w:val="000000"/>
          <w:sz w:val="22"/>
        </w:rPr>
        <w:t xml:space="preserve">and incorporated herein by reference). In the event of a conflict between the terms of this Notice and the Plan, the terms of the Plan shall control. By acceptance of the Option, and also by acceptance through performance of the vesting requirements and by exercising the Option, Participant agrees to the terms and conditions set forth in this Notice (including any special terms and conditions set forth in any appendices attached hereto) and the Plan. Capitalized terms used but not defined in this Notice shall have the meanings given to them in the Plan. </w:t>
      </w:r>
    </w:p>
    <w:p>
      <w:pPr>
        <w:pStyle w:val="TextBody"/>
        <w:bidi w:val="0"/>
        <w:spacing w:lineRule="auto" w:line="240" w:before="360" w:after="283"/>
        <w:jc w:val="both"/>
        <w:rPr>
          <w:color w:val="000000"/>
        </w:rPr>
      </w:pPr>
      <w:r>
        <w:rPr>
          <w:color w:val="000000"/>
        </w:rPr>
        <w:t>    </w:t>
      </w:r>
    </w:p>
    <w:tbl>
      <w:tblPr>
        <w:tblW w:w="5729" w:type="dxa"/>
        <w:jc w:val="left"/>
        <w:tblInd w:w="0" w:type="dxa"/>
        <w:tblLayout w:type="fixed"/>
        <w:tblCellMar>
          <w:top w:w="28" w:type="dxa"/>
          <w:left w:w="28" w:type="dxa"/>
          <w:bottom w:w="28" w:type="dxa"/>
          <w:right w:w="28" w:type="dxa"/>
        </w:tblCellMar>
      </w:tblPr>
      <w:tblGrid>
        <w:gridCol w:w="1194"/>
        <w:gridCol w:w="1050"/>
        <w:gridCol w:w="1055"/>
        <w:gridCol w:w="712"/>
        <w:gridCol w:w="712"/>
        <w:gridCol w:w="1006"/>
      </w:tblGrid>
      <w:tr>
        <w:trPr/>
        <w:tc>
          <w:tcPr>
            <w:tcW w:w="1194"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417" w:before="0" w:after="0"/>
              <w:ind w:left="0" w:right="0" w:hanging="0"/>
              <w:jc w:val="left"/>
              <w:rPr/>
            </w:pPr>
            <w:r>
              <w:rPr>
                <w:rFonts w:ascii="Times New Roman;sans-serif" w:hAnsi="Times New Roman;sans-serif"/>
                <w:b/>
                <w:color w:val="000000"/>
                <w:sz w:val="22"/>
              </w:rPr>
              <w:t>Participant Name</w:t>
            </w:r>
            <w:r>
              <w:rPr>
                <w:rFonts w:ascii="Times New Roman;sans-serif" w:hAnsi="Times New Roman;sans-serif"/>
                <w:b w:val="false"/>
                <w:color w:val="000000"/>
                <w:sz w:val="22"/>
              </w:rPr>
              <w:t>:</w:t>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___________________</w:t>
            </w:r>
          </w:p>
        </w:tc>
      </w:tr>
      <w:tr>
        <w:trPr/>
        <w:tc>
          <w:tcPr>
            <w:tcW w:w="3299" w:type="dxa"/>
            <w:gridSpan w:val="3"/>
            <w:tcBorders/>
            <w:tcMar>
              <w:top w:w="0" w:type="dxa"/>
              <w:left w:w="0" w:type="dxa"/>
              <w:bottom w:w="0" w:type="dxa"/>
              <w:right w:w="0" w:type="dxa"/>
            </w:tcMar>
            <w:vAlign w:val="center"/>
          </w:tcPr>
          <w:p>
            <w:pPr>
              <w:pStyle w:val="TableContents"/>
              <w:bidi w:val="0"/>
              <w:spacing w:lineRule="auto" w:line="417" w:before="0" w:after="0"/>
              <w:ind w:left="0" w:right="0" w:hanging="0"/>
              <w:jc w:val="left"/>
              <w:rPr/>
            </w:pPr>
            <w:r>
              <w:rPr>
                <w:rFonts w:ascii="Times New Roman;sans-serif" w:hAnsi="Times New Roman;sans-serif"/>
                <w:b/>
                <w:color w:val="000000"/>
                <w:sz w:val="20"/>
              </w:rPr>
              <w:t>Number of Shares Subject to Option</w:t>
            </w:r>
            <w:r>
              <w:rPr>
                <w:rFonts w:ascii="Times New Roman;sans-serif" w:hAnsi="Times New Roman;sans-serif"/>
                <w:b w:val="false"/>
                <w:color w:val="000000"/>
                <w:sz w:val="20"/>
              </w:rPr>
              <w:t>:</w:t>
            </w:r>
          </w:p>
        </w:tc>
        <w:tc>
          <w:tcPr>
            <w:tcW w:w="24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___________________</w:t>
            </w:r>
          </w:p>
        </w:tc>
      </w:tr>
      <w:tr>
        <w:trPr/>
        <w:tc>
          <w:tcPr>
            <w:tcW w:w="3299" w:type="dxa"/>
            <w:gridSpan w:val="3"/>
            <w:tcBorders/>
            <w:tcMar>
              <w:top w:w="0" w:type="dxa"/>
              <w:left w:w="0" w:type="dxa"/>
              <w:bottom w:w="0" w:type="dxa"/>
              <w:right w:w="0" w:type="dxa"/>
            </w:tcMar>
            <w:vAlign w:val="center"/>
          </w:tcPr>
          <w:p>
            <w:pPr>
              <w:pStyle w:val="TableContents"/>
              <w:bidi w:val="0"/>
              <w:spacing w:lineRule="auto" w:line="417" w:before="0" w:after="0"/>
              <w:ind w:left="0" w:right="0" w:hanging="0"/>
              <w:jc w:val="left"/>
              <w:rPr/>
            </w:pPr>
            <w:r>
              <w:rPr>
                <w:rFonts w:ascii="Times New Roman;sans-serif" w:hAnsi="Times New Roman;sans-serif"/>
                <w:b/>
                <w:color w:val="000000"/>
                <w:sz w:val="22"/>
              </w:rPr>
              <w:t>Grant Date</w:t>
            </w:r>
            <w:r>
              <w:rPr>
                <w:rFonts w:ascii="Times New Roman;sans-serif" w:hAnsi="Times New Roman;sans-serif"/>
                <w:b w:val="false"/>
                <w:color w:val="000000"/>
                <w:sz w:val="22"/>
              </w:rPr>
              <w:t>:    </w:t>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___________________</w:t>
            </w:r>
          </w:p>
        </w:tc>
      </w:tr>
      <w:tr>
        <w:trPr/>
        <w:tc>
          <w:tcPr>
            <w:tcW w:w="3299" w:type="dxa"/>
            <w:gridSpan w:val="3"/>
            <w:tcBorders/>
            <w:tcMar>
              <w:top w:w="0" w:type="dxa"/>
              <w:left w:w="0" w:type="dxa"/>
              <w:bottom w:w="0" w:type="dxa"/>
              <w:right w:w="0" w:type="dxa"/>
            </w:tcMar>
            <w:vAlign w:val="center"/>
          </w:tcPr>
          <w:p>
            <w:pPr>
              <w:pStyle w:val="TableContents"/>
              <w:bidi w:val="0"/>
              <w:spacing w:lineRule="auto" w:line="417" w:before="0" w:after="0"/>
              <w:ind w:left="0" w:right="0" w:hanging="0"/>
              <w:jc w:val="left"/>
              <w:rPr/>
            </w:pPr>
            <w:r>
              <w:rPr>
                <w:rFonts w:ascii="Times New Roman;sans-serif" w:hAnsi="Times New Roman;sans-serif"/>
                <w:b/>
                <w:color w:val="000000"/>
                <w:sz w:val="22"/>
              </w:rPr>
              <w:t>Type of Option</w:t>
            </w:r>
            <w:r>
              <w:rPr>
                <w:rFonts w:ascii="Times New Roman;sans-serif" w:hAnsi="Times New Roman;sans-serif"/>
                <w:b w:val="false"/>
                <w:color w:val="000000"/>
                <w:sz w:val="22"/>
              </w:rPr>
              <w:t>:</w:t>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___________________</w:t>
            </w:r>
          </w:p>
        </w:tc>
      </w:tr>
      <w:tr>
        <w:trPr/>
        <w:tc>
          <w:tcPr>
            <w:tcW w:w="3299" w:type="dxa"/>
            <w:gridSpan w:val="3"/>
            <w:tcBorders/>
            <w:tcMar>
              <w:top w:w="0" w:type="dxa"/>
              <w:left w:w="0" w:type="dxa"/>
              <w:bottom w:w="0" w:type="dxa"/>
              <w:right w:w="0" w:type="dxa"/>
            </w:tcMar>
            <w:vAlign w:val="center"/>
          </w:tcPr>
          <w:p>
            <w:pPr>
              <w:pStyle w:val="TableContents"/>
              <w:bidi w:val="0"/>
              <w:spacing w:lineRule="auto" w:line="417" w:before="0" w:after="0"/>
              <w:ind w:left="0" w:right="0" w:hanging="0"/>
              <w:jc w:val="left"/>
              <w:rPr/>
            </w:pPr>
            <w:r>
              <w:rPr>
                <w:rFonts w:ascii="Times New Roman;sans-serif" w:hAnsi="Times New Roman;sans-serif"/>
                <w:b/>
                <w:color w:val="000000"/>
                <w:sz w:val="22"/>
              </w:rPr>
              <w:t>Exercise Price</w:t>
            </w:r>
            <w:r>
              <w:rPr>
                <w:rFonts w:ascii="Times New Roman;sans-serif" w:hAnsi="Times New Roman;sans-serif"/>
                <w:b w:val="false"/>
                <w:color w:val="000000"/>
                <w:sz w:val="22"/>
              </w:rPr>
              <w:t>:</w:t>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___________________</w:t>
            </w:r>
          </w:p>
        </w:tc>
      </w:tr>
      <w:tr>
        <w:trPr/>
        <w:tc>
          <w:tcPr>
            <w:tcW w:w="3299" w:type="dxa"/>
            <w:gridSpan w:val="3"/>
            <w:tcBorders/>
            <w:tcMar>
              <w:top w:w="0" w:type="dxa"/>
              <w:left w:w="0" w:type="dxa"/>
              <w:bottom w:w="0" w:type="dxa"/>
              <w:right w:w="0" w:type="dxa"/>
            </w:tcMar>
            <w:vAlign w:val="center"/>
          </w:tcPr>
          <w:p>
            <w:pPr>
              <w:pStyle w:val="TableContents"/>
              <w:bidi w:val="0"/>
              <w:spacing w:lineRule="auto" w:line="417" w:before="0" w:after="0"/>
              <w:ind w:left="0" w:right="0" w:hanging="0"/>
              <w:jc w:val="left"/>
              <w:rPr/>
            </w:pPr>
            <w:r>
              <w:rPr>
                <w:rFonts w:ascii="Times New Roman;sans-serif" w:hAnsi="Times New Roman;sans-serif"/>
                <w:b/>
                <w:color w:val="000000"/>
                <w:sz w:val="22"/>
              </w:rPr>
              <w:t>Vesting Commencement Date</w:t>
            </w:r>
            <w:r>
              <w:rPr>
                <w:rFonts w:ascii="Times New Roman;sans-serif" w:hAnsi="Times New Roman;sans-serif"/>
                <w:b w:val="false"/>
                <w:color w:val="000000"/>
                <w:sz w:val="22"/>
              </w:rPr>
              <w:t>:    </w:t>
            </w:r>
          </w:p>
        </w:tc>
        <w:tc>
          <w:tcPr>
            <w:tcW w:w="24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___________________</w:t>
            </w:r>
          </w:p>
        </w:tc>
      </w:tr>
    </w:tbl>
    <w:p>
      <w:pPr>
        <w:pStyle w:val="TextBody"/>
        <w:bidi w:val="0"/>
        <w:spacing w:before="180" w:after="283"/>
        <w:jc w:val="left"/>
        <w:rPr/>
      </w:pPr>
      <w:r>
        <w:rPr/>
      </w:r>
    </w:p>
    <w:p>
      <w:pPr>
        <w:pStyle w:val="TextBody"/>
        <w:bidi w:val="0"/>
        <w:spacing w:lineRule="auto" w:line="240" w:before="240" w:after="283"/>
        <w:ind w:left="0" w:right="0" w:firstLine="720"/>
        <w:jc w:val="both"/>
        <w:rPr/>
      </w:pPr>
      <w:r>
        <w:rPr>
          <w:rFonts w:ascii="Times New Roman;sans-serif" w:hAnsi="Times New Roman;sans-serif"/>
          <w:b/>
          <w:color w:val="000000"/>
          <w:sz w:val="22"/>
        </w:rPr>
        <w:t>Expiration Date</w:t>
      </w:r>
      <w:r>
        <w:rPr>
          <w:rFonts w:ascii="Times New Roman;sans-serif" w:hAnsi="Times New Roman;sans-serif"/>
          <w:b w:val="false"/>
          <w:color w:val="000000"/>
          <w:sz w:val="22"/>
        </w:rPr>
        <w:t xml:space="preserve">: Subject to any separate written agreement between the Company and Participant, and subject to earlier termination as described below, the Option will expire and cease to be exercisable on the tenth anniversary of the Issuance Date. </w:t>
      </w:r>
    </w:p>
    <w:p>
      <w:pPr>
        <w:pStyle w:val="TextBody"/>
        <w:bidi w:val="0"/>
        <w:spacing w:lineRule="auto" w:line="240" w:before="240" w:after="283"/>
        <w:ind w:left="0" w:right="0" w:firstLine="720"/>
        <w:jc w:val="both"/>
        <w:rPr/>
      </w:pPr>
      <w:r>
        <w:rPr>
          <w:rFonts w:ascii="Times New Roman;sans-serif" w:hAnsi="Times New Roman;sans-serif"/>
          <w:b/>
          <w:color w:val="000000"/>
          <w:sz w:val="22"/>
        </w:rPr>
        <w:t>Exercise</w:t>
      </w:r>
      <w:r>
        <w:rPr>
          <w:rFonts w:ascii="Times New Roman;sans-serif" w:hAnsi="Times New Roman;sans-serif"/>
          <w:b w:val="false"/>
          <w:color w:val="000000"/>
          <w:sz w:val="22"/>
        </w:rPr>
        <w:t>: The Option may be exercised only to the extent vested. Exercise is effected by Participant’s delivery of written notice to the Company in the manner determined by the Company specifying the exercise date and number of Shares to be purchased, together with payment of the exercise price for the Shares purchased. The exercise price must be paid in cash unless the Company, in its discretion, allows another form of payment specified in the Plan.</w:t>
      </w:r>
    </w:p>
    <w:p>
      <w:pPr>
        <w:pStyle w:val="TextBody"/>
        <w:bidi w:val="0"/>
        <w:spacing w:lineRule="auto" w:line="240" w:before="240" w:after="283"/>
        <w:ind w:left="0" w:right="0" w:firstLine="720"/>
        <w:jc w:val="both"/>
        <w:rPr/>
      </w:pPr>
      <w:r>
        <w:rPr>
          <w:rFonts w:ascii="Times New Roman;sans-serif" w:hAnsi="Times New Roman;sans-serif"/>
          <w:b/>
          <w:color w:val="000000"/>
          <w:sz w:val="22"/>
        </w:rPr>
        <w:t>Vesting Schedule</w:t>
      </w:r>
      <w:r>
        <w:rPr>
          <w:rFonts w:ascii="Times New Roman;sans-serif" w:hAnsi="Times New Roman;sans-serif"/>
          <w:b w:val="false"/>
          <w:color w:val="000000"/>
          <w:sz w:val="22"/>
        </w:rPr>
        <w:t>:</w:t>
      </w:r>
      <w:r>
        <w:rPr>
          <w:color w:val="000000"/>
        </w:rPr>
        <w:t xml:space="preserve"> </w:t>
      </w:r>
    </w:p>
    <w:p>
      <w:pPr>
        <w:pStyle w:val="TextBody"/>
        <w:bidi w:val="0"/>
        <w:spacing w:lineRule="auto" w:line="240" w:before="240" w:after="283"/>
        <w:ind w:left="0" w:right="0" w:firstLine="720"/>
        <w:jc w:val="both"/>
        <w:rPr/>
      </w:pPr>
      <w:r>
        <w:rPr>
          <w:rFonts w:ascii="Times New Roman;sans-serif" w:hAnsi="Times New Roman;sans-serif"/>
          <w:b w:val="false"/>
          <w:color w:val="000000"/>
          <w:sz w:val="22"/>
        </w:rPr>
        <w:t>Subject to any vesting acceleration provisions applicable to the Options contained in the Plan and/or any employment or service agreement, offer letter, severance agreement, or any other agreement between Participant and the Company or any Affiliate (such agreement, a “</w:t>
      </w:r>
      <w:r>
        <w:rPr>
          <w:rFonts w:ascii="Times New Roman;sans-serif" w:hAnsi="Times New Roman;sans-serif"/>
          <w:b/>
          <w:color w:val="000000"/>
          <w:sz w:val="22"/>
        </w:rPr>
        <w:t>Separate Agreement</w:t>
      </w:r>
      <w:r>
        <w:rPr>
          <w:color w:val="000000"/>
        </w:rPr>
        <w:t>”</w:t>
      </w:r>
      <w:r>
        <w:rPr>
          <w:rFonts w:ascii="Times New Roman;sans-serif" w:hAnsi="Times New Roman;sans-serif"/>
          <w:b w:val="false"/>
          <w:color w:val="000000"/>
          <w:sz w:val="22"/>
        </w:rPr>
        <w:t xml:space="preserve">: </w:t>
      </w:r>
    </w:p>
    <w:p>
      <w:pPr>
        <w:pStyle w:val="TextBody"/>
        <w:bidi w:val="0"/>
        <w:spacing w:before="0" w:after="0"/>
        <w:jc w:val="center"/>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75260"/>
                <wp:effectExtent l="0" t="0" r="0" b="0"/>
                <wp:wrapNone/>
                <wp:docPr id="135" name="Frame1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2"/>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2"/>
                        </w:rPr>
                        <w:t>-1-</w:t>
                      </w:r>
                    </w:p>
                  </w:txbxContent>
                </v:textbox>
                <w10:wrap type="none"/>
              </v:rect>
            </w:pict>
          </mc:Fallback>
        </mc:AlternateContent>
      </w:r>
    </w:p>
    <w:p>
      <w:pPr>
        <w:pStyle w:val="TextBody"/>
        <w:bidi w:val="0"/>
        <w:spacing w:lineRule="auto" w:line="240" w:before="240" w:after="283"/>
        <w:ind w:left="0" w:right="0" w:firstLine="720"/>
        <w:jc w:val="both"/>
        <w:rPr/>
      </w:pPr>
      <w:r>
        <w:rPr>
          <w:rFonts w:ascii="Times New Roman;sans-serif" w:hAnsi="Times New Roman;sans-serif"/>
          <w:b w:val="false"/>
          <w:color w:val="000000"/>
          <w:sz w:val="22"/>
        </w:rPr>
        <w:t>(i) the Option shall vest (i) with respect to 25% of the underlying Shares on the first anniversary of the Vesting Commencement Date (the “</w:t>
      </w:r>
      <w:r>
        <w:rPr>
          <w:rFonts w:ascii="Times New Roman;sans-serif" w:hAnsi="Times New Roman;sans-serif"/>
          <w:b/>
          <w:color w:val="000000"/>
          <w:sz w:val="22"/>
        </w:rPr>
        <w:t>First Vesting Date</w:t>
      </w:r>
      <w:r>
        <w:rPr>
          <w:color w:val="000000"/>
        </w:rPr>
        <w:t>”</w:t>
      </w:r>
      <w:r>
        <w:rPr>
          <w:rFonts w:ascii="Times New Roman;sans-serif" w:hAnsi="Times New Roman;sans-serif"/>
          <w:b w:val="false"/>
          <w:color w:val="000000"/>
          <w:sz w:val="22"/>
        </w:rPr>
        <w:t>), and (ii) with respect to the remaining 75% of the underlying Shares in 36 equal consecutive monthly installments thereafter, each consisting of 1/48 of the initial grant, on the same day of each calendar month following the First Vesting Date as the day of the month on which the Vesting Commencement Date occurs, provided that vesting is subject to Continuous Service and vesting will not occur on a particular scheduled vesting date if the Participant is not in Continuous Service on that scheduled vesting date; (ii) no vesting will occur before the first scheduled vesting date, and vesting will occur only on scheduled vesting dates, without any ratable vesting for periods of time between vesting dates;</w:t>
      </w:r>
    </w:p>
    <w:p>
      <w:pPr>
        <w:pStyle w:val="TextBody"/>
        <w:bidi w:val="0"/>
        <w:spacing w:lineRule="auto" w:line="240" w:before="240"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(ii) vesting will be suspended during the portion of any leave of absence (LOA) Participant has in excess of 90 days, and if Participant returns to work following such a LOA, then an amount of time equal to the period that vesting was suspended, and vesting dates that occurred within that time period, will be added to the end of the originally scheduled vesting period to give Participant an opportunity to vest in the Shares that would have vested during the period that vesting was suspended. Subject to Continuous Service, vesting will occur on each such additional vesting date in the amount of Shares not vested on the corresponding vesting date during the period of the suspension. However, in no case will the vesting period extend beyond the Expiration Date; and</w:t>
      </w:r>
    </w:p>
    <w:p>
      <w:pPr>
        <w:pStyle w:val="TextBody"/>
        <w:bidi w:val="0"/>
        <w:spacing w:lineRule="auto" w:line="240" w:before="240" w:after="283"/>
        <w:ind w:left="0" w:right="0" w:firstLine="720"/>
        <w:jc w:val="both"/>
        <w:rPr/>
      </w:pPr>
      <w:r>
        <w:rPr>
          <w:rFonts w:ascii="Times New Roman;sans-serif" w:hAnsi="Times New Roman;sans-serif"/>
          <w:b w:val="false"/>
          <w:color w:val="000000"/>
          <w:sz w:val="22"/>
        </w:rPr>
        <w:t xml:space="preserve">(iii) subject to </w:t>
      </w:r>
      <w:r>
        <w:rPr>
          <w:rFonts w:ascii="Times New Roman;sans-serif" w:hAnsi="Times New Roman;sans-serif"/>
          <w:b w:val="false"/>
          <w:color w:val="000000"/>
          <w:sz w:val="22"/>
          <w:u w:val="single"/>
        </w:rPr>
        <w:t>Section 2</w:t>
      </w:r>
      <w:r>
        <w:rPr>
          <w:color w:val="000000"/>
        </w:rPr>
        <w:t xml:space="preserve"> </w:t>
      </w:r>
      <w:r>
        <w:rPr>
          <w:rFonts w:ascii="Times New Roman;sans-serif" w:hAnsi="Times New Roman;sans-serif"/>
          <w:b w:val="false"/>
          <w:color w:val="000000"/>
          <w:sz w:val="22"/>
        </w:rPr>
        <w:t xml:space="preserve">below, cessation of Participant’s Continuous Service for any or no reason before the Option vests in full will result in cessation of vesting of the Option. </w:t>
      </w:r>
    </w:p>
    <w:p>
      <w:pPr>
        <w:pStyle w:val="TextBody"/>
        <w:bidi w:val="0"/>
        <w:spacing w:lineRule="auto" w:line="240" w:before="240" w:after="283"/>
        <w:ind w:left="0" w:right="0" w:firstLine="720"/>
        <w:jc w:val="both"/>
        <w:rPr/>
      </w:pPr>
      <w:r>
        <w:rPr>
          <w:rFonts w:ascii="Times New Roman;sans-serif" w:hAnsi="Times New Roman;sans-serif"/>
          <w:b w:val="false"/>
          <w:color w:val="000000"/>
          <w:sz w:val="22"/>
        </w:rPr>
        <w:t xml:space="preserve">Furthermore, under all circumstances, the vesting of Options shall be subject to the satisfaction of Participant’s obligations as set forth in </w:t>
      </w:r>
      <w:r>
        <w:rPr>
          <w:rFonts w:ascii="Times New Roman;sans-serif" w:hAnsi="Times New Roman;sans-serif"/>
          <w:b w:val="false"/>
          <w:color w:val="000000"/>
          <w:sz w:val="22"/>
          <w:u w:val="single"/>
        </w:rPr>
        <w:t>Section 6(b)</w:t>
      </w:r>
      <w:r>
        <w:rPr>
          <w:rFonts w:ascii="Times New Roman;sans-serif" w:hAnsi="Times New Roman;sans-serif"/>
          <w:b w:val="false"/>
          <w:color w:val="000000"/>
          <w:sz w:val="22"/>
        </w:rPr>
        <w:t>.</w:t>
      </w:r>
    </w:p>
    <w:p>
      <w:pPr>
        <w:pStyle w:val="TextBody"/>
        <w:bidi w:val="0"/>
        <w:spacing w:before="240" w:after="283"/>
        <w:jc w:val="left"/>
        <w:rPr/>
      </w:pPr>
      <w:r>
        <w:rPr/>
      </w:r>
    </w:p>
    <w:p>
      <w:pPr>
        <w:pStyle w:val="TextBody"/>
        <w:bidi w:val="0"/>
        <w:spacing w:before="0" w:after="283"/>
        <w:jc w:val="left"/>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75260"/>
                <wp:effectExtent l="0" t="0" r="0" b="0"/>
                <wp:wrapNone/>
                <wp:docPr id="136" name="Frame1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2"/>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2"/>
                        </w:rPr>
                        <w:t>-2-</w:t>
                      </w:r>
                    </w:p>
                  </w:txbxContent>
                </v:textbox>
                <w10:wrap type="none"/>
              </v:rect>
            </w:pict>
          </mc:Fallback>
        </mc:AlternateContent>
      </w:r>
    </w:p>
    <w:p>
      <w:pPr>
        <w:pStyle w:val="TextBody"/>
        <w:bidi w:val="0"/>
        <w:spacing w:lineRule="auto" w:line="304" w:before="0" w:after="240"/>
        <w:ind w:left="0" w:right="0" w:firstLine="720"/>
        <w:jc w:val="both"/>
        <w:rPr/>
      </w:pPr>
      <w:r>
        <w:rPr>
          <w:rFonts w:ascii="Times New Roman;sans-serif" w:hAnsi="Times New Roman;sans-serif"/>
          <w:b/>
          <w:color w:val="000000"/>
          <w:sz w:val="22"/>
        </w:rPr>
        <w:t>1.    Prior to Exercise</w:t>
      </w:r>
      <w:r>
        <w:rPr>
          <w:rFonts w:ascii="Times New Roman;sans-serif" w:hAnsi="Times New Roman;sans-serif"/>
          <w:b w:val="false"/>
          <w:color w:val="000000"/>
          <w:sz w:val="22"/>
        </w:rPr>
        <w:t xml:space="preserve">. </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Neither Participant nor any person claiming under or through Participant will have any of the rights or privileges of a stockholder of the Company in respect of the Option, whether or not vested; stockholder rights accrue only in respect of Shares that have been issued by the Company and recorded on the records of the Company or its transfer agents or registrars following proper exercise of the Option. No adjustment shall be made for any dividends (ordinary or extraordinary, whether cash, securities, or other property) or distributions or other rights for which the record date is prior to the date Shares are issued following proper exercise of the Option. </w:t>
      </w:r>
    </w:p>
    <w:p>
      <w:pPr>
        <w:pStyle w:val="TextBody"/>
        <w:bidi w:val="0"/>
        <w:spacing w:lineRule="auto" w:line="240" w:before="240" w:after="240"/>
        <w:ind w:left="0" w:right="0" w:firstLine="720"/>
        <w:jc w:val="both"/>
        <w:rPr/>
      </w:pPr>
      <w:r>
        <w:rPr>
          <w:rFonts w:ascii="Times New Roman;sans-serif" w:hAnsi="Times New Roman;sans-serif"/>
          <w:b/>
          <w:color w:val="000000"/>
          <w:sz w:val="22"/>
        </w:rPr>
        <w:t>2.    Forfeiture Upon Termination of Continuous Service</w:t>
      </w:r>
      <w:r>
        <w:rPr>
          <w:rFonts w:ascii="Times New Roman;sans-serif" w:hAnsi="Times New Roman;sans-serif"/>
          <w:b w:val="false"/>
          <w:color w:val="000000"/>
          <w:sz w:val="22"/>
        </w:rPr>
        <w:t>. Except as otherwise provided in the vesting schedule set forth above in this Notice or in a Separate Agreement, if Participant ceases to remain in Continuous Service at any time for any reason, the then-unvested portion of the Option will thereupon terminate and may not be exercised. After termination of Participant’s Continuous Service for any reason or no reason, Participant (or in the case of Participant’s death, Participant’s heirs or estate) may exercise the Option, but only to the extent vested at the time of or as a result of termination of Participant’s Continuous Service and not previously exercised, until the earlier of (i) the Expiration Date, or (ii) the close of business on the 90th day after termination of Participant’s Continuous Service, or the 180th day if termination of Continuous Service is due to Participant’s death or Disability, and after the Expiration Date or the 90th or 180th day after termination of Participant’s Continuous Service, as the case may be, the Option will terminate and be forfeited at no cost to the Company and Participant will have no further rights with respect thereto.</w:t>
      </w:r>
    </w:p>
    <w:p>
      <w:pPr>
        <w:pStyle w:val="TextBody"/>
        <w:bidi w:val="0"/>
        <w:spacing w:lineRule="auto" w:line="304" w:before="0" w:after="240"/>
        <w:ind w:left="0" w:right="0" w:firstLine="720"/>
        <w:jc w:val="both"/>
        <w:rPr/>
      </w:pPr>
      <w:r>
        <w:rPr>
          <w:rFonts w:ascii="Times New Roman;sans-serif" w:hAnsi="Times New Roman;sans-serif"/>
          <w:b/>
          <w:color w:val="000000"/>
          <w:sz w:val="22"/>
        </w:rPr>
        <w:t>3.    Tax Consequences, Withholding, and Liability</w:t>
      </w:r>
      <w:r>
        <w:rPr>
          <w:rFonts w:ascii="Times New Roman;sans-serif" w:hAnsi="Times New Roman;sans-serif"/>
          <w:b w:val="false"/>
          <w:color w:val="000000"/>
          <w:sz w:val="22"/>
        </w:rPr>
        <w:t xml:space="preserve">. </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 Participant understands that Participant may suffer adverse tax consequences as a result of the grant, vesting or exercise of the Option and issuance and/or disposition of the Shares. Participant understands that the actual tax consequences associated with the Option and Shares are complicated and depend, in part, on Participant’s specific situation and may also depend on the resolution of currently uncertain tax law and other variables not within the control of the Company. THEREFORE, PARTICIPANT SHOULD SEEK INDEPENDENT ADVICE REGARDING THE APPLICABLE PROVISIONS OF THE FEDERAL TAX LAW AND THE TAX LAWS OF ANY MUNICIPALITY, STATE OR NON-U.S. JURISDICTION TO WHICH PARTICIPANT IS SUBJECT. By accepting (through performance) the Option and by its exercise, Participant acknowledges and agrees that Participant has either consulted with a competent tax advisor independent of the Company to obtain tax advice concerning the Option and Shares in light of Participant’s specific situation or has had the opportunity to consult with such a tax advisor and has chosen not to do so. Neither the Company nor any of its employees, counsel, or agents has provided to Participant, and Participant has not relied upon from the Company or any of its employees, counsel, or agents, any written or oral advice or representation regarding the U.S. federal, state, local or non-U.S. tax consequences of the receipt, vesting and exercise of the Option, the other transactions contemplated by this Notice, or the value of the Company or the Options or Shares at any time. With respect to such matters, Participant relies solely on Participant’s own advisors.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(b) Participant (and not the Company) shall be responsible for Participant’s own tax liability that may arise as a result of the receipt, vesting and exercise of the Option, or the other transactions contemplated by this Notice. Pursuant to such procedures as the Plan administrator may specify from time to time, the Company shall satisfy its obligations to pay withholding taxes or other tax deposits in connection with the receipt, ownership and/or vesting of the Option, the issuance of Shares upon exercise of the Option, or the other transactions contemplated by this Notice in accordance with applicable law or regulation (the “</w:t>
      </w:r>
      <w:r>
        <w:rPr>
          <w:rFonts w:ascii="Times New Roman;sans-serif" w:hAnsi="Times New Roman;sans-serif"/>
          <w:b/>
          <w:color w:val="000000"/>
          <w:sz w:val="22"/>
        </w:rPr>
        <w:t>Tax Obligations</w:t>
      </w:r>
      <w:r>
        <w:rPr>
          <w:color w:val="000000"/>
        </w:rPr>
        <w:t>”</w:t>
      </w:r>
      <w:r>
        <w:rPr>
          <w:rFonts w:ascii="Times New Roman;sans-serif" w:hAnsi="Times New Roman;sans-serif"/>
          <w:b w:val="false"/>
          <w:color w:val="000000"/>
          <w:sz w:val="22"/>
        </w:rPr>
        <w:t xml:space="preserve">). If amounts paid by the Company in respect of Tax Obligations are less than Participant’s tax obligations, Participant is solely responsible for any additional taxes due. If amounts paid by the Company in respect of Tax Obligations exceed Participant’s tax obligations, Participant’s sole recourse will be against the relevant taxing authorities, and the Company and its Affiliates will have no obligation to Participant in respect thereof. Participant is responsible for </w:t>
      </w:r>
    </w:p>
    <w:p>
      <w:pPr>
        <w:pStyle w:val="TextBody"/>
        <w:bidi w:val="0"/>
        <w:spacing w:before="0" w:after="0"/>
        <w:jc w:val="center"/>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75260"/>
                <wp:effectExtent l="0" t="0" r="0" b="0"/>
                <wp:wrapNone/>
                <wp:docPr id="137" name="Frame1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2"/>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2"/>
                        </w:rPr>
                        <w:t>-3-</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determining Participant’s actual income tax liabilities and making appropriate payments to the relevant taxing authorities to fulfill Participant’s tax obligations and avoid interest and penalties.</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 Payment by the Company or its Affiliate of the Tax Obligations will result in a commensurate obligation of Participant to pay, or cause to be paid, to the Company or its Affiliate, in accordance with Section 9(h) of the Plan, the amount of Tax Obligations so paid, and the Company shall not be required to issue any Shares unless and until Participant has satisfied this obligation. To the extent determined appropriate by the Company in its discretion, it shall have the right (but not the obligation) to cause Participant to satisfy any or all Tax Obligations by withholding and retaining Shares otherwise deliverable to Participant having an aggregate Fair Market Value equal to the amount of such Tax Obligations. </w:t>
      </w:r>
    </w:p>
    <w:p>
      <w:pPr>
        <w:pStyle w:val="TextBody"/>
        <w:bidi w:val="0"/>
        <w:spacing w:lineRule="auto" w:line="240" w:before="0" w:after="240"/>
        <w:ind w:left="0" w:right="0" w:firstLine="720"/>
        <w:jc w:val="both"/>
        <w:rPr/>
      </w:pPr>
      <w:r>
        <w:rPr>
          <w:rFonts w:ascii="Times New Roman;sans-serif" w:hAnsi="Times New Roman;sans-serif"/>
          <w:b/>
          <w:color w:val="000000"/>
          <w:sz w:val="22"/>
        </w:rPr>
        <w:t>4.    No Guarantee of Continued Service</w:t>
      </w:r>
      <w:r>
        <w:rPr>
          <w:rFonts w:ascii="Times New Roman;sans-serif" w:hAnsi="Times New Roman;sans-serif"/>
          <w:b w:val="false"/>
          <w:color w:val="000000"/>
          <w:sz w:val="22"/>
        </w:rPr>
        <w:t xml:space="preserve">. THE VESTING OF THE OPTION PURSUANT TO THE VESTING SCHEDULE APPLICABLE THERETO IS EARNED ONLY BY CONTINUOUS SERVICE AT THE WILL OF THE COMPANY (OR THE AFFILIATE OR SUBSIDIARY EMPLOYING OR RETAINING PARTICIPANT) AND NOT THROUGH THE ACT OF BEING HIRED, BEING GRANTED THE OPTION OR ACQUIRING SHARES UPON EXERCISE OF THE OPTION. THIS NOTICE, THE TRANSACTIONS CONTEMPLATED HEREUNDER AND THE VESTING SCHEDULE APPLICABLE TO THE OPTION DO NOT CONSTITUTE AN EXPRESS OR IMPLIED PROMISE OF CONTINUED ENGAGEMENT TO PROVIDE SERVICE FOR THE VESTING PERIOD, FOR ANY PERIOD, OR AT ALL, AND SHALL NOT INTERFERE IN ANY WAY WITH PARTICIPANT’S RIGHT OR THE RIGHT OF THE COMPANY (OR THE AFFILIATE OR SUBSIDIARY EMPLOYING OR RETAINING PARTICIPANT) TO TERMINATE PARTICIPANT’S CONTINUOUS SERVICE AT ANY TIME, FOR ANY REASON OR NO REASON, WITH OR WITHOUT NOTICE, AND WITH OR WITHOUT CAUSE UNLESS OTHERWISE PROVIDED IN A SEPARATE AGREEMENT. </w:t>
      </w:r>
    </w:p>
    <w:p>
      <w:pPr>
        <w:pStyle w:val="TextBody"/>
        <w:bidi w:val="0"/>
        <w:spacing w:lineRule="auto" w:line="304" w:before="0" w:after="240"/>
        <w:ind w:left="0" w:right="0" w:firstLine="720"/>
        <w:jc w:val="both"/>
        <w:rPr>
          <w:rFonts w:ascii="Times New Roman;sans-serif" w:hAnsi="Times New Roman;sans-serif"/>
          <w:b/>
          <w:color w:val="000000"/>
          <w:sz w:val="22"/>
        </w:rPr>
      </w:pPr>
      <w:r>
        <w:rPr>
          <w:rFonts w:ascii="Times New Roman;sans-serif" w:hAnsi="Times New Roman;sans-serif"/>
          <w:b/>
          <w:color w:val="000000"/>
          <w:sz w:val="22"/>
        </w:rPr>
        <w:t xml:space="preserve">5.    Participant Representations. </w:t>
      </w:r>
    </w:p>
    <w:p>
      <w:pPr>
        <w:pStyle w:val="TextBody"/>
        <w:bidi w:val="0"/>
        <w:spacing w:lineRule="auto" w:line="240" w:before="0" w:after="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(a) Participant acknowledges that (i) Participant was and is free to use professional advisors of Participant’s choice in connection with this Notice and grant of the Option, that Participant understands this Notice and the meaning and consequences of receiving the Option and Shares issued upon exercise of the Option; (ii) Participant has reviewed and understands this Notice and the Plan; (iii) receipt of the Option and any Shares issued upon exercise is voluntary and Participant is accepting the Option and any Shares issued upon exercise freely and without coercion or duress; and (iv) Participant has not received and is not relying, and will not rely, upon any advice, representations or assurances made by or on behalf of the Company or any of its Affiliates or Subsidiaries or any employee of or counsel to the Company or any of its Affiliates or Subsidiaries regarding any tax or other effects or implications of the Option, its exercise, receipt of Shares, or other matters contemplated by this award of Options.</w:t>
      </w:r>
    </w:p>
    <w:p>
      <w:pPr>
        <w:pStyle w:val="TextBody"/>
        <w:bidi w:val="0"/>
        <w:spacing w:before="0" w:after="0"/>
        <w:jc w:val="both"/>
        <w:rPr/>
      </w:pPr>
      <w:r>
        <w:rPr/>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(b) Participant is aware of the Company’s business affairs and financial condition and understands that an investment in the Shares involves a high degree of risk. Participant has not received and is not relying, and will not rely, upon any advice, representations or assurances made by or on behalf of the Company or any of its Affiliates or Subsidiaries or any employee of or counsel to the Company or any of its Affiliates or Subsidiaries regarding the Company’s prospects or the value of the Option or Shares issuable upon exercise. </w:t>
      </w:r>
    </w:p>
    <w:p>
      <w:pPr>
        <w:pStyle w:val="TextBody"/>
        <w:bidi w:val="0"/>
        <w:spacing w:lineRule="auto" w:line="240" w:before="0" w:after="0"/>
        <w:ind w:left="0" w:right="0" w:firstLine="720"/>
        <w:jc w:val="both"/>
        <w:rPr/>
      </w:pPr>
      <w:r>
        <w:rPr>
          <w:rFonts w:ascii="Times New Roman;sans-serif" w:hAnsi="Times New Roman;sans-serif"/>
          <w:b/>
          <w:color w:val="000000"/>
          <w:sz w:val="22"/>
        </w:rPr>
        <w:t>6.    Additional Conditions to Issuance of Stock.</w:t>
      </w:r>
      <w:r>
        <w:rPr>
          <w:color w:val="000000"/>
        </w:rPr>
        <w:t xml:space="preserve"> </w:t>
      </w:r>
    </w:p>
    <w:p>
      <w:pPr>
        <w:pStyle w:val="TextBody"/>
        <w:bidi w:val="0"/>
        <w:spacing w:before="0" w:after="0"/>
        <w:ind w:left="0" w:right="0" w:firstLine="1440"/>
        <w:jc w:val="both"/>
        <w:rPr/>
      </w:pPr>
      <w:r>
        <w:rPr/>
      </w:r>
    </w:p>
    <w:p>
      <w:pPr>
        <w:pStyle w:val="TextBody"/>
        <w:bidi w:val="0"/>
        <w:spacing w:lineRule="auto" w:line="240"/>
        <w:ind w:left="0" w:right="0" w:firstLine="1440"/>
        <w:jc w:val="both"/>
        <w:rPr/>
      </w:pPr>
      <w:r>
        <w:rPr>
          <w:rFonts w:ascii="Times New Roman;sans-serif" w:hAnsi="Times New Roman;sans-serif"/>
          <w:b w:val="false"/>
          <w:color w:val="000000"/>
          <w:sz w:val="22"/>
        </w:rPr>
        <w:t>(a)    </w:t>
      </w:r>
      <w:r>
        <w:rPr>
          <w:rFonts w:ascii="Times New Roman;sans-serif" w:hAnsi="Times New Roman;sans-serif"/>
          <w:b w:val="false"/>
          <w:color w:val="000000"/>
          <w:sz w:val="22"/>
          <w:u w:val="single"/>
        </w:rPr>
        <w:t>Legal and Regulatory Compliance</w:t>
      </w:r>
      <w:r>
        <w:rPr>
          <w:rFonts w:ascii="Times New Roman;sans-serif" w:hAnsi="Times New Roman;sans-serif"/>
          <w:b w:val="false"/>
          <w:color w:val="000000"/>
          <w:sz w:val="22"/>
        </w:rPr>
        <w:t xml:space="preserve">. The issuance of Shares upon or after exercise of the Option shall be subject to compliance with all applicable requirements of federal, state or foreign law with respect to such securities. If at any time the Company determines, in its discretion, that the listing, registration or qualification of the Shares upon any securities exchange or under any state or federal law, or the consent or approval of any governmental regulatory authority is necessary as a condition to the issuance of Shares to Participant (or his or her estate), such issuance will not occur unless and until such listing, registration, qualification, consent or approval will have been effected or obtained free of any conditions not acceptable to the Company. If the Company determines that the issuance of </w:t>
      </w:r>
    </w:p>
    <w:p>
      <w:pPr>
        <w:pStyle w:val="TextBody"/>
        <w:bidi w:val="0"/>
        <w:spacing w:before="0" w:after="0"/>
        <w:jc w:val="center"/>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75260"/>
                <wp:effectExtent l="0" t="0" r="0" b="0"/>
                <wp:wrapNone/>
                <wp:docPr id="138" name="Frame1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2"/>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2"/>
                        </w:rPr>
                        <w:t>-4-</w:t>
                      </w:r>
                    </w:p>
                  </w:txbxContent>
                </v:textbox>
                <w10:wrap type="none"/>
              </v:rect>
            </w:pict>
          </mc:Fallback>
        </mc:AlternateContent>
      </w:r>
    </w:p>
    <w:p>
      <w:pPr>
        <w:pStyle w:val="TextBody"/>
        <w:bidi w:val="0"/>
        <w:spacing w:lineRule="auto" w:line="240" w:before="0" w:after="0"/>
        <w:jc w:val="both"/>
        <w:rPr/>
      </w:pPr>
      <w:r>
        <w:rPr>
          <w:rFonts w:ascii="Times New Roman;sans-serif" w:hAnsi="Times New Roman;sans-serif"/>
          <w:b w:val="false"/>
          <w:color w:val="000000"/>
          <w:sz w:val="22"/>
        </w:rPr>
        <w:t>any Shares will violate securities laws or other applicable laws or regulations or the requirements of any exchange or market system upon which the Shares are listed, the Company may defer issuance until the earliest date at which the Company reasonably anticipates that the issuance of Shares will no longer cause such violation. Accordingly, Participant may not be able to receive Shares when desired even though Participant has requested to exercise the Option. The Company will make all reasonable efforts to meet the requirements of any such federal, state or foreign law or securities exchange and to obtain any such consent or approval of any applicable governmental authority, but the inability of the Company to obtain from any regulatory body having jurisdiction and the authority, if any, deemed by the Company’s legal counsel to be necessary to the lawful issuance of any Shares shall relieve the Company of any liability in respect of the failure to issue such Shares as to which such requisite authority shall not have been obtained. As a condition to the issuance of Shares, the Company may require Participant to satisfy any qualifications that may be necessary or appropriate, to evidence compliance with any applicable law or regulation and to make any representation or warranty with respect thereto as may be requested by the Company. Without limiting the foregoing, if at the time of exercise of the Option, there is not in effect under the Securities Act of 1933, as amended (the “</w:t>
      </w:r>
      <w:r>
        <w:rPr>
          <w:rFonts w:ascii="Times New Roman;sans-serif" w:hAnsi="Times New Roman;sans-serif"/>
          <w:b/>
          <w:color w:val="000000"/>
          <w:sz w:val="22"/>
        </w:rPr>
        <w:t>Securities Act</w:t>
      </w:r>
      <w:r>
        <w:rPr>
          <w:color w:val="000000"/>
        </w:rPr>
        <w:t>”</w:t>
      </w:r>
      <w:r>
        <w:rPr>
          <w:rFonts w:ascii="Times New Roman;sans-serif" w:hAnsi="Times New Roman;sans-serif"/>
          <w:b w:val="false"/>
          <w:color w:val="000000"/>
          <w:sz w:val="22"/>
        </w:rPr>
        <w:t>), a registration statement covering the Shares to be issued, and available for delivery a prospectus meeting the requirements of Section 10(a)(3) of the Securities Act, Participant shall, if required by the Company, as a condition to exercise of the Option and issuance of the Shares, make appropriate representations in a form satisfactory to the Company to support issuance of the Shares in compliance with applicable laws and regulations, including to the effect that such Shares will not be sold other than (A) pursuant to an effective registration statement under the Securities Act, or an applicable exemption from the registration requirements of such Act; (B) in compliance with all applicable state securities laws and regulations; and (C) in compliance with all terms and conditions of the Plan, this Notice, and any other written agreement between Participant and the Company or any of its Affiliates.</w:t>
      </w:r>
    </w:p>
    <w:p>
      <w:pPr>
        <w:pStyle w:val="TextBody"/>
        <w:bidi w:val="0"/>
        <w:spacing w:before="0" w:after="0"/>
        <w:ind w:left="0" w:right="0" w:firstLine="1440"/>
        <w:jc w:val="both"/>
        <w:rPr/>
      </w:pPr>
      <w:r>
        <w:rPr/>
      </w:r>
    </w:p>
    <w:p>
      <w:pPr>
        <w:pStyle w:val="TextBody"/>
        <w:bidi w:val="0"/>
        <w:spacing w:lineRule="auto" w:line="240" w:before="0" w:after="0"/>
        <w:ind w:left="0" w:right="0" w:firstLine="1440"/>
        <w:jc w:val="both"/>
        <w:rPr/>
      </w:pPr>
      <w:r>
        <w:rPr>
          <w:rFonts w:ascii="Times New Roman;sans-serif" w:hAnsi="Times New Roman;sans-serif"/>
          <w:b w:val="false"/>
          <w:color w:val="000000"/>
          <w:sz w:val="22"/>
        </w:rPr>
        <w:t>(b)    </w:t>
      </w:r>
      <w:r>
        <w:rPr>
          <w:rFonts w:ascii="Times New Roman;sans-serif" w:hAnsi="Times New Roman;sans-serif"/>
          <w:b w:val="false"/>
          <w:color w:val="000000"/>
          <w:sz w:val="22"/>
          <w:u w:val="single"/>
        </w:rPr>
        <w:t>Obligations to the Company</w:t>
      </w:r>
      <w:r>
        <w:rPr>
          <w:rFonts w:ascii="Times New Roman;sans-serif" w:hAnsi="Times New Roman;sans-serif"/>
          <w:b w:val="false"/>
          <w:color w:val="000000"/>
          <w:sz w:val="22"/>
        </w:rPr>
        <w:t>. As a condition to receipt of the Options and issuance of Shares as a result of exercise, Participant must enter into the Company’s Intellectual Property Assignment and Confidential Information Agreement, or a similar or successor agreement for the protection of the Company’s intellectual property and confidential information, in form specified by the Company (the “</w:t>
      </w:r>
      <w:r>
        <w:rPr>
          <w:rFonts w:ascii="Times New Roman;sans-serif" w:hAnsi="Times New Roman;sans-serif"/>
          <w:b/>
          <w:color w:val="000000"/>
          <w:sz w:val="22"/>
        </w:rPr>
        <w:t>Proprietary Interests Agreement</w:t>
      </w:r>
      <w:r>
        <w:rPr>
          <w:color w:val="000000"/>
        </w:rPr>
        <w:t>”</w:t>
      </w:r>
      <w:r>
        <w:rPr>
          <w:rFonts w:ascii="Times New Roman;sans-serif" w:hAnsi="Times New Roman;sans-serif"/>
          <w:b w:val="false"/>
          <w:color w:val="000000"/>
          <w:sz w:val="22"/>
        </w:rPr>
        <w:t xml:space="preserve">), if Participant has not already done so, and Participant’s acceptance of the Option and any Shares issued upon exercise will constitute Participant’s agreement to the Proprietary Interests Agreement. If Participant breaches in any material respect the Proprietary Interests Agreement or any other contract between Participant and the Company, or Participant’s common law duty of confidentiality or trade secret protection, or any Company policy prohibiting misappropriation of property or any illegal or fraudulent acts, the Company may suspend any vesting and/or exercise of the Option and/or issuance of any Shares pending Participant’s cure of such breach, and if such breach cannot be cured or is not cured to the Company’s reasonable satisfaction within such time not less than twenty (20) days as the Company may specify, the Company may terminate the Option to the extent not exercised and will have no obligation to issue any Shares in respect of the terminated Option or to provide any consideration to Participant in respect thereof. </w:t>
      </w:r>
    </w:p>
    <w:p>
      <w:pPr>
        <w:pStyle w:val="TextBody"/>
        <w:bidi w:val="0"/>
        <w:spacing w:before="0" w:after="0"/>
        <w:ind w:left="0" w:right="0" w:firstLine="1440"/>
        <w:jc w:val="both"/>
        <w:rPr/>
      </w:pPr>
      <w:r>
        <w:rPr/>
      </w:r>
    </w:p>
    <w:p>
      <w:pPr>
        <w:pStyle w:val="TextBody"/>
        <w:bidi w:val="0"/>
        <w:spacing w:lineRule="auto" w:line="304" w:before="0" w:after="240"/>
        <w:ind w:left="0" w:right="0" w:firstLine="720"/>
        <w:jc w:val="both"/>
        <w:rPr>
          <w:rFonts w:ascii="Times New Roman;sans-serif" w:hAnsi="Times New Roman;sans-serif"/>
          <w:b/>
          <w:color w:val="000000"/>
          <w:sz w:val="22"/>
        </w:rPr>
      </w:pPr>
      <w:r>
        <w:rPr>
          <w:rFonts w:ascii="Times New Roman;sans-serif" w:hAnsi="Times New Roman;sans-serif"/>
          <w:b/>
          <w:color w:val="000000"/>
          <w:sz w:val="22"/>
        </w:rPr>
        <w:t>7.    Handling of Shares; Restrictive Legends and Stop-Transfer Orders.</w:t>
      </w:r>
    </w:p>
    <w:p>
      <w:pPr>
        <w:pStyle w:val="TextBody"/>
        <w:bidi w:val="0"/>
        <w:spacing w:lineRule="auto" w:line="240" w:before="240" w:after="283"/>
        <w:ind w:left="0" w:right="0" w:firstLine="1440"/>
        <w:jc w:val="both"/>
        <w:rPr/>
      </w:pPr>
      <w:r>
        <w:rPr>
          <w:rFonts w:ascii="Times New Roman;sans-serif" w:hAnsi="Times New Roman;sans-serif"/>
          <w:b w:val="false"/>
          <w:color w:val="000000"/>
          <w:sz w:val="22"/>
        </w:rPr>
        <w:t>(a)    </w:t>
      </w:r>
      <w:r>
        <w:rPr>
          <w:rFonts w:ascii="Times New Roman;sans-serif" w:hAnsi="Times New Roman;sans-serif"/>
          <w:b w:val="false"/>
          <w:color w:val="000000"/>
          <w:sz w:val="22"/>
          <w:u w:val="single"/>
        </w:rPr>
        <w:t>Book Entries</w:t>
      </w:r>
      <w:r>
        <w:rPr>
          <w:rFonts w:ascii="Times New Roman;sans-serif" w:hAnsi="Times New Roman;sans-serif"/>
          <w:b w:val="false"/>
          <w:color w:val="000000"/>
          <w:sz w:val="22"/>
        </w:rPr>
        <w:t xml:space="preserve">. The Company will cause the Shares issuable upon exercise of the Option to be recorded in book entry or other electronic form and reflected in records maintained by or for the Company. </w:t>
      </w:r>
    </w:p>
    <w:p>
      <w:pPr>
        <w:pStyle w:val="TextBody"/>
        <w:bidi w:val="0"/>
        <w:spacing w:before="0" w:after="0"/>
        <w:ind w:left="0" w:right="0" w:firstLine="1440"/>
        <w:jc w:val="both"/>
        <w:rPr/>
      </w:pPr>
      <w:r>
        <w:rPr/>
      </w:r>
    </w:p>
    <w:p>
      <w:pPr>
        <w:pStyle w:val="TextBody"/>
        <w:bidi w:val="0"/>
        <w:spacing w:lineRule="auto" w:line="240" w:before="0" w:after="0"/>
        <w:ind w:left="0" w:right="0" w:firstLine="1440"/>
        <w:jc w:val="both"/>
        <w:rPr/>
      </w:pPr>
      <w:r>
        <w:rPr>
          <w:rFonts w:ascii="Times New Roman;sans-serif" w:hAnsi="Times New Roman;sans-serif"/>
          <w:b w:val="false"/>
          <w:color w:val="000000"/>
          <w:sz w:val="22"/>
        </w:rPr>
        <w:t>(b)    </w:t>
      </w:r>
      <w:r>
        <w:rPr>
          <w:rFonts w:ascii="Times New Roman;sans-serif" w:hAnsi="Times New Roman;sans-serif"/>
          <w:b w:val="false"/>
          <w:color w:val="000000"/>
          <w:sz w:val="22"/>
          <w:u w:val="single"/>
        </w:rPr>
        <w:t>Stop-Transfer Notices</w:t>
      </w:r>
      <w:r>
        <w:rPr>
          <w:rFonts w:ascii="Times New Roman;sans-serif" w:hAnsi="Times New Roman;sans-serif"/>
          <w:b w:val="false"/>
          <w:color w:val="000000"/>
          <w:sz w:val="22"/>
        </w:rPr>
        <w:t>. In order to ensure compliance with the restrictions referred to herein and Company policies, the Company may issue appropriate “stop transfer” instructions to its transfer agent, if any, and that, if the Company transfers its own securities, it may make appropriate notations to the same effect in its own records.</w:t>
      </w:r>
    </w:p>
    <w:p>
      <w:pPr>
        <w:pStyle w:val="TextBody"/>
        <w:bidi w:val="0"/>
        <w:spacing w:before="0" w:after="0"/>
        <w:jc w:val="both"/>
        <w:rPr/>
      </w:pPr>
      <w:r>
        <w:rPr/>
      </w:r>
    </w:p>
    <w:p>
      <w:pPr>
        <w:pStyle w:val="TextBody"/>
        <w:bidi w:val="0"/>
        <w:spacing w:lineRule="auto" w:line="240"/>
        <w:ind w:left="0" w:right="0" w:firstLine="1440"/>
        <w:jc w:val="both"/>
        <w:rPr/>
      </w:pPr>
      <w:r>
        <w:rPr>
          <w:rFonts w:ascii="Times New Roman;sans-serif" w:hAnsi="Times New Roman;sans-serif"/>
          <w:b w:val="false"/>
          <w:color w:val="000000"/>
          <w:sz w:val="22"/>
        </w:rPr>
        <w:t>(d)    </w:t>
      </w:r>
      <w:r>
        <w:rPr>
          <w:rFonts w:ascii="Times New Roman;sans-serif" w:hAnsi="Times New Roman;sans-serif"/>
          <w:b w:val="false"/>
          <w:color w:val="000000"/>
          <w:sz w:val="22"/>
          <w:u w:val="single"/>
        </w:rPr>
        <w:t>Refusal to Transfer</w:t>
      </w:r>
      <w:r>
        <w:rPr>
          <w:rFonts w:ascii="Times New Roman;sans-serif" w:hAnsi="Times New Roman;sans-serif"/>
          <w:b w:val="false"/>
          <w:color w:val="000000"/>
          <w:sz w:val="22"/>
        </w:rPr>
        <w:t>. The Company shall not be required (i) to transfer on its books any Shares that have been sold or otherwise transferred in violation of any of the provisions of this Notice or any other agreement to which the Shares are subject or any laws governing the Shares or (ii) to treat as owner of such Shares or to accord the right to vote or pay dividends to any purchaser or other transferee to whom such Shares shall have been so transferred.</w:t>
      </w:r>
    </w:p>
    <w:p>
      <w:pPr>
        <w:pStyle w:val="TextBody"/>
        <w:bidi w:val="0"/>
        <w:spacing w:before="0" w:after="0"/>
        <w:jc w:val="center"/>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75260"/>
                <wp:effectExtent l="0" t="0" r="0" b="0"/>
                <wp:wrapNone/>
                <wp:docPr id="139" name="Frame1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2"/>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2"/>
                        </w:rPr>
                        <w:t>-5-</w:t>
                      </w:r>
                    </w:p>
                  </w:txbxContent>
                </v:textbox>
                <w10:wrap type="none"/>
              </v:rect>
            </w:pict>
          </mc:Fallback>
        </mc:AlternateContent>
      </w:r>
    </w:p>
    <w:p>
      <w:pPr>
        <w:pStyle w:val="TextBody"/>
        <w:bidi w:val="0"/>
        <w:spacing w:before="0" w:after="0"/>
        <w:ind w:left="0" w:right="0" w:firstLine="1440"/>
        <w:jc w:val="both"/>
        <w:rPr/>
      </w:pPr>
      <w:r>
        <w:rPr/>
      </w:r>
    </w:p>
    <w:p>
      <w:pPr>
        <w:pStyle w:val="TextBody"/>
        <w:bidi w:val="0"/>
        <w:spacing w:lineRule="auto" w:line="240" w:before="0" w:after="240"/>
        <w:ind w:left="0" w:right="0" w:firstLine="720"/>
        <w:jc w:val="both"/>
        <w:rPr/>
      </w:pPr>
      <w:r>
        <w:rPr>
          <w:rFonts w:ascii="Times New Roman;sans-serif" w:hAnsi="Times New Roman;sans-serif"/>
          <w:b/>
          <w:color w:val="000000"/>
          <w:sz w:val="22"/>
        </w:rPr>
        <w:t xml:space="preserve">8.    Restrictions on Transfer. </w:t>
      </w:r>
      <w:r>
        <w:rPr>
          <w:rFonts w:ascii="Times New Roman;sans-serif" w:hAnsi="Times New Roman;sans-serif"/>
          <w:b w:val="false"/>
          <w:color w:val="000000"/>
          <w:sz w:val="22"/>
        </w:rPr>
        <w:t>Except as otherwise expressly provided in this Notice, the Option will not in whole or part be transferred, assigned, pledged or hypothecated in any way (whether by operation of law or otherwise) and will not be subject to sale under execution, attachment or similar process. Upon any attempt to transfer, assign, pledge, hypothecate or otherwise dispose of any interest in the Option, or upon any attempted sale under any execution, attachment or similar process, the affected Option will become null and void without further obligation to Participant. The Company may impose such restrictions, conditions or limitations as it determines appropriate as to the timing and manner of any resales by the Participant or other subsequent transfers by the Participant of any Shares issued upon the exercise of the Option, including without limitation (a) restrictions under an insider trading policy, (b) restrictions designed to delay and/or coordinate the timing and manner of sales by Participant and other holders, and (c) restrictions as to the use of a specified brokerage firm for such resales or other transfers.</w:t>
      </w:r>
    </w:p>
    <w:p>
      <w:pPr>
        <w:pStyle w:val="TextBody"/>
        <w:bidi w:val="0"/>
        <w:spacing w:lineRule="auto" w:line="304" w:before="0" w:after="240"/>
        <w:ind w:left="0" w:right="0" w:firstLine="720"/>
        <w:jc w:val="both"/>
        <w:rPr>
          <w:rFonts w:ascii="Times New Roman;sans-serif" w:hAnsi="Times New Roman;sans-serif"/>
          <w:b/>
          <w:color w:val="000000"/>
          <w:sz w:val="22"/>
        </w:rPr>
      </w:pPr>
      <w:r>
        <w:rPr>
          <w:rFonts w:ascii="Times New Roman;sans-serif" w:hAnsi="Times New Roman;sans-serif"/>
          <w:b/>
          <w:color w:val="000000"/>
          <w:sz w:val="22"/>
        </w:rPr>
        <w:t xml:space="preserve">9.    Additional Agreements.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(a) </w:t>
      </w:r>
      <w:r>
        <w:rPr>
          <w:rFonts w:ascii="Times New Roman;sans-serif" w:hAnsi="Times New Roman;sans-serif"/>
          <w:b w:val="false"/>
          <w:color w:val="000000"/>
          <w:sz w:val="22"/>
          <w:u w:val="single"/>
        </w:rPr>
        <w:t>Electronic Delivery</w:t>
      </w:r>
      <w:r>
        <w:rPr>
          <w:rFonts w:ascii="Times New Roman;sans-serif" w:hAnsi="Times New Roman;sans-serif"/>
          <w:b w:val="false"/>
          <w:color w:val="000000"/>
          <w:sz w:val="22"/>
        </w:rPr>
        <w:t>. The Company may, in its sole discretion, decide to deliver any documents related to the Option or Shares by electronic means or request Participant’s consent to participate in the Plan by electronic means. Participant hereby consents to receive such documents by electronic delivery and agrees to administration of this Notice, the Option and the Shares through any on-line or electronic system established and maintained by the Company or another third party designated by the Company.</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(b) </w:t>
      </w:r>
      <w:r>
        <w:rPr>
          <w:rFonts w:ascii="Times New Roman;sans-serif" w:hAnsi="Times New Roman;sans-serif"/>
          <w:b w:val="false"/>
          <w:color w:val="000000"/>
          <w:sz w:val="22"/>
          <w:u w:val="single"/>
        </w:rPr>
        <w:t>Proprietary Information</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color w:val="000000"/>
          <w:sz w:val="22"/>
        </w:rPr>
        <w:t>Participant agrees that all financial and other information relating to the Company furnished to Participant constitutes “Proprietary Information” that is the property of the Company. Participant shall hold in confidence and not disclose or, except within the scope of Participant’s Continuous Service, use any Proprietary Information. Participant shall not be obligated under this paragraph with respect to information Participant can document is or becomes readily publicly available without restriction through no fault of Participant. Upon termination of Participant’s Continuous Service, Participant shall promptly return to Company all items containing or embodying Proprietary Information (including all copies). This paragraph supplements, but does not limit, any other agreement between Participant and the Company, or any applicable law, related to protection, ownership, or use of the Company’s information or property.</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(d) </w:t>
      </w:r>
      <w:r>
        <w:rPr>
          <w:rFonts w:ascii="Times New Roman;sans-serif" w:hAnsi="Times New Roman;sans-serif"/>
          <w:b w:val="false"/>
          <w:color w:val="000000"/>
          <w:sz w:val="22"/>
          <w:u w:val="single"/>
        </w:rPr>
        <w:t>Consideration</w:t>
      </w:r>
      <w:r>
        <w:rPr>
          <w:rFonts w:ascii="Times New Roman;sans-serif" w:hAnsi="Times New Roman;sans-serif"/>
          <w:b w:val="false"/>
          <w:color w:val="000000"/>
          <w:sz w:val="22"/>
        </w:rPr>
        <w:t>. The Option and Shares issued upon exercise are issued in consideration of services provided by Participant and/or other benefit to the corporation within the meaning of Section 152 of the General Corporation Law of the State of Delaware; Participant is not required to make any cash payment to the Company in respect of issuance of Options, but is required to pay the exercise price listed in the Notice prior to the issuance of Shares.</w:t>
      </w:r>
    </w:p>
    <w:p>
      <w:pPr>
        <w:pStyle w:val="TextBody"/>
        <w:bidi w:val="0"/>
        <w:spacing w:lineRule="auto" w:line="240" w:before="240" w:after="240"/>
        <w:ind w:left="0" w:right="0" w:firstLine="720"/>
        <w:jc w:val="both"/>
        <w:rPr/>
      </w:pPr>
      <w:r>
        <w:rPr>
          <w:rFonts w:ascii="Times New Roman;sans-serif" w:hAnsi="Times New Roman;sans-serif"/>
          <w:b/>
          <w:color w:val="000000"/>
          <w:sz w:val="22"/>
        </w:rPr>
        <w:t>10.</w:t>
      </w:r>
      <w:r>
        <w:rPr>
          <w:color w:val="000000"/>
        </w:rPr>
        <w:t>    </w:t>
      </w:r>
      <w:r>
        <w:rPr>
          <w:rFonts w:ascii="Times New Roman;sans-serif" w:hAnsi="Times New Roman;sans-serif"/>
          <w:b/>
          <w:i/>
          <w:color w:val="000000"/>
          <w:sz w:val="22"/>
        </w:rPr>
        <w:t>Data Privacy</w:t>
      </w:r>
      <w:r>
        <w:rPr>
          <w:rFonts w:ascii="Times New Roman;sans-serif" w:hAnsi="Times New Roman;sans-serif"/>
          <w:b/>
          <w:color w:val="000000"/>
          <w:sz w:val="22"/>
        </w:rPr>
        <w:t xml:space="preserve">. </w:t>
      </w:r>
      <w:r>
        <w:rPr>
          <w:rFonts w:ascii="Times New Roman;sans-serif" w:hAnsi="Times New Roman;sans-serif"/>
          <w:b/>
          <w:i/>
          <w:color w:val="000000"/>
          <w:sz w:val="22"/>
        </w:rPr>
        <w:t>If Participant would like to participate in the Plan, Participant understands Participant will need to review and acknowledge the information provided in this Section 10, which describes the processing and/or transfer of personal data as described below.</w:t>
      </w:r>
    </w:p>
    <w:p>
      <w:pPr>
        <w:pStyle w:val="TextBody"/>
        <w:bidi w:val="0"/>
        <w:spacing w:lineRule="auto" w:line="240" w:before="0" w:after="240"/>
        <w:ind w:left="0" w:right="0" w:firstLine="1440"/>
        <w:jc w:val="both"/>
        <w:rPr/>
      </w:pPr>
      <w:r>
        <w:rPr>
          <w:rFonts w:ascii="Times New Roman;sans-serif" w:hAnsi="Times New Roman;sans-serif"/>
          <w:b/>
          <w:i/>
          <w:color w:val="000000"/>
          <w:sz w:val="22"/>
        </w:rPr>
        <w:t>(a)</w:t>
      </w:r>
      <w:r>
        <w:rPr>
          <w:rFonts w:ascii="Times New Roman;sans-serif" w:hAnsi="Times New Roman;sans-serif"/>
          <w:b/>
          <w:i/>
          <w:color w:val="000000"/>
          <w:sz w:val="22"/>
          <w:u w:val="single"/>
        </w:rPr>
        <w:t>EEA+ Controller</w:t>
      </w:r>
      <w:r>
        <w:rPr>
          <w:rFonts w:ascii="Times New Roman;sans-serif" w:hAnsi="Times New Roman;sans-serif"/>
          <w:b/>
          <w:i/>
          <w:color w:val="000000"/>
          <w:sz w:val="22"/>
        </w:rPr>
        <w:t>. If Participant is based in the European Union (“EU”), the European Economic Area or the United Kingdom (collectively “EEA+”), Participant should note that the Company, with its registered address at 1250 Broadway, 15</w:t>
      </w:r>
      <w:r>
        <w:rPr>
          <w:rFonts w:ascii="Times New Roman;sans-serif" w:hAnsi="Times New Roman;sans-serif"/>
          <w:b/>
          <w:i/>
          <w:color w:val="000000"/>
          <w:sz w:val="14"/>
        </w:rPr>
        <w:t>th</w:t>
      </w:r>
      <w:r>
        <w:rPr>
          <w:color w:val="000000"/>
        </w:rPr>
        <w:t xml:space="preserve"> </w:t>
      </w:r>
      <w:r>
        <w:rPr>
          <w:rFonts w:ascii="Times New Roman;sans-serif" w:hAnsi="Times New Roman;sans-serif"/>
          <w:b/>
          <w:i/>
          <w:color w:val="000000"/>
          <w:sz w:val="22"/>
        </w:rPr>
        <w:t>Floor, New York, New York, 10001 United States of America, is the controller responsible for the processing of Participant’s personal data in connection with this Notice and the Plan.</w:t>
      </w:r>
    </w:p>
    <w:p>
      <w:pPr>
        <w:pStyle w:val="TextBody"/>
        <w:bidi w:val="0"/>
        <w:spacing w:lineRule="auto" w:line="240"/>
        <w:ind w:left="0" w:right="0" w:firstLine="1440"/>
        <w:jc w:val="both"/>
        <w:rPr/>
      </w:pPr>
      <w:r>
        <w:rPr>
          <w:rFonts w:ascii="Times New Roman;sans-serif" w:hAnsi="Times New Roman;sans-serif"/>
          <w:b/>
          <w:i/>
          <w:color w:val="000000"/>
          <w:sz w:val="22"/>
        </w:rPr>
        <w:t>(b)</w:t>
      </w:r>
      <w:r>
        <w:rPr>
          <w:rFonts w:ascii="Times New Roman;sans-serif" w:hAnsi="Times New Roman;sans-serif"/>
          <w:b/>
          <w:i/>
          <w:color w:val="000000"/>
          <w:sz w:val="22"/>
          <w:u w:val="single"/>
        </w:rPr>
        <w:t>Data Collection and Usage</w:t>
      </w:r>
      <w:r>
        <w:rPr>
          <w:rFonts w:ascii="Times New Roman;sans-serif" w:hAnsi="Times New Roman;sans-serif"/>
          <w:b/>
          <w:i/>
          <w:color w:val="000000"/>
          <w:sz w:val="22"/>
        </w:rPr>
        <w:t xml:space="preserve">. The Company collects, uses and otherwise processes certain personal data about Participant, including, but not limited to, Participant’s name, home address and telephone number, email address, date of birth, social insurance number, passport or other identification number (e.g., resident registration number), salary, nationality, job title, any shares of stock or directorships held in the Company, details of all Options granted under the Plan or any other entitlement to shares of stock or equivalent benefits awarded, canceled, exercised, vested, unvested or outstanding in Participant’s favor, which the Company receives from Participant, the </w:t>
      </w:r>
    </w:p>
    <w:p>
      <w:pPr>
        <w:pStyle w:val="TextBody"/>
        <w:bidi w:val="0"/>
        <w:spacing w:before="0" w:after="0"/>
        <w:jc w:val="center"/>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75260"/>
                <wp:effectExtent l="0" t="0" r="0" b="0"/>
                <wp:wrapNone/>
                <wp:docPr id="140" name="Frame1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2"/>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2"/>
                        </w:rPr>
                        <w:t>-6-</w:t>
                      </w:r>
                    </w:p>
                  </w:txbxContent>
                </v:textbox>
                <w10:wrap type="none"/>
              </v:rect>
            </w:pict>
          </mc:Fallback>
        </mc:AlternateContent>
      </w:r>
    </w:p>
    <w:p>
      <w:pPr>
        <w:pStyle w:val="TextBody"/>
        <w:bidi w:val="0"/>
        <w:spacing w:lineRule="auto" w:line="240" w:before="0" w:after="0"/>
        <w:jc w:val="both"/>
        <w:rPr>
          <w:rFonts w:ascii="Times New Roman;sans-serif" w:hAnsi="Times New Roman;sans-serif"/>
          <w:b/>
          <w:i/>
          <w:color w:val="000000"/>
          <w:sz w:val="22"/>
        </w:rPr>
      </w:pPr>
      <w:r>
        <w:rPr>
          <w:rFonts w:ascii="Times New Roman;sans-serif" w:hAnsi="Times New Roman;sans-serif"/>
          <w:b/>
          <w:i/>
          <w:color w:val="000000"/>
          <w:sz w:val="22"/>
        </w:rPr>
        <w:t>Subsidiary or Affiliate retaining Participant (the “Employer”) or otherwise in connection with this Notice or the Plan (“Data”), for the purposes of implementing, administering and managing the Plan and allocating Shares pursuant to the Plan.</w:t>
      </w:r>
    </w:p>
    <w:p>
      <w:pPr>
        <w:pStyle w:val="TextBody"/>
        <w:bidi w:val="0"/>
        <w:spacing w:before="0" w:after="0"/>
        <w:ind w:left="0" w:right="0" w:firstLine="1440"/>
        <w:jc w:val="both"/>
        <w:rPr/>
      </w:pPr>
      <w:r>
        <w:rPr/>
      </w:r>
    </w:p>
    <w:p>
      <w:pPr>
        <w:pStyle w:val="TextBody"/>
        <w:bidi w:val="0"/>
        <w:spacing w:lineRule="auto" w:line="240" w:before="0" w:after="240"/>
        <w:ind w:left="0" w:right="0" w:firstLine="1440"/>
        <w:jc w:val="both"/>
        <w:rPr/>
      </w:pPr>
      <w:r>
        <w:rPr>
          <w:rFonts w:ascii="Times New Roman;sans-serif" w:hAnsi="Times New Roman;sans-serif"/>
          <w:b/>
          <w:i/>
          <w:color w:val="000000"/>
          <w:sz w:val="22"/>
        </w:rPr>
        <w:t>(c)</w:t>
      </w:r>
      <w:r>
        <w:rPr>
          <w:rFonts w:ascii="Times New Roman;sans-serif" w:hAnsi="Times New Roman;sans-serif"/>
          <w:b/>
          <w:i/>
          <w:color w:val="000000"/>
          <w:sz w:val="22"/>
          <w:u w:val="single"/>
        </w:rPr>
        <w:t>Stock Plan Administration Service Providers</w:t>
      </w:r>
      <w:r>
        <w:rPr>
          <w:rFonts w:ascii="Times New Roman;sans-serif" w:hAnsi="Times New Roman;sans-serif"/>
          <w:b/>
          <w:i/>
          <w:color w:val="000000"/>
          <w:sz w:val="22"/>
        </w:rPr>
        <w:t>. Participant understands that the Company transfers Participant’s Data to ETRADE or another independent service provider, which is assisting the Company with the implementation, administration and management of the Plan. In the future, the Company may select a different service provider and share Data with such other provider serving in a similar manner. Such service provider will open an account for Participant to receive and trade Shares acquired under the Plan. Participant may be asked to agree on separate terms and data processing practices with any such service provider, with such agreement being a condition to the ability to participate in the Plan.</w:t>
      </w:r>
    </w:p>
    <w:p>
      <w:pPr>
        <w:pStyle w:val="TextBody"/>
        <w:bidi w:val="0"/>
        <w:spacing w:lineRule="auto" w:line="240" w:before="0" w:after="240"/>
        <w:ind w:left="0" w:right="0" w:firstLine="1440"/>
        <w:jc w:val="both"/>
        <w:rPr/>
      </w:pPr>
      <w:r>
        <w:rPr>
          <w:rFonts w:ascii="Times New Roman;sans-serif" w:hAnsi="Times New Roman;sans-serif"/>
          <w:b/>
          <w:i/>
          <w:color w:val="000000"/>
          <w:sz w:val="22"/>
        </w:rPr>
        <w:t>(d)</w:t>
      </w:r>
      <w:r>
        <w:rPr>
          <w:rFonts w:ascii="Times New Roman;sans-serif" w:hAnsi="Times New Roman;sans-serif"/>
          <w:b/>
          <w:i/>
          <w:color w:val="000000"/>
          <w:sz w:val="22"/>
          <w:u w:val="single"/>
        </w:rPr>
        <w:t>International Data Transfers.</w:t>
      </w:r>
      <w:r>
        <w:rPr>
          <w:color w:val="000000"/>
        </w:rPr>
        <w:t xml:space="preserve"> </w:t>
      </w:r>
      <w:r>
        <w:rPr>
          <w:rFonts w:ascii="Times New Roman;sans-serif" w:hAnsi="Times New Roman;sans-serif"/>
          <w:b/>
          <w:i/>
          <w:color w:val="000000"/>
          <w:sz w:val="22"/>
        </w:rPr>
        <w:t xml:space="preserve">Participant understands that the Company and, as of the date hereof, any third parties assisting in the implementation, administration and management of the Plan are based in the United States. If Participant is located outside the United States, Participant understands and acknowledges that Participant’s country may have enacted data privacy laws that are different from the laws of the United States. </w:t>
      </w:r>
    </w:p>
    <w:p>
      <w:pPr>
        <w:pStyle w:val="TextBody"/>
        <w:bidi w:val="0"/>
        <w:spacing w:lineRule="auto" w:line="240" w:before="0" w:after="240"/>
        <w:ind w:left="0" w:right="0" w:firstLine="1440"/>
        <w:jc w:val="both"/>
        <w:rPr/>
      </w:pPr>
      <w:r>
        <w:rPr>
          <w:rFonts w:ascii="Times New Roman;sans-serif" w:hAnsi="Times New Roman;sans-serif"/>
          <w:b/>
          <w:i/>
          <w:color w:val="000000"/>
          <w:sz w:val="22"/>
        </w:rPr>
        <w:t>(e)</w:t>
      </w:r>
      <w:r>
        <w:rPr>
          <w:rFonts w:ascii="Times New Roman;sans-serif" w:hAnsi="Times New Roman;sans-serif"/>
          <w:b/>
          <w:i/>
          <w:color w:val="000000"/>
          <w:sz w:val="22"/>
          <w:u w:val="single"/>
        </w:rPr>
        <w:t>Data Retention</w:t>
      </w:r>
      <w:r>
        <w:rPr>
          <w:rFonts w:ascii="Times New Roman;sans-serif" w:hAnsi="Times New Roman;sans-serif"/>
          <w:b/>
          <w:i/>
          <w:color w:val="000000"/>
          <w:sz w:val="22"/>
        </w:rPr>
        <w:t>. The Company will hold and use the Data only as long as is necessary to implement, administer and manage Participant’s participation in the Plan, or as required to comply with legal or regulatory obligations, including under tax and securities laws.</w:t>
      </w:r>
    </w:p>
    <w:p>
      <w:pPr>
        <w:pStyle w:val="TextBody"/>
        <w:bidi w:val="0"/>
        <w:spacing w:lineRule="auto" w:line="240" w:before="0" w:after="240"/>
        <w:ind w:left="0" w:right="0" w:firstLine="1440"/>
        <w:jc w:val="both"/>
        <w:rPr/>
      </w:pPr>
      <w:r>
        <w:rPr>
          <w:rFonts w:ascii="Times New Roman;sans-serif" w:hAnsi="Times New Roman;sans-serif"/>
          <w:b/>
          <w:i/>
          <w:color w:val="000000"/>
          <w:sz w:val="22"/>
        </w:rPr>
        <w:t>(f)</w:t>
      </w:r>
      <w:r>
        <w:rPr>
          <w:rFonts w:ascii="Times New Roman;sans-serif" w:hAnsi="Times New Roman;sans-serif"/>
          <w:b/>
          <w:i/>
          <w:color w:val="000000"/>
          <w:sz w:val="22"/>
          <w:u w:val="single"/>
        </w:rPr>
        <w:t>Necessary Disclosure of Personal Data</w:t>
      </w:r>
      <w:r>
        <w:rPr>
          <w:rFonts w:ascii="Times New Roman;sans-serif" w:hAnsi="Times New Roman;sans-serif"/>
          <w:b/>
          <w:i/>
          <w:color w:val="000000"/>
          <w:sz w:val="22"/>
        </w:rPr>
        <w:t>. Participant understands that providing the Company with Data is necessary for the performance of this Notice and that Participant’s refusal to provide Data would make it impossible for the Company to perform its contractual obligations, grant Options under the Plan to Participant or administer or maintain the Plan, and may affect Participant’s ability to participate in the Plan.</w:t>
      </w:r>
    </w:p>
    <w:p>
      <w:pPr>
        <w:pStyle w:val="TextBody"/>
        <w:bidi w:val="0"/>
        <w:spacing w:lineRule="auto" w:line="304" w:before="0" w:after="240"/>
        <w:ind w:left="0" w:right="0" w:firstLine="720"/>
        <w:jc w:val="both"/>
        <w:rPr>
          <w:rFonts w:ascii="Times New Roman;sans-serif" w:hAnsi="Times New Roman;sans-serif"/>
          <w:b/>
          <w:color w:val="000000"/>
          <w:sz w:val="22"/>
        </w:rPr>
      </w:pPr>
      <w:r>
        <w:rPr>
          <w:rFonts w:ascii="Times New Roman;sans-serif" w:hAnsi="Times New Roman;sans-serif"/>
          <w:b/>
          <w:color w:val="000000"/>
          <w:sz w:val="22"/>
        </w:rPr>
        <w:t>11.    General.</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(a) </w:t>
      </w:r>
      <w:r>
        <w:rPr>
          <w:rFonts w:ascii="Times New Roman;sans-serif" w:hAnsi="Times New Roman;sans-serif"/>
          <w:b w:val="false"/>
          <w:color w:val="000000"/>
          <w:sz w:val="22"/>
          <w:u w:val="single"/>
        </w:rPr>
        <w:t>No Waiver; Remedies</w:t>
      </w:r>
      <w:r>
        <w:rPr>
          <w:rFonts w:ascii="Times New Roman;sans-serif" w:hAnsi="Times New Roman;sans-serif"/>
          <w:b w:val="false"/>
          <w:color w:val="000000"/>
          <w:sz w:val="22"/>
        </w:rPr>
        <w:t>. Either party’s failure to enforce any provision of this Notice shall not in any way be construed as a waiver of any such provision, or prevent that party from thereafter enforcing such provision and each and every other provision of this Notice. The rights granted both parties herein are cumulative and shall not constitute a waiver of either party’s right to assert all other legal remedies available to it under the circumstances.</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(b) </w:t>
      </w:r>
      <w:r>
        <w:rPr>
          <w:rFonts w:ascii="Times New Roman;sans-serif" w:hAnsi="Times New Roman;sans-serif"/>
          <w:b w:val="false"/>
          <w:color w:val="000000"/>
          <w:sz w:val="22"/>
          <w:u w:val="single"/>
        </w:rPr>
        <w:t>Successors and Assigns</w:t>
      </w:r>
      <w:r>
        <w:rPr>
          <w:rFonts w:ascii="Times New Roman;sans-serif" w:hAnsi="Times New Roman;sans-serif"/>
          <w:b w:val="false"/>
          <w:color w:val="000000"/>
          <w:sz w:val="22"/>
        </w:rPr>
        <w:t>. The terms of this Notice shall inure to the benefit of the successors and assigns of the Company. Subject to the restrictions on transfer herein set forth, the terms of this Notice shall be binding upon Participant and Participant’s heirs, executors, administrators, successors and assigns. The rights and obligations of Participant under this Notice may only be assigned with the prior written consent of the Company.</w:t>
      </w:r>
    </w:p>
    <w:p>
      <w:pPr>
        <w:pStyle w:val="TextBody"/>
        <w:bidi w:val="0"/>
        <w:spacing w:lineRule="auto" w:line="240" w:before="0" w:after="0"/>
        <w:ind w:left="0" w:right="0" w:firstLine="1440"/>
        <w:jc w:val="both"/>
        <w:rPr/>
      </w:pPr>
      <w:r>
        <w:rPr>
          <w:rFonts w:ascii="Times New Roman;sans-serif" w:hAnsi="Times New Roman;sans-serif"/>
          <w:b w:val="false"/>
          <w:color w:val="000000"/>
          <w:sz w:val="22"/>
        </w:rPr>
        <w:t xml:space="preserve">(c) </w:t>
      </w:r>
      <w:r>
        <w:rPr>
          <w:rFonts w:ascii="Times New Roman;sans-serif" w:hAnsi="Times New Roman;sans-serif"/>
          <w:b w:val="false"/>
          <w:color w:val="000000"/>
          <w:sz w:val="22"/>
          <w:u w:val="single"/>
        </w:rPr>
        <w:t>Notices</w:t>
      </w:r>
      <w:r>
        <w:rPr>
          <w:rFonts w:ascii="Times New Roman;sans-serif" w:hAnsi="Times New Roman;sans-serif"/>
          <w:b w:val="false"/>
          <w:color w:val="000000"/>
          <w:sz w:val="22"/>
        </w:rPr>
        <w:t>. Any notice hereunder shall be in writing (which shall include electronic transmission) and shall be deemed received (i) the business day following electronic verification of receipt if sent electronically, (ii) upon personal delivery to the party to whom the notice is directed, (iii) the business day following deposit with a reputable overnight courier, or (iv) five days after deposit in the U.S. mail, First Class with postage prepaid. Notice shall be addressed to the Company at its principal executive office and to Participant at the address that he or she most recently provided to the Company. Participant agrees that it is Participant’s responsibility to notify the Company of any changes to his or her mailing address so that Participant may receive any shareholder information to be delivered by regular mail.</w:t>
      </w:r>
    </w:p>
    <w:p>
      <w:pPr>
        <w:pStyle w:val="TextBody"/>
        <w:bidi w:val="0"/>
        <w:spacing w:before="0" w:after="0"/>
        <w:ind w:left="0" w:right="0" w:firstLine="1440"/>
        <w:jc w:val="both"/>
        <w:rPr/>
      </w:pPr>
      <w:r>
        <w:rPr/>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(d) </w:t>
      </w:r>
      <w:r>
        <w:rPr>
          <w:rFonts w:ascii="Times New Roman;sans-serif" w:hAnsi="Times New Roman;sans-serif"/>
          <w:b w:val="false"/>
          <w:color w:val="000000"/>
          <w:sz w:val="22"/>
          <w:u w:val="single"/>
        </w:rPr>
        <w:t>Interpretation</w:t>
      </w:r>
      <w:r>
        <w:rPr>
          <w:rFonts w:ascii="Times New Roman;sans-serif" w:hAnsi="Times New Roman;sans-serif"/>
          <w:b w:val="false"/>
          <w:color w:val="000000"/>
          <w:sz w:val="22"/>
        </w:rPr>
        <w:t xml:space="preserve">. Headings herein are for convenience of reference only, do not constitute a part of this Notice, and will not affect the meaning or interpretation of this Notice. References herein to Sections are references to the referenced Section hereof, unless otherwise specified. The Board or its Committee will have the power to interpret the Plan and this Notice and to adopt such </w:t>
      </w:r>
    </w:p>
    <w:p>
      <w:pPr>
        <w:pStyle w:val="TextBody"/>
        <w:bidi w:val="0"/>
        <w:spacing w:before="0" w:after="0"/>
        <w:jc w:val="center"/>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75260"/>
                <wp:effectExtent l="0" t="0" r="0" b="0"/>
                <wp:wrapNone/>
                <wp:docPr id="141" name="Frame1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2"/>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2"/>
                        </w:rPr>
                        <w:t>-7-</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rules for the administration, interpretation and application of the Plan and this Notice as are consistent therewith and to interpret or revoke any such rules (including, but not limited to, the determination of the extent, if any, to which the Option has vested). All actions taken and all interpretations and determinations made by the Board or its Committee in good faith will be final and binding upon Participant, the Company and all other interested persons. Neither the Board or its Committee nor any person acting on behalf of the Board or its Committee will be personally liable for any action, determination or interpretation made in good faith with respect to the Plan or this Notice.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(e) </w:t>
      </w:r>
      <w:r>
        <w:rPr>
          <w:rFonts w:ascii="Times New Roman;sans-serif" w:hAnsi="Times New Roman;sans-serif"/>
          <w:b w:val="false"/>
          <w:color w:val="000000"/>
          <w:sz w:val="22"/>
          <w:u w:val="single"/>
        </w:rPr>
        <w:t>Modifications to Notice</w:t>
      </w:r>
      <w:r>
        <w:rPr>
          <w:rFonts w:ascii="Times New Roman;sans-serif" w:hAnsi="Times New Roman;sans-serif"/>
          <w:b w:val="false"/>
          <w:color w:val="000000"/>
          <w:sz w:val="22"/>
        </w:rPr>
        <w:t>. Modifications to this Notice can be made only in an express written contract executed by a duly authorized officer of the Company and shall not require the consent of the Participant unless such modification would materially adversely affect the rights of the Participant hereunder. Notwithstanding anything to the contrary in the Plan or this Notice, the Company reserves the right to revise this Notice as it deems necessary or advisable, in its sole discretion and without the consent of Participant, to comply with Section 409A or to otherwise avoid imposition of any additional tax or income recognition under Section 409A in connection to the Option.</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(f) </w:t>
      </w:r>
      <w:r>
        <w:rPr>
          <w:rFonts w:ascii="Times New Roman;sans-serif" w:hAnsi="Times New Roman;sans-serif"/>
          <w:b w:val="false"/>
          <w:color w:val="000000"/>
          <w:sz w:val="22"/>
          <w:u w:val="single"/>
        </w:rPr>
        <w:t>Governing Law; Severability</w:t>
      </w:r>
      <w:r>
        <w:rPr>
          <w:rFonts w:ascii="Times New Roman;sans-serif" w:hAnsi="Times New Roman;sans-serif"/>
          <w:b w:val="false"/>
          <w:color w:val="000000"/>
          <w:sz w:val="22"/>
        </w:rPr>
        <w:t xml:space="preserve">. This Notice is governed by the internal substantive laws, but not the choice of law rules, of Delaware. If any provision of this Notice becomes or is declared by a court or arbitrator having jurisdiction over a dispute hereunder to be illegal, unenforceable or void, such provision shall be amended to the extent necessary to conform to applicable law so as to be valid and enforceable and to achieve, to the extent possible, the economic, business and other purposes of such illegal, unenforceable, or void provision or, if such provision cannot be so amended without materially altering the intention of the parties, then such provision shall be deleted from this Notice and the remainder of this Notice shall continue in full force and effect.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(g) </w:t>
      </w:r>
      <w:r>
        <w:rPr>
          <w:rFonts w:ascii="Times New Roman;sans-serif" w:hAnsi="Times New Roman;sans-serif"/>
          <w:b w:val="false"/>
          <w:color w:val="000000"/>
          <w:sz w:val="22"/>
          <w:u w:val="single"/>
        </w:rPr>
        <w:t>Entire Agreement</w:t>
      </w:r>
      <w:r>
        <w:rPr>
          <w:rFonts w:ascii="Times New Roman;sans-serif" w:hAnsi="Times New Roman;sans-serif"/>
          <w:b w:val="false"/>
          <w:color w:val="000000"/>
          <w:sz w:val="22"/>
        </w:rPr>
        <w:t>. The Plan and this Notice, along with any Separate Agreement (to the extent applicable), form a contract and constitute the entire understanding between Participant and the Company with respect to the Option and the Shares issuable upon exercise of the Option and supersede in their entirety all prior undertakings and agreements of the Company and Participant with respect thereto.</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(h)    </w:t>
      </w:r>
      <w:r>
        <w:rPr>
          <w:rFonts w:ascii="Times New Roman;sans-serif" w:hAnsi="Times New Roman;sans-serif"/>
          <w:b w:val="false"/>
          <w:color w:val="000000"/>
          <w:sz w:val="22"/>
          <w:u w:val="single"/>
        </w:rPr>
        <w:t>Appendix</w:t>
      </w:r>
      <w:r>
        <w:rPr>
          <w:rFonts w:ascii="Times New Roman;sans-serif" w:hAnsi="Times New Roman;sans-serif"/>
          <w:b w:val="false"/>
          <w:color w:val="000000"/>
          <w:sz w:val="22"/>
        </w:rPr>
        <w:t>. The award of Options shall be subject to any additional terms and conditions for Non-U.S. Employees set forth in Appendix A attached hereto (“</w:t>
      </w:r>
      <w:r>
        <w:rPr>
          <w:rFonts w:ascii="Times New Roman;sans-serif" w:hAnsi="Times New Roman;sans-serif"/>
          <w:b/>
          <w:color w:val="000000"/>
          <w:sz w:val="22"/>
        </w:rPr>
        <w:t>Appendix A</w:t>
      </w:r>
      <w:r>
        <w:rPr>
          <w:color w:val="000000"/>
        </w:rPr>
        <w:t>”</w:t>
      </w:r>
      <w:r>
        <w:rPr>
          <w:rFonts w:ascii="Times New Roman;sans-serif" w:hAnsi="Times New Roman;sans-serif"/>
          <w:b w:val="false"/>
          <w:color w:val="000000"/>
          <w:sz w:val="22"/>
        </w:rPr>
        <w:t>) and any special terms and conditions for Participant’s country set forth in Appendix B attached hereto (“</w:t>
      </w:r>
      <w:r>
        <w:rPr>
          <w:rFonts w:ascii="Times New Roman;sans-serif" w:hAnsi="Times New Roman;sans-serif"/>
          <w:b/>
          <w:color w:val="000000"/>
          <w:sz w:val="22"/>
        </w:rPr>
        <w:t>Appendix B</w:t>
      </w:r>
      <w:r>
        <w:rPr>
          <w:color w:val="000000"/>
        </w:rPr>
        <w:t>”</w:t>
      </w:r>
      <w:r>
        <w:rPr>
          <w:rFonts w:ascii="Times New Roman;sans-serif" w:hAnsi="Times New Roman;sans-serif"/>
          <w:b w:val="false"/>
          <w:color w:val="000000"/>
          <w:sz w:val="22"/>
        </w:rPr>
        <w:t>). Moreover, if Participant relocates to one of the countries included in Appendix B, the special terms and conditions for such country will apply to Participant to the extent the Company determines that the application of such terms and conditions is necessary or advisable for legal or administrative reasons. Appendix A and Appendix B constitute part of the Notice.</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(i)    </w:t>
      </w:r>
      <w:r>
        <w:rPr>
          <w:rFonts w:ascii="Times New Roman;sans-serif" w:hAnsi="Times New Roman;sans-serif"/>
          <w:b w:val="false"/>
          <w:color w:val="000000"/>
          <w:sz w:val="22"/>
          <w:u w:val="single"/>
        </w:rPr>
        <w:t>Imposition of Other Requirements</w:t>
      </w:r>
      <w:r>
        <w:rPr>
          <w:rFonts w:ascii="Times New Roman;sans-serif" w:hAnsi="Times New Roman;sans-serif"/>
          <w:b w:val="false"/>
          <w:color w:val="000000"/>
          <w:sz w:val="22"/>
        </w:rPr>
        <w:t>. The Company reserves the right to impose other requirements on Participant’s participation in the Plan, on the Option and on any Shares acquired under the Plan, to the extent the Company determines it is necessary or advisable for legal or administrative reasons, and to require Participant to sign any additional agreements or undertakings that may be necessary to accomplish the foregoing.</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(j)    </w:t>
      </w:r>
      <w:r>
        <w:rPr>
          <w:rFonts w:ascii="Times New Roman;sans-serif" w:hAnsi="Times New Roman;sans-serif"/>
          <w:b w:val="false"/>
          <w:color w:val="000000"/>
          <w:sz w:val="22"/>
          <w:u w:val="single"/>
        </w:rPr>
        <w:t>Insider Trading/Market Abuse</w:t>
      </w:r>
      <w:r>
        <w:rPr>
          <w:rFonts w:ascii="Times New Roman;sans-serif" w:hAnsi="Times New Roman;sans-serif"/>
          <w:b w:val="false"/>
          <w:color w:val="000000"/>
          <w:sz w:val="22"/>
        </w:rPr>
        <w:t>. Participant acknowledges that, depending on Participant’s or Participant’s broker’s country or where the Shares are listed, Participant may be subject to insider trading restrictions and/or market abuse laws which may affect Participant’s ability to accept, acquire, sell or otherwise dispose of Shares, rights to Shares (</w:t>
      </w:r>
      <w:r>
        <w:rPr>
          <w:rFonts w:ascii="Times New Roman;sans-serif" w:hAnsi="Times New Roman;sans-serif"/>
          <w:b w:val="false"/>
          <w:i/>
          <w:color w:val="000000"/>
          <w:sz w:val="22"/>
        </w:rPr>
        <w:t>e.g</w:t>
      </w:r>
      <w:r>
        <w:rPr>
          <w:rFonts w:ascii="Times New Roman;sans-serif" w:hAnsi="Times New Roman;sans-serif"/>
          <w:b w:val="false"/>
          <w:color w:val="000000"/>
          <w:sz w:val="22"/>
        </w:rPr>
        <w:t xml:space="preserve">., Options) or rights linked to the value of shares during such times Participant is considered to have “inside information” regarding the Company (as defined in the laws or regulations in the applicable jurisdictions).  Local insider trading laws and regulations may prohibit the cancellation or amendment of orders Participant placed before Participant possessed inside information.  Furthermore, Participant could be prohibited from (i) disclosing the inside information to any third party and (ii) “tipping” third parties (including fellow employees) or causing them otherwise to buy or sell securities. Any restrictions under these laws or regulations are separate from and in addition to any restrictions that may be imposed under any applicable insider trading policy of the Company.  Participant is responsible for complying with any restrictions and should speak to their personal advisor on this matter. </w:t>
      </w:r>
    </w:p>
    <w:p>
      <w:pPr>
        <w:pStyle w:val="TextBody"/>
        <w:bidi w:val="0"/>
        <w:spacing w:before="0" w:after="0"/>
        <w:jc w:val="center"/>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75260"/>
                <wp:effectExtent l="0" t="0" r="0" b="0"/>
                <wp:wrapNone/>
                <wp:docPr id="142" name="Frame1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2"/>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2"/>
                        </w:rPr>
                        <w:t>-8-</w:t>
                      </w:r>
                    </w:p>
                  </w:txbxContent>
                </v:textbox>
                <w10:wrap type="none"/>
              </v:rect>
            </w:pict>
          </mc:Fallback>
        </mc:AlternateContent>
      </w:r>
    </w:p>
    <w:p>
      <w:pPr>
        <w:pStyle w:val="TextBody"/>
        <w:bidi w:val="0"/>
        <w:spacing w:before="0" w:after="240"/>
        <w:ind w:left="0" w:right="0" w:firstLine="1440"/>
        <w:jc w:val="both"/>
        <w:rPr/>
      </w:pPr>
      <w:r>
        <w:rPr/>
      </w:r>
    </w:p>
    <w:p>
      <w:pPr>
        <w:pStyle w:val="TextBody"/>
        <w:bidi w:val="0"/>
        <w:spacing w:before="0" w:after="240"/>
        <w:jc w:val="both"/>
        <w:rPr/>
      </w:pPr>
      <w:r>
        <w:rPr/>
      </w:r>
    </w:p>
    <w:tbl>
      <w:tblPr>
        <w:tblW w:w="2234" w:type="dxa"/>
        <w:jc w:val="left"/>
        <w:tblInd w:w="0" w:type="dxa"/>
        <w:tblLayout w:type="fixed"/>
        <w:tblCellMar>
          <w:top w:w="28" w:type="dxa"/>
          <w:left w:w="28" w:type="dxa"/>
          <w:bottom w:w="28" w:type="dxa"/>
          <w:right w:w="28" w:type="dxa"/>
        </w:tblCellMar>
      </w:tblPr>
      <w:tblGrid>
        <w:gridCol w:w="266"/>
        <w:gridCol w:w="234"/>
        <w:gridCol w:w="235"/>
        <w:gridCol w:w="438"/>
        <w:gridCol w:w="438"/>
        <w:gridCol w:w="623"/>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Dated:</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both"/>
              <w:rPr/>
            </w:pPr>
            <w:r>
              <w:rPr>
                <w:rFonts w:ascii="Times New Roman;sans-serif" w:hAnsi="Times New Roman;sans-serif"/>
                <w:b w:val="false"/>
                <w:color w:val="000000"/>
                <w:sz w:val="20"/>
              </w:rPr>
              <w:t>MAGNITE, INC.</w:t>
              <w:br/>
            </w:r>
            <w:r>
              <w:rPr>
                <w:rFonts w:ascii="Times New Roman;sans-serif" w:hAnsi="Times New Roman;sans-serif"/>
                <w:b w:val="false"/>
                <w:sz w:val="20"/>
              </w:rPr>
              <w:br/>
            </w:r>
            <w:r>
              <w:rPr>
                <w:rFonts w:ascii="Times New Roman;sans-serif" w:hAnsi="Times New Roman;sans-serif"/>
                <w:b w:val="false"/>
                <w:color w:val="000000"/>
                <w:sz w:val="20"/>
              </w:rPr>
              <w:t>By:</w:t>
              <w:br/>
            </w:r>
            <w:r>
              <w:rPr>
                <w:rFonts w:ascii="Times New Roman;sans-serif" w:hAnsi="Times New Roman;sans-serif"/>
                <w:b w:val="false"/>
                <w:sz w:val="20"/>
              </w:rPr>
              <w:br/>
              <w:br/>
            </w:r>
            <w:r>
              <w:rPr>
                <w:rFonts w:ascii="Times New Roman;sans-serif" w:hAnsi="Times New Roman;sans-serif"/>
                <w:b w:val="false"/>
                <w:color w:val="000000"/>
                <w:sz w:val="20"/>
              </w:rPr>
              <w:t>Name</w:t>
              <w:br/>
            </w:r>
            <w:r>
              <w:rPr>
                <w:rFonts w:ascii="Times New Roman;sans-serif" w:hAnsi="Times New Roman;sans-serif"/>
                <w:b w:val="false"/>
                <w:sz w:val="20"/>
              </w:rPr>
              <w:br/>
              <w:br/>
            </w:r>
            <w:r>
              <w:rPr>
                <w:rFonts w:ascii="Times New Roman;sans-serif" w:hAnsi="Times New Roman;sans-serif"/>
                <w:b w:val="false"/>
                <w:color w:val="000000"/>
                <w:sz w:val="20"/>
              </w:rPr>
              <w:t>Title</w:t>
            </w:r>
          </w:p>
        </w:tc>
      </w:tr>
    </w:tbl>
    <w:p>
      <w:pPr>
        <w:pStyle w:val="TextBody"/>
        <w:bidi w:val="0"/>
        <w:spacing w:before="0" w:after="0"/>
        <w:jc w:val="both"/>
        <w:rPr/>
      </w:pPr>
      <w:r>
        <w:rPr/>
      </w:r>
    </w:p>
    <w:p>
      <w:pPr>
        <w:pStyle w:val="TextBody"/>
        <w:bidi w:val="0"/>
        <w:spacing w:before="0" w:after="0"/>
        <w:jc w:val="center"/>
        <w:rPr/>
      </w:pPr>
      <w:r>
        <w:rPr/>
      </w:r>
    </w:p>
    <w:p>
      <w:pPr>
        <w:pStyle w:val="TextBody"/>
        <w:bidi w:val="0"/>
        <w:spacing w:before="0" w:after="283"/>
        <w:jc w:val="left"/>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75260"/>
                <wp:effectExtent l="0" t="0" r="0" b="0"/>
                <wp:wrapNone/>
                <wp:docPr id="143" name="Frame1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2"/>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2"/>
                        </w:rPr>
                        <w:t>-9-</w:t>
                      </w:r>
                    </w:p>
                  </w:txbxContent>
                </v:textbox>
                <w10:wrap type="none"/>
              </v:rect>
            </w:pict>
          </mc:Fallback>
        </mc:AlternateContent>
      </w:r>
    </w:p>
    <w:p>
      <w:pPr>
        <w:pStyle w:val="TextBody"/>
        <w:bidi w:val="0"/>
        <w:spacing w:lineRule="auto" w:line="240" w:before="0" w:after="0"/>
        <w:jc w:val="center"/>
        <w:rPr>
          <w:rFonts w:ascii="Times New Roman;sans-serif" w:hAnsi="Times New Roman;sans-serif"/>
          <w:b/>
          <w:color w:val="000000"/>
          <w:sz w:val="24"/>
          <w:u w:val="single"/>
        </w:rPr>
      </w:pPr>
      <w:r>
        <w:rPr>
          <w:rFonts w:ascii="Times New Roman;sans-serif" w:hAnsi="Times New Roman;sans-serif"/>
          <w:b/>
          <w:color w:val="000000"/>
          <w:sz w:val="24"/>
          <w:u w:val="single"/>
        </w:rPr>
        <w:t>APPENDIX A</w:t>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ADDITIONAL TERMS AND CONDITIONS OF STOCK OPTION GRANT</w:t>
        <w:br/>
        <w:t>FOR NON-U.S. EMPLOYEES</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1.</w:t>
      </w:r>
      <w:r>
        <w:rPr>
          <w:color w:val="000000"/>
        </w:rPr>
        <w:t>    </w:t>
      </w:r>
      <w:r>
        <w:rPr>
          <w:rFonts w:ascii="Times New Roman;sans-serif" w:hAnsi="Times New Roman;sans-serif"/>
          <w:b w:val="false"/>
          <w:color w:val="000000"/>
          <w:sz w:val="22"/>
          <w:u w:val="single"/>
        </w:rPr>
        <w:t>Terms of Plan Participation for Non-U.S. Participants</w:t>
      </w:r>
      <w:r>
        <w:rPr>
          <w:rFonts w:ascii="Times New Roman;sans-serif" w:hAnsi="Times New Roman;sans-serif"/>
          <w:b w:val="false"/>
          <w:color w:val="000000"/>
          <w:sz w:val="22"/>
        </w:rPr>
        <w:t xml:space="preserve">. Participant understands that this Appendix A contains additional terms and conditions that, together with the Plan and the Notice, govern Participant’s participation in the Plan if Participant is working or resident in a country other than the United States. Participant further understands that Participant’s participation in the Plan also will be subject to any terms and conditions for Participant’s country set forth in Appendix B attached hereto. </w:t>
      </w:r>
      <w:r>
        <w:rPr>
          <w:rFonts w:ascii="Times New Roman;sans-serif" w:hAnsi="Times New Roman;sans-serif"/>
          <w:b w:val="false"/>
          <w:i/>
          <w:color w:val="000000"/>
          <w:sz w:val="22"/>
        </w:rPr>
        <w:t xml:space="preserve">Capitalized terms used but not defined in this Appendix A shall have the same meanings assigned to them in the Plan and/or Notice.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2.</w:t>
      </w:r>
      <w:r>
        <w:rPr>
          <w:color w:val="000000"/>
        </w:rPr>
        <w:t>    </w:t>
      </w:r>
      <w:r>
        <w:rPr>
          <w:rFonts w:ascii="Times New Roman;sans-serif" w:hAnsi="Times New Roman;sans-serif"/>
          <w:b w:val="false"/>
          <w:color w:val="000000"/>
          <w:sz w:val="22"/>
          <w:u w:val="single"/>
        </w:rPr>
        <w:t>Tax Consequences, Withholding, and Liability</w:t>
      </w:r>
      <w:r>
        <w:rPr>
          <w:rFonts w:ascii="Times New Roman;sans-serif" w:hAnsi="Times New Roman;sans-serif"/>
          <w:b w:val="false"/>
          <w:color w:val="000000"/>
          <w:sz w:val="22"/>
        </w:rPr>
        <w:t xml:space="preserve">. The following provision supplements </w:t>
      </w:r>
      <w:r>
        <w:rPr>
          <w:rFonts w:ascii="Times New Roman;sans-serif" w:hAnsi="Times New Roman;sans-serif"/>
          <w:b w:val="false"/>
          <w:color w:val="000000"/>
          <w:sz w:val="22"/>
          <w:u w:val="single"/>
        </w:rPr>
        <w:t>Section 3</w:t>
      </w:r>
      <w:r>
        <w:rPr>
          <w:color w:val="000000"/>
        </w:rPr>
        <w:t xml:space="preserve"> </w:t>
      </w:r>
      <w:r>
        <w:rPr>
          <w:rFonts w:ascii="Times New Roman;sans-serif" w:hAnsi="Times New Roman;sans-serif"/>
          <w:b w:val="false"/>
          <w:color w:val="000000"/>
          <w:sz w:val="22"/>
        </w:rPr>
        <w:t>of the Notice:</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By accepting (through performance) the Option and by its exercise, Participant authorizes the Company and/or the Subsidiary or Affiliate employing or retaining Participant (the “</w:t>
      </w:r>
      <w:r>
        <w:rPr>
          <w:rFonts w:ascii="Times New Roman;sans-serif" w:hAnsi="Times New Roman;sans-serif"/>
          <w:b/>
          <w:color w:val="000000"/>
          <w:sz w:val="22"/>
        </w:rPr>
        <w:t>Employer</w:t>
      </w:r>
      <w:r>
        <w:rPr>
          <w:color w:val="000000"/>
        </w:rPr>
        <w:t>”</w:t>
      </w:r>
      <w:r>
        <w:rPr>
          <w:rFonts w:ascii="Times New Roman;sans-serif" w:hAnsi="Times New Roman;sans-serif"/>
          <w:b w:val="false"/>
          <w:color w:val="000000"/>
          <w:sz w:val="22"/>
        </w:rPr>
        <w:t>), or their respective agents, at the Company’s discretion, to satisfy the obligations with regard to all Tax Obligations by one or a combination of the methods set forth in Section 9(h) of the Plan. If Participant is or becomes subject to Tax Obligations in more than one jurisdiction, Participant acknowledges that the Company</w:t>
      </w:r>
      <w:r>
        <w:rPr>
          <w:color w:val="000000"/>
        </w:rPr>
        <w:t xml:space="preserve"> </w:t>
      </w:r>
      <w:r>
        <w:rPr>
          <w:rFonts w:ascii="Times New Roman;sans-serif" w:hAnsi="Times New Roman;sans-serif"/>
          <w:b w:val="false"/>
          <w:color w:val="000000"/>
          <w:sz w:val="22"/>
        </w:rPr>
        <w:t>and/or the Employer (or former employer, as applicable) may be required to withhold or account for Tax Obligations in more than one jurisdiction.</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If the Tax Obligations are satisfied by withholding in Shares, for tax purposes, Participant is deemed to have been issued the full number of Shares subject to the exercised Options, notwithstanding that a number of the Shares are held back solely for the purpose of paying the Tax Obligations.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3.</w:t>
      </w:r>
      <w:r>
        <w:rPr>
          <w:color w:val="000000"/>
        </w:rPr>
        <w:t>    </w:t>
      </w:r>
      <w:r>
        <w:rPr>
          <w:rFonts w:ascii="Times New Roman;sans-serif" w:hAnsi="Times New Roman;sans-serif"/>
          <w:b w:val="false"/>
          <w:color w:val="000000"/>
          <w:sz w:val="22"/>
          <w:u w:val="single"/>
        </w:rPr>
        <w:t>Nature of Grant</w:t>
      </w:r>
      <w:r>
        <w:rPr>
          <w:rFonts w:ascii="Times New Roman;sans-serif" w:hAnsi="Times New Roman;sans-serif"/>
          <w:b w:val="false"/>
          <w:color w:val="000000"/>
          <w:sz w:val="22"/>
        </w:rPr>
        <w:t xml:space="preserve">. By accepting (through performance) the Option and by its exercise, Participant acknowledges, understands and agrees that: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 xml:space="preserve">the grant of the Option is voluntary and occasional and does not create any contractual or other right to receive future grants of options, or benefits in lieu of options, even if options have been granted in the past;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 xml:space="preserve">all decisions with respect to future option or other grants, if any, will be at the sole discretion of the Company;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the Option and any Shares acquired under the Plan, and the income from and value of the same, are not intended to replace any pension rights or compensation;</w:t>
      </w:r>
    </w:p>
    <w:p>
      <w:pPr>
        <w:pStyle w:val="TextBody"/>
        <w:bidi w:val="0"/>
        <w:spacing w:lineRule="auto" w:line="240" w:before="0" w:after="0"/>
        <w:ind w:left="0" w:right="0" w:firstLine="1440"/>
        <w:jc w:val="left"/>
        <w:rPr/>
      </w:pPr>
      <w:r>
        <w:rPr>
          <w:rFonts w:ascii="Times New Roman;sans-serif" w:hAnsi="Times New Roman;sans-serif"/>
          <w:b w:val="false"/>
          <w:color w:val="000000"/>
          <w:sz w:val="22"/>
        </w:rPr>
        <w:t>(d)</w:t>
      </w:r>
      <w:r>
        <w:rPr>
          <w:rFonts w:ascii="Times New Roman;sans-serif" w:hAnsi="Times New Roman;sans-serif"/>
          <w:b w:val="false"/>
          <w:color w:val="000000"/>
          <w:sz w:val="22"/>
        </w:rPr>
        <w:t xml:space="preserve">the Option and any Shares acquired under the Plan, and the income from and value of the same, are not part of Participant’s normal or expected compensation for any purposes including, but not limited to, calculating any severance, resignation, termination, redundancy, dismissal, end-of-service payments, bonuses, holiday pay, long-service awards, pension or retirement benefits or payments or welfare benefits or similar payments and in no event should be considered as compensation for, or relating in any way to, past services for the Company or the Employer or any Affiliate or Subsidiary; </w:t>
      </w:r>
    </w:p>
    <w:p>
      <w:pPr>
        <w:pStyle w:val="TextBody"/>
        <w:bidi w:val="0"/>
        <w:spacing w:before="0" w:after="0"/>
        <w:jc w:val="left"/>
        <w:rPr/>
      </w:pPr>
      <w:r>
        <w:rPr/>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(e)</w:t>
      </w:r>
      <w:r>
        <w:rPr>
          <w:rFonts w:ascii="Times New Roman;sans-serif" w:hAnsi="Times New Roman;sans-serif"/>
          <w:b w:val="false"/>
          <w:color w:val="000000"/>
          <w:sz w:val="22"/>
        </w:rPr>
        <w:t xml:space="preserve">the future value of the Shares underlying the Option is unknown, indeterminable, and cannot be predicted with certainty;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(f)</w:t>
      </w:r>
      <w:r>
        <w:rPr>
          <w:rFonts w:ascii="Times New Roman;sans-serif" w:hAnsi="Times New Roman;sans-serif"/>
          <w:b w:val="false"/>
          <w:color w:val="000000"/>
          <w:sz w:val="22"/>
        </w:rPr>
        <w:t xml:space="preserve">if the underlying Shares do not increase in value, the Option will have no value; </w:t>
      </w:r>
    </w:p>
    <w:p>
      <w:pPr>
        <w:pStyle w:val="TextBody"/>
        <w:bidi w:val="0"/>
        <w:spacing w:before="0" w:after="0"/>
        <w:jc w:val="center"/>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75260"/>
                <wp:effectExtent l="0" t="0" r="0" b="0"/>
                <wp:wrapNone/>
                <wp:docPr id="144" name="Frame1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2"/>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2"/>
                        </w:rPr>
                        <w:t>-10-</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(g)</w:t>
      </w:r>
      <w:r>
        <w:rPr>
          <w:rFonts w:ascii="Times New Roman;sans-serif" w:hAnsi="Times New Roman;sans-serif"/>
          <w:b w:val="false"/>
          <w:color w:val="000000"/>
          <w:sz w:val="22"/>
        </w:rPr>
        <w:t>if Participant exercises the Option and acquires Shares, the value of such Shares may increase or decrease in value, even below the exercise price;</w:t>
      </w:r>
    </w:p>
    <w:p>
      <w:pPr>
        <w:pStyle w:val="TextBody"/>
        <w:bidi w:val="0"/>
        <w:spacing w:lineRule="auto" w:line="240" w:before="0" w:after="0"/>
        <w:ind w:left="0" w:right="0" w:firstLine="1440"/>
        <w:jc w:val="both"/>
        <w:rPr/>
      </w:pPr>
      <w:r>
        <w:rPr>
          <w:rFonts w:ascii="Times New Roman;sans-serif" w:hAnsi="Times New Roman;sans-serif"/>
          <w:b w:val="false"/>
          <w:color w:val="000000"/>
          <w:sz w:val="22"/>
        </w:rPr>
        <w:t>(h)</w:t>
      </w:r>
      <w:r>
        <w:rPr>
          <w:rFonts w:ascii="Times New Roman;sans-serif" w:hAnsi="Times New Roman;sans-serif"/>
          <w:b w:val="false"/>
          <w:color w:val="000000"/>
          <w:sz w:val="22"/>
        </w:rPr>
        <w:t>for purposes of the Option, Participant’s Continuous Service will be considered terminated as of the date Participant is no longer actively providing services to the Company or the Employer (regardless of the reason for such termination and whether or not later found to be invalid or in breach of employment laws in the jurisdiction where Participant is employed or providing services, or the terms of Participant’s employment or service agreement, if any), and unless otherwise expressly provided in this Notice or determined by the Company, (i) Participant’s right to vest in the Option under the Plan, if any, will terminate as of such date and will not be extended by any notice period (</w:t>
      </w:r>
      <w:r>
        <w:rPr>
          <w:rFonts w:ascii="Times New Roman;sans-serif" w:hAnsi="Times New Roman;sans-serif"/>
          <w:b w:val="false"/>
          <w:i/>
          <w:color w:val="000000"/>
          <w:sz w:val="22"/>
        </w:rPr>
        <w:t>e.g</w:t>
      </w:r>
      <w:r>
        <w:rPr>
          <w:rFonts w:ascii="Times New Roman;sans-serif" w:hAnsi="Times New Roman;sans-serif"/>
          <w:b w:val="false"/>
          <w:color w:val="000000"/>
          <w:sz w:val="22"/>
        </w:rPr>
        <w:t>., Participant’s period of service would not include any contractual notice period or any period of “garden leave” or similar period mandated under employment laws in the jurisdiction where Participant is employed or the terms of Participant’s employment agreement, if any); and (ii) the period (if any) during which Participant may exercise the Option after such termination of Continuous Service will commence on such date and will not be extended by any notice period mandated under employment laws in the jurisdiction where Participant is employed or providing services, or the terms of Participant’s employment or service agreement, if any; the Board or Committee shall have the exclusive discretion to determine when Participant is no longer actively providing services for purposes of the Option (including whether Participant may still be considered to be providing services while on a leave of absence);</w:t>
      </w:r>
    </w:p>
    <w:p>
      <w:pPr>
        <w:pStyle w:val="TextBody"/>
        <w:bidi w:val="0"/>
        <w:spacing w:before="0" w:after="0"/>
        <w:jc w:val="both"/>
        <w:rPr/>
      </w:pPr>
      <w:r>
        <w:rPr/>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(i)</w:t>
      </w:r>
      <w:r>
        <w:rPr>
          <w:rFonts w:ascii="Times New Roman;sans-serif" w:hAnsi="Times New Roman;sans-serif"/>
          <w:b w:val="false"/>
          <w:color w:val="000000"/>
          <w:sz w:val="22"/>
        </w:rPr>
        <w:t xml:space="preserve">no claim or entitlement to compensation or damages shall arise from forfeiture of the Option resulting from the termination of Participant’s Continuous Service (for any reason whatsoever, whether or not later found to be invalid or in breach of employment laws in the jurisdiction where Participant is employed or providing services, or the terms of Participant’s employment or service agreement, if any);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(j)</w:t>
      </w:r>
      <w:r>
        <w:rPr>
          <w:rFonts w:ascii="Times New Roman;sans-serif" w:hAnsi="Times New Roman;sans-serif"/>
          <w:b w:val="false"/>
          <w:color w:val="000000"/>
          <w:sz w:val="22"/>
        </w:rPr>
        <w:t xml:space="preserve">unless otherwise provided in the Plan or by the Company in its discretion, the Option and the benefits evidenced by the Notice do not create any entitlement to have the Option or any such benefits transferred to, or assumed by, another company nor to be exchanged, cashed out or substituted for, in connection with any corporate transaction affecting the Shares; and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(k)</w:t>
      </w:r>
      <w:r>
        <w:rPr>
          <w:rFonts w:ascii="Times New Roman;sans-serif" w:hAnsi="Times New Roman;sans-serif"/>
          <w:b w:val="false"/>
          <w:color w:val="000000"/>
          <w:sz w:val="22"/>
        </w:rPr>
        <w:t>unless otherwise agreed with the Company in writing, the Options granted under the Plan and the Shares underlying the Options, and the income from and value of same, are not granted as consideration for, or in connection with, the service Participant may provide as a director of an Affiliate or Subsidiary; and</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(l)</w:t>
      </w:r>
      <w:r>
        <w:rPr>
          <w:rFonts w:ascii="Times New Roman;sans-serif" w:hAnsi="Times New Roman;sans-serif"/>
          <w:b w:val="false"/>
          <w:color w:val="000000"/>
          <w:sz w:val="22"/>
        </w:rPr>
        <w:t>neither the Company, the Employer nor any Affiliate or Subsidiary shall be liable for any foreign exchange rate fluctuation between Participant’s local currency and the U.S. dollar that may affect the value of the Option or of any amounts due to Participant pursuant to the exercise of the Option or the subsequent sale of any Shares acquired upon exercise.</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4.    </w:t>
      </w:r>
      <w:r>
        <w:rPr>
          <w:rFonts w:ascii="Times New Roman;sans-serif" w:hAnsi="Times New Roman;sans-serif"/>
          <w:b w:val="false"/>
          <w:color w:val="000000"/>
          <w:sz w:val="22"/>
          <w:u w:val="single"/>
        </w:rPr>
        <w:t>Venue</w:t>
      </w:r>
      <w:r>
        <w:rPr>
          <w:rFonts w:ascii="Times New Roman;sans-serif" w:hAnsi="Times New Roman;sans-serif"/>
          <w:b w:val="false"/>
          <w:color w:val="000000"/>
          <w:sz w:val="22"/>
        </w:rPr>
        <w:t xml:space="preserve">. For purposes of litigating any dispute that arises under the Notice, the parties hereby submit to and consent to the jurisdiction of the State of California, and agree that such litigation will be conducted in the courts of Los Angeles County, California, or the federal courts for the United States for the Central District of California, and no other courts, where this award of Options is made and/or to be performed.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5.    </w:t>
      </w:r>
      <w:r>
        <w:rPr>
          <w:rFonts w:ascii="Times New Roman;sans-serif" w:hAnsi="Times New Roman;sans-serif"/>
          <w:b w:val="false"/>
          <w:color w:val="000000"/>
          <w:sz w:val="22"/>
          <w:u w:val="single"/>
        </w:rPr>
        <w:t>Insider Trading</w:t>
      </w:r>
      <w:r>
        <w:rPr>
          <w:rFonts w:ascii="Times New Roman;sans-serif" w:hAnsi="Times New Roman;sans-serif"/>
          <w:b w:val="false"/>
          <w:color w:val="000000"/>
          <w:sz w:val="22"/>
        </w:rPr>
        <w:t>. By participating in the Plan, Participant agrees to comply with the Company’s policy on insider trading (to the extent that it is applicable to Participant). Further, Participant acknowledges that Participant’s country of residence may also have laws or regulations governing insider trading and that such law or regulations may impose additional restrictions on Participant’s ability to participate in the Plan (</w:t>
      </w:r>
      <w:r>
        <w:rPr>
          <w:rFonts w:ascii="Times New Roman;sans-serif" w:hAnsi="Times New Roman;sans-serif"/>
          <w:b w:val="false"/>
          <w:i/>
          <w:color w:val="000000"/>
          <w:sz w:val="22"/>
        </w:rPr>
        <w:t>e.g.,</w:t>
      </w:r>
      <w:r>
        <w:rPr>
          <w:color w:val="000000"/>
        </w:rPr>
        <w:t xml:space="preserve"> </w:t>
      </w:r>
      <w:r>
        <w:rPr>
          <w:rFonts w:ascii="Times New Roman;sans-serif" w:hAnsi="Times New Roman;sans-serif"/>
          <w:b w:val="false"/>
          <w:color w:val="000000"/>
          <w:sz w:val="22"/>
        </w:rPr>
        <w:t xml:space="preserve">acquiring or selling Shares) and that Participant is solely responsible for complying with such laws or regulations.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6.    </w:t>
      </w:r>
      <w:r>
        <w:rPr>
          <w:rFonts w:ascii="Times New Roman;sans-serif" w:hAnsi="Times New Roman;sans-serif"/>
          <w:b w:val="false"/>
          <w:color w:val="000000"/>
          <w:sz w:val="22"/>
          <w:u w:val="single"/>
        </w:rPr>
        <w:t>Language</w:t>
      </w:r>
      <w:r>
        <w:rPr>
          <w:rFonts w:ascii="Times New Roman;sans-serif" w:hAnsi="Times New Roman;sans-serif"/>
          <w:b w:val="false"/>
          <w:color w:val="000000"/>
          <w:sz w:val="22"/>
        </w:rPr>
        <w:t xml:space="preserve">. Participant acknowledges that he or she is proficient in the English language, or has consulted with an advisor who is sufficiently proficient in English, so as to allow Participant to understand the terms and conditions of the Plan and the Notice, including this Appendix A and Appendix </w:t>
      </w:r>
    </w:p>
    <w:p>
      <w:pPr>
        <w:pStyle w:val="TextBody"/>
        <w:bidi w:val="0"/>
        <w:spacing w:before="0" w:after="0"/>
        <w:jc w:val="center"/>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75260"/>
                <wp:effectExtent l="0" t="0" r="0" b="0"/>
                <wp:wrapNone/>
                <wp:docPr id="145" name="Frame1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2"/>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2"/>
                        </w:rPr>
                        <w:t>-11-</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B. If the Notice or any other document related to the Plan has been translated into a language other than English and the meaning of the translated version is different than the English version, the English version will control.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7.    </w:t>
      </w:r>
      <w:r>
        <w:rPr>
          <w:rFonts w:ascii="Times New Roman;sans-serif" w:hAnsi="Times New Roman;sans-serif"/>
          <w:b w:val="false"/>
          <w:color w:val="000000"/>
          <w:sz w:val="22"/>
          <w:u w:val="single"/>
        </w:rPr>
        <w:t>Foreign Asset / Account Reporting Requirements, Exchange Controls and Tax Requirements</w:t>
      </w:r>
      <w:r>
        <w:rPr>
          <w:rFonts w:ascii="Times New Roman;sans-serif" w:hAnsi="Times New Roman;sans-serif"/>
          <w:b w:val="false"/>
          <w:color w:val="000000"/>
          <w:sz w:val="22"/>
        </w:rPr>
        <w:t>. Participant acknowledges that Participant’s country may have certain foreign asset and/or account reporting requirements and exchange controls which may affect Participant’s ability to acquire or hold Shares under the Plan or cash received from participating in the Plan (including from any dividends received or sale proceeds arising from the sale of Shares) in a brokerage, legal entity or bank account outside Participant’s country. Participant understands that Participant may be required to report such accounts, assets and balances or transactions to the tax or other authorities in Participant’s country. Participant also may be required to repatriate sale proceeds or other funds received as a result of Participant’s participation in the Plan to their country through a designated bank or broker and/or within a certain time after receipt. In addition, Participant may be subject to tax payment and/or reporting obligations in connection with any income realized under the Plan and/or from the sale of Shares. Participant acknowledges that it is their responsibility to be compliant with all such requirements, and that Participant should consult their personal legal and tax advisors, as applicable, to ensure compliance with applicable regulations.</w:t>
      </w:r>
    </w:p>
    <w:p>
      <w:pPr>
        <w:pStyle w:val="TextBody"/>
        <w:bidi w:val="0"/>
        <w:spacing w:before="0" w:after="240"/>
        <w:ind w:left="0" w:right="0" w:firstLine="720"/>
        <w:jc w:val="both"/>
        <w:rPr/>
      </w:pPr>
      <w:r>
        <w:rPr/>
      </w:r>
    </w:p>
    <w:p>
      <w:pPr>
        <w:pStyle w:val="TextBody"/>
        <w:bidi w:val="0"/>
        <w:spacing w:before="0" w:after="283"/>
        <w:jc w:val="left"/>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75260"/>
                <wp:effectExtent l="0" t="0" r="0" b="0"/>
                <wp:wrapNone/>
                <wp:docPr id="146" name="Frame1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2"/>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2"/>
                        </w:rPr>
                        <w:t>-12-</w:t>
                      </w:r>
                    </w:p>
                  </w:txbxContent>
                </v:textbox>
                <w10:wrap type="none"/>
              </v:rect>
            </w:pict>
          </mc:Fallback>
        </mc:AlternateContent>
      </w:r>
    </w:p>
    <w:p>
      <w:pPr>
        <w:pStyle w:val="TextBody"/>
        <w:bidi w:val="0"/>
        <w:spacing w:lineRule="auto" w:line="240" w:before="0" w:after="0"/>
        <w:jc w:val="center"/>
        <w:rPr>
          <w:rFonts w:ascii="Times New Roman;sans-serif" w:hAnsi="Times New Roman;sans-serif"/>
          <w:b/>
          <w:color w:val="000000"/>
          <w:sz w:val="22"/>
          <w:u w:val="single"/>
        </w:rPr>
      </w:pPr>
      <w:r>
        <w:rPr>
          <w:rFonts w:ascii="Times New Roman;sans-serif" w:hAnsi="Times New Roman;sans-serif"/>
          <w:b/>
          <w:color w:val="000000"/>
          <w:sz w:val="22"/>
          <w:u w:val="single"/>
        </w:rPr>
        <w:t>APPENDIX B</w:t>
      </w:r>
    </w:p>
    <w:p>
      <w:pPr>
        <w:pStyle w:val="TextBody"/>
        <w:bidi w:val="0"/>
        <w:spacing w:before="0" w:after="0"/>
        <w:jc w:val="center"/>
        <w:rPr/>
      </w:pPr>
      <w:r>
        <w:rPr/>
      </w:r>
    </w:p>
    <w:p>
      <w:pPr>
        <w:pStyle w:val="TextBody"/>
        <w:bidi w:val="0"/>
        <w:spacing w:lineRule="auto" w:line="240" w:before="0" w:after="0"/>
        <w:ind w:left="0" w:right="0" w:firstLine="720"/>
        <w:jc w:val="center"/>
        <w:rPr>
          <w:rFonts w:ascii="Times New Roman;sans-serif" w:hAnsi="Times New Roman;sans-serif"/>
          <w:b/>
          <w:color w:val="000000"/>
          <w:sz w:val="22"/>
        </w:rPr>
      </w:pPr>
      <w:r>
        <w:rPr>
          <w:rFonts w:ascii="Times New Roman;sans-serif" w:hAnsi="Times New Roman;sans-serif"/>
          <w:b/>
          <w:color w:val="000000"/>
          <w:sz w:val="22"/>
        </w:rPr>
        <w:t>COUNTRY-SPECIFIC PROVISIONS FOR NON-U.S. EMPLOYEES</w:t>
      </w:r>
    </w:p>
    <w:p>
      <w:pPr>
        <w:pStyle w:val="TextBody"/>
        <w:bidi w:val="0"/>
        <w:spacing w:before="0" w:after="0"/>
        <w:ind w:left="0" w:right="0" w:firstLine="720"/>
        <w:jc w:val="center"/>
        <w:rPr/>
      </w:pPr>
      <w:r>
        <w:rPr/>
      </w:r>
    </w:p>
    <w:p>
      <w:pPr>
        <w:pStyle w:val="TextBody"/>
        <w:bidi w:val="0"/>
        <w:spacing w:lineRule="auto" w:line="240" w:before="0" w:after="0"/>
        <w:jc w:val="left"/>
        <w:rPr>
          <w:rFonts w:ascii="Times New Roman;sans-serif" w:hAnsi="Times New Roman;sans-serif"/>
          <w:b/>
          <w:i/>
          <w:color w:val="000000"/>
          <w:sz w:val="22"/>
        </w:rPr>
      </w:pPr>
      <w:r>
        <w:rPr>
          <w:rFonts w:ascii="Times New Roman;sans-serif" w:hAnsi="Times New Roman;sans-serif"/>
          <w:b/>
          <w:i/>
          <w:color w:val="000000"/>
          <w:sz w:val="22"/>
        </w:rPr>
        <w:t xml:space="preserve">Terms and Conditions </w:t>
      </w:r>
    </w:p>
    <w:p>
      <w:pPr>
        <w:pStyle w:val="TextBody"/>
        <w:bidi w:val="0"/>
        <w:spacing w:before="0" w:after="0"/>
        <w:jc w:val="left"/>
        <w:rPr/>
      </w:pPr>
      <w:r>
        <w:rPr/>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This Appendix B includes additional terms and conditions that govern the Options granted to Participant under the Plan if Participant works or resides in one of the countries listed below. If Participant is a citizen or resident of a country other than the one in which Participant currently is working (or if Participant is considered as such for local law purposes), or if Participant transfers employment or residence to another country after Options have been granted to Participant under the Plan, the Company, in its discretion, will determine the extent to which the terms and conditions herein will be applicable to Participant.</w:t>
      </w:r>
    </w:p>
    <w:p>
      <w:pPr>
        <w:pStyle w:val="TextBody"/>
        <w:bidi w:val="0"/>
        <w:spacing w:lineRule="auto" w:line="240" w:before="0" w:after="240"/>
        <w:jc w:val="both"/>
        <w:rPr>
          <w:rFonts w:ascii="Times New Roman;sans-serif" w:hAnsi="Times New Roman;sans-serif"/>
          <w:b w:val="false"/>
          <w:i/>
          <w:color w:val="000000"/>
          <w:sz w:val="22"/>
        </w:rPr>
      </w:pPr>
      <w:r>
        <w:rPr>
          <w:rFonts w:ascii="Times New Roman;sans-serif" w:hAnsi="Times New Roman;sans-serif"/>
          <w:b w:val="false"/>
          <w:i/>
          <w:color w:val="000000"/>
          <w:sz w:val="22"/>
        </w:rPr>
        <w:t xml:space="preserve">Capitalized terms used but not otherwise defined herein shall have the meaning given to such terms in the Plan, the Notice or Appendix A. </w:t>
      </w:r>
    </w:p>
    <w:p>
      <w:pPr>
        <w:pStyle w:val="TextBody"/>
        <w:bidi w:val="0"/>
        <w:spacing w:lineRule="auto" w:line="240" w:before="0" w:after="240"/>
        <w:jc w:val="both"/>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This Appendix B also includes information regarding securities laws, exchange controls and certain other issues of which Participant should be aware with respect to his or her participation in the Plan. The information is based on the securities, exchange control and other laws in effect in the respective countries as of July 2021. Such laws are often complex and change frequently. As a result, the Company recommends that Participant not rely on the information in this Appendix B as the only source of information relating to the consequences of his or her participation in the Plan because the information included herein may be out of date at the time that Participant acquires Shares under the Plan or subsequently sells such Shares. </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In addition, the information contained herein is general in nature and may not apply to Participant’s particular situation and the Company is not in a position to assure Participant of any particular result. Accordingly, Participant is advised to seek appropriate professional advice as to how the relevant laws in Participant’s country may apply to his or her individual situation. </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Finally, if Participant is a citizen or resident of a country other than the one in which Participant currently is working or residing (or if Participant is considered as such for local law purposes), or if Participant transfers employment or residence to another country after Options have been granted to Participant under the Plan, the information contained herein may not be applicable to Participant in the same manner. </w:t>
      </w:r>
    </w:p>
    <w:p>
      <w:pPr>
        <w:pStyle w:val="TextBody"/>
        <w:bidi w:val="0"/>
        <w:spacing w:lineRule="auto" w:line="240"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AUSTRALIA</w:t>
      </w:r>
    </w:p>
    <w:p>
      <w:pPr>
        <w:pStyle w:val="TextBody"/>
        <w:bidi w:val="0"/>
        <w:spacing w:lineRule="auto" w:line="240"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40" w:before="0" w:after="240"/>
        <w:jc w:val="both"/>
        <w:rPr/>
      </w:pPr>
      <w:r>
        <w:rPr>
          <w:rFonts w:ascii="Times New Roman;sans-serif" w:hAnsi="Times New Roman;sans-serif"/>
          <w:b/>
          <w:color w:val="000000"/>
          <w:sz w:val="22"/>
        </w:rPr>
        <w:t>Securities Law Information</w:t>
      </w:r>
      <w:r>
        <w:rPr>
          <w:rFonts w:ascii="Times New Roman;sans-serif" w:hAnsi="Times New Roman;sans-serif"/>
          <w:b w:val="false"/>
          <w:color w:val="000000"/>
          <w:sz w:val="22"/>
        </w:rPr>
        <w:t>. If Shares are acquired under the Plan and subsequently offered for sale to a person or entity resident in Australia, such offer may be subject to disclosure requirements under Australian law. Participants should obtain legal advice regarding any applicable disclosure requirements prior to making any such offer.</w:t>
      </w:r>
    </w:p>
    <w:p>
      <w:pPr>
        <w:pStyle w:val="TextBody"/>
        <w:bidi w:val="0"/>
        <w:spacing w:lineRule="auto" w:line="240" w:before="0" w:after="240"/>
        <w:jc w:val="both"/>
        <w:rPr/>
      </w:pPr>
      <w:r>
        <w:rPr>
          <w:rFonts w:ascii="Times New Roman;sans-serif" w:hAnsi="Times New Roman;sans-serif"/>
          <w:b/>
          <w:color w:val="000000"/>
          <w:sz w:val="22"/>
        </w:rPr>
        <w:t>Tax Information</w:t>
      </w:r>
      <w:r>
        <w:rPr>
          <w:rFonts w:ascii="Times New Roman;sans-serif" w:hAnsi="Times New Roman;sans-serif"/>
          <w:b w:val="false"/>
          <w:color w:val="000000"/>
          <w:sz w:val="22"/>
        </w:rPr>
        <w:t>. The Plan is a plan to which Subdivision 83A-C of the Income Tax Assessment Act 1997 (Cth) (the “</w:t>
      </w:r>
      <w:r>
        <w:rPr>
          <w:rFonts w:ascii="Times New Roman;sans-serif" w:hAnsi="Times New Roman;sans-serif"/>
          <w:b/>
          <w:color w:val="000000"/>
          <w:sz w:val="22"/>
        </w:rPr>
        <w:t>Act</w:t>
      </w:r>
      <w:r>
        <w:rPr>
          <w:color w:val="000000"/>
        </w:rPr>
        <w:t>”</w:t>
      </w:r>
      <w:r>
        <w:rPr>
          <w:rFonts w:ascii="Times New Roman;sans-serif" w:hAnsi="Times New Roman;sans-serif"/>
          <w:b w:val="false"/>
          <w:color w:val="000000"/>
          <w:sz w:val="22"/>
        </w:rPr>
        <w:t>) applies (subject to the conditions in that Act).</w:t>
      </w:r>
    </w:p>
    <w:p>
      <w:pPr>
        <w:pStyle w:val="TextBody"/>
        <w:bidi w:val="0"/>
        <w:spacing w:before="0" w:after="0"/>
        <w:jc w:val="center"/>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75260"/>
                <wp:effectExtent l="0" t="0" r="0" b="0"/>
                <wp:wrapNone/>
                <wp:docPr id="147" name="Frame1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2"/>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2"/>
                        </w:rPr>
                        <w:t>-13-</w:t>
                      </w:r>
                    </w:p>
                  </w:txbxContent>
                </v:textbox>
                <w10:wrap type="none"/>
              </v:rect>
            </w:pict>
          </mc:Fallback>
        </mc:AlternateContent>
      </w:r>
    </w:p>
    <w:p>
      <w:pPr>
        <w:pStyle w:val="TextBody"/>
        <w:bidi w:val="0"/>
        <w:spacing w:lineRule="auto" w:line="240"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BRAZIL</w:t>
      </w:r>
    </w:p>
    <w:p>
      <w:pPr>
        <w:pStyle w:val="TextBody"/>
        <w:bidi w:val="0"/>
        <w:spacing w:lineRule="auto" w:line="240" w:before="0" w:after="240"/>
        <w:jc w:val="left"/>
        <w:rPr>
          <w:rFonts w:ascii="Times New Roman;sans-serif" w:hAnsi="Times New Roman;sans-serif"/>
          <w:b/>
          <w:i/>
          <w:color w:val="000000"/>
          <w:sz w:val="22"/>
        </w:rPr>
      </w:pPr>
      <w:r>
        <w:rPr>
          <w:rFonts w:ascii="Times New Roman;sans-serif" w:hAnsi="Times New Roman;sans-serif"/>
          <w:b/>
          <w:i/>
          <w:color w:val="000000"/>
          <w:sz w:val="22"/>
        </w:rPr>
        <w:t xml:space="preserve">Terms and Conditions </w:t>
      </w:r>
    </w:p>
    <w:p>
      <w:pPr>
        <w:pStyle w:val="TextBody"/>
        <w:bidi w:val="0"/>
        <w:spacing w:lineRule="auto" w:line="240" w:before="0" w:after="240"/>
        <w:jc w:val="both"/>
        <w:rPr/>
      </w:pPr>
      <w:r>
        <w:rPr>
          <w:rFonts w:ascii="Times New Roman;sans-serif" w:hAnsi="Times New Roman;sans-serif"/>
          <w:b/>
          <w:color w:val="000000"/>
          <w:sz w:val="22"/>
        </w:rPr>
        <w:t>Compliance with Law</w:t>
      </w:r>
      <w:r>
        <w:rPr>
          <w:rFonts w:ascii="Times New Roman;sans-serif" w:hAnsi="Times New Roman;sans-serif"/>
          <w:b w:val="false"/>
          <w:color w:val="000000"/>
          <w:sz w:val="22"/>
        </w:rPr>
        <w:t>. By participating in the Plan, Participant agrees to comply with all applicable Brazilian laws and to pay any and all applicable taxes associated with the acquisition and sale of Shares acquired under the Plan, or the receipt of any dividends in the future.</w:t>
      </w:r>
    </w:p>
    <w:p>
      <w:pPr>
        <w:pStyle w:val="TextBody"/>
        <w:bidi w:val="0"/>
        <w:spacing w:lineRule="auto" w:line="240"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40" w:before="0" w:after="240"/>
        <w:jc w:val="both"/>
        <w:rPr/>
      </w:pPr>
      <w:r>
        <w:rPr>
          <w:rFonts w:ascii="Times New Roman;sans-serif" w:hAnsi="Times New Roman;sans-serif"/>
          <w:b/>
          <w:color w:val="000000"/>
          <w:sz w:val="22"/>
        </w:rPr>
        <w:t>Exchange Control Information</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color w:val="000000"/>
          <w:sz w:val="22"/>
        </w:rPr>
        <w:t>Participants who are residents or domiciled in Brazil must submit a declaration of assets and rights held outside of Brazil, including Shares acquired under the Plan, to the Central Bank if the aggregate value of such assets and rights is at least US$1,000,000. Participants should consult their personal legal advisors for further details regarding this requirement.</w:t>
      </w:r>
    </w:p>
    <w:p>
      <w:pPr>
        <w:pStyle w:val="TextBody"/>
        <w:bidi w:val="0"/>
        <w:spacing w:lineRule="auto" w:line="240"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CANADA</w:t>
      </w:r>
    </w:p>
    <w:p>
      <w:pPr>
        <w:pStyle w:val="TextBody"/>
        <w:bidi w:val="0"/>
        <w:spacing w:lineRule="auto" w:line="240" w:before="0" w:after="240"/>
        <w:jc w:val="both"/>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40" w:before="0" w:after="240"/>
        <w:jc w:val="both"/>
        <w:rPr/>
      </w:pPr>
      <w:r>
        <w:rPr>
          <w:rFonts w:ascii="Times New Roman;sans-serif" w:hAnsi="Times New Roman;sans-serif"/>
          <w:b/>
          <w:color w:val="000000"/>
          <w:sz w:val="22"/>
        </w:rPr>
        <w:t>Labor Law Acknowledgement</w:t>
      </w:r>
      <w:r>
        <w:rPr>
          <w:rFonts w:ascii="Times New Roman;sans-serif" w:hAnsi="Times New Roman;sans-serif"/>
          <w:b w:val="false"/>
          <w:color w:val="000000"/>
          <w:sz w:val="22"/>
        </w:rPr>
        <w:t xml:space="preserve">. This provision replaces </w:t>
      </w:r>
      <w:r>
        <w:rPr>
          <w:rFonts w:ascii="Times New Roman;sans-serif" w:hAnsi="Times New Roman;sans-serif"/>
          <w:b w:val="false"/>
          <w:color w:val="000000"/>
          <w:sz w:val="22"/>
          <w:u w:val="single"/>
        </w:rPr>
        <w:t>Section 3(h)</w:t>
      </w:r>
      <w:r>
        <w:rPr>
          <w:color w:val="000000"/>
        </w:rPr>
        <w:t xml:space="preserve"> </w:t>
      </w:r>
      <w:r>
        <w:rPr>
          <w:rFonts w:ascii="Times New Roman;sans-serif" w:hAnsi="Times New Roman;sans-serif"/>
          <w:b w:val="false"/>
          <w:color w:val="000000"/>
          <w:sz w:val="22"/>
        </w:rPr>
        <w:t xml:space="preserve">of Appendix A and supplements </w:t>
      </w:r>
      <w:r>
        <w:rPr>
          <w:rFonts w:ascii="Times New Roman;sans-serif" w:hAnsi="Times New Roman;sans-serif"/>
          <w:b w:val="false"/>
          <w:color w:val="000000"/>
          <w:sz w:val="22"/>
          <w:u w:val="single"/>
        </w:rPr>
        <w:t>Section 2</w:t>
      </w:r>
      <w:r>
        <w:rPr>
          <w:color w:val="000000"/>
        </w:rPr>
        <w:t xml:space="preserve"> </w:t>
      </w:r>
      <w:r>
        <w:rPr>
          <w:rFonts w:ascii="Times New Roman;sans-serif" w:hAnsi="Times New Roman;sans-serif"/>
          <w:b w:val="false"/>
          <w:color w:val="000000"/>
          <w:sz w:val="22"/>
        </w:rPr>
        <w:t>of the Notice:</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for purposes of the Option, Participant’s Continuous Service will be considered terminated as of the earlier of: (i) the date on which Participant’s employment with the Company and/or the Employer is terminated; (ii) the date on which Participant receives a written notice of termination of Continuous Service regardless of any notice period or period of pay in lieu of such notice required under any employment laws in Participant’s country (including, without limitation, statutory law, regulatory law, and/or common law), even if such law is otherwise applicable to Participant’s benefits from the Company and/or the Employer; or (iii) the date on which Participant is no longer actively providing services to the Company and/or the Employer (regardless of the reason for such termination and regardless of whether it is later found to be invalid, unlawful or in breach of employment laws in the jurisdiction where Participant is employed or the terms of Participant’s employment agreement, if any), and unless otherwise expressly provided in this Notice or determined by the Company, (i) Participant’s right to vest in the Option under the Plan, if any, will terminate as of such date; and (ii) the period (if any) during which Participant may exercise the Option after such termination of Continuous Service will commence on such date and will not be extended by any notice period mandated under employment laws in the jurisdiction where Participant is employed or providing services, or the terms of Participant’s employment agreement, if any. Notwithstanding the foregoing, if applicable employment standards legislation explicitly requires continued vesting during a statutory notice period, Participant’s right to vest in the Option, if any, will terminate effective as of the last day of Participant’s minimum statutory notice period, but Participant will not earn or be entitled to pro-rated vesting if a vesting date falls after the end of the statutory notice period, nor will Participant be entitled to any compensation for lost vesting. The Board or Committee shall have the exclusive discretion to determine when Participant is no longer actively providing services for purposes of the Option (including whether Participant may still be considered to be providing services while on a leave of absence);</w:t>
      </w:r>
    </w:p>
    <w:p>
      <w:pPr>
        <w:pStyle w:val="TextBody"/>
        <w:bidi w:val="0"/>
        <w:spacing w:lineRule="auto" w:line="240" w:before="0" w:after="240"/>
        <w:jc w:val="both"/>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40" w:before="0" w:after="240"/>
        <w:jc w:val="both"/>
        <w:rPr/>
      </w:pPr>
      <w:r>
        <w:rPr>
          <w:rFonts w:ascii="Times New Roman;sans-serif" w:hAnsi="Times New Roman;sans-serif"/>
          <w:b/>
          <w:color w:val="000000"/>
          <w:sz w:val="22"/>
        </w:rPr>
        <w:t>Securities Law Information</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color w:val="000000"/>
          <w:sz w:val="22"/>
        </w:rPr>
        <w:t>Shares acquired under the Plan may result in Canadian securities laws issues if such Shares are sold through a broker other than the designated broker or if the sale does not take place through the facilities of a stock exchange outside Canada on which the Shares are listed (</w:t>
      </w:r>
      <w:r>
        <w:rPr>
          <w:rFonts w:ascii="Times New Roman;sans-serif" w:hAnsi="Times New Roman;sans-serif"/>
          <w:b w:val="false"/>
          <w:i/>
          <w:color w:val="000000"/>
          <w:sz w:val="22"/>
        </w:rPr>
        <w:t>i.e.</w:t>
      </w:r>
      <w:r>
        <w:rPr>
          <w:rFonts w:ascii="Times New Roman;sans-serif" w:hAnsi="Times New Roman;sans-serif"/>
          <w:b w:val="false"/>
          <w:color w:val="000000"/>
          <w:sz w:val="22"/>
        </w:rPr>
        <w:t xml:space="preserve">, the Nasdaq). </w:t>
      </w:r>
    </w:p>
    <w:p>
      <w:pPr>
        <w:pStyle w:val="TextBody"/>
        <w:bidi w:val="0"/>
        <w:spacing w:lineRule="auto" w:line="240" w:before="0" w:after="240"/>
        <w:jc w:val="both"/>
        <w:rPr/>
      </w:pPr>
      <w:r>
        <w:rPr>
          <w:rFonts w:ascii="Times New Roman;sans-serif" w:hAnsi="Times New Roman;sans-serif"/>
          <w:b/>
          <w:color w:val="000000"/>
          <w:sz w:val="22"/>
        </w:rPr>
        <w:t>Tax Reporting Obligation</w:t>
      </w:r>
      <w:r>
        <w:rPr>
          <w:rFonts w:ascii="Times New Roman;sans-serif" w:hAnsi="Times New Roman;sans-serif"/>
          <w:b w:val="false"/>
          <w:color w:val="000000"/>
          <w:sz w:val="22"/>
        </w:rPr>
        <w:t xml:space="preserve">. Foreign property (including Shares acquired under the Plan and possibly the Option) must be reported on Form T1135 (Foreign Income Verification Statement) if the total value of foreign property exceeds C$100,000 at any time during the year. Thus, Options must be reported - </w:t>
      </w:r>
    </w:p>
    <w:p>
      <w:pPr>
        <w:pStyle w:val="TextBody"/>
        <w:bidi w:val="0"/>
        <w:spacing w:before="0" w:after="0"/>
        <w:jc w:val="center"/>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75260"/>
                <wp:effectExtent l="0" t="0" r="0" b="0"/>
                <wp:wrapNone/>
                <wp:docPr id="148" name="Frame1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2"/>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2"/>
                        </w:rPr>
                        <w:t>-14-</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generally at a nil cost - if the C$100,000 cost threshold is exceeded because of other foreign specified property a Participant holds. When Shares are acquired, their cost generally is the adjusted cost base (“</w:t>
      </w:r>
      <w:r>
        <w:rPr>
          <w:rFonts w:ascii="Times New Roman;sans-serif" w:hAnsi="Times New Roman;sans-serif"/>
          <w:b/>
          <w:color w:val="000000"/>
          <w:sz w:val="22"/>
        </w:rPr>
        <w:t>ACB</w:t>
      </w:r>
      <w:r>
        <w:rPr>
          <w:color w:val="000000"/>
        </w:rPr>
        <w:t>”</w:t>
      </w:r>
      <w:r>
        <w:rPr>
          <w:rFonts w:ascii="Times New Roman;sans-serif" w:hAnsi="Times New Roman;sans-serif"/>
          <w:b w:val="false"/>
          <w:color w:val="000000"/>
          <w:sz w:val="22"/>
        </w:rPr>
        <w:t>) of the Shares. The ACB would ordinarily equal the fair market value of the Shares at the time of acquisition, but if other shares of Common Stock are also owned, this ACB may have to be averaged with the ACB of the other shares. Participants should consult their personal tax advisors for further details regarding this requirement.</w:t>
      </w:r>
    </w:p>
    <w:p>
      <w:pPr>
        <w:pStyle w:val="TextBody"/>
        <w:bidi w:val="0"/>
        <w:spacing w:lineRule="auto" w:line="240"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FRANCE</w:t>
      </w:r>
    </w:p>
    <w:p>
      <w:pPr>
        <w:pStyle w:val="TextBody"/>
        <w:bidi w:val="0"/>
        <w:spacing w:lineRule="auto" w:line="240" w:before="0" w:after="0"/>
        <w:jc w:val="both"/>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color w:val="000000"/>
          <w:sz w:val="22"/>
        </w:rPr>
        <w:t>Language Consent</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color w:val="000000"/>
          <w:sz w:val="22"/>
        </w:rPr>
        <w:t>By participating in the Plan, Participant confirms having read and understood the documents relating to the Options and his or her participation in the Plan (</w:t>
      </w:r>
      <w:r>
        <w:rPr>
          <w:rFonts w:ascii="Times New Roman;sans-serif" w:hAnsi="Times New Roman;sans-serif"/>
          <w:b w:val="false"/>
          <w:i/>
          <w:color w:val="000000"/>
          <w:sz w:val="22"/>
        </w:rPr>
        <w:t xml:space="preserve">i.e., </w:t>
      </w:r>
      <w:r>
        <w:rPr>
          <w:rFonts w:ascii="Times New Roman;sans-serif" w:hAnsi="Times New Roman;sans-serif"/>
          <w:b w:val="false"/>
          <w:color w:val="000000"/>
          <w:sz w:val="22"/>
        </w:rPr>
        <w:t>the Plan and this Notice), which were provided to Participant in the English language. Participant accepts the terms of these documents accordingly.</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color w:val="000000"/>
          <w:sz w:val="22"/>
        </w:rPr>
        <w:t>Consentement Relatif à la Langue Utilisée</w:t>
      </w:r>
      <w:r>
        <w:rPr>
          <w:rFonts w:ascii="Times New Roman;sans-serif" w:hAnsi="Times New Roman;sans-serif"/>
          <w:b w:val="false"/>
          <w:color w:val="000000"/>
          <w:sz w:val="22"/>
        </w:rPr>
        <w:t xml:space="preserve">. </w:t>
      </w:r>
      <w:r>
        <w:rPr>
          <w:rFonts w:ascii="Times New Roman;sans-serif" w:hAnsi="Times New Roman;sans-serif"/>
          <w:b w:val="false"/>
          <w:i/>
          <w:color w:val="000000"/>
          <w:sz w:val="22"/>
        </w:rPr>
        <w:t>En participant au Plan, le Participant confirme avoir lu et compris les documents relatifs aux Options et à sa participation au Plan (à savoir, le Plan et le présent Avis) qui lui ont été communiqués en langue anglaise. Le Participant accepte les termes de ces documents en connaissance de cause.</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before="0" w:after="0"/>
        <w:jc w:val="both"/>
        <w:rPr/>
      </w:pPr>
      <w:r>
        <w:rPr/>
      </w:r>
    </w:p>
    <w:p>
      <w:pPr>
        <w:pStyle w:val="TextBody"/>
        <w:bidi w:val="0"/>
        <w:spacing w:lineRule="auto" w:line="240" w:before="0" w:after="240"/>
        <w:jc w:val="both"/>
        <w:rPr/>
      </w:pPr>
      <w:r>
        <w:rPr>
          <w:rFonts w:ascii="Times New Roman;sans-serif" w:hAnsi="Times New Roman;sans-serif"/>
          <w:b/>
          <w:color w:val="000000"/>
          <w:sz w:val="22"/>
        </w:rPr>
        <w:t>Foreign Asset/Account Reporting Information</w:t>
      </w:r>
      <w:r>
        <w:rPr>
          <w:rFonts w:ascii="Times New Roman;sans-serif" w:hAnsi="Times New Roman;sans-serif"/>
          <w:b w:val="false"/>
          <w:color w:val="000000"/>
          <w:sz w:val="22"/>
        </w:rPr>
        <w:t>. Participants in France must declare any foreign bank investment, or brokerage account opened, used or closed during the fiscal year to the French tax authorities when filing their annual tax returns. Participants should consult their personal tax advisors for details regarding this requirement.</w:t>
      </w:r>
    </w:p>
    <w:p>
      <w:pPr>
        <w:pStyle w:val="TextBody"/>
        <w:bidi w:val="0"/>
        <w:spacing w:lineRule="auto" w:line="240" w:before="0" w:after="0"/>
        <w:jc w:val="center"/>
        <w:rPr>
          <w:rFonts w:ascii="Times New Roman;sans-serif" w:hAnsi="Times New Roman;sans-serif"/>
          <w:b/>
          <w:color w:val="000000"/>
          <w:sz w:val="22"/>
          <w:u w:val="single"/>
        </w:rPr>
      </w:pPr>
      <w:r>
        <w:rPr>
          <w:rFonts w:ascii="Times New Roman;sans-serif" w:hAnsi="Times New Roman;sans-serif"/>
          <w:b/>
          <w:color w:val="000000"/>
          <w:sz w:val="22"/>
          <w:u w:val="single"/>
        </w:rPr>
        <w:t>GERMANY</w:t>
      </w:r>
    </w:p>
    <w:p>
      <w:pPr>
        <w:pStyle w:val="TextBody"/>
        <w:bidi w:val="0"/>
        <w:spacing w:before="0" w:after="0"/>
        <w:jc w:val="center"/>
        <w:rPr/>
      </w:pPr>
      <w:r>
        <w:rPr/>
      </w:r>
    </w:p>
    <w:p>
      <w:pPr>
        <w:pStyle w:val="TextBody"/>
        <w:bidi w:val="0"/>
        <w:spacing w:lineRule="auto" w:line="240" w:before="0" w:after="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before="0" w:after="0"/>
        <w:jc w:val="left"/>
        <w:rPr/>
      </w:pPr>
      <w:r>
        <w:rPr/>
      </w:r>
    </w:p>
    <w:p>
      <w:pPr>
        <w:pStyle w:val="TextBody"/>
        <w:bidi w:val="0"/>
        <w:spacing w:lineRule="auto" w:line="240" w:before="0" w:after="0"/>
        <w:jc w:val="both"/>
        <w:rPr/>
      </w:pPr>
      <w:r>
        <w:rPr>
          <w:rFonts w:ascii="Times New Roman;sans-serif" w:hAnsi="Times New Roman;sans-serif"/>
          <w:b/>
          <w:color w:val="000000"/>
          <w:sz w:val="22"/>
        </w:rPr>
        <w:t>Exchange Control Information</w:t>
      </w:r>
      <w:r>
        <w:rPr>
          <w:rFonts w:ascii="Times New Roman;sans-serif" w:hAnsi="Times New Roman;sans-serif"/>
          <w:b w:val="false"/>
          <w:color w:val="000000"/>
          <w:sz w:val="22"/>
        </w:rPr>
        <w:t>. Cross-border payments in excess of €12,500 in connection with the purchase or sale of securities (</w:t>
      </w:r>
      <w:r>
        <w:rPr>
          <w:rFonts w:ascii="Times New Roman;sans-serif" w:hAnsi="Times New Roman;sans-serif"/>
          <w:b w:val="false"/>
          <w:i/>
          <w:color w:val="000000"/>
          <w:sz w:val="22"/>
        </w:rPr>
        <w:t>e.g.</w:t>
      </w:r>
      <w:r>
        <w:rPr>
          <w:rFonts w:ascii="Times New Roman;sans-serif" w:hAnsi="Times New Roman;sans-serif"/>
          <w:b w:val="false"/>
          <w:color w:val="000000"/>
          <w:sz w:val="22"/>
        </w:rPr>
        <w:t>, transfer of proceeds from the sale of Shares into Germany) must be reported electronically to the German Federal Bank. The online filing portal may be accessed at the website of the German Federal Bank. Participants should consult their personal tax advisors for details regarding this requirement.</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color w:val="000000"/>
          <w:sz w:val="22"/>
        </w:rPr>
        <w:t>Foreign Asset/Account Reporting Information</w:t>
      </w:r>
      <w:r>
        <w:rPr>
          <w:rFonts w:ascii="Times New Roman;sans-serif" w:hAnsi="Times New Roman;sans-serif"/>
          <w:b w:val="false"/>
          <w:color w:val="000000"/>
          <w:sz w:val="22"/>
        </w:rPr>
        <w:t>. If Participants’ acquisition of Shares under the Plan leads to a qualified participation at any point during the calendar year, Participant may need to report the acquisition when Participant files his or her tax return for the relevant year. A qualified participation occurs if (i) a Participant owns at least 1% of the Company and the value of the Shares acquired exceeds EUR 150,000, or (ii) a Participant holds Shares exceeding 10% of the Company’s total common stock.</w:t>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color w:val="000000"/>
          <w:sz w:val="22"/>
          <w:u w:val="single"/>
        </w:rPr>
      </w:pPr>
      <w:r>
        <w:rPr>
          <w:rFonts w:ascii="Times New Roman;sans-serif" w:hAnsi="Times New Roman;sans-serif"/>
          <w:b/>
          <w:color w:val="000000"/>
          <w:sz w:val="22"/>
          <w:u w:val="single"/>
        </w:rPr>
        <w:t>INDIA</w:t>
      </w:r>
    </w:p>
    <w:p>
      <w:pPr>
        <w:pStyle w:val="TextBody"/>
        <w:bidi w:val="0"/>
        <w:spacing w:before="0" w:after="0"/>
        <w:jc w:val="center"/>
        <w:rPr/>
      </w:pPr>
      <w:r>
        <w:rPr/>
      </w:r>
    </w:p>
    <w:p>
      <w:pPr>
        <w:pStyle w:val="TextBody"/>
        <w:bidi w:val="0"/>
        <w:spacing w:lineRule="auto" w:line="240" w:before="0" w:after="0"/>
        <w:jc w:val="both"/>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color w:val="000000"/>
          <w:sz w:val="22"/>
        </w:rPr>
        <w:t>Exchange Control Information</w:t>
      </w:r>
      <w:r>
        <w:rPr>
          <w:rFonts w:ascii="Times New Roman;sans-serif" w:hAnsi="Times New Roman;sans-serif"/>
          <w:b w:val="false"/>
          <w:color w:val="000000"/>
          <w:sz w:val="22"/>
        </w:rPr>
        <w:t>. Participant must repatriate any funds received from participation in the Plan (</w:t>
      </w:r>
      <w:r>
        <w:rPr>
          <w:rFonts w:ascii="Times New Roman;sans-serif" w:hAnsi="Times New Roman;sans-serif"/>
          <w:b w:val="false"/>
          <w:i/>
          <w:color w:val="000000"/>
          <w:sz w:val="22"/>
        </w:rPr>
        <w:t>e.g.</w:t>
      </w:r>
      <w:r>
        <w:rPr>
          <w:rFonts w:ascii="Times New Roman;sans-serif" w:hAnsi="Times New Roman;sans-serif"/>
          <w:b w:val="false"/>
          <w:color w:val="000000"/>
          <w:sz w:val="22"/>
        </w:rPr>
        <w:t>, proceeds from the sale of Shares) within such time as prescribed under applicable Indian exchange control laws, which may be amended from time to time. Participant should obtain a foreign inward remittance certificate (“</w:t>
      </w:r>
      <w:r>
        <w:rPr>
          <w:rFonts w:ascii="Times New Roman;sans-serif" w:hAnsi="Times New Roman;sans-serif"/>
          <w:b/>
          <w:color w:val="000000"/>
          <w:sz w:val="22"/>
        </w:rPr>
        <w:t>FIRC</w:t>
      </w:r>
      <w:r>
        <w:rPr>
          <w:color w:val="000000"/>
        </w:rPr>
        <w:t>”</w:t>
      </w:r>
      <w:r>
        <w:rPr>
          <w:rFonts w:ascii="Times New Roman;sans-serif" w:hAnsi="Times New Roman;sans-serif"/>
          <w:b w:val="false"/>
          <w:color w:val="000000"/>
          <w:sz w:val="22"/>
        </w:rPr>
        <w:t>) from the bank where Participant deposits the foreign currency and maintain the FIRC as evidence of the repatriation of funds in the event the Reserve Bank of India or the Company or the Employer requests proof of repatriation. Participant should consult his or her personal legal advisor to ensure compliance with the applicable requirements.</w:t>
      </w:r>
    </w:p>
    <w:p>
      <w:pPr>
        <w:pStyle w:val="TextBody"/>
        <w:bidi w:val="0"/>
        <w:jc w:val="both"/>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75260"/>
                <wp:effectExtent l="0" t="0" r="0" b="0"/>
                <wp:wrapNone/>
                <wp:docPr id="149" name="Frame1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2"/>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2"/>
                        </w:rPr>
                        <w:t>-15-</w:t>
                      </w:r>
                    </w:p>
                  </w:txbxContent>
                </v:textbox>
                <w10:wrap type="none"/>
              </v:rect>
            </w:pict>
          </mc:Fallback>
        </mc:AlternateContent>
      </w:r>
    </w:p>
    <w:p>
      <w:pPr>
        <w:pStyle w:val="TextBody"/>
        <w:bidi w:val="0"/>
        <w:spacing w:lineRule="auto" w:line="240" w:before="0" w:after="0"/>
        <w:jc w:val="both"/>
        <w:rPr/>
      </w:pPr>
      <w:r>
        <w:rPr>
          <w:rFonts w:ascii="Times New Roman;sans-serif" w:hAnsi="Times New Roman;sans-serif"/>
          <w:b/>
          <w:color w:val="000000"/>
          <w:sz w:val="22"/>
        </w:rPr>
        <w:t>Foreign Asset/Account Reporting Information</w:t>
      </w:r>
      <w:r>
        <w:rPr>
          <w:rFonts w:ascii="Times New Roman;sans-serif" w:hAnsi="Times New Roman;sans-serif"/>
          <w:b w:val="false"/>
          <w:color w:val="000000"/>
          <w:sz w:val="22"/>
        </w:rPr>
        <w:t>. Participant must declare the following items in his or her annual tax return: (i) any foreign assets held (including Shares acquired under the Plan), and (ii) any foreign bank accounts for which Participant has signing authority. Participant should consult his or her personal tax advisor to ensure compliance with the applicable requirements.</w:t>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color w:val="000000"/>
          <w:sz w:val="22"/>
          <w:u w:val="single"/>
        </w:rPr>
      </w:pPr>
      <w:r>
        <w:rPr>
          <w:rFonts w:ascii="Times New Roman;sans-serif" w:hAnsi="Times New Roman;sans-serif"/>
          <w:b/>
          <w:color w:val="000000"/>
          <w:sz w:val="22"/>
          <w:u w:val="single"/>
        </w:rPr>
        <w:t>ITALY</w:t>
      </w:r>
    </w:p>
    <w:p>
      <w:pPr>
        <w:pStyle w:val="TextBody"/>
        <w:bidi w:val="0"/>
        <w:spacing w:before="0" w:after="0"/>
        <w:jc w:val="center"/>
        <w:rPr/>
      </w:pPr>
      <w:r>
        <w:rPr/>
      </w:r>
    </w:p>
    <w:p>
      <w:pPr>
        <w:pStyle w:val="TextBody"/>
        <w:bidi w:val="0"/>
        <w:spacing w:lineRule="auto" w:line="240" w:before="0" w:after="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before="0" w:after="0"/>
        <w:jc w:val="left"/>
        <w:rPr/>
      </w:pPr>
      <w:r>
        <w:rPr/>
      </w:r>
    </w:p>
    <w:p>
      <w:pPr>
        <w:pStyle w:val="TextBody"/>
        <w:bidi w:val="0"/>
        <w:spacing w:lineRule="auto" w:line="240" w:before="0" w:after="240"/>
        <w:jc w:val="both"/>
        <w:rPr/>
      </w:pPr>
      <w:r>
        <w:rPr>
          <w:rFonts w:ascii="Times New Roman;sans-serif" w:hAnsi="Times New Roman;sans-serif"/>
          <w:b/>
          <w:color w:val="000000"/>
          <w:sz w:val="22"/>
        </w:rPr>
        <w:t>Plan Document Acknowledgment</w:t>
      </w:r>
      <w:r>
        <w:rPr>
          <w:rFonts w:ascii="Times New Roman;sans-serif" w:hAnsi="Times New Roman;sans-serif"/>
          <w:b w:val="false"/>
          <w:color w:val="000000"/>
          <w:sz w:val="22"/>
        </w:rPr>
        <w:t>. In participating in the Plan, Participant acknowledges that he or she has received a copy of the Plan and this Notice and has reviewed the Plan and this Notice in their entirety and fully understands and accepts all provisions of the Plan and this Notice. Participant further acknowledges that Participant has read and specifically and expressly approves the sections of the Notice and Appendix A addressing (i) Forfeiture Upon Termination of Continuous Service (</w:t>
      </w:r>
      <w:r>
        <w:rPr>
          <w:rFonts w:ascii="Times New Roman;sans-serif" w:hAnsi="Times New Roman;sans-serif"/>
          <w:b w:val="false"/>
          <w:color w:val="000000"/>
          <w:sz w:val="22"/>
          <w:u w:val="single"/>
        </w:rPr>
        <w:t>Section 2 of the Notice</w:t>
      </w:r>
      <w:r>
        <w:rPr>
          <w:rFonts w:ascii="Times New Roman;sans-serif" w:hAnsi="Times New Roman;sans-serif"/>
          <w:b w:val="false"/>
          <w:color w:val="000000"/>
          <w:sz w:val="22"/>
        </w:rPr>
        <w:t>), (ii) Tax Consequences, Withholding, and Liability (</w:t>
      </w:r>
      <w:r>
        <w:rPr>
          <w:rFonts w:ascii="Times New Roman;sans-serif" w:hAnsi="Times New Roman;sans-serif"/>
          <w:b w:val="false"/>
          <w:color w:val="000000"/>
          <w:sz w:val="22"/>
          <w:u w:val="single"/>
        </w:rPr>
        <w:t>Section 3 of the Notice</w:t>
      </w:r>
      <w:r>
        <w:rPr>
          <w:rFonts w:ascii="Times New Roman;sans-serif" w:hAnsi="Times New Roman;sans-serif"/>
          <w:b w:val="false"/>
          <w:color w:val="000000"/>
          <w:sz w:val="22"/>
        </w:rPr>
        <w:t>), (iii) Data Privacy (</w:t>
      </w:r>
      <w:r>
        <w:rPr>
          <w:rFonts w:ascii="Times New Roman;sans-serif" w:hAnsi="Times New Roman;sans-serif"/>
          <w:b w:val="false"/>
          <w:color w:val="000000"/>
          <w:sz w:val="22"/>
          <w:u w:val="single"/>
        </w:rPr>
        <w:t>Section 10 of the Notice</w:t>
      </w:r>
      <w:r>
        <w:rPr>
          <w:rFonts w:ascii="Times New Roman;sans-serif" w:hAnsi="Times New Roman;sans-serif"/>
          <w:b w:val="false"/>
          <w:color w:val="000000"/>
          <w:sz w:val="22"/>
        </w:rPr>
        <w:t>); (iv) Governing Law; Severability (</w:t>
      </w:r>
      <w:r>
        <w:rPr>
          <w:rFonts w:ascii="Times New Roman;sans-serif" w:hAnsi="Times New Roman;sans-serif"/>
          <w:b w:val="false"/>
          <w:color w:val="000000"/>
          <w:sz w:val="22"/>
          <w:u w:val="single"/>
        </w:rPr>
        <w:t>Section 11(f) of the Notice</w:t>
      </w:r>
      <w:r>
        <w:rPr>
          <w:rFonts w:ascii="Times New Roman;sans-serif" w:hAnsi="Times New Roman;sans-serif"/>
          <w:b w:val="false"/>
          <w:color w:val="000000"/>
          <w:sz w:val="22"/>
        </w:rPr>
        <w:t>), (v) Imposition of Other Requirements (</w:t>
      </w:r>
      <w:r>
        <w:rPr>
          <w:rFonts w:ascii="Times New Roman;sans-serif" w:hAnsi="Times New Roman;sans-serif"/>
          <w:b w:val="false"/>
          <w:color w:val="000000"/>
          <w:sz w:val="22"/>
          <w:u w:val="single"/>
        </w:rPr>
        <w:t>Section 11(i) of the Notice</w:t>
      </w:r>
      <w:r>
        <w:rPr>
          <w:rFonts w:ascii="Times New Roman;sans-serif" w:hAnsi="Times New Roman;sans-serif"/>
          <w:b w:val="false"/>
          <w:color w:val="000000"/>
          <w:sz w:val="22"/>
        </w:rPr>
        <w:t>); (vi) Nature of Grant (</w:t>
      </w:r>
      <w:r>
        <w:rPr>
          <w:rFonts w:ascii="Times New Roman;sans-serif" w:hAnsi="Times New Roman;sans-serif"/>
          <w:b w:val="false"/>
          <w:color w:val="000000"/>
          <w:sz w:val="22"/>
          <w:u w:val="single"/>
        </w:rPr>
        <w:t>Section 3 of Appendix A</w:t>
      </w:r>
      <w:r>
        <w:rPr>
          <w:rFonts w:ascii="Times New Roman;sans-serif" w:hAnsi="Times New Roman;sans-serif"/>
          <w:b w:val="false"/>
          <w:color w:val="000000"/>
          <w:sz w:val="22"/>
        </w:rPr>
        <w:t>), (vii) Venue (</w:t>
      </w:r>
      <w:r>
        <w:rPr>
          <w:rFonts w:ascii="Times New Roman;sans-serif" w:hAnsi="Times New Roman;sans-serif"/>
          <w:b w:val="false"/>
          <w:color w:val="000000"/>
          <w:sz w:val="22"/>
          <w:u w:val="single"/>
        </w:rPr>
        <w:t>Section 4 of Appendix A</w:t>
      </w:r>
      <w:r>
        <w:rPr>
          <w:rFonts w:ascii="Times New Roman;sans-serif" w:hAnsi="Times New Roman;sans-serif"/>
          <w:b w:val="false"/>
          <w:color w:val="000000"/>
          <w:sz w:val="22"/>
        </w:rPr>
        <w:t>), and (viii) Language (</w:t>
      </w:r>
      <w:r>
        <w:rPr>
          <w:rFonts w:ascii="Times New Roman;sans-serif" w:hAnsi="Times New Roman;sans-serif"/>
          <w:b w:val="false"/>
          <w:color w:val="000000"/>
          <w:sz w:val="22"/>
          <w:u w:val="single"/>
        </w:rPr>
        <w:t>Section 6 of Appendix A</w:t>
      </w:r>
      <w:r>
        <w:rPr>
          <w:rFonts w:ascii="Times New Roman;sans-serif" w:hAnsi="Times New Roman;sans-serif"/>
          <w:b w:val="false"/>
          <w:color w:val="000000"/>
          <w:sz w:val="22"/>
        </w:rPr>
        <w:t xml:space="preserve">). </w:t>
      </w:r>
    </w:p>
    <w:p>
      <w:pPr>
        <w:pStyle w:val="TextBody"/>
        <w:bidi w:val="0"/>
        <w:spacing w:lineRule="auto" w:line="240"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40" w:before="0" w:after="0"/>
        <w:jc w:val="both"/>
        <w:rPr/>
      </w:pPr>
      <w:r>
        <w:rPr>
          <w:rFonts w:ascii="Times New Roman;sans-serif" w:hAnsi="Times New Roman;sans-serif"/>
          <w:b/>
          <w:color w:val="000000"/>
          <w:sz w:val="22"/>
        </w:rPr>
        <w:t>Exchange Control Information</w:t>
      </w:r>
      <w:r>
        <w:rPr>
          <w:rFonts w:ascii="Times New Roman;sans-serif" w:hAnsi="Times New Roman;sans-serif"/>
          <w:b w:val="false"/>
          <w:color w:val="000000"/>
          <w:sz w:val="22"/>
        </w:rPr>
        <w:t>. Participants are required to report investments held abroad or foreign financial assets (</w:t>
      </w:r>
      <w:r>
        <w:rPr>
          <w:rFonts w:ascii="Times New Roman;sans-serif" w:hAnsi="Times New Roman;sans-serif"/>
          <w:b w:val="false"/>
          <w:i/>
          <w:color w:val="000000"/>
          <w:sz w:val="22"/>
        </w:rPr>
        <w:t>e.g.</w:t>
      </w:r>
      <w:r>
        <w:rPr>
          <w:rFonts w:ascii="Times New Roman;sans-serif" w:hAnsi="Times New Roman;sans-serif"/>
          <w:b w:val="false"/>
          <w:color w:val="000000"/>
          <w:sz w:val="22"/>
        </w:rPr>
        <w:t>, cash, Shares) that may generate income taxable in Italy on an annual tax return (UNICO Form, RW Schedule) or on a special form if no tax return is due, irrespective of their value. The same reporting duties apply to Italian residents who are beneficial owners of the investments, even if they do not directly hold investments abroad or foreign assets.</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color w:val="000000"/>
          <w:sz w:val="22"/>
        </w:rPr>
        <w:t>Foreign Asset/Account Reporting Information</w:t>
      </w:r>
      <w:r>
        <w:rPr>
          <w:rFonts w:ascii="Times New Roman;sans-serif" w:hAnsi="Times New Roman;sans-serif"/>
          <w:b w:val="false"/>
          <w:color w:val="000000"/>
          <w:sz w:val="22"/>
        </w:rPr>
        <w:t>. A tax on the value of any financial assets held outside Italy by Italian residents (including Shares acquired under the Plan) may apply. Participants are responsible for reporting their foreign assets and their value on Participants’ annual tax return and for paying any foreign financial assets tax due. The taxable amount will be the fair market value of the financial assets, assessed at the end of the calendar year in the place where the financial assets are held, using the documentation issued by the local broker. No tax payment duties arise if the amount of the foreign financial assets tax calculated on all financial assets does not exceed a certain threshold. Participants should consult their personal tax advisors for details regarding this requirement.</w:t>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color w:val="000000"/>
          <w:sz w:val="22"/>
          <w:u w:val="single"/>
        </w:rPr>
      </w:pPr>
      <w:r>
        <w:rPr>
          <w:rFonts w:ascii="Times New Roman;sans-serif" w:hAnsi="Times New Roman;sans-serif"/>
          <w:b/>
          <w:color w:val="000000"/>
          <w:sz w:val="22"/>
          <w:u w:val="single"/>
        </w:rPr>
        <w:t>JAPAN</w:t>
      </w:r>
    </w:p>
    <w:p>
      <w:pPr>
        <w:pStyle w:val="TextBody"/>
        <w:bidi w:val="0"/>
        <w:spacing w:before="0" w:after="0"/>
        <w:jc w:val="center"/>
        <w:rPr/>
      </w:pPr>
      <w:r>
        <w:rPr/>
      </w:r>
    </w:p>
    <w:p>
      <w:pPr>
        <w:pStyle w:val="TextBody"/>
        <w:bidi w:val="0"/>
        <w:spacing w:lineRule="auto" w:line="240" w:before="0" w:after="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before="0" w:after="0"/>
        <w:jc w:val="left"/>
        <w:rPr/>
      </w:pPr>
      <w:r>
        <w:rPr/>
      </w:r>
    </w:p>
    <w:p>
      <w:pPr>
        <w:pStyle w:val="TextBody"/>
        <w:bidi w:val="0"/>
        <w:spacing w:lineRule="auto" w:line="240" w:before="0" w:after="0"/>
        <w:jc w:val="both"/>
        <w:rPr/>
      </w:pPr>
      <w:r>
        <w:rPr>
          <w:rFonts w:ascii="Times New Roman;sans-serif" w:hAnsi="Times New Roman;sans-serif"/>
          <w:b/>
          <w:color w:val="000000"/>
          <w:sz w:val="22"/>
        </w:rPr>
        <w:t>Exchange Control Information</w:t>
      </w:r>
      <w:r>
        <w:rPr>
          <w:rFonts w:ascii="Times New Roman;sans-serif" w:hAnsi="Times New Roman;sans-serif"/>
          <w:b w:val="false"/>
          <w:color w:val="000000"/>
          <w:sz w:val="22"/>
        </w:rPr>
        <w:t>. If Participant remits more than ¥30 million for the purchase of Shares in a single transaction, Participant must file a</w:t>
      </w:r>
      <w:r>
        <w:rPr>
          <w:color w:val="000000"/>
        </w:rPr>
        <w:t xml:space="preserve"> </w:t>
      </w:r>
      <w:r>
        <w:rPr>
          <w:rFonts w:ascii="Times New Roman;sans-serif" w:hAnsi="Times New Roman;sans-serif"/>
          <w:b w:val="false"/>
          <w:color w:val="000000"/>
          <w:sz w:val="22"/>
        </w:rPr>
        <w:t>Payment Report with the Ministry of Finance (through the Bank of Japan or the bank carrying out the transaction). The precise reporting requirements vary depending on whether the relevant payment is made through a bank in Japan. If Participant intends to acquire Shares whose value exceeds ¥100 million in a single transaction, Participant must also file a Report Concerning Acquisition of Shares (“</w:t>
      </w:r>
      <w:r>
        <w:rPr>
          <w:rFonts w:ascii="Times New Roman;sans-serif" w:hAnsi="Times New Roman;sans-serif"/>
          <w:b/>
          <w:color w:val="000000"/>
          <w:sz w:val="22"/>
        </w:rPr>
        <w:t>Securities Acquisition Report</w:t>
      </w:r>
      <w:r>
        <w:rPr>
          <w:color w:val="000000"/>
        </w:rPr>
        <w:t>”</w:t>
      </w:r>
      <w:r>
        <w:rPr>
          <w:rFonts w:ascii="Times New Roman;sans-serif" w:hAnsi="Times New Roman;sans-serif"/>
          <w:b w:val="false"/>
          <w:color w:val="000000"/>
          <w:sz w:val="22"/>
        </w:rPr>
        <w:t>) with the Ministry of Finance through the Bank of Japan within 20 days of acquiring the Shares. The forms to make these reports can be acquired from the Bank of Japan.</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 Payment Report is required independently from a Securities Acquisition Report. Therefore, if the total amount that Participant pays upon a one-time transaction for exercising the Option and acquiring Shares exceeds ¥100 million, Participant must file both a Payment Report and a Securities Acquisition Report.</w:t>
      </w:r>
    </w:p>
    <w:p>
      <w:pPr>
        <w:pStyle w:val="TextBody"/>
        <w:bidi w:val="0"/>
        <w:spacing w:before="0" w:after="0"/>
        <w:jc w:val="both"/>
        <w:rPr/>
      </w:pPr>
      <w:r>
        <w:rPr/>
      </w:r>
    </w:p>
    <w:p>
      <w:pPr>
        <w:pStyle w:val="TextBody"/>
        <w:bidi w:val="0"/>
        <w:spacing w:lineRule="auto" w:line="240"/>
        <w:jc w:val="both"/>
        <w:rPr/>
      </w:pPr>
      <w:r>
        <w:rPr>
          <w:rFonts w:ascii="Times New Roman;sans-serif" w:hAnsi="Times New Roman;sans-serif"/>
          <w:b/>
          <w:color w:val="000000"/>
          <w:sz w:val="22"/>
        </w:rPr>
        <w:t>Foreign Asset/Account Reporting Information</w:t>
      </w:r>
      <w:r>
        <w:rPr>
          <w:rFonts w:ascii="Times New Roman;sans-serif" w:hAnsi="Times New Roman;sans-serif"/>
          <w:b w:val="false"/>
          <w:color w:val="000000"/>
          <w:sz w:val="22"/>
        </w:rPr>
        <w:t>.  Participants holding assets outside of Japan (</w:t>
      </w:r>
      <w:r>
        <w:rPr>
          <w:rFonts w:ascii="Times New Roman;sans-serif" w:hAnsi="Times New Roman;sans-serif"/>
          <w:b w:val="false"/>
          <w:i/>
          <w:color w:val="000000"/>
          <w:sz w:val="22"/>
        </w:rPr>
        <w:t>e.g.</w:t>
      </w:r>
      <w:r>
        <w:rPr>
          <w:rFonts w:ascii="Times New Roman;sans-serif" w:hAnsi="Times New Roman;sans-serif"/>
          <w:b w:val="false"/>
          <w:color w:val="000000"/>
          <w:sz w:val="22"/>
        </w:rPr>
        <w:t>, Shares acquired under the Plan) with a value exceeding ¥50,000,000 (as of December 31 each year) are required to comply with annual tax reporting obligations with respect to such assets. Participants should consult their personal tax advisors for details regarding this requirement.</w:t>
      </w:r>
    </w:p>
    <w:p>
      <w:pPr>
        <w:pStyle w:val="TextBody"/>
        <w:bidi w:val="0"/>
        <w:spacing w:before="0" w:after="0"/>
        <w:jc w:val="center"/>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75260"/>
                <wp:effectExtent l="0" t="0" r="0" b="0"/>
                <wp:wrapNone/>
                <wp:docPr id="150" name="Frame1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2"/>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2"/>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color w:val="000000"/>
          <w:sz w:val="22"/>
          <w:u w:val="single"/>
        </w:rPr>
      </w:pPr>
      <w:r>
        <w:rPr>
          <w:rFonts w:ascii="Times New Roman;sans-serif" w:hAnsi="Times New Roman;sans-serif"/>
          <w:b/>
          <w:color w:val="000000"/>
          <w:sz w:val="22"/>
          <w:u w:val="single"/>
        </w:rPr>
        <w:t>NEW ZEALAND</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before="0" w:after="0"/>
        <w:jc w:val="left"/>
        <w:rPr/>
      </w:pPr>
      <w:r>
        <w:rPr/>
      </w:r>
    </w:p>
    <w:p>
      <w:pPr>
        <w:pStyle w:val="TextBody"/>
        <w:bidi w:val="0"/>
        <w:spacing w:lineRule="auto" w:line="240" w:before="0" w:after="0"/>
        <w:jc w:val="both"/>
        <w:rPr/>
      </w:pPr>
      <w:r>
        <w:rPr>
          <w:rFonts w:ascii="Times New Roman;sans-serif" w:hAnsi="Times New Roman;sans-serif"/>
          <w:b/>
          <w:color w:val="000000"/>
          <w:sz w:val="22"/>
        </w:rPr>
        <w:t>Securities Law Information</w:t>
      </w:r>
      <w:r>
        <w:rPr>
          <w:rFonts w:ascii="Times New Roman;sans-serif" w:hAnsi="Times New Roman;sans-serif"/>
          <w:b w:val="false"/>
          <w:color w:val="000000"/>
          <w:sz w:val="22"/>
        </w:rPr>
        <w:t>.</w:t>
      </w:r>
      <w:r>
        <w:rPr>
          <w:color w:val="000000"/>
        </w:rPr>
        <w:t xml:space="preserve"> </w:t>
      </w:r>
      <w:r>
        <w:rPr>
          <w:rFonts w:ascii="Times New Roman;sans-serif" w:hAnsi="Times New Roman;sans-serif"/>
          <w:b/>
          <w:i/>
          <w:color w:val="000000"/>
          <w:sz w:val="22"/>
        </w:rPr>
        <w:t>Warning:</w:t>
      </w:r>
      <w:r>
        <w:rPr>
          <w:color w:val="000000"/>
        </w:rPr>
        <w:t xml:space="preserve"> </w:t>
      </w:r>
      <w:r>
        <w:rPr>
          <w:rFonts w:ascii="Times New Roman;sans-serif" w:hAnsi="Times New Roman;sans-serif"/>
          <w:b w:val="false"/>
          <w:color w:val="000000"/>
          <w:sz w:val="22"/>
        </w:rPr>
        <w:t>This is an offer of an option which allows you to purchase shares of Common Stock in accordance with the terms of the Plan and the Agreement. The shares of Common Stock, if purchased, give you a stake in the ownership of the Company. You may receive a return if dividends are paid on the shares of Common Stock.</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If the Company runs into financial difficulties and is wound up, you will be paid only after all creditors and holders of preferred shares have been paid. You may lose some or all of your investment.</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New Zealand law normally requires people who offer financial products to give information to investors before they invest. This information is designed to help investors to make an informed decision. The usual rules do not apply to this offer because it is made under an employee share purchase scheme. As a result, you may not be given all the information usually required. You will also have fewer other legal protections for this investment. </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You should ask questions, read all documents carefully, and seek independent financial advice before committing yourself.</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shares of Common Stock are quoted or approved for trading on the Nasdaq. This means that if you purchase shares of Common Stock under the Plan, you can sell your investment on the Nasdaq if there are buyers for it. If you sell your investment, the price you receive may vary depending on factors such as the financial condition of the Company. You may receive less than the full amount that you paid for it, if anything.</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For a copy of the Company’s most recent financial statements (and, where applicable, a copy of the auditor’s report on those financial statements), as well as information on risk factors impacting the Company’s business that may affect the value of the shares of Common Stock, you should refer to the Company’s Annual Report on Form 10-K and Quarterly Reports on Form 10-Q, which are filed with the U.S. Securities and Exchange Commission and are available online at www.sec.gov and on the Company’s investor’s page at http://investor.magnite.com/. </w:t>
      </w:r>
    </w:p>
    <w:p>
      <w:pPr>
        <w:pStyle w:val="TextBody"/>
        <w:bidi w:val="0"/>
        <w:spacing w:before="0" w:after="0"/>
        <w:jc w:val="left"/>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For more details on the terms and conditions of the option, please refer to this Agreement, the Plan and the Plan prospectus which are available through your Company sponsored ETRADE account and free of charge on request.</w:t>
      </w:r>
    </w:p>
    <w:p>
      <w:pPr>
        <w:pStyle w:val="TextBody"/>
        <w:bidi w:val="0"/>
        <w:spacing w:before="0" w:after="0"/>
        <w:jc w:val="both"/>
        <w:rPr/>
      </w:pPr>
      <w:r>
        <w:rPr/>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As noted above, you should carefully read the materials provided before making a decision whether to participate in the Plan. When reading these materials, you understand that all references to the exercise price are listed in U.S. dollars. In addition, you understand that you should contact your tax advisor for specific information concerning your personal tax situation with regard to participation in the Plan.</w:t>
      </w:r>
    </w:p>
    <w:p>
      <w:pPr>
        <w:pStyle w:val="TextBody"/>
        <w:bidi w:val="0"/>
        <w:spacing w:before="0" w:after="0"/>
        <w:jc w:val="both"/>
        <w:rPr/>
      </w:pPr>
      <w:r>
        <w:rPr/>
      </w:r>
    </w:p>
    <w:p>
      <w:pPr>
        <w:pStyle w:val="TextBody"/>
        <w:bidi w:val="0"/>
        <w:spacing w:lineRule="auto" w:line="240" w:before="0" w:after="0"/>
        <w:jc w:val="center"/>
        <w:rPr>
          <w:rFonts w:ascii="Times New Roman;sans-serif" w:hAnsi="Times New Roman;sans-serif"/>
          <w:b/>
          <w:color w:val="000000"/>
          <w:sz w:val="22"/>
          <w:u w:val="single"/>
        </w:rPr>
      </w:pPr>
      <w:r>
        <w:rPr>
          <w:rFonts w:ascii="Times New Roman;sans-serif" w:hAnsi="Times New Roman;sans-serif"/>
          <w:b/>
          <w:color w:val="000000"/>
          <w:sz w:val="22"/>
          <w:u w:val="single"/>
        </w:rPr>
        <w:t>SINGAPORE</w:t>
      </w:r>
    </w:p>
    <w:p>
      <w:pPr>
        <w:pStyle w:val="TextBody"/>
        <w:bidi w:val="0"/>
        <w:spacing w:before="0" w:after="0"/>
        <w:jc w:val="center"/>
        <w:rPr/>
      </w:pPr>
      <w:r>
        <w:rPr/>
      </w:r>
    </w:p>
    <w:p>
      <w:pPr>
        <w:pStyle w:val="TextBody"/>
        <w:bidi w:val="0"/>
        <w:spacing w:lineRule="auto" w:line="240" w:before="0" w:after="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before="0" w:after="0"/>
        <w:jc w:val="left"/>
        <w:rPr/>
      </w:pPr>
      <w:r>
        <w:rPr/>
      </w:r>
    </w:p>
    <w:p>
      <w:pPr>
        <w:pStyle w:val="TextBody"/>
        <w:bidi w:val="0"/>
        <w:spacing w:lineRule="auto" w:line="240"/>
        <w:jc w:val="both"/>
        <w:rPr/>
      </w:pPr>
      <w:r>
        <w:rPr>
          <w:rFonts w:ascii="Times New Roman;sans-serif" w:hAnsi="Times New Roman;sans-serif"/>
          <w:b/>
          <w:color w:val="000000"/>
          <w:sz w:val="22"/>
        </w:rPr>
        <w:t>Securities Law Information</w:t>
      </w:r>
      <w:r>
        <w:rPr>
          <w:rFonts w:ascii="Times New Roman;sans-serif" w:hAnsi="Times New Roman;sans-serif"/>
          <w:b w:val="false"/>
          <w:color w:val="000000"/>
          <w:sz w:val="22"/>
        </w:rPr>
        <w:t>. The grant of Options under the Plan is being made pursuant to the “Qualifying Person” exemption under section 273(1)(f) of the Singapore Securities and Futures Act (Chapter 289, 2006 Ed.) (“</w:t>
      </w:r>
      <w:r>
        <w:rPr>
          <w:rFonts w:ascii="Times New Roman;sans-serif" w:hAnsi="Times New Roman;sans-serif"/>
          <w:b/>
          <w:color w:val="000000"/>
          <w:sz w:val="22"/>
        </w:rPr>
        <w:t>SFA</w:t>
      </w:r>
      <w:r>
        <w:rPr>
          <w:color w:val="000000"/>
        </w:rPr>
        <w:t>”</w:t>
      </w:r>
      <w:r>
        <w:rPr>
          <w:rFonts w:ascii="Times New Roman;sans-serif" w:hAnsi="Times New Roman;sans-serif"/>
          <w:b w:val="false"/>
          <w:color w:val="000000"/>
          <w:sz w:val="22"/>
        </w:rPr>
        <w:t>). The Plan has not been lodged or registered as a prospectus with the Monetary Authority of Singapore. Further, the Options granted under the Plan are subject to section 257 of the SFA and Participant is not permitted to sell, or offer to sell, any Shares in Singapore unless such sale or offer is made (i) more than six months from the date the Options are granted, (ii) pursuant to the exemptions under Part XIII Division (1) Subdivision (4) (other than section 280) of the SFA, or (iii) pursuant to, and in accordance with the conditions of, any other applicable provisions of the SFA.</w:t>
      </w:r>
    </w:p>
    <w:p>
      <w:pPr>
        <w:pStyle w:val="TextBody"/>
        <w:bidi w:val="0"/>
        <w:spacing w:before="0" w:after="0"/>
        <w:jc w:val="center"/>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75260"/>
                <wp:effectExtent l="0" t="0" r="0" b="0"/>
                <wp:wrapNone/>
                <wp:docPr id="151" name="Frame1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2"/>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2"/>
                        </w:rPr>
                        <w:t>-17-</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color w:val="000000"/>
          <w:sz w:val="22"/>
        </w:rPr>
        <w:t>Director Notification Obligation</w:t>
      </w:r>
      <w:r>
        <w:rPr>
          <w:rFonts w:ascii="Times New Roman;sans-serif" w:hAnsi="Times New Roman;sans-serif"/>
          <w:b w:val="false"/>
          <w:color w:val="000000"/>
          <w:sz w:val="22"/>
        </w:rPr>
        <w:t>. Directors, associate directors or shadow directors of a Singapore Subsidiary or Affiliate are subject to certain notification requirements under the Singapore Companies Act. Among these requirements is an obligation to notify such entity in writing within two business days of any of the following events: (i) the acquisition or disposal of an interest (</w:t>
      </w:r>
      <w:r>
        <w:rPr>
          <w:rFonts w:ascii="Times New Roman;sans-serif" w:hAnsi="Times New Roman;sans-serif"/>
          <w:b w:val="false"/>
          <w:i/>
          <w:color w:val="000000"/>
          <w:sz w:val="22"/>
        </w:rPr>
        <w:t>e.g.</w:t>
      </w:r>
      <w:r>
        <w:rPr>
          <w:rFonts w:ascii="Times New Roman;sans-serif" w:hAnsi="Times New Roman;sans-serif"/>
          <w:b w:val="false"/>
          <w:color w:val="000000"/>
          <w:sz w:val="22"/>
        </w:rPr>
        <w:t>, options granted under the Plan or Shares) in the Company or any Subsidiary or Affiliate, (ii) any change in previously-disclosed interests (</w:t>
      </w:r>
      <w:r>
        <w:rPr>
          <w:rFonts w:ascii="Times New Roman;sans-serif" w:hAnsi="Times New Roman;sans-serif"/>
          <w:b w:val="false"/>
          <w:i/>
          <w:color w:val="000000"/>
          <w:sz w:val="22"/>
        </w:rPr>
        <w:t>e.g.</w:t>
      </w:r>
      <w:r>
        <w:rPr>
          <w:rFonts w:ascii="Times New Roman;sans-serif" w:hAnsi="Times New Roman;sans-serif"/>
          <w:b w:val="false"/>
          <w:color w:val="000000"/>
          <w:sz w:val="22"/>
        </w:rPr>
        <w:t xml:space="preserve">, sale of Shares), or (iii) becoming a director, associate director or shadow director of a Subsidiary or Affiliate in Singapore, if the individual holds such an interest at that time. </w:t>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color w:val="000000"/>
          <w:sz w:val="22"/>
          <w:u w:val="single"/>
        </w:rPr>
      </w:pPr>
      <w:r>
        <w:rPr>
          <w:rFonts w:ascii="Times New Roman;sans-serif" w:hAnsi="Times New Roman;sans-serif"/>
          <w:b/>
          <w:color w:val="000000"/>
          <w:sz w:val="22"/>
          <w:u w:val="single"/>
        </w:rPr>
        <w:t>SWEDEN</w:t>
      </w:r>
    </w:p>
    <w:p>
      <w:pPr>
        <w:pStyle w:val="TextBody"/>
        <w:bidi w:val="0"/>
        <w:spacing w:before="0" w:after="0"/>
        <w:jc w:val="center"/>
        <w:rPr/>
      </w:pPr>
      <w:r>
        <w:rPr/>
      </w:r>
    </w:p>
    <w:p>
      <w:pPr>
        <w:pStyle w:val="TextBody"/>
        <w:bidi w:val="0"/>
        <w:spacing w:lineRule="auto" w:line="240" w:before="0" w:after="0"/>
        <w:jc w:val="both"/>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color w:val="000000"/>
          <w:sz w:val="22"/>
        </w:rPr>
        <w:t>Authorization to Withhold</w:t>
      </w:r>
      <w:r>
        <w:rPr>
          <w:rFonts w:ascii="Times New Roman;sans-serif" w:hAnsi="Times New Roman;sans-serif"/>
          <w:b w:val="false"/>
          <w:color w:val="000000"/>
          <w:sz w:val="22"/>
        </w:rPr>
        <w:t xml:space="preserve">. The following provision supplements </w:t>
      </w:r>
      <w:r>
        <w:rPr>
          <w:rFonts w:ascii="Times New Roman;sans-serif" w:hAnsi="Times New Roman;sans-serif"/>
          <w:b w:val="false"/>
          <w:color w:val="000000"/>
          <w:sz w:val="22"/>
          <w:u w:val="single"/>
        </w:rPr>
        <w:t>Section 3 of the Notice</w:t>
      </w:r>
      <w:r>
        <w:rPr>
          <w:color w:val="000000"/>
        </w:rPr>
        <w:t xml:space="preserve"> </w:t>
      </w:r>
      <w:r>
        <w:rPr>
          <w:rFonts w:ascii="Times New Roman;sans-serif" w:hAnsi="Times New Roman;sans-serif"/>
          <w:b w:val="false"/>
          <w:color w:val="000000"/>
          <w:sz w:val="22"/>
        </w:rPr>
        <w:t xml:space="preserve">as supplemented by </w:t>
      </w:r>
      <w:r>
        <w:rPr>
          <w:rFonts w:ascii="Times New Roman;sans-serif" w:hAnsi="Times New Roman;sans-serif"/>
          <w:b w:val="false"/>
          <w:color w:val="000000"/>
          <w:sz w:val="22"/>
          <w:u w:val="single"/>
        </w:rPr>
        <w:t>Section 2 of Appendix A</w:t>
      </w:r>
      <w:r>
        <w:rPr>
          <w:color w:val="000000"/>
        </w:rPr>
        <w:t xml:space="preserve"> </w:t>
      </w:r>
      <w:r>
        <w:rPr>
          <w:rFonts w:ascii="Times New Roman;sans-serif" w:hAnsi="Times New Roman;sans-serif"/>
          <w:b w:val="false"/>
          <w:color w:val="000000"/>
          <w:sz w:val="22"/>
        </w:rPr>
        <w:t>(Tax Consequences, Withholding, and Liability):</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Without limiting the Company’s and the Employer’s authority to satisfy their withholding obligations for Tax Obligations as set forth in this Notice, by accepting the grant of the Option, Participant authorizes the Company and/or the Employer to withhold Shares or to sell Shares otherwise deliverable to Participant upon exercise to satisfy Tax Obligations, regardless of whether the Company and/or Employer have an obligation to withhold such Tax Obligations.</w:t>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color w:val="000000"/>
          <w:sz w:val="22"/>
          <w:u w:val="single"/>
        </w:rPr>
      </w:pPr>
      <w:r>
        <w:rPr>
          <w:rFonts w:ascii="Times New Roman;sans-serif" w:hAnsi="Times New Roman;sans-serif"/>
          <w:b/>
          <w:color w:val="000000"/>
          <w:sz w:val="22"/>
          <w:u w:val="single"/>
        </w:rPr>
        <w:t>UNITED KINGDOM</w:t>
      </w:r>
    </w:p>
    <w:p>
      <w:pPr>
        <w:pStyle w:val="TextBody"/>
        <w:bidi w:val="0"/>
        <w:spacing w:before="0" w:after="0"/>
        <w:jc w:val="center"/>
        <w:rPr/>
      </w:pPr>
      <w:r>
        <w:rPr/>
      </w:r>
    </w:p>
    <w:p>
      <w:pPr>
        <w:pStyle w:val="TextBody"/>
        <w:bidi w:val="0"/>
        <w:spacing w:lineRule="auto" w:line="240" w:before="0" w:after="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before="0" w:after="0"/>
        <w:jc w:val="left"/>
        <w:rPr/>
      </w:pPr>
      <w:r>
        <w:rPr/>
      </w:r>
    </w:p>
    <w:p>
      <w:pPr>
        <w:pStyle w:val="TextBody"/>
        <w:bidi w:val="0"/>
        <w:spacing w:lineRule="auto" w:line="240" w:before="0" w:after="240"/>
        <w:jc w:val="both"/>
        <w:rPr/>
      </w:pPr>
      <w:r>
        <w:rPr>
          <w:rFonts w:ascii="Times New Roman;sans-serif" w:hAnsi="Times New Roman;sans-serif"/>
          <w:b/>
          <w:color w:val="000000"/>
          <w:sz w:val="22"/>
        </w:rPr>
        <w:t>Tax Obligations.</w:t>
      </w:r>
      <w:r>
        <w:rPr>
          <w:color w:val="000000"/>
        </w:rPr>
        <w:t xml:space="preserve"> </w:t>
      </w:r>
      <w:r>
        <w:rPr>
          <w:rFonts w:ascii="Times New Roman;sans-serif" w:hAnsi="Times New Roman;sans-serif"/>
          <w:b w:val="false"/>
          <w:color w:val="000000"/>
          <w:sz w:val="22"/>
        </w:rPr>
        <w:t xml:space="preserve">The following provision supplements </w:t>
      </w:r>
      <w:r>
        <w:rPr>
          <w:rFonts w:ascii="Times New Roman;sans-serif" w:hAnsi="Times New Roman;sans-serif"/>
          <w:b w:val="false"/>
          <w:color w:val="000000"/>
          <w:sz w:val="22"/>
          <w:u w:val="single"/>
        </w:rPr>
        <w:t>Section 3 of the Notice</w:t>
      </w:r>
      <w:r>
        <w:rPr>
          <w:color w:val="000000"/>
        </w:rPr>
        <w:t xml:space="preserve"> </w:t>
      </w:r>
      <w:r>
        <w:rPr>
          <w:rFonts w:ascii="Times New Roman;sans-serif" w:hAnsi="Times New Roman;sans-serif"/>
          <w:b w:val="false"/>
          <w:color w:val="000000"/>
          <w:sz w:val="22"/>
        </w:rPr>
        <w:t xml:space="preserve">as supplemented by </w:t>
      </w:r>
      <w:r>
        <w:rPr>
          <w:rFonts w:ascii="Times New Roman;sans-serif" w:hAnsi="Times New Roman;sans-serif"/>
          <w:b w:val="false"/>
          <w:color w:val="000000"/>
          <w:sz w:val="22"/>
          <w:u w:val="single"/>
        </w:rPr>
        <w:t>Section 2 of Appendix A</w:t>
      </w:r>
      <w:r>
        <w:rPr>
          <w:color w:val="000000"/>
        </w:rPr>
        <w:t xml:space="preserve"> </w:t>
      </w:r>
      <w:r>
        <w:rPr>
          <w:rFonts w:ascii="Times New Roman;sans-serif" w:hAnsi="Times New Roman;sans-serif"/>
          <w:b w:val="false"/>
          <w:color w:val="000000"/>
          <w:sz w:val="22"/>
        </w:rPr>
        <w:t>(Tax Consequences, Withholding, and Liability):</w:t>
      </w:r>
    </w:p>
    <w:p>
      <w:pPr>
        <w:pStyle w:val="TextBody"/>
        <w:bidi w:val="0"/>
        <w:spacing w:lineRule="auto" w:line="240" w:before="0" w:after="240"/>
        <w:jc w:val="both"/>
        <w:rPr/>
      </w:pPr>
      <w:r>
        <w:rPr>
          <w:rFonts w:ascii="Times New Roman;sans-serif" w:hAnsi="Times New Roman;sans-serif"/>
          <w:b w:val="false"/>
          <w:color w:val="000000"/>
          <w:sz w:val="22"/>
        </w:rPr>
        <w:t>Participant agrees to indemnify the Company and/or the Employer for all Tax Obligations that he or she is required to pay or withhold or have paid or will pay to Her Majesty’s Revenue &amp; Customs (“</w:t>
      </w:r>
      <w:r>
        <w:rPr>
          <w:rFonts w:ascii="Times New Roman;sans-serif" w:hAnsi="Times New Roman;sans-serif"/>
          <w:b/>
          <w:color w:val="000000"/>
          <w:sz w:val="22"/>
        </w:rPr>
        <w:t>HMRC</w:t>
      </w:r>
      <w:r>
        <w:rPr>
          <w:color w:val="000000"/>
        </w:rPr>
        <w:t>”</w:t>
      </w:r>
      <w:r>
        <w:rPr>
          <w:rFonts w:ascii="Times New Roman;sans-serif" w:hAnsi="Times New Roman;sans-serif"/>
          <w:b w:val="false"/>
          <w:color w:val="000000"/>
          <w:sz w:val="22"/>
        </w:rPr>
        <w:t xml:space="preserve">) (or any other tax or relevant authority) on Participant’s behalf and authorizes the Company and/or the Employer to recover such amounts by any of the means set out in this Notice. Participant also agrees to be liable for any Tax Obligations related to the Options and legally applicable to Participant, and hereby covenants to pay any such Tax-Related items as and when requested by the Company, the Employer or by HMRC (or any other tax or relevant authority). </w:t>
      </w:r>
    </w:p>
    <w:p>
      <w:pPr>
        <w:pStyle w:val="TextBody"/>
        <w:bidi w:val="0"/>
        <w:spacing w:lineRule="auto" w:line="240"/>
        <w:jc w:val="both"/>
        <w:rPr>
          <w:rFonts w:ascii="Times New Roman;sans-serif" w:hAnsi="Times New Roman;sans-serif"/>
          <w:b w:val="false"/>
          <w:color w:val="000000"/>
          <w:sz w:val="22"/>
        </w:rPr>
      </w:pPr>
      <w:r>
        <w:rPr>
          <w:rFonts w:ascii="Times New Roman;sans-serif" w:hAnsi="Times New Roman;sans-serif"/>
          <w:b w:val="false"/>
          <w:color w:val="000000"/>
          <w:sz w:val="22"/>
        </w:rPr>
        <w:t>Notwithstanding the foregoing, if Participant is a director or an executive officer (within the meaning of such terms for purposes of Section 13(k) of the Exchange Act), the terms of the immediately foregoing provision will not apply. In the event that Participant is a director or an executive officer and the income tax is not collected from or paid by Participant within ninety (90) days of the end of the U.K. tax year in which an event giving rise to the indemnification described above occurs, the amount of any uncollected income tax may constitute a benefit to Participant on which additional income tax and National Insurance Contributions may be payable. Participant understands and agrees that Participant will be responsible for reporting and paying any income tax due on this additional benefit directly to HMRC under the self-assessment regime and for paying the Company or the Employer (as appropriate) for the value of any employee National Insurance Contributions due on this additional benefit, which the Company or the Employer may recover from Participant by any of the means referred to in the Plan or this Notice.</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75260"/>
                <wp:effectExtent l="0" t="0" r="0" b="0"/>
                <wp:wrapNone/>
                <wp:docPr id="152" name="Frame1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2"/>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2"/>
                        </w:rPr>
                        <w:t>-18-</w:t>
                      </w:r>
                    </w:p>
                  </w:txbxContent>
                </v:textbox>
                <w10:wrap type="none"/>
              </v:rect>
            </w:pict>
          </mc:Fallback>
        </mc:AlternateContent>
      </w:r>
    </w:p>
    <w:p>
      <w:pPr>
        <w:pStyle w:val="TextBody"/>
        <w:bidi w:val="0"/>
        <w:spacing w:lineRule="auto" w:line="240" w:before="120" w:after="283"/>
        <w:jc w:val="right"/>
        <w:rPr>
          <w:rFonts w:ascii="Times New Roman;sans-serif" w:hAnsi="Times New Roman;sans-serif"/>
          <w:b/>
          <w:color w:val="000000"/>
          <w:sz w:val="22"/>
        </w:rPr>
      </w:pPr>
      <w:r>
        <w:rPr>
          <w:rFonts w:ascii="Times New Roman;sans-serif" w:hAnsi="Times New Roman;sans-serif"/>
          <w:b/>
          <w:color w:val="000000"/>
          <w:sz w:val="22"/>
        </w:rPr>
        <w:t>Exhibit 10.12</w:t>
      </w:r>
    </w:p>
    <w:p>
      <w:pPr>
        <w:pStyle w:val="TextBody"/>
        <w:bidi w:val="0"/>
        <w:spacing w:lineRule="auto" w:line="240" w:before="240" w:after="283"/>
        <w:jc w:val="center"/>
        <w:rPr>
          <w:rFonts w:ascii="Times New Roman;sans-serif" w:hAnsi="Times New Roman;sans-serif"/>
          <w:b/>
          <w:color w:val="000000"/>
          <w:sz w:val="24"/>
        </w:rPr>
      </w:pPr>
      <w:r>
        <w:rPr>
          <w:rFonts w:ascii="Times New Roman;sans-serif" w:hAnsi="Times New Roman;sans-serif"/>
          <w:b/>
          <w:color w:val="000000"/>
          <w:sz w:val="24"/>
        </w:rPr>
        <w:t>MAGNITE, INC.</w:t>
      </w:r>
    </w:p>
    <w:p>
      <w:pPr>
        <w:pStyle w:val="TextBody"/>
        <w:bidi w:val="0"/>
        <w:spacing w:lineRule="auto" w:line="240" w:before="120" w:after="283"/>
        <w:jc w:val="center"/>
        <w:rPr>
          <w:rFonts w:ascii="Times New Roman;sans-serif" w:hAnsi="Times New Roman;sans-serif"/>
          <w:b/>
          <w:color w:val="000000"/>
          <w:sz w:val="24"/>
        </w:rPr>
      </w:pPr>
      <w:r>
        <w:rPr>
          <w:rFonts w:ascii="Times New Roman;sans-serif" w:hAnsi="Times New Roman;sans-serif"/>
          <w:b/>
          <w:color w:val="000000"/>
          <w:sz w:val="24"/>
        </w:rPr>
        <w:t>AMENDED AND RESTATED 2014 EQUITY INCENTIVE PLAN</w:t>
      </w:r>
    </w:p>
    <w:p>
      <w:pPr>
        <w:pStyle w:val="TextBody"/>
        <w:bidi w:val="0"/>
        <w:spacing w:lineRule="auto" w:line="240" w:before="120" w:after="283"/>
        <w:jc w:val="center"/>
        <w:rPr>
          <w:rFonts w:ascii="Times New Roman;sans-serif" w:hAnsi="Times New Roman;sans-serif"/>
          <w:b/>
          <w:color w:val="000000"/>
          <w:sz w:val="24"/>
        </w:rPr>
      </w:pPr>
      <w:r>
        <w:rPr>
          <w:rFonts w:ascii="Times New Roman;sans-serif" w:hAnsi="Times New Roman;sans-serif"/>
          <w:b/>
          <w:color w:val="000000"/>
          <w:sz w:val="24"/>
        </w:rPr>
        <w:t>RESTRICTED STOCK UNIT GRANT NOTICE</w:t>
      </w:r>
    </w:p>
    <w:p>
      <w:pPr>
        <w:pStyle w:val="TextBody"/>
        <w:bidi w:val="0"/>
        <w:spacing w:lineRule="auto" w:line="240" w:before="120" w:after="283"/>
        <w:jc w:val="center"/>
        <w:rPr>
          <w:rFonts w:ascii="Times New Roman;sans-serif" w:hAnsi="Times New Roman;sans-serif"/>
          <w:b/>
          <w:color w:val="000000"/>
          <w:sz w:val="24"/>
        </w:rPr>
      </w:pPr>
      <w:r>
        <w:rPr>
          <w:rFonts w:ascii="Times New Roman;sans-serif" w:hAnsi="Times New Roman;sans-serif"/>
          <w:b/>
          <w:color w:val="000000"/>
          <w:sz w:val="24"/>
        </w:rPr>
        <w:t>FOR EMPLOYEES</w:t>
      </w:r>
    </w:p>
    <w:p>
      <w:pPr>
        <w:pStyle w:val="TextBody"/>
        <w:bidi w:val="0"/>
        <w:spacing w:before="0" w:after="0"/>
        <w:jc w:val="left"/>
        <w:rPr/>
      </w:pPr>
      <w:r>
        <w:rPr/>
      </w:r>
    </w:p>
    <w:p>
      <w:pPr>
        <w:pStyle w:val="TextBody"/>
        <w:bidi w:val="0"/>
        <w:spacing w:lineRule="auto" w:line="240" w:before="0" w:after="0"/>
        <w:jc w:val="both"/>
        <w:rPr/>
      </w:pPr>
      <w:r>
        <w:rPr>
          <w:color w:val="000000"/>
        </w:rPr>
        <w:t>    </w:t>
      </w:r>
      <w:r>
        <w:rPr>
          <w:rFonts w:ascii="Times New Roman;sans-serif" w:hAnsi="Times New Roman;sans-serif"/>
          <w:b w:val="false"/>
          <w:color w:val="000000"/>
          <w:sz w:val="22"/>
        </w:rPr>
        <w:t>Notice is hereby given of the grant by Magnite, Inc. (the “</w:t>
      </w:r>
      <w:r>
        <w:rPr>
          <w:rFonts w:ascii="Times New Roman;sans-serif" w:hAnsi="Times New Roman;sans-serif"/>
          <w:b/>
          <w:color w:val="000000"/>
          <w:sz w:val="22"/>
        </w:rPr>
        <w:t>Company</w:t>
      </w:r>
      <w:r>
        <w:rPr>
          <w:color w:val="000000"/>
        </w:rPr>
        <w:t>”</w:t>
      </w:r>
      <w:r>
        <w:rPr>
          <w:rFonts w:ascii="Times New Roman;sans-serif" w:hAnsi="Times New Roman;sans-serif"/>
          <w:b w:val="false"/>
          <w:color w:val="000000"/>
          <w:sz w:val="22"/>
        </w:rPr>
        <w:t>) to Participant named below (the “</w:t>
      </w:r>
      <w:r>
        <w:rPr>
          <w:rFonts w:ascii="Times New Roman;sans-serif" w:hAnsi="Times New Roman;sans-serif"/>
          <w:b/>
          <w:color w:val="000000"/>
          <w:sz w:val="22"/>
        </w:rPr>
        <w:t>Participant</w:t>
      </w:r>
      <w:r>
        <w:rPr>
          <w:color w:val="000000"/>
        </w:rPr>
        <w:t>”</w:t>
      </w:r>
      <w:r>
        <w:rPr>
          <w:rFonts w:ascii="Times New Roman;sans-serif" w:hAnsi="Times New Roman;sans-serif"/>
          <w:b w:val="false"/>
          <w:color w:val="000000"/>
          <w:sz w:val="22"/>
        </w:rPr>
        <w:t>) of a Restricted Stock Unit Award under the Company’s Amended and Restated 2014 Equity Incentive Plan (the “</w:t>
      </w:r>
      <w:r>
        <w:rPr>
          <w:rFonts w:ascii="Times New Roman;sans-serif" w:hAnsi="Times New Roman;sans-serif"/>
          <w:b/>
          <w:color w:val="000000"/>
          <w:sz w:val="22"/>
        </w:rPr>
        <w:t>Plan</w:t>
      </w:r>
      <w:r>
        <w:rPr>
          <w:color w:val="000000"/>
        </w:rPr>
        <w:t>”</w:t>
      </w:r>
      <w:r>
        <w:rPr>
          <w:rFonts w:ascii="Times New Roman;sans-serif" w:hAnsi="Times New Roman;sans-serif"/>
          <w:b w:val="false"/>
          <w:color w:val="000000"/>
          <w:sz w:val="22"/>
        </w:rPr>
        <w:t xml:space="preserve">), which is available at </w:t>
      </w:r>
      <w:hyperlink r:id="rId43">
        <w:r>
          <w:rPr>
            <w:rStyle w:val="InternetLink"/>
            <w:rFonts w:ascii="Times New Roman;sans-serif" w:hAnsi="Times New Roman;sans-serif"/>
            <w:b w:val="false"/>
            <w:color w:val="0000FF"/>
            <w:sz w:val="22"/>
            <w:u w:val="single"/>
          </w:rPr>
          <w:t>https://www.sec.gov/Archives/edgar/data/1595974/000159597423000031/exhibit101-arequityplan.htm</w:t>
        </w:r>
      </w:hyperlink>
      <w:r>
        <w:rPr>
          <w:color w:val="000000"/>
        </w:rPr>
        <w:t xml:space="preserve"> </w:t>
      </w:r>
      <w:r>
        <w:rPr>
          <w:rFonts w:ascii="Times New Roman;sans-serif" w:hAnsi="Times New Roman;sans-serif"/>
          <w:b w:val="false"/>
          <w:color w:val="000000"/>
          <w:sz w:val="22"/>
        </w:rPr>
        <w:t>and incorporated herein by reference. This Restricted Stock Unit Award is governed by this Restricted Stock Unit Grant Notice (including any special terms and conditions set forth in any appendices attached hereto) (the “</w:t>
      </w:r>
      <w:r>
        <w:rPr>
          <w:rFonts w:ascii="Times New Roman;sans-serif" w:hAnsi="Times New Roman;sans-serif"/>
          <w:b/>
          <w:color w:val="000000"/>
          <w:sz w:val="22"/>
        </w:rPr>
        <w:t>Notice</w:t>
      </w:r>
      <w:r>
        <w:rPr>
          <w:color w:val="000000"/>
        </w:rPr>
        <w:t>”</w:t>
      </w:r>
      <w:r>
        <w:rPr>
          <w:rFonts w:ascii="Times New Roman;sans-serif" w:hAnsi="Times New Roman;sans-serif"/>
          <w:b w:val="false"/>
          <w:color w:val="000000"/>
          <w:sz w:val="22"/>
        </w:rPr>
        <w:t xml:space="preserve">), and the Plan, and in the event of a conflict between the terms of this Notice and the Plan, the terms of the Plan shall control. By acknowledgement of and agreement with the terms of the Restricted Stock Unit Award, and also by acceptance through performance of the vesting requirements and the Shares issuable upon vesting, Participant agrees to the terms and conditions set forth in this Notice (including any special terms and conditions set forth in any appendices attached hereto) and the Plan. Capitalized terms used but not defined in this Notice shall have the meanings given to them in the Plan. </w:t>
      </w:r>
    </w:p>
    <w:p>
      <w:pPr>
        <w:pStyle w:val="TextBody"/>
        <w:bidi w:val="0"/>
        <w:spacing w:lineRule="auto" w:line="240" w:before="360" w:after="283"/>
        <w:jc w:val="both"/>
        <w:rPr/>
      </w:pPr>
      <w:r>
        <w:rPr>
          <w:color w:val="000000"/>
        </w:rPr>
        <w:t>    </w:t>
      </w:r>
      <w:r>
        <w:rPr>
          <w:rFonts w:ascii="Times New Roman;sans-serif" w:hAnsi="Times New Roman;sans-serif"/>
          <w:b w:val="false"/>
          <w:color w:val="000000"/>
          <w:sz w:val="22"/>
        </w:rPr>
        <w:t>The Restricted Stock Unit Award consists of the number of Restricted Stock Units set forth below (the “</w:t>
      </w:r>
      <w:r>
        <w:rPr>
          <w:rFonts w:ascii="Times New Roman;sans-serif" w:hAnsi="Times New Roman;sans-serif"/>
          <w:b/>
          <w:color w:val="000000"/>
          <w:sz w:val="22"/>
        </w:rPr>
        <w:t>Restricted Stock Units</w:t>
      </w:r>
      <w:r>
        <w:rPr>
          <w:color w:val="000000"/>
        </w:rPr>
        <w:t xml:space="preserve">” </w:t>
      </w:r>
      <w:r>
        <w:rPr>
          <w:rFonts w:ascii="Times New Roman;sans-serif" w:hAnsi="Times New Roman;sans-serif"/>
          <w:b w:val="false"/>
          <w:color w:val="000000"/>
          <w:sz w:val="22"/>
        </w:rPr>
        <w:t>or</w:t>
      </w:r>
      <w:r>
        <w:rPr>
          <w:color w:val="000000"/>
        </w:rPr>
        <w:t xml:space="preserve"> “</w:t>
      </w:r>
      <w:r>
        <w:rPr>
          <w:rFonts w:ascii="Times New Roman;sans-serif" w:hAnsi="Times New Roman;sans-serif"/>
          <w:b/>
          <w:color w:val="000000"/>
          <w:sz w:val="22"/>
        </w:rPr>
        <w:t>RSUs</w:t>
      </w:r>
      <w:r>
        <w:rPr>
          <w:color w:val="000000"/>
        </w:rPr>
        <w:t>”</w:t>
      </w:r>
      <w:r>
        <w:rPr>
          <w:rFonts w:ascii="Times New Roman;sans-serif" w:hAnsi="Times New Roman;sans-serif"/>
          <w:b w:val="false"/>
          <w:color w:val="000000"/>
          <w:sz w:val="22"/>
        </w:rPr>
        <w:t>). Each RSU represents the right to receive one share (a “</w:t>
      </w:r>
      <w:r>
        <w:rPr>
          <w:rFonts w:ascii="Times New Roman;sans-serif" w:hAnsi="Times New Roman;sans-serif"/>
          <w:b/>
          <w:color w:val="000000"/>
          <w:sz w:val="22"/>
        </w:rPr>
        <w:t>Share</w:t>
      </w:r>
      <w:r>
        <w:rPr>
          <w:color w:val="000000"/>
        </w:rPr>
        <w:t>”</w:t>
      </w:r>
      <w:r>
        <w:rPr>
          <w:rFonts w:ascii="Times New Roman;sans-serif" w:hAnsi="Times New Roman;sans-serif"/>
          <w:b w:val="false"/>
          <w:color w:val="000000"/>
          <w:sz w:val="22"/>
        </w:rPr>
        <w:t>) of the Company’s Common Stock, par value $0.00001 (the “</w:t>
      </w:r>
      <w:r>
        <w:rPr>
          <w:rFonts w:ascii="Times New Roman;sans-serif" w:hAnsi="Times New Roman;sans-serif"/>
          <w:b/>
          <w:color w:val="000000"/>
          <w:sz w:val="22"/>
        </w:rPr>
        <w:t>Common Stock</w:t>
      </w:r>
      <w:r>
        <w:rPr>
          <w:color w:val="000000"/>
        </w:rPr>
        <w:t>”</w:t>
      </w:r>
      <w:r>
        <w:rPr>
          <w:rFonts w:ascii="Times New Roman;sans-serif" w:hAnsi="Times New Roman;sans-serif"/>
          <w:b w:val="false"/>
          <w:color w:val="000000"/>
          <w:sz w:val="22"/>
        </w:rPr>
        <w:t>), subject to vesting as set forth below and to the terms and conditions of the Plan and this Notice, as follows:</w:t>
      </w:r>
    </w:p>
    <w:p>
      <w:pPr>
        <w:pStyle w:val="TextBody"/>
        <w:bidi w:val="0"/>
        <w:spacing w:before="180" w:after="283"/>
        <w:jc w:val="left"/>
        <w:rPr/>
      </w:pPr>
      <w:r>
        <w:rPr/>
      </w:r>
    </w:p>
    <w:p>
      <w:pPr>
        <w:pStyle w:val="TextBody"/>
        <w:bidi w:val="0"/>
        <w:spacing w:before="0" w:after="0"/>
        <w:jc w:val="left"/>
        <w:rPr/>
      </w:pPr>
      <w:r>
        <w:rPr/>
      </w:r>
    </w:p>
    <w:tbl>
      <w:tblPr>
        <w:tblW w:w="5729" w:type="dxa"/>
        <w:jc w:val="left"/>
        <w:tblInd w:w="0" w:type="dxa"/>
        <w:tblLayout w:type="fixed"/>
        <w:tblCellMar>
          <w:top w:w="28" w:type="dxa"/>
          <w:left w:w="28" w:type="dxa"/>
          <w:bottom w:w="28" w:type="dxa"/>
          <w:right w:w="28" w:type="dxa"/>
        </w:tblCellMar>
      </w:tblPr>
      <w:tblGrid>
        <w:gridCol w:w="1194"/>
        <w:gridCol w:w="1050"/>
        <w:gridCol w:w="1055"/>
        <w:gridCol w:w="712"/>
        <w:gridCol w:w="712"/>
        <w:gridCol w:w="1006"/>
      </w:tblGrid>
      <w:tr>
        <w:trPr/>
        <w:tc>
          <w:tcPr>
            <w:tcW w:w="1194"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417" w:before="0" w:after="0"/>
              <w:ind w:left="0" w:right="0" w:hanging="0"/>
              <w:jc w:val="left"/>
              <w:rPr/>
            </w:pPr>
            <w:r>
              <w:rPr>
                <w:rFonts w:ascii="Times New Roman;sans-serif" w:hAnsi="Times New Roman;sans-serif"/>
                <w:b/>
                <w:color w:val="000000"/>
                <w:sz w:val="22"/>
              </w:rPr>
              <w:t>Participant Name</w:t>
            </w:r>
            <w:r>
              <w:rPr>
                <w:rFonts w:ascii="Times New Roman;sans-serif" w:hAnsi="Times New Roman;sans-serif"/>
                <w:b w:val="false"/>
                <w:color w:val="000000"/>
                <w:sz w:val="22"/>
              </w:rPr>
              <w:t>:</w:t>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___________________</w:t>
            </w:r>
          </w:p>
        </w:tc>
      </w:tr>
      <w:tr>
        <w:trPr/>
        <w:tc>
          <w:tcPr>
            <w:tcW w:w="3299" w:type="dxa"/>
            <w:gridSpan w:val="3"/>
            <w:tcBorders/>
            <w:tcMar>
              <w:top w:w="0" w:type="dxa"/>
              <w:left w:w="0" w:type="dxa"/>
              <w:bottom w:w="0" w:type="dxa"/>
              <w:right w:w="0" w:type="dxa"/>
            </w:tcMar>
            <w:vAlign w:val="center"/>
          </w:tcPr>
          <w:p>
            <w:pPr>
              <w:pStyle w:val="TableContents"/>
              <w:bidi w:val="0"/>
              <w:spacing w:lineRule="auto" w:line="417" w:before="0" w:after="0"/>
              <w:ind w:left="0" w:right="0" w:hanging="0"/>
              <w:jc w:val="left"/>
              <w:rPr/>
            </w:pPr>
            <w:r>
              <w:rPr>
                <w:rFonts w:ascii="Times New Roman;sans-serif" w:hAnsi="Times New Roman;sans-serif"/>
                <w:b/>
                <w:color w:val="000000"/>
                <w:sz w:val="20"/>
              </w:rPr>
              <w:t>Number of Restricted Stock Units</w:t>
            </w:r>
            <w:r>
              <w:rPr>
                <w:rFonts w:ascii="Times New Roman;sans-serif" w:hAnsi="Times New Roman;sans-serif"/>
                <w:b w:val="false"/>
                <w:color w:val="000000"/>
                <w:sz w:val="20"/>
              </w:rPr>
              <w:t>:</w:t>
            </w:r>
          </w:p>
        </w:tc>
        <w:tc>
          <w:tcPr>
            <w:tcW w:w="24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___________________</w:t>
            </w:r>
          </w:p>
        </w:tc>
      </w:tr>
      <w:tr>
        <w:trPr/>
        <w:tc>
          <w:tcPr>
            <w:tcW w:w="3299" w:type="dxa"/>
            <w:gridSpan w:val="3"/>
            <w:tcBorders/>
            <w:tcMar>
              <w:top w:w="0" w:type="dxa"/>
              <w:left w:w="0" w:type="dxa"/>
              <w:bottom w:w="0" w:type="dxa"/>
              <w:right w:w="0" w:type="dxa"/>
            </w:tcMar>
            <w:vAlign w:val="center"/>
          </w:tcPr>
          <w:p>
            <w:pPr>
              <w:pStyle w:val="TableContents"/>
              <w:bidi w:val="0"/>
              <w:spacing w:lineRule="auto" w:line="417" w:before="0" w:after="0"/>
              <w:ind w:left="0" w:right="0" w:hanging="0"/>
              <w:jc w:val="left"/>
              <w:rPr/>
            </w:pPr>
            <w:r>
              <w:rPr>
                <w:rFonts w:ascii="Times New Roman;sans-serif" w:hAnsi="Times New Roman;sans-serif"/>
                <w:b/>
                <w:color w:val="000000"/>
                <w:sz w:val="22"/>
              </w:rPr>
              <w:t>Grant Date</w:t>
            </w:r>
            <w:r>
              <w:rPr>
                <w:rFonts w:ascii="Times New Roman;sans-serif" w:hAnsi="Times New Roman;sans-serif"/>
                <w:b w:val="false"/>
                <w:color w:val="000000"/>
                <w:sz w:val="22"/>
              </w:rPr>
              <w:t>:    </w:t>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___________________</w:t>
            </w:r>
          </w:p>
        </w:tc>
      </w:tr>
      <w:tr>
        <w:trPr/>
        <w:tc>
          <w:tcPr>
            <w:tcW w:w="3299" w:type="dxa"/>
            <w:gridSpan w:val="3"/>
            <w:tcBorders/>
            <w:tcMar>
              <w:top w:w="0" w:type="dxa"/>
              <w:left w:w="0" w:type="dxa"/>
              <w:bottom w:w="0" w:type="dxa"/>
              <w:right w:w="0" w:type="dxa"/>
            </w:tcMar>
            <w:vAlign w:val="center"/>
          </w:tcPr>
          <w:p>
            <w:pPr>
              <w:pStyle w:val="TableContents"/>
              <w:bidi w:val="0"/>
              <w:spacing w:lineRule="auto" w:line="417" w:before="0" w:after="0"/>
              <w:ind w:left="0" w:right="0" w:hanging="0"/>
              <w:jc w:val="left"/>
              <w:rPr/>
            </w:pPr>
            <w:r>
              <w:rPr>
                <w:rFonts w:ascii="Times New Roman;sans-serif" w:hAnsi="Times New Roman;sans-serif"/>
                <w:b/>
                <w:color w:val="000000"/>
                <w:sz w:val="22"/>
              </w:rPr>
              <w:t>Vesting Commencement Date</w:t>
            </w:r>
            <w:r>
              <w:rPr>
                <w:rFonts w:ascii="Times New Roman;sans-serif" w:hAnsi="Times New Roman;sans-serif"/>
                <w:b w:val="false"/>
                <w:color w:val="000000"/>
                <w:sz w:val="22"/>
              </w:rPr>
              <w:t>:    </w:t>
            </w:r>
          </w:p>
        </w:tc>
        <w:tc>
          <w:tcPr>
            <w:tcW w:w="24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___________________</w:t>
            </w:r>
          </w:p>
        </w:tc>
      </w:tr>
    </w:tbl>
    <w:p>
      <w:pPr>
        <w:pStyle w:val="TextBody"/>
        <w:bidi w:val="0"/>
        <w:spacing w:before="180" w:after="283"/>
        <w:jc w:val="left"/>
        <w:rPr/>
      </w:pPr>
      <w:r>
        <w:rPr/>
      </w:r>
    </w:p>
    <w:p>
      <w:pPr>
        <w:pStyle w:val="TextBody"/>
        <w:bidi w:val="0"/>
        <w:spacing w:lineRule="auto" w:line="240" w:before="240" w:after="283"/>
        <w:ind w:left="0" w:right="0" w:firstLine="720"/>
        <w:jc w:val="both"/>
        <w:rPr/>
      </w:pPr>
      <w:r>
        <w:rPr>
          <w:rFonts w:ascii="Times New Roman;sans-serif" w:hAnsi="Times New Roman;sans-serif"/>
          <w:b w:val="false"/>
          <w:color w:val="000000"/>
          <w:sz w:val="22"/>
        </w:rPr>
        <w:t>For purposes of this Notice, “</w:t>
      </w:r>
      <w:r>
        <w:rPr>
          <w:rFonts w:ascii="Times New Roman;sans-serif" w:hAnsi="Times New Roman;sans-serif"/>
          <w:b/>
          <w:color w:val="000000"/>
          <w:sz w:val="22"/>
        </w:rPr>
        <w:t>Vesting Date</w:t>
      </w:r>
      <w:r>
        <w:rPr>
          <w:color w:val="000000"/>
        </w:rPr>
        <w:t xml:space="preserve">” </w:t>
      </w:r>
      <w:r>
        <w:rPr>
          <w:rFonts w:ascii="Times New Roman;sans-serif" w:hAnsi="Times New Roman;sans-serif"/>
          <w:b w:val="false"/>
          <w:color w:val="000000"/>
          <w:sz w:val="22"/>
        </w:rPr>
        <w:t>means each February 15, May 15, August 15, and November 15, and a complete calendar month will begin on the first day of each calendar month and end on the last day of that calendar month. Subject to the Notice and any Separate Agreement (as defined below), and subject to any acceleration provisions in the Plan:</w:t>
      </w:r>
    </w:p>
    <w:p>
      <w:pPr>
        <w:pStyle w:val="TextBody"/>
        <w:bidi w:val="0"/>
        <w:spacing w:lineRule="auto" w:line="240" w:before="240" w:after="283"/>
        <w:ind w:left="0" w:right="0" w:firstLine="720"/>
        <w:jc w:val="both"/>
        <w:rPr/>
      </w:pPr>
      <w:r>
        <w:rPr>
          <w:rFonts w:ascii="Times New Roman;sans-serif" w:hAnsi="Times New Roman;sans-serif"/>
          <w:b w:val="false"/>
          <w:color w:val="000000"/>
          <w:sz w:val="22"/>
        </w:rPr>
        <w:t>(i) on the first Vesting Date that is on or immediately following the first anniversary of the Vesting Commencement Date (the “</w:t>
      </w:r>
      <w:r>
        <w:rPr>
          <w:rFonts w:ascii="Times New Roman;sans-serif" w:hAnsi="Times New Roman;sans-serif"/>
          <w:b/>
          <w:color w:val="000000"/>
          <w:sz w:val="22"/>
        </w:rPr>
        <w:t>First Vesting Date</w:t>
      </w:r>
      <w:r>
        <w:rPr>
          <w:color w:val="000000"/>
        </w:rPr>
        <w:t>”</w:t>
      </w:r>
      <w:r>
        <w:rPr>
          <w:rFonts w:ascii="Times New Roman;sans-serif" w:hAnsi="Times New Roman;sans-serif"/>
          <w:b w:val="false"/>
          <w:color w:val="000000"/>
          <w:sz w:val="22"/>
        </w:rPr>
        <w:t xml:space="preserve">), there shall vest a number of the RSUs equal to the sum of (A) 25% of the total number of RSUs and (B) a number of RSUs equal to the product of 2.0833% of the total number of RSUs and the number of complete calendar months, if any, elapsed during the period beginning on the first anniversary of the Vesting Commencement Date and ending on the First Vesting Date; </w:t>
      </w:r>
    </w:p>
    <w:p>
      <w:pPr>
        <w:pStyle w:val="TextBody"/>
        <w:bidi w:val="0"/>
        <w:spacing w:lineRule="auto" w:line="240" w:before="240"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(ii) on each of the twelve Vesting Dates next succeeding the First Vesting Date, there shall vest an additional number of RSUs equal to 6.25% of the total number of RSUs, except that the number of RSUs vesting on the last of such twelve succeeding Vesting Dates will be less than </w:t>
      </w:r>
    </w:p>
    <w:p>
      <w:pPr>
        <w:pStyle w:val="TextBody"/>
        <w:bidi w:val="0"/>
        <w:spacing w:before="0" w:after="0"/>
        <w:jc w:val="center"/>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75260"/>
                <wp:effectExtent l="0" t="0" r="0" b="0"/>
                <wp:wrapNone/>
                <wp:docPr id="153" name="Frame1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2"/>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2"/>
                        </w:rPr>
                        <w:t>-1-</w:t>
                      </w:r>
                    </w:p>
                  </w:txbxContent>
                </v:textbox>
                <w10:wrap type="none"/>
              </v:rect>
            </w:pict>
          </mc:Fallback>
        </mc:AlternateContent>
      </w:r>
    </w:p>
    <w:p>
      <w:pPr>
        <w:pStyle w:val="TextBody"/>
        <w:bidi w:val="0"/>
        <w:spacing w:lineRule="auto" w:line="240" w:before="24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6.25% of the total number of RSUs if and to the extent that the number of RSUs Vesting on the First Vesting Date exceeded 25% of the total number of RSUs; </w:t>
      </w:r>
    </w:p>
    <w:p>
      <w:pPr>
        <w:pStyle w:val="TextBody"/>
        <w:bidi w:val="0"/>
        <w:spacing w:before="0" w:after="0"/>
        <w:jc w:val="left"/>
        <w:rPr/>
      </w:pPr>
      <w:r>
        <w:rPr/>
      </w:r>
    </w:p>
    <w:p>
      <w:pPr>
        <w:pStyle w:val="TextBody"/>
        <w:bidi w:val="0"/>
        <w:spacing w:lineRule="auto" w:line="240" w:before="0" w:after="0"/>
        <w:ind w:left="0" w:right="0" w:firstLine="720"/>
        <w:jc w:val="left"/>
        <w:rPr/>
      </w:pPr>
      <w:r>
        <w:rPr>
          <w:rFonts w:ascii="Times New Roman;sans-serif" w:hAnsi="Times New Roman;sans-serif"/>
          <w:b w:val="false"/>
          <w:color w:val="000000"/>
          <w:sz w:val="22"/>
        </w:rPr>
        <w:t xml:space="preserve">(iii) except as provided in </w:t>
      </w:r>
      <w:r>
        <w:rPr>
          <w:rFonts w:ascii="Times New Roman;sans-serif" w:hAnsi="Times New Roman;sans-serif"/>
          <w:b w:val="false"/>
          <w:color w:val="000000"/>
          <w:sz w:val="22"/>
          <w:u w:val="single"/>
        </w:rPr>
        <w:t>Section 2</w:t>
      </w:r>
      <w:r>
        <w:rPr>
          <w:color w:val="000000"/>
        </w:rPr>
        <w:t xml:space="preserve"> </w:t>
      </w:r>
      <w:r>
        <w:rPr>
          <w:rFonts w:ascii="Times New Roman;sans-serif" w:hAnsi="Times New Roman;sans-serif"/>
          <w:b w:val="false"/>
          <w:color w:val="000000"/>
          <w:sz w:val="22"/>
        </w:rPr>
        <w:t>below in connection with a termination of Continuous Service without Cause or due to death or Disability, no RSUs will vest before the First Vesting Date, and vesting of RSUs will occur only on Vesting Dates, without any ratable vesting for periods of time between Vesting Dates; and</w:t>
      </w:r>
    </w:p>
    <w:p>
      <w:pPr>
        <w:pStyle w:val="TextBody"/>
        <w:bidi w:val="0"/>
        <w:spacing w:before="0" w:after="0"/>
        <w:ind w:left="0" w:right="0" w:firstLine="720"/>
        <w:jc w:val="left"/>
        <w:rPr/>
      </w:pPr>
      <w:r>
        <w:rPr/>
      </w:r>
    </w:p>
    <w:p>
      <w:pPr>
        <w:pStyle w:val="TextBody"/>
        <w:bidi w:val="0"/>
        <w:spacing w:lineRule="auto" w:line="240"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(iv) if the application of one of the vesting percentages set forth above results in the vesting of a fractional Share, the number of Shares that shall become vested on such Vesting Date shall be rounded to the nearest whole Share, provided that the number of Shares paid to Participant on the final Vesting Date shall be adjusted as appropriate to compensate for rounding on previous Vesting Dates so that the total number of Shares paid is equal to the total number of Shares subject to the RSUs, as such Shares may be adjusted pursuant to Section 10 of the Plan.</w:t>
      </w:r>
    </w:p>
    <w:p>
      <w:pPr>
        <w:pStyle w:val="TextBody"/>
        <w:bidi w:val="0"/>
        <w:spacing w:lineRule="auto" w:line="240" w:before="240" w:after="283"/>
        <w:ind w:left="0" w:right="0" w:firstLine="720"/>
        <w:jc w:val="both"/>
        <w:rPr/>
      </w:pPr>
      <w:r>
        <w:rPr>
          <w:rFonts w:ascii="Times New Roman;sans-serif" w:hAnsi="Times New Roman;sans-serif"/>
          <w:b w:val="false"/>
          <w:color w:val="000000"/>
          <w:sz w:val="22"/>
        </w:rPr>
        <w:t xml:space="preserve">Subject to </w:t>
      </w:r>
      <w:r>
        <w:rPr>
          <w:rFonts w:ascii="Times New Roman;sans-serif" w:hAnsi="Times New Roman;sans-serif"/>
          <w:b w:val="false"/>
          <w:color w:val="000000"/>
          <w:sz w:val="22"/>
          <w:u w:val="single"/>
        </w:rPr>
        <w:t>Section 2</w:t>
      </w:r>
      <w:r>
        <w:rPr>
          <w:color w:val="000000"/>
        </w:rPr>
        <w:t xml:space="preserve"> </w:t>
      </w:r>
      <w:r>
        <w:rPr>
          <w:rFonts w:ascii="Times New Roman;sans-serif" w:hAnsi="Times New Roman;sans-serif"/>
          <w:b w:val="false"/>
          <w:color w:val="000000"/>
          <w:sz w:val="22"/>
        </w:rPr>
        <w:t>below, if Participant ceases to remain in Continuous Service for any or no reason before Participant vests in any of the Restricted Stock Units, all unvested Restricted Stock Units and Participant’s right to acquire any Shares of Common Stock hereunder will immediately terminate and be forfeited. However, notwithstanding anything herein to the contrary, the vesting of the Restricted Stock Units shall be subject to any vesting acceleration provisions applicable to the Restricted Stock Units contained in the Plan and/or any employment or service agreement, offer letter, severance agreement, or any other agreement between Participant and the Company or any Affiliate (such agreement, a “</w:t>
      </w:r>
      <w:r>
        <w:rPr>
          <w:rFonts w:ascii="Times New Roman;sans-serif" w:hAnsi="Times New Roman;sans-serif"/>
          <w:b/>
          <w:color w:val="000000"/>
          <w:sz w:val="22"/>
        </w:rPr>
        <w:t>Separate Agreement</w:t>
      </w:r>
      <w:r>
        <w:rPr>
          <w:color w:val="000000"/>
        </w:rPr>
        <w:t>”</w:t>
      </w:r>
      <w:r>
        <w:rPr>
          <w:rFonts w:ascii="Times New Roman;sans-serif" w:hAnsi="Times New Roman;sans-serif"/>
          <w:b w:val="false"/>
          <w:color w:val="000000"/>
          <w:sz w:val="22"/>
        </w:rPr>
        <w:t xml:space="preserve">). Furthermore, under all circumstances, the vesting of Restricted Stock Units shall be subject to the satisfaction of Participant’s obligations as set forth in </w:t>
      </w:r>
      <w:r>
        <w:rPr>
          <w:rFonts w:ascii="Times New Roman;sans-serif" w:hAnsi="Times New Roman;sans-serif"/>
          <w:b w:val="false"/>
          <w:color w:val="000000"/>
          <w:sz w:val="22"/>
          <w:u w:val="single"/>
        </w:rPr>
        <w:t>Section 6(b)</w:t>
      </w:r>
      <w:r>
        <w:rPr>
          <w:rFonts w:ascii="Times New Roman;sans-serif" w:hAnsi="Times New Roman;sans-serif"/>
          <w:b w:val="false"/>
          <w:color w:val="000000"/>
          <w:sz w:val="22"/>
        </w:rPr>
        <w:t>.</w:t>
      </w:r>
    </w:p>
    <w:p>
      <w:pPr>
        <w:pStyle w:val="TextBody"/>
        <w:bidi w:val="0"/>
        <w:spacing w:lineRule="auto" w:line="240" w:before="240" w:after="283"/>
        <w:jc w:val="left"/>
        <w:rPr/>
      </w:pPr>
      <w:r>
        <w:rPr>
          <w:color w:val="000000"/>
        </w:rPr>
        <w:t>    </w:t>
      </w:r>
      <w:r>
        <w:rPr>
          <w:rFonts w:ascii="Times New Roman;sans-serif" w:hAnsi="Times New Roman;sans-serif"/>
          <w:b w:val="false"/>
          <w:color w:val="000000"/>
          <w:sz w:val="22"/>
        </w:rPr>
        <w:t>The Restricted Stock Unit Award is subject to the terms and conditions, and the representations of Participant, set forth below and including any special terms and conditions set forth in any appendices attached hereto.</w:t>
      </w:r>
    </w:p>
    <w:p>
      <w:pPr>
        <w:pStyle w:val="TextBody"/>
        <w:bidi w:val="0"/>
        <w:spacing w:lineRule="auto" w:line="304" w:before="240" w:after="240"/>
        <w:ind w:left="0" w:right="0" w:firstLine="360"/>
        <w:jc w:val="both"/>
        <w:rPr/>
      </w:pPr>
      <w:r>
        <w:rPr>
          <w:rFonts w:ascii="Times New Roman;sans-serif" w:hAnsi="Times New Roman;sans-serif"/>
          <w:b/>
          <w:color w:val="000000"/>
          <w:sz w:val="22"/>
        </w:rPr>
        <w:t>1.Vesting of RSUs and Payment of Shares</w:t>
      </w:r>
      <w:r>
        <w:rPr>
          <w:rFonts w:ascii="Times New Roman;sans-serif" w:hAnsi="Times New Roman;sans-serif"/>
          <w:b w:val="false"/>
          <w:color w:val="000000"/>
          <w:sz w:val="22"/>
        </w:rPr>
        <w:t xml:space="preserve">.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2"/>
          <w:u w:val="single"/>
        </w:rPr>
        <w:t>Prior to Vesting</w:t>
      </w:r>
      <w:r>
        <w:rPr>
          <w:rFonts w:ascii="Times New Roman;sans-serif" w:hAnsi="Times New Roman;sans-serif"/>
          <w:b w:val="false"/>
          <w:color w:val="000000"/>
          <w:sz w:val="22"/>
        </w:rPr>
        <w:t xml:space="preserve">. Prior to vesting and actual payment on any vested Restricted Stock Unit, such Restricted Stock Unit will represent an unsecured obligation of the Company, for which there is no trust and no obligation other than to make payment as contemplated by this Notice and the Plan. Neither Participant nor any person claiming under or through Participant will have any of the rights or privileges of a stockholder of the Company in respect of any Restricted Stock Units, or any Shares deliverable hereunder unless and until such RSUs have vested in the manner set forth in the Vesting Schedule above and the underlying Shares have been issued and recorded on the records of the Company or its transfer agents or registrars. No adjustment shall be made for any dividends (ordinary or extraordinary, whether cash, securities, or other property) or distributions or other rights for which the record date is prior to the date Shares are issued, except as provided in Section 10 of the Plan.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2"/>
          <w:u w:val="single"/>
        </w:rPr>
        <w:t>Vesting</w:t>
      </w:r>
      <w:r>
        <w:rPr>
          <w:rFonts w:ascii="Times New Roman;sans-serif" w:hAnsi="Times New Roman;sans-serif"/>
          <w:b w:val="false"/>
          <w:color w:val="000000"/>
          <w:sz w:val="22"/>
        </w:rPr>
        <w:t xml:space="preserve">. Each Restricted Stock Unit represents the right to receive payment on the date it vests in the form of one Share. Subject to </w:t>
      </w:r>
      <w:r>
        <w:rPr>
          <w:rFonts w:ascii="Times New Roman;sans-serif" w:hAnsi="Times New Roman;sans-serif"/>
          <w:b w:val="false"/>
          <w:color w:val="000000"/>
          <w:sz w:val="22"/>
          <w:u w:val="single"/>
        </w:rPr>
        <w:t>Section 3</w:t>
      </w:r>
      <w:r>
        <w:rPr>
          <w:color w:val="000000"/>
        </w:rPr>
        <w:t xml:space="preserve"> </w:t>
      </w:r>
      <w:r>
        <w:rPr>
          <w:rFonts w:ascii="Times New Roman;sans-serif" w:hAnsi="Times New Roman;sans-serif"/>
          <w:b w:val="false"/>
          <w:color w:val="000000"/>
          <w:sz w:val="22"/>
        </w:rPr>
        <w:t>and the next paragraph, any Restricted Stock Units that vest will be paid to Participant in whole Shares as soon as practicable after vesting, but in each such case within the period ending no later than the fifteenth (15</w:t>
      </w:r>
      <w:r>
        <w:rPr>
          <w:rFonts w:ascii="Times New Roman;sans-serif" w:hAnsi="Times New Roman;sans-serif"/>
          <w:b w:val="false"/>
          <w:color w:val="000000"/>
          <w:sz w:val="14"/>
        </w:rPr>
        <w:t>th</w:t>
      </w:r>
      <w:r>
        <w:rPr>
          <w:rFonts w:ascii="Times New Roman;sans-serif" w:hAnsi="Times New Roman;sans-serif"/>
          <w:b w:val="false"/>
          <w:color w:val="000000"/>
          <w:sz w:val="22"/>
        </w:rPr>
        <w:t>) day of the third (3</w:t>
      </w:r>
      <w:r>
        <w:rPr>
          <w:rFonts w:ascii="Times New Roman;sans-serif" w:hAnsi="Times New Roman;sans-serif"/>
          <w:b w:val="false"/>
          <w:color w:val="000000"/>
          <w:sz w:val="14"/>
        </w:rPr>
        <w:t>rd</w:t>
      </w:r>
      <w:r>
        <w:rPr>
          <w:rFonts w:ascii="Times New Roman;sans-serif" w:hAnsi="Times New Roman;sans-serif"/>
          <w:b w:val="false"/>
          <w:color w:val="000000"/>
          <w:sz w:val="22"/>
        </w:rPr>
        <w:t xml:space="preserve">) month following the end of the calendar year, or if later, the end of the Company’s tax year, in either case that includes the vesting date. In no event will Participant be permitted, directly or indirectly, to specify the taxable year of payment of any Restricted Stock Units payable under this Notice. Any distribution or delivery of Shares to be made to Participant will, if Participant is then deceased, be made to Participant’s designated beneficiary, or if no beneficiary survives Participant, the administrator or executor of Participant’s estate. Any such transferee must furnish the Company with written notice of his or her status as transferee and evidence satisfactory to the Company to establish the validity of the transfer and compliance with any laws or regulations pertaining to said transfer. After RSUs have vested in the manner set forth in the Vesting Schedule above and the underlying Shares have been issued and recorded </w:t>
      </w:r>
    </w:p>
    <w:p>
      <w:pPr>
        <w:pStyle w:val="TextBody"/>
        <w:bidi w:val="0"/>
        <w:spacing w:before="0" w:after="0"/>
        <w:jc w:val="center"/>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75260"/>
                <wp:effectExtent l="0" t="0" r="0" b="0"/>
                <wp:wrapNone/>
                <wp:docPr id="154" name="Frame1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2"/>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2"/>
                        </w:rPr>
                        <w:t>-2-</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on the records of the Company or its transfer agents or registrars, Participant will have all the rights of a stockholder of the Company with respect to voting such Shares and receipt of dividends and distributions on such Shares.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2"/>
          <w:u w:val="single"/>
        </w:rPr>
        <w:t>409A</w:t>
      </w:r>
      <w:r>
        <w:rPr>
          <w:rFonts w:ascii="Times New Roman;sans-serif" w:hAnsi="Times New Roman;sans-serif"/>
          <w:b w:val="false"/>
          <w:color w:val="000000"/>
          <w:sz w:val="22"/>
        </w:rPr>
        <w:t>. Notwithstanding anything in the Plan, this Notice, or any Separate Agreement to the contrary, if the vesting of the balance, or some lesser portion of the balance, of the Restricted Stock Units is accelerated in connection with the termination of Participant’s Continuous Service (provided that such termination is a “separation from service” within the meaning of Section 409A, as determined by the Company), other than due to death, and if (x) Participant is a “specified employee” within the meaning of Section 409A at the time of the termination of Participant’s Service and (y) the payment of such accelerated Restricted Stock Units will result in the imposition of additional tax under Section 409A if paid to Participant on or within the six (6) month period following the termination of Participant’s Service, then the payment of such accelerated Restricted Stock Units will not be made until the date that is six (6) months and one (1) day following the date of termination of Participant’s Continuous Service, unless Participant dies following the date his or her Continuous Service terminates, in which case, the RSUs will be paid in Shares to Participant’s estate as soon as practicable following his or her death. It is the intent of this Notice that the grant of Restricted Stock Units and any Shares issuable upon vesting of the Restricted Stock Units be exempt from the requirements of Section 409A to the greatest extent provided under the regulations promulgated so that none of the Restricted Stock Units or Shares issuable upon vesting of RSUs will be subject to the additional tax imposed under Section 409A, and any ambiguities herein will be interpreted to so comply. To the extent that any Restricted Stock Units or any Shares issuable under the terms of any Restricted Stock Units are determined to be subject to the requirements of Section 409A, it is the intent of this Notice that the award comply with Section 409A, and any ambiguities will be interpreted to so comply. For purposes of this Notice, “</w:t>
      </w:r>
      <w:r>
        <w:rPr>
          <w:rFonts w:ascii="Times New Roman;sans-serif" w:hAnsi="Times New Roman;sans-serif"/>
          <w:b/>
          <w:color w:val="000000"/>
          <w:sz w:val="22"/>
        </w:rPr>
        <w:t>Section 409A</w:t>
      </w:r>
      <w:r>
        <w:rPr>
          <w:color w:val="000000"/>
        </w:rPr>
        <w:t xml:space="preserve">” </w:t>
      </w:r>
      <w:r>
        <w:rPr>
          <w:rFonts w:ascii="Times New Roman;sans-serif" w:hAnsi="Times New Roman;sans-serif"/>
          <w:b w:val="false"/>
          <w:color w:val="000000"/>
          <w:sz w:val="22"/>
        </w:rPr>
        <w:t>means Section 409A of the Code, and any proposed, temporary or final Treasury Regulations and Internal Revenue Service guidance thereunder, as each may be amended from time to time.</w:t>
      </w:r>
    </w:p>
    <w:p>
      <w:pPr>
        <w:pStyle w:val="TextBody"/>
        <w:bidi w:val="0"/>
        <w:spacing w:lineRule="auto" w:line="304" w:before="240" w:after="240"/>
        <w:ind w:left="0" w:right="0" w:firstLine="360"/>
        <w:jc w:val="both"/>
        <w:rPr/>
      </w:pPr>
      <w:r>
        <w:rPr>
          <w:rFonts w:ascii="Times New Roman;sans-serif" w:hAnsi="Times New Roman;sans-serif"/>
          <w:b/>
          <w:color w:val="000000"/>
          <w:sz w:val="22"/>
        </w:rPr>
        <w:t>2.Forfeiture Upon Termination of Continuous Service</w:t>
      </w:r>
      <w:r>
        <w:rPr>
          <w:rFonts w:ascii="Times New Roman;sans-serif" w:hAnsi="Times New Roman;sans-serif"/>
          <w:b w:val="false"/>
          <w:color w:val="000000"/>
          <w:sz w:val="22"/>
        </w:rPr>
        <w:t xml:space="preserve">.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2"/>
        </w:rPr>
        <w:t>Except as otherwise provided in the Vesting Schedule set forth above in this Notice or in a Separate Agreement, but notwithstanding any contrary provision of this Notice, if Participant ceases to remain in Continuous Service at any time for any reason other than (i) a termination of Continuous Service by the Company without Cause on or after the First Vesting Date, or (ii) Participant’s death or Disability on or after the First Vesting Date, the then-unvested Restricted Stock Units will thereupon terminate and be forfeited at no cost to the Company and Participant will have no further rights with respect to such forfeited Restricted Stock Units or any underlying Shares. Upon a termination of Continuous Service by the Company without Cause on or after the First Vesting Date, or due to Participant’s death or Disability on or after the First Vesting Date, a number of additional Restricted Stock Units shall become vested as of the date of such termination of Continuous Service equal to the product obtained by multiplying the number of RSUs scheduled to vest on the scheduled Vesting Date next succeeding the date of termination of Continuous Service and a fraction, the numerator of which is the number of full months from the Vesting Date immediately preceding the date of termination of Continuous Service to the date of termination of Continuous Service, and the denominator of which is the number of full months from the Vesting Date immediately preceding the date of termination of Continuous Service to the scheduled Vesting Date next following the date of termination of Continuous Service. For these purposes, a full month means the period from the date of one calendar month to the same date the next calendar month (e.g., from May 15 to June 15), or the last day of the next calendar month if the date is the 29</w:t>
      </w:r>
      <w:r>
        <w:rPr>
          <w:rFonts w:ascii="Times New Roman;sans-serif" w:hAnsi="Times New Roman;sans-serif"/>
          <w:b w:val="false"/>
          <w:color w:val="000000"/>
          <w:sz w:val="14"/>
        </w:rPr>
        <w:t>th</w:t>
      </w:r>
      <w:r>
        <w:rPr>
          <w:rFonts w:ascii="Times New Roman;sans-serif" w:hAnsi="Times New Roman;sans-serif"/>
          <w:b w:val="false"/>
          <w:color w:val="000000"/>
          <w:sz w:val="22"/>
        </w:rPr>
        <w:t>, 30</w:t>
      </w:r>
      <w:r>
        <w:rPr>
          <w:rFonts w:ascii="Times New Roman;sans-serif" w:hAnsi="Times New Roman;sans-serif"/>
          <w:b w:val="false"/>
          <w:color w:val="000000"/>
          <w:sz w:val="14"/>
        </w:rPr>
        <w:t>th</w:t>
      </w:r>
      <w:r>
        <w:rPr>
          <w:rFonts w:ascii="Times New Roman;sans-serif" w:hAnsi="Times New Roman;sans-serif"/>
          <w:b w:val="false"/>
          <w:color w:val="000000"/>
          <w:sz w:val="22"/>
        </w:rPr>
        <w:t>, or 31</w:t>
      </w:r>
      <w:r>
        <w:rPr>
          <w:rFonts w:ascii="Times New Roman;sans-serif" w:hAnsi="Times New Roman;sans-serif"/>
          <w:b w:val="false"/>
          <w:color w:val="000000"/>
          <w:sz w:val="14"/>
        </w:rPr>
        <w:t>st</w:t>
      </w:r>
      <w:r>
        <w:rPr>
          <w:color w:val="000000"/>
        </w:rPr>
        <w:t xml:space="preserve"> </w:t>
      </w:r>
      <w:r>
        <w:rPr>
          <w:rFonts w:ascii="Times New Roman;sans-serif" w:hAnsi="Times New Roman;sans-serif"/>
          <w:b w:val="false"/>
          <w:color w:val="000000"/>
          <w:sz w:val="22"/>
        </w:rPr>
        <w:t xml:space="preserve">and the next calendar month does not have at least 29, 30 or 31 days, as the case may be. Any Restricted Stock Units remaining unvested after such pro rata acceleration of vesting shall terminate and be forfeited at no cost to the Company and Participant will have no further rights with respect to such forfeited Restricted Stock Units or any underlying Shares. </w:t>
      </w:r>
    </w:p>
    <w:p>
      <w:pPr>
        <w:pStyle w:val="TextBody"/>
        <w:bidi w:val="0"/>
        <w:spacing w:before="0" w:after="0"/>
        <w:jc w:val="center"/>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75260"/>
                <wp:effectExtent l="0" t="0" r="0" b="0"/>
                <wp:wrapNone/>
                <wp:docPr id="155" name="Frame1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2"/>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2"/>
                        </w:rPr>
                        <w:t>-3-</w:t>
                      </w:r>
                    </w:p>
                  </w:txbxContent>
                </v:textbox>
                <w10:wrap type="none"/>
              </v:rect>
            </w:pict>
          </mc:Fallback>
        </mc:AlternateContent>
      </w:r>
    </w:p>
    <w:p>
      <w:pPr>
        <w:pStyle w:val="TextBody"/>
        <w:bidi w:val="0"/>
        <w:spacing w:lineRule="auto" w:line="304" w:before="240" w:after="240"/>
        <w:ind w:left="0" w:right="0" w:firstLine="360"/>
        <w:jc w:val="both"/>
        <w:rPr/>
      </w:pPr>
      <w:r>
        <w:rPr>
          <w:rFonts w:ascii="Times New Roman;sans-serif" w:hAnsi="Times New Roman;sans-serif"/>
          <w:b/>
          <w:color w:val="000000"/>
          <w:sz w:val="22"/>
        </w:rPr>
        <w:t>3.Tax Consequences, Withholding, and Liability</w:t>
      </w:r>
      <w:r>
        <w:rPr>
          <w:rFonts w:ascii="Times New Roman;sans-serif" w:hAnsi="Times New Roman;sans-serif"/>
          <w:b w:val="false"/>
          <w:color w:val="000000"/>
          <w:sz w:val="22"/>
        </w:rPr>
        <w:t xml:space="preserve">.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2"/>
        </w:rPr>
        <w:t>Participant understands that Participant may suffer adverse tax consequences as a result of the grant or vesting of the Restricted Stock Units and issuance and/or disposition of the Shares. Participant understands that the actual tax consequences associated with the Restricted Stock Units and Shares are complicated and depend, in part, on Participant’s specific situation and may also depend on the resolution of currently uncertain tax law and other variables not within the control of the Company. THEREFORE, PARTICIPANT SHOULD SEEK INDEPENDENT ADVICE REGARDING THE APPLICABLE PROVISIONS OF THE FEDERAL TAX LAW AND THE TAX LAWS OF ANY MUNICIPALITY, STATE OR NON-U.S. JURISDICTION TO WHICH PARTICIPANT IS SUBJECT. By accepting (through performance) the Restricted Stock Units and any Shares, Participant acknowledges and agrees that Participant has either consulted with a competent tax advisor independent of the Company to obtain tax advice concerning the RSUs and Shares in light of Participant’s specific situation or has had the opportunity to consult with such a tax advisor and has chosen not to do so. Neither the Company nor any of its employees, counsel, or agents has provided to Participant, and Participant has not relied upon from the Company or any of its employees, counsel, or agents, any written or oral advice or representation regarding the U.S. federal, state, local or non-U.S. tax consequences of the receipt, ownership and vesting of the Restricted Stock Units, the issuance of Shares in connection with vesting of the Restricted Stock Units, the other transactions contemplated by this Notice, or the value of the Company or the RSUs or Shares at any time. With respect to such matters, Participant relies solely on Participant’s own advisors.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2"/>
        </w:rPr>
        <w:t>Participant (and not the Company) shall be responsible for Participant’s own tax liability that may arise as a result of the receipt, ownership and vesting of the Restricted Stock Units, the issuance of Shares pursuant to the Restricted Stock Units, or the other transactions contemplated by this Notice. Pursuant to such procedures as the Plan administrator may specify from time to time, the Company shall satisfy its obligations to pay withholding taxes or other tax deposits in connection with the receipt, ownership and/or vesting of the Restricted Stock Units, the issuance of Shares pursuant to the Restricted Stock Units, or the other transactions contemplated by this Notice in accordance with applicable law or regulation (the “</w:t>
      </w:r>
      <w:r>
        <w:rPr>
          <w:rFonts w:ascii="Times New Roman;sans-serif" w:hAnsi="Times New Roman;sans-serif"/>
          <w:b/>
          <w:color w:val="000000"/>
          <w:sz w:val="22"/>
        </w:rPr>
        <w:t>Tax Obligations</w:t>
      </w:r>
      <w:r>
        <w:rPr>
          <w:color w:val="000000"/>
        </w:rPr>
        <w:t>”</w:t>
      </w:r>
      <w:r>
        <w:rPr>
          <w:rFonts w:ascii="Times New Roman;sans-serif" w:hAnsi="Times New Roman;sans-serif"/>
          <w:b w:val="false"/>
          <w:color w:val="000000"/>
          <w:sz w:val="22"/>
        </w:rPr>
        <w:t>). If amounts paid by the Company in respect of Tax Obligations are less than Participant’s tax obligations, Participant is solely responsible for any additional taxes due. If amounts paid by the Company in respect of Tax Obligations exceed Participant’s tax obligations, Participant’s sole recourse will be against the relevant taxing authorities, and the Company and its Affiliates will have no obligation to issue additional Shares or pay cash to Participant in respect thereof. Participant is responsible for determining Participant’s actual income tax liabilities and making appropriate payments to the relevant taxing authorities to fulfill Participant’s tax obligations and avoid interest and penalties.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2"/>
        </w:rPr>
        <w:t xml:space="preserve">Payment by the Company or its Affiliate of the Tax Obligations will result in a commensurate obligation of Participant to pay, or cause to be paid, to the Company or its Affiliate, in accordance with Section 9(h) of the Plan, the amount of Tax Obligations so paid, and the Company shall not be required to issue any of the Shares or any interest in the Shares unless and until Participant has satisfied this obligation. To the extent determined appropriate by the Company in its discretion, it shall have the right (but not the obligation) to cause Participant to satisfy any or all Tax Obligations by withholding and retaining Shares otherwise deliverable to Participant having an aggregate Fair Market Value equal to the amount of such Tax Obligations. If, at the time Shares are to be issued, those Shares are not freely tradeable on a national securities exchange or market system (and for this purpose, a blackout pursuant to the Company’s insider trading policy will not be considered to render the Shares not freely tradeable), Participant may in Participant’s sole discretion satisfy the Tax Obligations by electing to have the Company withhold and retain such number of Shares otherwise deliverable to Participant, and/or by surrendering such number of Shares already delivered to Participant, having an aggregate Fair Market Value equal to the amount of such Tax Obligations. In order to satisfy the Tax Obligations, the Company </w:t>
      </w:r>
    </w:p>
    <w:p>
      <w:pPr>
        <w:pStyle w:val="TextBody"/>
        <w:bidi w:val="0"/>
        <w:spacing w:before="0" w:after="0"/>
        <w:jc w:val="center"/>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75260"/>
                <wp:effectExtent l="0" t="0" r="0" b="0"/>
                <wp:wrapNone/>
                <wp:docPr id="156" name="Frame1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2"/>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2"/>
                        </w:rPr>
                        <w:t>-4-</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 xml:space="preserve">will not withhold the amount of such Tax Obligations from Participant’s paycheck(s) and/or any other amounts payable to Participant unless the net proceeds from any automatic sale of certain shares of the Restricted Stock as set forth in </w:t>
      </w:r>
      <w:r>
        <w:rPr>
          <w:rFonts w:ascii="Times New Roman;sans-serif" w:hAnsi="Times New Roman;sans-serif"/>
          <w:b w:val="false"/>
          <w:color w:val="000000"/>
          <w:sz w:val="22"/>
          <w:u w:val="single"/>
        </w:rPr>
        <w:t>Section 3(d)</w:t>
      </w:r>
      <w:r>
        <w:rPr>
          <w:color w:val="000000"/>
        </w:rPr>
        <w:t xml:space="preserve"> </w:t>
      </w:r>
      <w:r>
        <w:rPr>
          <w:rFonts w:ascii="Times New Roman;sans-serif" w:hAnsi="Times New Roman;sans-serif"/>
          <w:b w:val="false"/>
          <w:color w:val="000000"/>
          <w:sz w:val="22"/>
        </w:rPr>
        <w:t xml:space="preserve">below are not sufficient to satisfy such Tax Obligations in their entirety.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(d)</w:t>
      </w:r>
      <w:r>
        <w:rPr>
          <w:rFonts w:ascii="Times New Roman;sans-serif" w:hAnsi="Times New Roman;sans-serif"/>
          <w:b w:val="false"/>
          <w:color w:val="000000"/>
          <w:sz w:val="22"/>
        </w:rPr>
        <w:t>In the event that (i) Participant is not subject to the requirements of Section 16 of the Securities Exchange Act of 1934 on a date that the risk of forfeiture to the Company as described in this Notice lapses with respect to some or all of the Restricted Stock Units (“</w:t>
      </w:r>
      <w:r>
        <w:rPr>
          <w:rFonts w:ascii="Times New Roman;sans-serif" w:hAnsi="Times New Roman;sans-serif"/>
          <w:b/>
          <w:color w:val="000000"/>
          <w:sz w:val="22"/>
        </w:rPr>
        <w:t>Lapse Date</w:t>
      </w:r>
      <w:r>
        <w:rPr>
          <w:color w:val="000000"/>
        </w:rPr>
        <w:t>”</w:t>
      </w:r>
      <w:r>
        <w:rPr>
          <w:rFonts w:ascii="Times New Roman;sans-serif" w:hAnsi="Times New Roman;sans-serif"/>
          <w:b w:val="false"/>
          <w:color w:val="000000"/>
          <w:sz w:val="22"/>
        </w:rPr>
        <w:t>) and (ii) Participant incurs a tax liability on such Lapse Date as a result of such lapse, then the Applicable Percentage (as defined below) of the Shares issuable pursuant to the Restricted Stock Units with respect to which the risk of forfeiture shall have lapsed on the Lapse Date, shall be sold within an administratively reasonable period of time on or after the Lapse Date by a broker selected or approved by the Company at such fees and pursuant to such rules and process as the Company may reasonably approve. Participant will bear the brokerage fees and other costs associated with sales and related transmission of funds. The net proceeds from such sale shall be remitted to the relevant tax authorities as determined by the Company for Participant’s benefit in the amounts directed by the Company, or paid to the Company in reimbursement of any Tax Obligations paid by the Company, and any remaining net proceeds shall be delivered to Participant or a brokerage account maintained for Participant. For these purposes the “</w:t>
      </w:r>
      <w:r>
        <w:rPr>
          <w:rFonts w:ascii="Times New Roman;sans-serif" w:hAnsi="Times New Roman;sans-serif"/>
          <w:b/>
          <w:color w:val="000000"/>
          <w:sz w:val="22"/>
        </w:rPr>
        <w:t>Applicable Percentage</w:t>
      </w:r>
      <w:r>
        <w:rPr>
          <w:color w:val="000000"/>
        </w:rPr>
        <w:t xml:space="preserve">” </w:t>
      </w:r>
      <w:r>
        <w:rPr>
          <w:rFonts w:ascii="Times New Roman;sans-serif" w:hAnsi="Times New Roman;sans-serif"/>
          <w:b w:val="false"/>
          <w:color w:val="000000"/>
          <w:sz w:val="22"/>
        </w:rPr>
        <w:t xml:space="preserve">means, in the Company’s sole discretion, an amount reasonably expected to be required to satisfy any or all Tax Obligations and selling expenses. Participant shall have no right to affect or influence any adjustments that the Company may elect to make to the Applicable Percentage for this purpose. There is no assurance that the price at which Shares sold pursuant to this </w:t>
      </w:r>
      <w:r>
        <w:rPr>
          <w:rFonts w:ascii="Times New Roman;sans-serif" w:hAnsi="Times New Roman;sans-serif"/>
          <w:b w:val="false"/>
          <w:color w:val="000000"/>
          <w:sz w:val="22"/>
          <w:u w:val="single"/>
        </w:rPr>
        <w:t>Section 3(d)</w:t>
      </w:r>
      <w:r>
        <w:rPr>
          <w:color w:val="000000"/>
        </w:rPr>
        <w:t xml:space="preserve"> </w:t>
      </w:r>
      <w:r>
        <w:rPr>
          <w:rFonts w:ascii="Times New Roman;sans-serif" w:hAnsi="Times New Roman;sans-serif"/>
          <w:b w:val="false"/>
          <w:color w:val="000000"/>
          <w:sz w:val="22"/>
        </w:rPr>
        <w:t>will equal the value at which Shares vesting on the Lapse Date are taxed.</w:t>
      </w:r>
    </w:p>
    <w:p>
      <w:pPr>
        <w:pStyle w:val="TextBody"/>
        <w:bidi w:val="0"/>
        <w:spacing w:before="0" w:after="0"/>
        <w:jc w:val="both"/>
        <w:rPr/>
      </w:pPr>
      <w:r>
        <w:rPr/>
      </w:r>
    </w:p>
    <w:p>
      <w:pPr>
        <w:pStyle w:val="TextBody"/>
        <w:bidi w:val="0"/>
        <w:spacing w:lineRule="auto" w:line="240" w:before="0" w:after="0"/>
        <w:ind w:left="0" w:right="0" w:firstLine="1080"/>
        <w:jc w:val="both"/>
        <w:rPr/>
      </w:pPr>
      <w:r>
        <w:rPr>
          <w:rFonts w:ascii="Times New Roman;sans-serif" w:hAnsi="Times New Roman;sans-serif"/>
          <w:b/>
          <w:color w:val="000000"/>
          <w:sz w:val="22"/>
        </w:rPr>
        <w:t>4.</w:t>
      </w:r>
      <w:r>
        <w:rPr>
          <w:rFonts w:ascii="Times New Roman;sans-serif" w:hAnsi="Times New Roman;sans-serif"/>
          <w:b/>
          <w:color w:val="000000"/>
          <w:sz w:val="22"/>
        </w:rPr>
        <w:t>No Guarantee of Continued Service</w:t>
      </w:r>
      <w:r>
        <w:rPr>
          <w:rFonts w:ascii="Times New Roman;sans-serif" w:hAnsi="Times New Roman;sans-serif"/>
          <w:b w:val="false"/>
          <w:color w:val="000000"/>
          <w:sz w:val="22"/>
        </w:rPr>
        <w:t xml:space="preserve">. THE VESTING OF THE RESTRICTED STOCK UNITS PURSUANT TO THE VESTING SCHEDULE APPLICABLE THERETO IS EARNED ONLY BY CONTINUOUS SERVICE AT THE WILL OF THE COMPANY (OR THE AFFILIATE OR SUBSIDIARY EMPLOYING OR RETAINING PARTICIPANT) AND NOT THROUGH THE ACT OF BEING HIRED, BEING GRANTED A RESTRICTED STOCK UNIT AWARD OR ACQUIRING SHARES UPON VESTING OF RESTRICTED STOCK UNITS. THIS NOTICE, THE TRANSACTIONS CONTEMPLATED HEREUNDER AND THE VESTING SCHEDULE APPLICABLE TO RESTRICTED STOCK UNITS DO NOT CONSTITUTE AN EXPRESS OR IMPLIED PROMISE OF CONTINUED ENGAGEMENT TO PROVIDE SERVICE FOR THE VESTING PERIOD, FOR ANY PERIOD, OR AT ALL, AND SHALL NOT INTERFERE IN ANY WAY WITH PARTICIPANT’S RIGHT OR THE RIGHT OF THE COMPANY (OR THE AFFILIATE OR SUBSIDIARY EMPLOYING OR RETAINING PARTICIPANT) TO TERMINATE PARTICIPANT’S CONTINUOUS SERVICE AT ANY TIME, FOR ANY REASON OR NO REASON, WITH OR WITHOUT NOTICE, AND WITH OR WITHOUT CAUSE. </w:t>
      </w:r>
    </w:p>
    <w:p>
      <w:pPr>
        <w:pStyle w:val="TextBody"/>
        <w:bidi w:val="0"/>
        <w:spacing w:before="0" w:after="0"/>
        <w:jc w:val="both"/>
        <w:rPr/>
      </w:pPr>
      <w:r>
        <w:rPr/>
      </w:r>
    </w:p>
    <w:p>
      <w:pPr>
        <w:pStyle w:val="TextBody"/>
        <w:bidi w:val="0"/>
        <w:spacing w:lineRule="auto" w:line="240" w:before="0" w:after="240"/>
        <w:ind w:left="0" w:right="0" w:firstLine="360"/>
        <w:jc w:val="both"/>
        <w:rPr>
          <w:rFonts w:ascii="Times New Roman;sans-serif" w:hAnsi="Times New Roman;sans-serif"/>
          <w:b/>
          <w:color w:val="000000"/>
          <w:sz w:val="22"/>
        </w:rPr>
      </w:pPr>
      <w:r>
        <w:rPr>
          <w:rFonts w:ascii="Times New Roman;sans-serif" w:hAnsi="Times New Roman;sans-serif"/>
          <w:b/>
          <w:color w:val="000000"/>
          <w:sz w:val="22"/>
        </w:rPr>
        <w:t xml:space="preserve">5.Participant Representations.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2"/>
        </w:rPr>
        <w:t>Participant acknowledges that (i) Participant was and is free to use professional advisors of Participant’s choice in connection with this Notice and grant of the Restricted Stock Units, that Participant understands this Notice and the meaning and consequences of receiving grants of RSUs and Shares issued upon vesting of RSUs; (ii) Participant has reviewed and understands this Notice and the Plan; (iii) receipt of the RSUs and any Shares issued upon vesting of the RSUs is voluntary and Participant is accepting (through performance) the RSUs and any Shares issued freely and without coercion or duress; and (iv) Participant has not received and is not relying, and will not rely, upon any advice, representations or assurances made by or on behalf of the Company or any of its Affiliates or Subsidiaries or any employee of or counsel to the Company or any of its Affiliates or Subsidiaries regarding any tax or other effects or implications of the RSUs or Shares or other matters contemplated by this award of Restricted Stock Units.</w:t>
      </w:r>
    </w:p>
    <w:p>
      <w:pPr>
        <w:pStyle w:val="TextBody"/>
        <w:bidi w:val="0"/>
        <w:spacing w:before="0" w:after="0"/>
        <w:jc w:val="center"/>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75260"/>
                <wp:effectExtent l="0" t="0" r="0" b="0"/>
                <wp:wrapNone/>
                <wp:docPr id="157" name="Frame1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2"/>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2"/>
                        </w:rPr>
                        <w:t>-5-</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2"/>
        </w:rPr>
        <w:t xml:space="preserve">Participant is aware of the Company’s business affairs and financial condition and understands that an investment in the Shares involves a high degree of risk. Participant has not received and is not relying, and will not rely, upon any advice, representations or assurances made by or on behalf of the Company or any of its Affiliates or Subsidiaries or any employee of or counsel to the Company or any of its Affiliates or Subsidiaries regarding the Company’s prospects or the value of the RSUs or Shares. </w:t>
      </w:r>
    </w:p>
    <w:p>
      <w:pPr>
        <w:pStyle w:val="TextBody"/>
        <w:bidi w:val="0"/>
        <w:spacing w:lineRule="auto" w:line="240" w:before="240" w:after="240"/>
        <w:ind w:left="0" w:right="0" w:firstLine="360"/>
        <w:jc w:val="both"/>
        <w:rPr/>
      </w:pPr>
      <w:r>
        <w:rPr>
          <w:rFonts w:ascii="Times New Roman;sans-serif" w:hAnsi="Times New Roman;sans-serif"/>
          <w:b/>
          <w:color w:val="000000"/>
          <w:sz w:val="22"/>
        </w:rPr>
        <w:t>6.Additional Conditions to Issuance of Stock.</w:t>
      </w:r>
      <w:r>
        <w:rPr>
          <w:color w:val="000000"/>
        </w:rPr>
        <w:t xml:space="preserve">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2"/>
          <w:u w:val="single"/>
        </w:rPr>
        <w:t>Legal and Regulatory Compliance</w:t>
      </w:r>
      <w:r>
        <w:rPr>
          <w:rFonts w:ascii="Times New Roman;sans-serif" w:hAnsi="Times New Roman;sans-serif"/>
          <w:b w:val="false"/>
          <w:color w:val="000000"/>
          <w:sz w:val="22"/>
        </w:rPr>
        <w:t>. The issuance of Shares upon or after vesting of the Restricted Stock Units shall be subject to compliance with all applicable requirements of federal, state or foreign law with respect to such securities. If at any time the Company determines, in its discretion, that the listing, registration or qualification of the Shares upon any securities exchange or under any state or federal law, or the consent or approval of any governmental regulatory authority is necessary as a condition to the issuance of Shares to Participant (or his or her estate), such issuance will not occur unless and until such listing, registration, qualification, consent or approval will have been effected or obtained free of any conditions not acceptable to the Company. If the Company determines that the issuance of any Shares will violate securities laws or other applicable laws or regulations or the requirements of any exchange or market system upon which the Shares are listed, the Company may defer issuance until the earliest date at which the Company reasonably anticipates that the issuance of Shares will no longer cause such violation. Accordingly, Participant may not be able to receive Shares when desired even though the Restricted Stock Units have vested. The Company will make all reasonable efforts to meet the requirements of any such federal, state or foreign law or securities exchange and to obtain any such consent or approval of any applicable governmental authority, but the inability of the Company to obtain from any regulatory body having jurisdiction and the authority, if any, deemed by the Company’s legal counsel to be necessary to the lawful issuance of any Shares shall relieve the Company of any liability in respect of the failure to issue such Shares as to which such requisite authority shall not have been obtained. As a condition to the issuance of Shares, the Company may require Participant to satisfy any qualifications that may be necessary or appropriate, to evidence compliance with any applicable law or regulation and to make any representation or warranty with respect thereto as may be requested by the Company. Without limiting the foregoing, if at the time of vesting of any Restricted Stock Units, there is not in effect under the Securities Act of 1933, as amended (the “</w:t>
      </w:r>
      <w:r>
        <w:rPr>
          <w:rFonts w:ascii="Times New Roman;sans-serif" w:hAnsi="Times New Roman;sans-serif"/>
          <w:b/>
          <w:color w:val="000000"/>
          <w:sz w:val="22"/>
        </w:rPr>
        <w:t>Securities Act</w:t>
      </w:r>
      <w:r>
        <w:rPr>
          <w:color w:val="000000"/>
        </w:rPr>
        <w:t>”</w:t>
      </w:r>
      <w:r>
        <w:rPr>
          <w:rFonts w:ascii="Times New Roman;sans-serif" w:hAnsi="Times New Roman;sans-serif"/>
          <w:b w:val="false"/>
          <w:color w:val="000000"/>
          <w:sz w:val="22"/>
        </w:rPr>
        <w:t xml:space="preserve">), a registration statement covering the Shares to be issued, and available for delivery a prospectus meeting the requirements of Section 10(a)(3) of the Securities Act, Participant shall, if required by the Company, as a condition to vesting and issuance of the Shares, make appropriate representations in a form satisfactory to the Company to support issuance of the Shares in compliance with applicable laws and regulations, including to the effect that such Shares will not be sold other than (A) pursuant to an effective registration statement under the Securities Act, or an applicable exemption from the registration requirements of such Act; (B) in compliance with all applicable state securities laws and regulations; and (C) in compliance with all terms and conditions of the Plan, this Notice, and any other written agreement between Participant and the Company or any of its Affiliates.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2"/>
          <w:u w:val="single"/>
        </w:rPr>
        <w:t>Obligations to the Company</w:t>
      </w:r>
      <w:r>
        <w:rPr>
          <w:rFonts w:ascii="Times New Roman;sans-serif" w:hAnsi="Times New Roman;sans-serif"/>
          <w:b w:val="false"/>
          <w:color w:val="000000"/>
          <w:sz w:val="22"/>
        </w:rPr>
        <w:t>. As a condition to receipt and vesting of any Restricted Stock Units and issuance of Shares as a result of vesting, Participant must enter into the Company’s Intellectual Property Assignment and Confidential Information Agreement, or a similar or successor agreement for the protection of the Company’s intellectual property and confidential information, in form specified by the Company (the “</w:t>
      </w:r>
      <w:r>
        <w:rPr>
          <w:rFonts w:ascii="Times New Roman;sans-serif" w:hAnsi="Times New Roman;sans-serif"/>
          <w:b/>
          <w:color w:val="000000"/>
          <w:sz w:val="22"/>
        </w:rPr>
        <w:t>Proprietary Interests Agreement</w:t>
      </w:r>
      <w:r>
        <w:rPr>
          <w:color w:val="000000"/>
        </w:rPr>
        <w:t>”</w:t>
      </w:r>
      <w:r>
        <w:rPr>
          <w:rFonts w:ascii="Times New Roman;sans-serif" w:hAnsi="Times New Roman;sans-serif"/>
          <w:b w:val="false"/>
          <w:color w:val="000000"/>
          <w:sz w:val="22"/>
        </w:rPr>
        <w:t xml:space="preserve">), if Participant has not already done so, and Participant’s acceptance (through performance) of Restricted Stock Units and any Shares will constitute Participant’s agreement to the Proprietary Interests Agreement. If Participant breaches in any material respect the Proprietary Interests Agreement or any other contract between Participant and the Company, or Participant’s common law duty of confidentiality or trade secret protection, or any Company policy prohibiting misappropriation of property or any illegal or fraudulent acts, the Company may suspend any vesting of any Restricted Stock Units or issuance of any Shares </w:t>
      </w:r>
    </w:p>
    <w:p>
      <w:pPr>
        <w:pStyle w:val="TextBody"/>
        <w:bidi w:val="0"/>
        <w:spacing w:before="0" w:after="0"/>
        <w:jc w:val="center"/>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75260"/>
                <wp:effectExtent l="0" t="0" r="0" b="0"/>
                <wp:wrapNone/>
                <wp:docPr id="158" name="Frame1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2"/>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2"/>
                        </w:rPr>
                        <w:t>-6-</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pending Participant’s cure of such breach, and if such breach cannot be cured or is not cured to the Company’s reasonable satisfaction within such time not less than twenty (20) days as the Company may specify, the Company may terminate any Restricted Stock Units for which Shares have not been issued and will have no obligation to issue any Shares in respect of any such terminated Restricted Stock Units or to provide any consideration to Participant in respect thereof.</w:t>
      </w:r>
    </w:p>
    <w:p>
      <w:pPr>
        <w:pStyle w:val="TextBody"/>
        <w:bidi w:val="0"/>
        <w:spacing w:lineRule="auto" w:line="240" w:before="240" w:after="240"/>
        <w:ind w:left="0" w:right="0" w:firstLine="360"/>
        <w:jc w:val="both"/>
        <w:rPr>
          <w:rFonts w:ascii="Times New Roman;sans-serif" w:hAnsi="Times New Roman;sans-serif"/>
          <w:b/>
          <w:color w:val="000000"/>
          <w:sz w:val="22"/>
        </w:rPr>
      </w:pPr>
      <w:r>
        <w:rPr>
          <w:rFonts w:ascii="Times New Roman;sans-serif" w:hAnsi="Times New Roman;sans-serif"/>
          <w:b/>
          <w:color w:val="000000"/>
          <w:sz w:val="22"/>
        </w:rPr>
        <w:t>7.Handling of Shares; Restrictive Legends and Stop-Transfer Orders.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2"/>
          <w:u w:val="single"/>
        </w:rPr>
        <w:t>Book Entries</w:t>
      </w:r>
      <w:r>
        <w:rPr>
          <w:rFonts w:ascii="Times New Roman;sans-serif" w:hAnsi="Times New Roman;sans-serif"/>
          <w:b w:val="false"/>
          <w:color w:val="000000"/>
          <w:sz w:val="22"/>
        </w:rPr>
        <w:t xml:space="preserve">. The Company will cause the Shares to be recorded in book entry or other electronic form and reflected in records maintained by or for the Company.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2"/>
          <w:u w:val="single"/>
        </w:rPr>
        <w:t>Stop-Transfer Notices</w:t>
      </w:r>
      <w:r>
        <w:rPr>
          <w:rFonts w:ascii="Times New Roman;sans-serif" w:hAnsi="Times New Roman;sans-serif"/>
          <w:b w:val="false"/>
          <w:color w:val="000000"/>
          <w:sz w:val="22"/>
        </w:rPr>
        <w:t>. In order to ensure compliance with the restrictions referred to herein and Company policies, the Company may issue appropriate “stop transfer” instructions to its transfer agent, if any, and that, if the Company transfers its own securities, it may make appropriate notations to the same effect in its own records.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2"/>
          <w:u w:val="single"/>
        </w:rPr>
        <w:t>Refusal to Transfer</w:t>
      </w:r>
      <w:r>
        <w:rPr>
          <w:rFonts w:ascii="Times New Roman;sans-serif" w:hAnsi="Times New Roman;sans-serif"/>
          <w:b w:val="false"/>
          <w:color w:val="000000"/>
          <w:sz w:val="22"/>
        </w:rPr>
        <w:t>. The Company shall not be required (i) to transfer on its books any Shares that have been sold or otherwise transferred in violation of any of the provisions of this Notice or any other agreement to which the Shares are subject or any laws governing the Shares or (ii) to treat as owner of such Shares or to accord the right to vote or pay dividends to any purchaser or other transferee to whom such Shares shall have been so transferred.</w:t>
      </w:r>
    </w:p>
    <w:p>
      <w:pPr>
        <w:pStyle w:val="TextBody"/>
        <w:bidi w:val="0"/>
        <w:spacing w:lineRule="auto" w:line="240" w:before="240" w:after="283"/>
        <w:ind w:left="0" w:right="0" w:firstLine="720"/>
        <w:jc w:val="both"/>
        <w:rPr/>
      </w:pPr>
      <w:r>
        <w:rPr>
          <w:rFonts w:ascii="Times New Roman;sans-serif" w:hAnsi="Times New Roman;sans-serif"/>
          <w:b/>
          <w:color w:val="000000"/>
          <w:sz w:val="22"/>
        </w:rPr>
        <w:t>8.</w:t>
      </w:r>
      <w:r>
        <w:rPr>
          <w:rFonts w:ascii="Times New Roman;sans-serif" w:hAnsi="Times New Roman;sans-serif"/>
          <w:b/>
          <w:color w:val="000000"/>
          <w:sz w:val="22"/>
        </w:rPr>
        <w:t xml:space="preserve">Restrictions on Transfer. </w:t>
      </w:r>
      <w:r>
        <w:rPr>
          <w:rFonts w:ascii="Times New Roman;sans-serif" w:hAnsi="Times New Roman;sans-serif"/>
          <w:b w:val="false"/>
          <w:color w:val="000000"/>
          <w:sz w:val="22"/>
        </w:rPr>
        <w:t>Except as otherwise expressly provided in this Notice, the Restricted Stock Units will not be transferred, assigned, pledged or hypothecated in any way (whether by operation of law or otherwise) and will not be subject to sale under execution, attachment or similar process. Upon any attempt to transfer, assign, pledge, hypothecate or otherwise dispose of the Restricted Stock Units, or upon any attempted sale under any execution, attachment or similar process, the affected RSUs will become null and void. The Company may impose such restrictions, conditions or limitations as it determines appropriate as to the timing and manner of any resales by Participant or other subsequent transfers by Participant of any vested Shares, including without limitation (a) restrictions under an insider trading policy, (b) restrictions designed to delay and/or coordinate the timing and manner of sales by Participant and other holders, and (c) restrictions as to the use of a specified brokerage firm for such resales or other transfers.</w:t>
      </w:r>
    </w:p>
    <w:p>
      <w:pPr>
        <w:pStyle w:val="TextBody"/>
        <w:bidi w:val="0"/>
        <w:spacing w:before="0" w:after="0"/>
        <w:jc w:val="both"/>
        <w:rPr/>
      </w:pPr>
      <w:r>
        <w:rPr/>
      </w:r>
    </w:p>
    <w:p>
      <w:pPr>
        <w:pStyle w:val="TextBody"/>
        <w:bidi w:val="0"/>
        <w:spacing w:lineRule="auto" w:line="240" w:before="0" w:after="240"/>
        <w:ind w:left="0" w:right="0" w:firstLine="360"/>
        <w:jc w:val="both"/>
        <w:rPr>
          <w:rFonts w:ascii="Times New Roman;sans-serif" w:hAnsi="Times New Roman;sans-serif"/>
          <w:b/>
          <w:color w:val="000000"/>
          <w:sz w:val="22"/>
        </w:rPr>
      </w:pPr>
      <w:r>
        <w:rPr>
          <w:rFonts w:ascii="Times New Roman;sans-serif" w:hAnsi="Times New Roman;sans-serif"/>
          <w:b/>
          <w:color w:val="000000"/>
          <w:sz w:val="22"/>
        </w:rPr>
        <w:t xml:space="preserve">9.Additional Agreements.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2"/>
          <w:u w:val="single"/>
        </w:rPr>
        <w:t>Electronic Delivery</w:t>
      </w:r>
      <w:r>
        <w:rPr>
          <w:rFonts w:ascii="Times New Roman;sans-serif" w:hAnsi="Times New Roman;sans-serif"/>
          <w:b w:val="false"/>
          <w:color w:val="000000"/>
          <w:sz w:val="22"/>
        </w:rPr>
        <w:t>. The Company may, in its sole discretion, decide to deliver any documents related to Restricted Stock Units or Shares by electronic means or request Participant’s consent to participate in the Plan by electronic means. Participant hereby consents to receive such documents by electronic delivery and agrees to administration of this Notice, the RSUs and the Shares through any on-line or electronic system established and maintained by the Company or another third party designated by the Company.</w:t>
      </w:r>
      <w:r>
        <w:rPr>
          <w:color w:val="000000"/>
        </w:rPr>
        <w:t xml:space="preserve">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2"/>
          <w:u w:val="single"/>
        </w:rPr>
        <w:t>Proprietary Information</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color w:val="000000"/>
          <w:sz w:val="22"/>
        </w:rPr>
        <w:t>Participant agrees that all financial and other information relating to the Company furnished to Participant constitutes “Proprietary Information” that is the property of the Company. Participant shall hold in confidence and not disclose or, except within the scope of Participant’s Continuous Service, use any Proprietary Information. Participant shall not be obligated under this paragraph with respect to information Participant can document is or becomes readily publicly available without restriction through no fault of Participant. Upon termination of Participant’s Continuous Service, Participant shall promptly return to Company all items containing or embodying Proprietary Information (including all copies). This paragraph supplements, but does not limit, any other agreement between Participant and the Company, or any applicable law, related to protection, ownership, or use of the Company’s information or property.</w:t>
      </w:r>
    </w:p>
    <w:p>
      <w:pPr>
        <w:pStyle w:val="TextBody"/>
        <w:bidi w:val="0"/>
        <w:spacing w:before="0" w:after="0"/>
        <w:jc w:val="center"/>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75260"/>
                <wp:effectExtent l="0" t="0" r="0" b="0"/>
                <wp:wrapNone/>
                <wp:docPr id="159" name="Frame1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2"/>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2"/>
                        </w:rPr>
                        <w:t>-7-</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2"/>
          <w:u w:val="single"/>
        </w:rPr>
        <w:t>Consideration</w:t>
      </w:r>
      <w:r>
        <w:rPr>
          <w:rFonts w:ascii="Times New Roman;sans-serif" w:hAnsi="Times New Roman;sans-serif"/>
          <w:b w:val="false"/>
          <w:color w:val="000000"/>
          <w:sz w:val="22"/>
        </w:rPr>
        <w:t>. The Restricted Stock Units and Shares are issued in consideration of services provided by Participant and/or other benefit to the corporation within the meaning of Section 152 of the General Corporation Law of the State of Delaware; Participant is not required to make any cash payment to the Company in respect of issuance of Restricted Stock Units or Shares.</w:t>
      </w:r>
    </w:p>
    <w:p>
      <w:pPr>
        <w:pStyle w:val="TextBody"/>
        <w:bidi w:val="0"/>
        <w:spacing w:lineRule="auto" w:line="240" w:before="240" w:after="240"/>
        <w:ind w:left="0" w:right="0" w:firstLine="720"/>
        <w:jc w:val="both"/>
        <w:rPr/>
      </w:pPr>
      <w:r>
        <w:rPr>
          <w:rFonts w:ascii="Times New Roman;sans-serif" w:hAnsi="Times New Roman;sans-serif"/>
          <w:b/>
          <w:i/>
          <w:color w:val="000000"/>
          <w:sz w:val="22"/>
        </w:rPr>
        <w:t>10.</w:t>
      </w:r>
      <w:r>
        <w:rPr>
          <w:rFonts w:ascii="Times New Roman;sans-serif" w:hAnsi="Times New Roman;sans-serif"/>
          <w:b/>
          <w:i/>
          <w:color w:val="000000"/>
          <w:sz w:val="22"/>
        </w:rPr>
        <w:t>Data Privacy</w:t>
      </w:r>
      <w:r>
        <w:rPr>
          <w:rFonts w:ascii="Times New Roman;sans-serif" w:hAnsi="Times New Roman;sans-serif"/>
          <w:b/>
          <w:color w:val="000000"/>
          <w:sz w:val="22"/>
        </w:rPr>
        <w:t xml:space="preserve">. </w:t>
      </w:r>
      <w:r>
        <w:rPr>
          <w:rFonts w:ascii="Times New Roman;sans-serif" w:hAnsi="Times New Roman;sans-serif"/>
          <w:b/>
          <w:i/>
          <w:color w:val="000000"/>
          <w:sz w:val="22"/>
        </w:rPr>
        <w:t>If Participant would like to participate in the Plan, Participant understands Participant will need to review and acknowledge the information provided in this Section 10, which describes the processing and/or transfer of personal data as described below.</w:t>
      </w:r>
    </w:p>
    <w:p>
      <w:pPr>
        <w:pStyle w:val="TextBody"/>
        <w:bidi w:val="0"/>
        <w:spacing w:lineRule="auto" w:line="240" w:before="0" w:after="240"/>
        <w:ind w:left="0" w:right="0" w:firstLine="1440"/>
        <w:jc w:val="both"/>
        <w:rPr/>
      </w:pPr>
      <w:r>
        <w:rPr>
          <w:rFonts w:ascii="Times New Roman;sans-serif" w:hAnsi="Times New Roman;sans-serif"/>
          <w:b/>
          <w:i/>
          <w:color w:val="000000"/>
          <w:sz w:val="22"/>
        </w:rPr>
        <w:t>(a)</w:t>
      </w:r>
      <w:r>
        <w:rPr>
          <w:rFonts w:ascii="Times New Roman;sans-serif" w:hAnsi="Times New Roman;sans-serif"/>
          <w:b/>
          <w:i/>
          <w:color w:val="000000"/>
          <w:sz w:val="22"/>
          <w:u w:val="single"/>
        </w:rPr>
        <w:t>EEA+ Controller</w:t>
      </w:r>
      <w:r>
        <w:rPr>
          <w:rFonts w:ascii="Times New Roman;sans-serif" w:hAnsi="Times New Roman;sans-serif"/>
          <w:b/>
          <w:i/>
          <w:color w:val="000000"/>
          <w:sz w:val="22"/>
        </w:rPr>
        <w:t>. If Participant is based in the European Union (“EU”), the European Economic Area or the United Kingdom (collectively “EEA+”), Participant should note that the Company, with its registered address at 1250 Broadway, 15</w:t>
      </w:r>
      <w:r>
        <w:rPr>
          <w:rFonts w:ascii="Times New Roman;sans-serif" w:hAnsi="Times New Roman;sans-serif"/>
          <w:b/>
          <w:i/>
          <w:color w:val="000000"/>
          <w:sz w:val="14"/>
        </w:rPr>
        <w:t>th</w:t>
      </w:r>
      <w:r>
        <w:rPr>
          <w:color w:val="000000"/>
        </w:rPr>
        <w:t xml:space="preserve"> </w:t>
      </w:r>
      <w:r>
        <w:rPr>
          <w:rFonts w:ascii="Times New Roman;sans-serif" w:hAnsi="Times New Roman;sans-serif"/>
          <w:b/>
          <w:i/>
          <w:color w:val="000000"/>
          <w:sz w:val="22"/>
        </w:rPr>
        <w:t>Floor, New York, New York, 10001 United States of America, is the controller responsible for the processing of Participant’s personal data in connection with this Notice and the Plan.</w:t>
      </w:r>
    </w:p>
    <w:p>
      <w:pPr>
        <w:pStyle w:val="TextBody"/>
        <w:bidi w:val="0"/>
        <w:spacing w:lineRule="auto" w:line="240" w:before="0" w:after="0"/>
        <w:ind w:left="0" w:right="0" w:firstLine="1440"/>
        <w:jc w:val="both"/>
        <w:rPr/>
      </w:pPr>
      <w:r>
        <w:rPr>
          <w:rFonts w:ascii="Times New Roman;sans-serif" w:hAnsi="Times New Roman;sans-serif"/>
          <w:b/>
          <w:i/>
          <w:color w:val="000000"/>
          <w:sz w:val="22"/>
        </w:rPr>
        <w:t>(b)</w:t>
      </w:r>
      <w:r>
        <w:rPr>
          <w:rFonts w:ascii="Times New Roman;sans-serif" w:hAnsi="Times New Roman;sans-serif"/>
          <w:b/>
          <w:i/>
          <w:color w:val="000000"/>
          <w:sz w:val="22"/>
          <w:u w:val="single"/>
        </w:rPr>
        <w:t>Data Collection and Usage</w:t>
      </w:r>
      <w:r>
        <w:rPr>
          <w:rFonts w:ascii="Times New Roman;sans-serif" w:hAnsi="Times New Roman;sans-serif"/>
          <w:b/>
          <w:i/>
          <w:color w:val="000000"/>
          <w:sz w:val="22"/>
        </w:rPr>
        <w:t>. The Company collects, uses and otherwise processes certain personal data about Participant, including, but not limited to, Participant’s name, home address and telephone number, email address, date of birth, social insurance number, passport or other identification number (e.g., resident registration number), salary, nationality, job title, any shares of stock or directorships held in the Company, details of all RSUs granted under the Plan or any other entitlement to shares of stock or equivalent benefits awarded, canceled, exercised, vested, unvested or outstanding in Participant’s favor, which the Company receives from Participant, the Subsidiary or Affiliate retaining Participant (the “Employer”) or otherwise in connection with this Notice or the Plan (“Data”), for the purposes of implementing, administering and managing the Plan and allocating Shares pursuant to the Plan.</w:t>
      </w:r>
    </w:p>
    <w:p>
      <w:pPr>
        <w:pStyle w:val="TextBody"/>
        <w:bidi w:val="0"/>
        <w:spacing w:before="0" w:after="0"/>
        <w:ind w:left="0" w:right="0" w:firstLine="1440"/>
        <w:jc w:val="both"/>
        <w:rPr/>
      </w:pPr>
      <w:r>
        <w:rPr/>
      </w:r>
    </w:p>
    <w:p>
      <w:pPr>
        <w:pStyle w:val="TextBody"/>
        <w:bidi w:val="0"/>
        <w:spacing w:lineRule="auto" w:line="240" w:before="0" w:after="240"/>
        <w:ind w:left="0" w:right="0" w:firstLine="1440"/>
        <w:jc w:val="both"/>
        <w:rPr/>
      </w:pPr>
      <w:r>
        <w:rPr>
          <w:rFonts w:ascii="Times New Roman;sans-serif" w:hAnsi="Times New Roman;sans-serif"/>
          <w:b/>
          <w:i/>
          <w:color w:val="000000"/>
          <w:sz w:val="22"/>
        </w:rPr>
        <w:t>(c)</w:t>
      </w:r>
      <w:r>
        <w:rPr>
          <w:rFonts w:ascii="Times New Roman;sans-serif" w:hAnsi="Times New Roman;sans-serif"/>
          <w:b/>
          <w:i/>
          <w:color w:val="000000"/>
          <w:sz w:val="22"/>
          <w:u w:val="single"/>
        </w:rPr>
        <w:t>Stock Plan Administration Service Providers</w:t>
      </w:r>
      <w:r>
        <w:rPr>
          <w:rFonts w:ascii="Times New Roman;sans-serif" w:hAnsi="Times New Roman;sans-serif"/>
          <w:b/>
          <w:i/>
          <w:color w:val="000000"/>
          <w:sz w:val="22"/>
        </w:rPr>
        <w:t>. Participant understands that the Company transfers Participant’s Data to ETRADE or another independent service provider, which is assisting the Company with the implementation, administration and management of the Plan. In the future, the Company may select a different service provider and share Data with such other provider serving in a similar manner. Such service provider will open an account for Participant to receive and trade Shares acquired under the Plan. Participant may be asked to agree on separate terms and data processing practices with any such service provider, with such agreement being a condition to the ability to participate in the Plan.</w:t>
      </w:r>
    </w:p>
    <w:p>
      <w:pPr>
        <w:pStyle w:val="TextBody"/>
        <w:bidi w:val="0"/>
        <w:spacing w:lineRule="auto" w:line="240" w:before="0" w:after="240"/>
        <w:ind w:left="0" w:right="0" w:firstLine="1440"/>
        <w:jc w:val="both"/>
        <w:rPr/>
      </w:pPr>
      <w:r>
        <w:rPr>
          <w:rFonts w:ascii="Times New Roman;sans-serif" w:hAnsi="Times New Roman;sans-serif"/>
          <w:b/>
          <w:i/>
          <w:color w:val="000000"/>
          <w:sz w:val="22"/>
        </w:rPr>
        <w:t>(d)</w:t>
      </w:r>
      <w:r>
        <w:rPr>
          <w:rFonts w:ascii="Times New Roman;sans-serif" w:hAnsi="Times New Roman;sans-serif"/>
          <w:b/>
          <w:i/>
          <w:color w:val="000000"/>
          <w:sz w:val="22"/>
          <w:u w:val="single"/>
        </w:rPr>
        <w:t>International Data Transfers.</w:t>
      </w:r>
      <w:r>
        <w:rPr>
          <w:color w:val="000000"/>
        </w:rPr>
        <w:t xml:space="preserve"> </w:t>
      </w:r>
      <w:r>
        <w:rPr>
          <w:rFonts w:ascii="Times New Roman;sans-serif" w:hAnsi="Times New Roman;sans-serif"/>
          <w:b/>
          <w:i/>
          <w:color w:val="000000"/>
          <w:sz w:val="22"/>
        </w:rPr>
        <w:t xml:space="preserve">Participant understands that the Company and, as of the date hereof, any third parties assisting in the implementation, administration and management of the Plan are based in the United States. If Participant is located outside the United States, Participant understands and acknowledges that Participant’s country may have enacted data privacy laws that are different from the laws of the United States. </w:t>
      </w:r>
    </w:p>
    <w:p>
      <w:pPr>
        <w:pStyle w:val="TextBody"/>
        <w:bidi w:val="0"/>
        <w:spacing w:lineRule="auto" w:line="240" w:before="0" w:after="240"/>
        <w:ind w:left="0" w:right="0" w:firstLine="1440"/>
        <w:jc w:val="both"/>
        <w:rPr/>
      </w:pPr>
      <w:r>
        <w:rPr>
          <w:rFonts w:ascii="Times New Roman;sans-serif" w:hAnsi="Times New Roman;sans-serif"/>
          <w:b/>
          <w:i/>
          <w:color w:val="000000"/>
          <w:sz w:val="22"/>
        </w:rPr>
        <w:t>(e)</w:t>
      </w:r>
      <w:r>
        <w:rPr>
          <w:rFonts w:ascii="Times New Roman;sans-serif" w:hAnsi="Times New Roman;sans-serif"/>
          <w:b/>
          <w:i/>
          <w:color w:val="000000"/>
          <w:sz w:val="22"/>
          <w:u w:val="single"/>
        </w:rPr>
        <w:t>Data Retention</w:t>
      </w:r>
      <w:r>
        <w:rPr>
          <w:rFonts w:ascii="Times New Roman;sans-serif" w:hAnsi="Times New Roman;sans-serif"/>
          <w:b/>
          <w:i/>
          <w:color w:val="000000"/>
          <w:sz w:val="22"/>
        </w:rPr>
        <w:t>. The Company will hold and use the Data only as long as is necessary to implement, administer and manage Participant’s participation in the Plan, or as required to comply with legal or regulatory obligations, including under tax and securities laws.</w:t>
      </w:r>
    </w:p>
    <w:p>
      <w:pPr>
        <w:pStyle w:val="TextBody"/>
        <w:bidi w:val="0"/>
        <w:spacing w:lineRule="auto" w:line="240" w:before="0" w:after="240"/>
        <w:ind w:left="0" w:right="0" w:firstLine="1440"/>
        <w:jc w:val="both"/>
        <w:rPr/>
      </w:pPr>
      <w:r>
        <w:rPr>
          <w:rFonts w:ascii="Times New Roman;sans-serif" w:hAnsi="Times New Roman;sans-serif"/>
          <w:b/>
          <w:i/>
          <w:color w:val="000000"/>
          <w:sz w:val="22"/>
        </w:rPr>
        <w:t>(f)</w:t>
      </w:r>
      <w:r>
        <w:rPr>
          <w:rFonts w:ascii="Times New Roman;sans-serif" w:hAnsi="Times New Roman;sans-serif"/>
          <w:b/>
          <w:i/>
          <w:color w:val="000000"/>
          <w:sz w:val="22"/>
          <w:u w:val="single"/>
        </w:rPr>
        <w:t>Necessary Disclosure of Personal Data</w:t>
      </w:r>
      <w:r>
        <w:rPr>
          <w:rFonts w:ascii="Times New Roman;sans-serif" w:hAnsi="Times New Roman;sans-serif"/>
          <w:b/>
          <w:i/>
          <w:color w:val="000000"/>
          <w:sz w:val="22"/>
        </w:rPr>
        <w:t>. Participant understands that providing the Company with Data is necessary for the performance of this Notice and that Participant’s refusal to provide Data would make it impossible for the Company to perform its contractual obligations, grant Restricted Stock Units under the Plan to Participant or administer or maintain the Plan, and may affect Participant’s ability to participate in the Plan.</w:t>
      </w:r>
    </w:p>
    <w:p>
      <w:pPr>
        <w:pStyle w:val="TextBody"/>
        <w:bidi w:val="0"/>
        <w:spacing w:lineRule="auto" w:line="240" w:before="240" w:after="240"/>
        <w:ind w:left="0" w:right="0" w:firstLine="360"/>
        <w:jc w:val="both"/>
        <w:rPr>
          <w:rFonts w:ascii="Times New Roman;sans-serif" w:hAnsi="Times New Roman;sans-serif"/>
          <w:b/>
          <w:color w:val="000000"/>
          <w:sz w:val="22"/>
        </w:rPr>
      </w:pPr>
      <w:r>
        <w:rPr>
          <w:rFonts w:ascii="Times New Roman;sans-serif" w:hAnsi="Times New Roman;sans-serif"/>
          <w:b/>
          <w:color w:val="000000"/>
          <w:sz w:val="22"/>
        </w:rPr>
        <w:t>11.General.</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2"/>
          <w:u w:val="single"/>
        </w:rPr>
        <w:t>No Waiver; Remedies</w:t>
      </w:r>
      <w:r>
        <w:rPr>
          <w:rFonts w:ascii="Times New Roman;sans-serif" w:hAnsi="Times New Roman;sans-serif"/>
          <w:b w:val="false"/>
          <w:color w:val="000000"/>
          <w:sz w:val="22"/>
        </w:rPr>
        <w:t xml:space="preserve">. Either party’s failure to enforce any provision of this Notice shall not in any way be construed as a waiver of any such provision, or prevent that party from thereafter enforcing such provision and each and every other provision of this Notice. The rights granted </w:t>
      </w:r>
    </w:p>
    <w:p>
      <w:pPr>
        <w:pStyle w:val="TextBody"/>
        <w:bidi w:val="0"/>
        <w:spacing w:before="0" w:after="0"/>
        <w:jc w:val="center"/>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75260"/>
                <wp:effectExtent l="0" t="0" r="0" b="0"/>
                <wp:wrapNone/>
                <wp:docPr id="160" name="Frame1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2"/>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2"/>
                        </w:rPr>
                        <w:t>-8-</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both parties herein are cumulative and shall not constitute a waiver of either party’s right to assert all other legal remedies available to it under the circumstances.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2"/>
          <w:u w:val="single"/>
        </w:rPr>
        <w:t>Successors and Assigns</w:t>
      </w:r>
      <w:r>
        <w:rPr>
          <w:rFonts w:ascii="Times New Roman;sans-serif" w:hAnsi="Times New Roman;sans-serif"/>
          <w:b w:val="false"/>
          <w:color w:val="000000"/>
          <w:sz w:val="22"/>
        </w:rPr>
        <w:t>. The terms of this Notice shall inure to the benefit of the successors and assigns of the Company. Subject to the restrictions on transfer herein set forth, the terms of this Notice shall be binding upon Participant and Participant’s heirs, executors, administrators, successors and assigns. The rights and obligations of Participant under this Notice may only be assigned with the prior written consent of the Company.</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2"/>
          <w:u w:val="single"/>
        </w:rPr>
        <w:t>Notices</w:t>
      </w:r>
      <w:r>
        <w:rPr>
          <w:rFonts w:ascii="Times New Roman;sans-serif" w:hAnsi="Times New Roman;sans-serif"/>
          <w:b w:val="false"/>
          <w:color w:val="000000"/>
          <w:sz w:val="22"/>
        </w:rPr>
        <w:t>. Any notice hereunder shall be in writing (which shall include electronic transmission) and shall be deemed received (i) the business day following electronic verification of receipt if sent electronically, (ii) upon personal delivery to the party to whom the notice is directed, (iii) the business day following deposit with a reputable overnight courier, or (iv) five days after deposit in the U.S. mail, First Class with postage prepaid. Notice shall be addressed to the Company at its principal executive office and to Participant at the address that he or she most recently provided to the Company. Participant agrees that it is Participant’s responsibility to notify the Company of any changes to his or her mailing address so that Participant may receive any shareholder information to be delivered by regular mail.</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(d)</w:t>
      </w:r>
      <w:r>
        <w:rPr>
          <w:rFonts w:ascii="Times New Roman;sans-serif" w:hAnsi="Times New Roman;sans-serif"/>
          <w:b w:val="false"/>
          <w:color w:val="000000"/>
          <w:sz w:val="22"/>
          <w:u w:val="single"/>
        </w:rPr>
        <w:t>Interpretation</w:t>
      </w:r>
      <w:r>
        <w:rPr>
          <w:rFonts w:ascii="Times New Roman;sans-serif" w:hAnsi="Times New Roman;sans-serif"/>
          <w:b w:val="false"/>
          <w:color w:val="000000"/>
          <w:sz w:val="22"/>
        </w:rPr>
        <w:t xml:space="preserve">. Headings herein are for convenience of reference only, do not constitute a part of this Notice, and will not affect the meaning or interpretation of this Notice. References herein to Sections are references to the referenced Section hereof, unless otherwise specified. The Board or its Committee will have the power to interpret the Plan and this Notice and to adopt such rules for the administration, interpretation and application of the Plan and this Notice as are consistent therewith and to interpret or revoke any such rules (including, but not limited to, the determination of whether or not any Restricted Stock Units have vested). All actions taken and all interpretations and determinations made by the Board or its Committee in good faith will be final and binding upon Participant, the Company and all other interested persons. Neither the Board or its Committee nor any person acting on behalf of the Board or its Committee will be personally liable for any action, determination or interpretation made in good faith with respect to the Plan or this Notice.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(e)</w:t>
      </w:r>
      <w:r>
        <w:rPr>
          <w:rFonts w:ascii="Times New Roman;sans-serif" w:hAnsi="Times New Roman;sans-serif"/>
          <w:b w:val="false"/>
          <w:color w:val="000000"/>
          <w:sz w:val="22"/>
          <w:u w:val="single"/>
        </w:rPr>
        <w:t>Modifications to Notice</w:t>
      </w:r>
      <w:r>
        <w:rPr>
          <w:rFonts w:ascii="Times New Roman;sans-serif" w:hAnsi="Times New Roman;sans-serif"/>
          <w:b w:val="false"/>
          <w:color w:val="000000"/>
          <w:sz w:val="22"/>
        </w:rPr>
        <w:t>. Modifications to this Notice can be made only in an express written contract executed by a duly authorized officer of the Company and shall not require the consent of Participant unless such modification would materially adversely affect the rights of Participant hereunder. Notwithstanding anything to the contrary in the Plan or this Notice, the Company reserves the right to revise this Notice as it deems necessary or advisable, in its sole discretion and without the consent of Participant, to comply with Section 409A or to otherwise avoid imposition of any additional tax or income recognition under Section 409A in connection to this award of Restricted Stock Units.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(f)</w:t>
      </w:r>
      <w:r>
        <w:rPr>
          <w:rFonts w:ascii="Times New Roman;sans-serif" w:hAnsi="Times New Roman;sans-serif"/>
          <w:b w:val="false"/>
          <w:color w:val="000000"/>
          <w:sz w:val="22"/>
          <w:u w:val="single"/>
        </w:rPr>
        <w:t>Governing Law; Severability</w:t>
      </w:r>
      <w:r>
        <w:rPr>
          <w:rFonts w:ascii="Times New Roman;sans-serif" w:hAnsi="Times New Roman;sans-serif"/>
          <w:b w:val="false"/>
          <w:color w:val="000000"/>
          <w:sz w:val="22"/>
        </w:rPr>
        <w:t xml:space="preserve">. This Notice is governed by the internal substantive laws, but not the choice of law rules, of Delaware. If any provision of this Notice becomes or is declared by a court or arbitrator having jurisdiction over a dispute hereunder to be illegal, unenforceable or void, such provision shall be amended to the extent necessary to conform to applicable law so as to be valid and enforceable and to achieve, to the extent possible, the economic, business and other purposes of such illegal, unenforceable, or void provision or, if such provision cannot be so amended without materially altering the intention of the parties, then such provision shall deleted from this Notice and the remainder of this Notice shall continue in full force and effect.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(g)</w:t>
      </w:r>
      <w:r>
        <w:rPr>
          <w:rFonts w:ascii="Times New Roman;sans-serif" w:hAnsi="Times New Roman;sans-serif"/>
          <w:b w:val="false"/>
          <w:color w:val="000000"/>
          <w:sz w:val="22"/>
          <w:u w:val="single"/>
        </w:rPr>
        <w:t>Entire Agreement</w:t>
      </w:r>
      <w:r>
        <w:rPr>
          <w:rFonts w:ascii="Times New Roman;sans-serif" w:hAnsi="Times New Roman;sans-serif"/>
          <w:b w:val="false"/>
          <w:color w:val="000000"/>
          <w:sz w:val="22"/>
        </w:rPr>
        <w:t>. The Plan and this Notice, along with any Separate Agreement (to the extent applicable), form a contract and constitute the entire understanding between Participant and the Company with respect to the RSUs and the Shares issuable upon vesting of the RSUs and supersede in their entirety all prior undertakings and agreements of the Company and Participant with respect thereto.</w:t>
      </w:r>
    </w:p>
    <w:p>
      <w:pPr>
        <w:pStyle w:val="TextBody"/>
        <w:bidi w:val="0"/>
        <w:spacing w:before="0" w:after="0"/>
        <w:jc w:val="center"/>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75260"/>
                <wp:effectExtent l="0" t="0" r="0" b="0"/>
                <wp:wrapNone/>
                <wp:docPr id="161" name="Frame1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2"/>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2"/>
                        </w:rPr>
                        <w:t>-9-</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(h)</w:t>
      </w:r>
      <w:r>
        <w:rPr>
          <w:rFonts w:ascii="Times New Roman;sans-serif" w:hAnsi="Times New Roman;sans-serif"/>
          <w:b w:val="false"/>
          <w:color w:val="000000"/>
          <w:sz w:val="22"/>
          <w:u w:val="single"/>
        </w:rPr>
        <w:t>Appendix</w:t>
      </w:r>
      <w:r>
        <w:rPr>
          <w:rFonts w:ascii="Times New Roman;sans-serif" w:hAnsi="Times New Roman;sans-serif"/>
          <w:b w:val="false"/>
          <w:color w:val="000000"/>
          <w:sz w:val="22"/>
        </w:rPr>
        <w:t>. The award of RSUs shall be subject to any additional terms and conditions for Non-U.S. Employees set forth in Appendix A attached hereto (“</w:t>
      </w:r>
      <w:r>
        <w:rPr>
          <w:rFonts w:ascii="Times New Roman;sans-serif" w:hAnsi="Times New Roman;sans-serif"/>
          <w:b/>
          <w:color w:val="000000"/>
          <w:sz w:val="22"/>
        </w:rPr>
        <w:t>Appendix A</w:t>
      </w:r>
      <w:r>
        <w:rPr>
          <w:color w:val="000000"/>
        </w:rPr>
        <w:t>”</w:t>
      </w:r>
      <w:r>
        <w:rPr>
          <w:rFonts w:ascii="Times New Roman;sans-serif" w:hAnsi="Times New Roman;sans-serif"/>
          <w:b w:val="false"/>
          <w:color w:val="000000"/>
          <w:sz w:val="22"/>
        </w:rPr>
        <w:t>) and any special terms and conditions for Participant’s country set forth in Appendix B attached hereto (“</w:t>
      </w:r>
      <w:r>
        <w:rPr>
          <w:rFonts w:ascii="Times New Roman;sans-serif" w:hAnsi="Times New Roman;sans-serif"/>
          <w:b/>
          <w:color w:val="000000"/>
          <w:sz w:val="22"/>
        </w:rPr>
        <w:t>Appendix B</w:t>
      </w:r>
      <w:r>
        <w:rPr>
          <w:color w:val="000000"/>
        </w:rPr>
        <w:t>”</w:t>
      </w:r>
      <w:r>
        <w:rPr>
          <w:rFonts w:ascii="Times New Roman;sans-serif" w:hAnsi="Times New Roman;sans-serif"/>
          <w:b w:val="false"/>
          <w:color w:val="000000"/>
          <w:sz w:val="22"/>
        </w:rPr>
        <w:t>). Moreover, if Participant relocates to one of the countries included in Appendix B, the special terms and conditions for such country will apply to Participant to the extent the Company determines that the application of such terms and conditions is necessary or advisable for legal or administrative reasons. Appendix A and Appendix B constitute part of the Notice.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(i)</w:t>
      </w:r>
      <w:r>
        <w:rPr>
          <w:rFonts w:ascii="Times New Roman;sans-serif" w:hAnsi="Times New Roman;sans-serif"/>
          <w:b w:val="false"/>
          <w:color w:val="000000"/>
          <w:sz w:val="22"/>
          <w:u w:val="single"/>
        </w:rPr>
        <w:t>Imposition of Other Requirements</w:t>
      </w:r>
      <w:r>
        <w:rPr>
          <w:rFonts w:ascii="Times New Roman;sans-serif" w:hAnsi="Times New Roman;sans-serif"/>
          <w:b w:val="false"/>
          <w:color w:val="000000"/>
          <w:sz w:val="22"/>
        </w:rPr>
        <w:t>. The Company reserves the right to impose other requirements on Participant’s participation in the Plan, on the RSUs and on any Shares acquired under the Plan, to the extent the Company determines it is necessary or advisable for legal or administrative reasons, and to require Participant to sign any additional agreements or undertakings that may be necessary to accomplish the foregoing.</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(j)</w:t>
      </w:r>
      <w:r>
        <w:rPr>
          <w:rFonts w:ascii="Times New Roman;sans-serif" w:hAnsi="Times New Roman;sans-serif"/>
          <w:b w:val="false"/>
          <w:color w:val="000000"/>
          <w:sz w:val="22"/>
          <w:u w:val="single"/>
        </w:rPr>
        <w:t>Insider Trading/Market Abuse</w:t>
      </w:r>
      <w:r>
        <w:rPr>
          <w:rFonts w:ascii="Times New Roman;sans-serif" w:hAnsi="Times New Roman;sans-serif"/>
          <w:b w:val="false"/>
          <w:color w:val="000000"/>
          <w:sz w:val="22"/>
        </w:rPr>
        <w:t>. Participant acknowledges that, depending on Participant’s or Participant’s broker’s country or where the Shares are listed, Participant may be subject to insider trading restrictions and/or market abuse laws which may affect Participant’s ability to acquire, sell or otherwise dispose of Shares, rights to Shares (</w:t>
      </w:r>
      <w:r>
        <w:rPr>
          <w:rFonts w:ascii="Times New Roman;sans-serif" w:hAnsi="Times New Roman;sans-serif"/>
          <w:b w:val="false"/>
          <w:i/>
          <w:color w:val="000000"/>
          <w:sz w:val="22"/>
        </w:rPr>
        <w:t>e.g</w:t>
      </w:r>
      <w:r>
        <w:rPr>
          <w:rFonts w:ascii="Times New Roman;sans-serif" w:hAnsi="Times New Roman;sans-serif"/>
          <w:b w:val="false"/>
          <w:color w:val="000000"/>
          <w:sz w:val="22"/>
        </w:rPr>
        <w:t xml:space="preserve">., RSUs) or rights linked to the value of shares during such times Participant is considered to have “inside information” regarding the Company (as defined in the laws or regulations in the applicable jurisdictions).  Local insider trading laws and regulations may prohibit the cancellation or amendment of orders Participant placed before Participant possessed inside information.  Furthermore, Participant could be prohibited from (i) disclosing the inside information to any third party and (ii) “tipping” third parties (including fellow employees) or causing them otherwise to buy or sell securities. Any restrictions under these laws or regulations are separate from and in addition to any restrictions that may be imposed under any applicable insider trading policy of the Company.  Participant is responsible for complying with any restrictions and should speak to their personal advisor on this matter. </w:t>
      </w:r>
    </w:p>
    <w:p>
      <w:pPr>
        <w:pStyle w:val="TextBody"/>
        <w:bidi w:val="0"/>
        <w:spacing w:before="0" w:after="240"/>
        <w:ind w:left="0" w:right="0" w:firstLine="1440"/>
        <w:jc w:val="both"/>
        <w:rPr/>
      </w:pPr>
      <w:r>
        <w:rPr/>
      </w:r>
    </w:p>
    <w:p>
      <w:pPr>
        <w:pStyle w:val="TextBody"/>
        <w:bidi w:val="0"/>
        <w:spacing w:before="0" w:after="240"/>
        <w:ind w:left="0" w:right="0" w:firstLine="1440"/>
        <w:jc w:val="both"/>
        <w:rPr/>
      </w:pPr>
      <w:r>
        <w:rPr/>
      </w:r>
    </w:p>
    <w:p>
      <w:pPr>
        <w:pStyle w:val="TextBody"/>
        <w:bidi w:val="0"/>
        <w:spacing w:before="0" w:after="240"/>
        <w:ind w:left="0" w:right="0" w:firstLine="1440"/>
        <w:jc w:val="both"/>
        <w:rPr/>
      </w:pPr>
      <w:r>
        <w:rPr/>
      </w:r>
    </w:p>
    <w:p>
      <w:pPr>
        <w:pStyle w:val="TextBody"/>
        <w:bidi w:val="0"/>
        <w:spacing w:before="0" w:after="240"/>
        <w:ind w:left="0" w:right="0" w:firstLine="1440"/>
        <w:jc w:val="both"/>
        <w:rPr/>
      </w:pPr>
      <w:r>
        <w:rPr/>
      </w:r>
    </w:p>
    <w:tbl>
      <w:tblPr>
        <w:tblW w:w="2294" w:type="dxa"/>
        <w:jc w:val="left"/>
        <w:tblInd w:w="0" w:type="dxa"/>
        <w:tblLayout w:type="fixed"/>
        <w:tblCellMar>
          <w:top w:w="28" w:type="dxa"/>
          <w:left w:w="28" w:type="dxa"/>
          <w:bottom w:w="28" w:type="dxa"/>
          <w:right w:w="28" w:type="dxa"/>
        </w:tblCellMar>
      </w:tblPr>
      <w:tblGrid>
        <w:gridCol w:w="288"/>
        <w:gridCol w:w="253"/>
        <w:gridCol w:w="254"/>
        <w:gridCol w:w="438"/>
        <w:gridCol w:w="438"/>
        <w:gridCol w:w="623"/>
      </w:tblGrid>
      <w:tr>
        <w:trPr/>
        <w:tc>
          <w:tcPr>
            <w:tcW w:w="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Dated: </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both"/>
              <w:rPr/>
            </w:pPr>
            <w:r>
              <w:rPr>
                <w:rFonts w:ascii="Times New Roman;sans-serif" w:hAnsi="Times New Roman;sans-serif"/>
                <w:b w:val="false"/>
                <w:color w:val="000000"/>
                <w:sz w:val="20"/>
              </w:rPr>
              <w:t>MAGNITE, INC.</w:t>
              <w:br/>
            </w:r>
            <w:r>
              <w:rPr>
                <w:rFonts w:ascii="Times New Roman;sans-serif" w:hAnsi="Times New Roman;sans-serif"/>
                <w:b w:val="false"/>
                <w:sz w:val="20"/>
              </w:rPr>
              <w:br/>
            </w:r>
            <w:r>
              <w:rPr>
                <w:rFonts w:ascii="Times New Roman;sans-serif" w:hAnsi="Times New Roman;sans-serif"/>
                <w:b w:val="false"/>
                <w:color w:val="000000"/>
                <w:sz w:val="20"/>
              </w:rPr>
              <w:t>By:</w:t>
              <w:br/>
            </w:r>
            <w:r>
              <w:rPr>
                <w:rFonts w:ascii="Times New Roman;sans-serif" w:hAnsi="Times New Roman;sans-serif"/>
                <w:b w:val="false"/>
                <w:sz w:val="20"/>
              </w:rPr>
              <w:br/>
              <w:br/>
            </w:r>
            <w:r>
              <w:rPr>
                <w:rFonts w:ascii="Times New Roman;sans-serif" w:hAnsi="Times New Roman;sans-serif"/>
                <w:b w:val="false"/>
                <w:color w:val="000000"/>
                <w:sz w:val="20"/>
              </w:rPr>
              <w:t>Name:</w:t>
              <w:br/>
            </w:r>
            <w:r>
              <w:rPr>
                <w:rFonts w:ascii="Times New Roman;sans-serif" w:hAnsi="Times New Roman;sans-serif"/>
                <w:b w:val="false"/>
                <w:sz w:val="20"/>
              </w:rPr>
              <w:br/>
              <w:br/>
            </w:r>
            <w:r>
              <w:rPr>
                <w:rFonts w:ascii="Times New Roman;sans-serif" w:hAnsi="Times New Roman;sans-serif"/>
                <w:b w:val="false"/>
                <w:color w:val="000000"/>
                <w:sz w:val="20"/>
              </w:rPr>
              <w:t>Title:</w:t>
            </w:r>
          </w:p>
        </w:tc>
      </w:tr>
    </w:tbl>
    <w:p>
      <w:pPr>
        <w:pStyle w:val="TextBody"/>
        <w:bidi w:val="0"/>
        <w:spacing w:before="0" w:after="240"/>
        <w:jc w:val="both"/>
        <w:rPr/>
      </w:pPr>
      <w:r>
        <w:rPr/>
      </w:r>
    </w:p>
    <w:p>
      <w:pPr>
        <w:pStyle w:val="TextBody"/>
        <w:bidi w:val="0"/>
        <w:spacing w:before="0" w:after="240"/>
        <w:ind w:left="0" w:right="0" w:firstLine="1440"/>
        <w:jc w:val="both"/>
        <w:rPr/>
      </w:pPr>
      <w:r>
        <w:rPr/>
      </w:r>
    </w:p>
    <w:p>
      <w:pPr>
        <w:pStyle w:val="TextBody"/>
        <w:bidi w:val="0"/>
        <w:spacing w:before="0" w:after="283"/>
        <w:jc w:val="left"/>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75260"/>
                <wp:effectExtent l="0" t="0" r="0" b="0"/>
                <wp:wrapNone/>
                <wp:docPr id="162" name="Frame1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2"/>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2"/>
                        </w:rPr>
                        <w:t>-10-</w:t>
                      </w:r>
                    </w:p>
                  </w:txbxContent>
                </v:textbox>
                <w10:wrap type="none"/>
              </v:rect>
            </w:pict>
          </mc:Fallback>
        </mc:AlternateContent>
      </w:r>
    </w:p>
    <w:p>
      <w:pPr>
        <w:pStyle w:val="TextBody"/>
        <w:bidi w:val="0"/>
        <w:spacing w:lineRule="auto" w:line="240" w:before="0" w:after="0"/>
        <w:jc w:val="center"/>
        <w:rPr>
          <w:rFonts w:ascii="Times New Roman;sans-serif" w:hAnsi="Times New Roman;sans-serif"/>
          <w:b/>
          <w:color w:val="000000"/>
          <w:sz w:val="22"/>
          <w:u w:val="single"/>
        </w:rPr>
      </w:pPr>
      <w:r>
        <w:rPr>
          <w:rFonts w:ascii="Times New Roman;sans-serif" w:hAnsi="Times New Roman;sans-serif"/>
          <w:b/>
          <w:color w:val="000000"/>
          <w:sz w:val="22"/>
          <w:u w:val="single"/>
        </w:rPr>
        <w:t>APPENDIX A</w:t>
      </w:r>
    </w:p>
    <w:p>
      <w:pPr>
        <w:pStyle w:val="TextBody"/>
        <w:bidi w:val="0"/>
        <w:spacing w:before="0" w:after="0"/>
        <w:jc w:val="center"/>
        <w:rPr/>
      </w:pPr>
      <w:r>
        <w:rPr/>
      </w:r>
    </w:p>
    <w:p>
      <w:pPr>
        <w:pStyle w:val="TextBody"/>
        <w:bidi w:val="0"/>
        <w:spacing w:lineRule="auto" w:line="240" w:before="120" w:after="283"/>
        <w:jc w:val="center"/>
        <w:rPr>
          <w:rFonts w:ascii="Times New Roman;sans-serif" w:hAnsi="Times New Roman;sans-serif"/>
          <w:b/>
          <w:color w:val="000000"/>
          <w:sz w:val="22"/>
        </w:rPr>
      </w:pPr>
      <w:r>
        <w:rPr>
          <w:rFonts w:ascii="Times New Roman;sans-serif" w:hAnsi="Times New Roman;sans-serif"/>
          <w:b/>
          <w:color w:val="000000"/>
          <w:sz w:val="22"/>
        </w:rPr>
        <w:t xml:space="preserve">ADDITIONAL TERMS AND CONDITIONS OF RESTRICTED STOCK UNIT GRANT </w:t>
        <w:br/>
        <w:t>FOR NON-U.S. EMPLOYEES</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40" w:before="0" w:after="240"/>
        <w:ind w:left="0" w:right="0" w:firstLine="720"/>
        <w:jc w:val="left"/>
        <w:rPr/>
      </w:pPr>
      <w:r>
        <w:rPr>
          <w:rFonts w:ascii="Times New Roman;sans-serif" w:hAnsi="Times New Roman;sans-serif"/>
          <w:b/>
          <w:color w:val="000000"/>
          <w:sz w:val="22"/>
        </w:rPr>
        <w:t>1.</w:t>
      </w:r>
      <w:r>
        <w:rPr>
          <w:rFonts w:ascii="Times New Roman;sans-serif" w:hAnsi="Times New Roman;sans-serif"/>
          <w:b/>
          <w:color w:val="000000"/>
          <w:sz w:val="22"/>
        </w:rPr>
        <w:t>Terms of Plan Participation for Non-U.S. Participants</w:t>
      </w:r>
      <w:r>
        <w:rPr>
          <w:rFonts w:ascii="Times New Roman;sans-serif" w:hAnsi="Times New Roman;sans-serif"/>
          <w:b w:val="false"/>
          <w:color w:val="000000"/>
          <w:sz w:val="22"/>
        </w:rPr>
        <w:t xml:space="preserve">. Participant understands that this Appendix A contains additional terms and conditions that, together with the Plan and the Notice, govern Participant’s participation in the Plan if Participant is working or resident in a country other than the United States. Participant further understands that Participant’s participation in the Plan also will be subject to any terms and conditions for Participant’s country set forth in Appendix B attached hereto. </w:t>
      </w:r>
      <w:r>
        <w:rPr>
          <w:rFonts w:ascii="Times New Roman;sans-serif" w:hAnsi="Times New Roman;sans-serif"/>
          <w:b w:val="false"/>
          <w:i/>
          <w:color w:val="000000"/>
          <w:sz w:val="22"/>
        </w:rPr>
        <w:t xml:space="preserve">Capitalized terms used but not defined in this Appendix A shall have the same meanings assigned to them in the Plan and/or Notice. </w:t>
      </w:r>
    </w:p>
    <w:p>
      <w:pPr>
        <w:pStyle w:val="TextBody"/>
        <w:bidi w:val="0"/>
        <w:spacing w:lineRule="auto" w:line="240" w:before="0" w:after="240"/>
        <w:ind w:left="0" w:right="0" w:firstLine="720"/>
        <w:jc w:val="left"/>
        <w:rPr/>
      </w:pPr>
      <w:r>
        <w:rPr>
          <w:rFonts w:ascii="Times New Roman;sans-serif" w:hAnsi="Times New Roman;sans-serif"/>
          <w:b/>
          <w:color w:val="000000"/>
          <w:sz w:val="22"/>
        </w:rPr>
        <w:t>2.</w:t>
      </w:r>
      <w:r>
        <w:rPr>
          <w:rFonts w:ascii="Times New Roman;sans-serif" w:hAnsi="Times New Roman;sans-serif"/>
          <w:b/>
          <w:color w:val="000000"/>
          <w:sz w:val="22"/>
        </w:rPr>
        <w:t>Tax Consequences, Withholding, and Liability</w:t>
      </w:r>
      <w:r>
        <w:rPr>
          <w:rFonts w:ascii="Times New Roman;sans-serif" w:hAnsi="Times New Roman;sans-serif"/>
          <w:b w:val="false"/>
          <w:color w:val="000000"/>
          <w:sz w:val="22"/>
        </w:rPr>
        <w:t xml:space="preserve">. The following provision supplements </w:t>
      </w:r>
      <w:r>
        <w:rPr>
          <w:rFonts w:ascii="Times New Roman;sans-serif" w:hAnsi="Times New Roman;sans-serif"/>
          <w:b w:val="false"/>
          <w:color w:val="000000"/>
          <w:sz w:val="22"/>
          <w:u w:val="single"/>
        </w:rPr>
        <w:t>Section 3</w:t>
      </w:r>
      <w:r>
        <w:rPr>
          <w:color w:val="000000"/>
        </w:rPr>
        <w:t xml:space="preserve"> </w:t>
      </w:r>
      <w:r>
        <w:rPr>
          <w:rFonts w:ascii="Times New Roman;sans-serif" w:hAnsi="Times New Roman;sans-serif"/>
          <w:b w:val="false"/>
          <w:color w:val="000000"/>
          <w:sz w:val="22"/>
        </w:rPr>
        <w:t>of the Notice:</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By accepting (through performance) the RSUs and any Shares, Participant authorizes the Company and/or the Subsidiary or Affiliate employing or retaining Participant (the “</w:t>
      </w:r>
      <w:r>
        <w:rPr>
          <w:rFonts w:ascii="Times New Roman;sans-serif" w:hAnsi="Times New Roman;sans-serif"/>
          <w:b/>
          <w:color w:val="000000"/>
          <w:sz w:val="22"/>
        </w:rPr>
        <w:t>Employer</w:t>
      </w:r>
      <w:r>
        <w:rPr>
          <w:color w:val="000000"/>
        </w:rPr>
        <w:t>”</w:t>
      </w:r>
      <w:r>
        <w:rPr>
          <w:rFonts w:ascii="Times New Roman;sans-serif" w:hAnsi="Times New Roman;sans-serif"/>
          <w:b w:val="false"/>
          <w:color w:val="000000"/>
          <w:sz w:val="22"/>
        </w:rPr>
        <w:t>), or their respective agents, at the Company’s discretion, to satisfy the obligations with regard to all Tax Obligations by one or a combination of the methods set forth in Section 9(h) of the Plan. If Participant is or becomes subject to Tax Obligations in more than one jurisdiction, Participant acknowledges that the Company</w:t>
      </w:r>
      <w:r>
        <w:rPr>
          <w:color w:val="000000"/>
        </w:rPr>
        <w:t xml:space="preserve"> </w:t>
      </w:r>
      <w:r>
        <w:rPr>
          <w:rFonts w:ascii="Times New Roman;sans-serif" w:hAnsi="Times New Roman;sans-serif"/>
          <w:b w:val="false"/>
          <w:color w:val="000000"/>
          <w:sz w:val="22"/>
        </w:rPr>
        <w:t>and/or the Employer (or former employer, as applicable) may be required to withhold or account for Tax Obligations in more than one jurisdiction.</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If the Tax Obligations are satisfied by withholding in Shares, for tax purposes, Participant is deemed to have been issued the full number of Shares subject to the vested RSUs, notwithstanding that a number of the Shares are held back solely for the purpose of paying the Tax Obligations. </w:t>
      </w:r>
    </w:p>
    <w:p>
      <w:pPr>
        <w:pStyle w:val="TextBody"/>
        <w:bidi w:val="0"/>
        <w:spacing w:lineRule="auto" w:line="240" w:before="0" w:after="240"/>
        <w:ind w:left="0" w:right="0" w:firstLine="720"/>
        <w:jc w:val="both"/>
        <w:rPr/>
      </w:pPr>
      <w:r>
        <w:rPr>
          <w:rFonts w:ascii="Times New Roman;sans-serif" w:hAnsi="Times New Roman;sans-serif"/>
          <w:b/>
          <w:color w:val="000000"/>
          <w:sz w:val="22"/>
        </w:rPr>
        <w:t>3.</w:t>
      </w:r>
      <w:r>
        <w:rPr>
          <w:rFonts w:ascii="Times New Roman;sans-serif" w:hAnsi="Times New Roman;sans-serif"/>
          <w:b/>
          <w:color w:val="000000"/>
          <w:sz w:val="22"/>
        </w:rPr>
        <w:t>Nature of Grant</w:t>
      </w:r>
      <w:r>
        <w:rPr>
          <w:rFonts w:ascii="Times New Roman;sans-serif" w:hAnsi="Times New Roman;sans-serif"/>
          <w:b w:val="false"/>
          <w:color w:val="000000"/>
          <w:sz w:val="22"/>
        </w:rPr>
        <w:t>. By accepting (through performance) the RSUs and any Shares, Participant acknowledges, understands and agrees that:</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 xml:space="preserve">the grant of the RSUs is voluntary and occasional and does not create any contractual or other right to receive future grants of RSUs, or benefits in lieu of RSUs, even if RSUs have been granted in the past;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 xml:space="preserve">all decisions with respect to future RSU or other grants, if any, will be at the sole discretion of the Company;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the RSUs and any Shares acquired under the Plan, and the income from and value of the same, are not intended to replace any pension rights or compensation;</w:t>
      </w:r>
    </w:p>
    <w:p>
      <w:pPr>
        <w:pStyle w:val="TextBody"/>
        <w:bidi w:val="0"/>
        <w:spacing w:lineRule="auto" w:line="240" w:before="0" w:after="0"/>
        <w:ind w:left="0" w:right="0" w:firstLine="1440"/>
        <w:jc w:val="left"/>
        <w:rPr/>
      </w:pPr>
      <w:r>
        <w:rPr>
          <w:rFonts w:ascii="Times New Roman;sans-serif" w:hAnsi="Times New Roman;sans-serif"/>
          <w:b w:val="false"/>
          <w:color w:val="000000"/>
          <w:sz w:val="22"/>
        </w:rPr>
        <w:t>(d)</w:t>
      </w:r>
      <w:r>
        <w:rPr>
          <w:rFonts w:ascii="Times New Roman;sans-serif" w:hAnsi="Times New Roman;sans-serif"/>
          <w:b w:val="false"/>
          <w:color w:val="000000"/>
          <w:sz w:val="22"/>
        </w:rPr>
        <w:t xml:space="preserve">the RSUs and any Shares acquired under the Plan, and the income from and value of the same, are not part of Participant’s normal or expected compensation for any purposes including, but not limited to, calculating any severance, resignation, termination, redundancy, dismissal, end-of-service payments, bonuses, holiday pay, long-service awards, pension or retirement benefits or payments or welfare benefits or similar payments and in no event should be considered as compensation for, or relating in any way to, past services for the Company or the Employer or any Affiliate or Subsidiary; </w:t>
      </w:r>
    </w:p>
    <w:p>
      <w:pPr>
        <w:pStyle w:val="TextBody"/>
        <w:bidi w:val="0"/>
        <w:spacing w:before="0" w:after="0"/>
        <w:jc w:val="left"/>
        <w:rPr/>
      </w:pPr>
      <w:r>
        <w:rPr/>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(e)</w:t>
      </w:r>
      <w:r>
        <w:rPr>
          <w:rFonts w:ascii="Times New Roman;sans-serif" w:hAnsi="Times New Roman;sans-serif"/>
          <w:b w:val="false"/>
          <w:color w:val="000000"/>
          <w:sz w:val="22"/>
        </w:rPr>
        <w:t xml:space="preserve">the future value of the Shares underlying the RSUs is unknown, indeterminable, and cannot be predicted with certainty;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(f)</w:t>
      </w:r>
      <w:r>
        <w:rPr>
          <w:rFonts w:ascii="Times New Roman;sans-serif" w:hAnsi="Times New Roman;sans-serif"/>
          <w:b w:val="false"/>
          <w:color w:val="000000"/>
          <w:sz w:val="22"/>
        </w:rPr>
        <w:t xml:space="preserve">if the underlying Shares do not increase in value, the RSUs will have no value; </w:t>
      </w:r>
    </w:p>
    <w:p>
      <w:pPr>
        <w:pStyle w:val="TextBody"/>
        <w:bidi w:val="0"/>
        <w:spacing w:before="0" w:after="0"/>
        <w:jc w:val="center"/>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75260"/>
                <wp:effectExtent l="0" t="0" r="0" b="0"/>
                <wp:wrapNone/>
                <wp:docPr id="163" name="Frame1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2"/>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2"/>
                        </w:rPr>
                        <w:t>-11-</w:t>
                      </w:r>
                    </w:p>
                  </w:txbxContent>
                </v:textbox>
                <w10:wrap type="none"/>
              </v:rect>
            </w:pict>
          </mc:Fallback>
        </mc:AlternateContent>
      </w:r>
    </w:p>
    <w:p>
      <w:pPr>
        <w:pStyle w:val="TextBody"/>
        <w:bidi w:val="0"/>
        <w:spacing w:lineRule="auto" w:line="240" w:before="0" w:after="0"/>
        <w:ind w:left="0" w:right="0" w:firstLine="1440"/>
        <w:jc w:val="both"/>
        <w:rPr/>
      </w:pPr>
      <w:r>
        <w:rPr>
          <w:rFonts w:ascii="Times New Roman;sans-serif" w:hAnsi="Times New Roman;sans-serif"/>
          <w:b w:val="false"/>
          <w:color w:val="000000"/>
          <w:sz w:val="22"/>
        </w:rPr>
        <w:t>(g)</w:t>
      </w:r>
      <w:r>
        <w:rPr>
          <w:rFonts w:ascii="Times New Roman;sans-serif" w:hAnsi="Times New Roman;sans-serif"/>
          <w:b w:val="false"/>
          <w:color w:val="000000"/>
          <w:sz w:val="22"/>
        </w:rPr>
        <w:t>for purposes of the RSUs, Participant’s Continuous Service will be considered terminated as of the date Participant is no longer actively providing services to the Company or the Employer (regardless of the reason for such termination and whether or not later found to be invalid or in breach of employment laws in the jurisdiction where Participant is employed or providing services, or the terms of Participant’s employment or service agreement, if any), and unless otherwise expressly provided in this Notice or determined by the Company, Participant’s right to vest in the RSUs under the Plan, if any, will terminate as of such date and will not be extended by any notice period (</w:t>
      </w:r>
      <w:r>
        <w:rPr>
          <w:rFonts w:ascii="Times New Roman;sans-serif" w:hAnsi="Times New Roman;sans-serif"/>
          <w:b w:val="false"/>
          <w:i/>
          <w:color w:val="000000"/>
          <w:sz w:val="22"/>
        </w:rPr>
        <w:t>e.g</w:t>
      </w:r>
      <w:r>
        <w:rPr>
          <w:rFonts w:ascii="Times New Roman;sans-serif" w:hAnsi="Times New Roman;sans-serif"/>
          <w:b w:val="false"/>
          <w:color w:val="000000"/>
          <w:sz w:val="22"/>
        </w:rPr>
        <w:t>., Participant’s period of service would not include any contractual notice period or any period of “garden leave” or similar period mandated under employment laws in the jurisdiction where Participant is employed or the terms of Participant’s employment agreement, if any); the Board or Committee shall have the exclusive discretion to determine when Participant is no longer actively providing services for purposes of the RSUs (including whether Participant may still be considered to be providing services while on a leave of absence);</w:t>
      </w:r>
    </w:p>
    <w:p>
      <w:pPr>
        <w:pStyle w:val="TextBody"/>
        <w:bidi w:val="0"/>
        <w:spacing w:before="0" w:after="0"/>
        <w:jc w:val="both"/>
        <w:rPr/>
      </w:pPr>
      <w:r>
        <w:rPr/>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(h)</w:t>
      </w:r>
      <w:r>
        <w:rPr>
          <w:rFonts w:ascii="Times New Roman;sans-serif" w:hAnsi="Times New Roman;sans-serif"/>
          <w:b w:val="false"/>
          <w:color w:val="000000"/>
          <w:sz w:val="22"/>
        </w:rPr>
        <w:t xml:space="preserve">no claim or entitlement to compensation or damages shall arise from forfeiture of the RSUs resulting from the termination of Participant’s Continuous Service (for any reason whatsoever, whether or not later found to be invalid or in breach of employment laws in the jurisdiction where Participant is employed or providing services, or the terms of Participant’s employment or service agreement, if any);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(i)</w:t>
      </w:r>
      <w:r>
        <w:rPr>
          <w:rFonts w:ascii="Times New Roman;sans-serif" w:hAnsi="Times New Roman;sans-serif"/>
          <w:b w:val="false"/>
          <w:color w:val="000000"/>
          <w:sz w:val="22"/>
        </w:rPr>
        <w:t xml:space="preserve">unless otherwise provided in the Plan or by the Company in its discretion, the RSUs and the benefits evidenced by the Notice do not create any entitlement to have the RSUs or any such benefits transferred to, or assumed by, another company nor to be exchanged, cashed out or substituted for, in connection with any corporate transaction affecting the Shares;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(j)</w:t>
      </w:r>
      <w:r>
        <w:rPr>
          <w:rFonts w:ascii="Times New Roman;sans-serif" w:hAnsi="Times New Roman;sans-serif"/>
          <w:b w:val="false"/>
          <w:color w:val="000000"/>
          <w:sz w:val="22"/>
        </w:rPr>
        <w:t>unless otherwise agreed with the Company in writing, the RSUs granted under the Plan and the Shares underlying the RSUs, and the income from and value of same, are not granted as consideration for, or in connection with, the service Participant may provide as a director of an Affiliate or Subsidiary; and</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(k)</w:t>
      </w:r>
      <w:r>
        <w:rPr>
          <w:rFonts w:ascii="Times New Roman;sans-serif" w:hAnsi="Times New Roman;sans-serif"/>
          <w:b w:val="false"/>
          <w:color w:val="000000"/>
          <w:sz w:val="22"/>
        </w:rPr>
        <w:t>neither the Company, the Employer nor any Affiliate or Subsidiary shall be liable for any foreign exchange rate fluctuation between Participant’s local currency and the U.S. dollar that may affect the value of the RSUs or of any amounts due to Participant pursuant to the vesting of the RSUs or the subsequent sale of any Shares acquired upon vesting.</w:t>
      </w:r>
    </w:p>
    <w:p>
      <w:pPr>
        <w:pStyle w:val="TextBody"/>
        <w:bidi w:val="0"/>
        <w:spacing w:lineRule="auto" w:line="240" w:before="0" w:after="240"/>
        <w:ind w:left="0" w:right="0" w:firstLine="720"/>
        <w:jc w:val="both"/>
        <w:rPr/>
      </w:pPr>
      <w:r>
        <w:rPr>
          <w:rFonts w:ascii="Times New Roman;sans-serif" w:hAnsi="Times New Roman;sans-serif"/>
          <w:b/>
          <w:color w:val="000000"/>
          <w:sz w:val="22"/>
        </w:rPr>
        <w:t>4.</w:t>
      </w:r>
      <w:r>
        <w:rPr>
          <w:rFonts w:ascii="Times New Roman;sans-serif" w:hAnsi="Times New Roman;sans-serif"/>
          <w:b/>
          <w:color w:val="000000"/>
          <w:sz w:val="22"/>
        </w:rPr>
        <w:t>Venue</w:t>
      </w:r>
      <w:r>
        <w:rPr>
          <w:rFonts w:ascii="Times New Roman;sans-serif" w:hAnsi="Times New Roman;sans-serif"/>
          <w:b w:val="false"/>
          <w:color w:val="000000"/>
          <w:sz w:val="22"/>
        </w:rPr>
        <w:t xml:space="preserve">. For purposes of litigating any dispute that arises under the Notice, the parties hereby submit to and consent to the jurisdiction of the State of California, and agree that such litigation will be conducted in the courts of Los Angeles County, California, or the federal courts for the United States for the Central District of California, and no other courts, where this award of RSUs is made and/or to be performed. </w:t>
      </w:r>
    </w:p>
    <w:p>
      <w:pPr>
        <w:pStyle w:val="TextBody"/>
        <w:bidi w:val="0"/>
        <w:spacing w:lineRule="auto" w:line="240" w:before="0" w:after="240"/>
        <w:ind w:left="0" w:right="0" w:firstLine="720"/>
        <w:jc w:val="both"/>
        <w:rPr/>
      </w:pPr>
      <w:r>
        <w:rPr>
          <w:rFonts w:ascii="Times New Roman;sans-serif" w:hAnsi="Times New Roman;sans-serif"/>
          <w:b/>
          <w:color w:val="000000"/>
          <w:sz w:val="22"/>
        </w:rPr>
        <w:t>5.</w:t>
      </w:r>
      <w:r>
        <w:rPr>
          <w:rFonts w:ascii="Times New Roman;sans-serif" w:hAnsi="Times New Roman;sans-serif"/>
          <w:b/>
          <w:color w:val="000000"/>
          <w:sz w:val="22"/>
        </w:rPr>
        <w:t>Language</w:t>
      </w:r>
      <w:r>
        <w:rPr>
          <w:rFonts w:ascii="Times New Roman;sans-serif" w:hAnsi="Times New Roman;sans-serif"/>
          <w:b w:val="false"/>
          <w:color w:val="000000"/>
          <w:sz w:val="22"/>
        </w:rPr>
        <w:t xml:space="preserve">. Participant acknowledges that he or she is proficient in the English language, or has consulted with an advisor who is sufficiently proficient in English, so as to allow Participant to understand the terms and conditions of the Plan and the Notice, including this Appendix A and Appendix B. If the Notice or any other document related to the Plan has been translated into a language other than English and the meaning of the translated version is different than the English version, the English version will control. </w:t>
      </w:r>
    </w:p>
    <w:p>
      <w:pPr>
        <w:pStyle w:val="TextBody"/>
        <w:bidi w:val="0"/>
        <w:spacing w:lineRule="auto" w:line="240" w:before="0" w:after="240"/>
        <w:ind w:left="0" w:right="0" w:firstLine="720"/>
        <w:jc w:val="both"/>
        <w:rPr/>
      </w:pPr>
      <w:r>
        <w:rPr>
          <w:rFonts w:ascii="Times New Roman;sans-serif" w:hAnsi="Times New Roman;sans-serif"/>
          <w:b/>
          <w:color w:val="000000"/>
          <w:sz w:val="22"/>
        </w:rPr>
        <w:t>6.</w:t>
      </w:r>
      <w:r>
        <w:rPr>
          <w:rFonts w:ascii="Times New Roman;sans-serif" w:hAnsi="Times New Roman;sans-serif"/>
          <w:b/>
          <w:color w:val="000000"/>
          <w:sz w:val="22"/>
        </w:rPr>
        <w:t>Foreign Asset / Account Reporting Requirements, Exchange Controls and Tax Requirements</w:t>
      </w:r>
      <w:r>
        <w:rPr>
          <w:rFonts w:ascii="Times New Roman;sans-serif" w:hAnsi="Times New Roman;sans-serif"/>
          <w:b w:val="false"/>
          <w:color w:val="000000"/>
          <w:sz w:val="22"/>
        </w:rPr>
        <w:t xml:space="preserve">. Participant acknowledges that Participant’s country may have certain foreign asset and/or account reporting requirements and exchange controls which may affect Participant’s ability to acquire or hold Shares under the Plan or cash received from participating in the Plan (including from any dividends received or sale proceeds arising from the sale of Shares) in a brokerage, legal entity or bank account outside Participant’s country. Participant understands that Participant may be required to report such accounts, assets and balances or transactions to the tax or other authorities in Participant’s country. Participant also may be required to repatriate sale proceeds or other funds received as a result of Participant’s participation in the Plan to their country through a designated bank or broker and/or within a </w:t>
      </w:r>
    </w:p>
    <w:p>
      <w:pPr>
        <w:pStyle w:val="TextBody"/>
        <w:bidi w:val="0"/>
        <w:spacing w:before="0" w:after="0"/>
        <w:jc w:val="center"/>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75260"/>
                <wp:effectExtent l="0" t="0" r="0" b="0"/>
                <wp:wrapNone/>
                <wp:docPr id="164" name="Frame1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2"/>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2"/>
                        </w:rPr>
                        <w:t>-12-</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certain time after receipt. In addition, Participant may be subject to tax payment and/or reporting obligations in connection with any income realized under the Plan and/or from the sale of Shares. Participant acknowledges that it is their responsibility to be compliant with all such requirements, and that Participant should consult their personal legal and tax advisors, as applicable, to ensure compliance with applicable regulations.</w:t>
      </w:r>
    </w:p>
    <w:p>
      <w:pPr>
        <w:pStyle w:val="TextBody"/>
        <w:bidi w:val="0"/>
        <w:spacing w:before="0" w:after="283"/>
        <w:jc w:val="left"/>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75260"/>
                <wp:effectExtent l="0" t="0" r="0" b="0"/>
                <wp:wrapNone/>
                <wp:docPr id="165" name="Frame1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2"/>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2"/>
                        </w:rPr>
                        <w:t>-13-</w:t>
                      </w:r>
                    </w:p>
                  </w:txbxContent>
                </v:textbox>
                <w10:wrap type="none"/>
              </v:rect>
            </w:pict>
          </mc:Fallback>
        </mc:AlternateContent>
      </w:r>
    </w:p>
    <w:p>
      <w:pPr>
        <w:pStyle w:val="TextBody"/>
        <w:bidi w:val="0"/>
        <w:spacing w:lineRule="auto" w:line="240" w:before="0" w:after="0"/>
        <w:jc w:val="center"/>
        <w:rPr>
          <w:rFonts w:ascii="Times New Roman;sans-serif" w:hAnsi="Times New Roman;sans-serif"/>
          <w:b/>
          <w:color w:val="000000"/>
          <w:sz w:val="22"/>
          <w:u w:val="single"/>
        </w:rPr>
      </w:pPr>
      <w:r>
        <w:rPr>
          <w:rFonts w:ascii="Times New Roman;sans-serif" w:hAnsi="Times New Roman;sans-serif"/>
          <w:b/>
          <w:color w:val="000000"/>
          <w:sz w:val="22"/>
          <w:u w:val="single"/>
        </w:rPr>
        <w:t>APPENDIX B</w:t>
      </w:r>
    </w:p>
    <w:p>
      <w:pPr>
        <w:pStyle w:val="TextBody"/>
        <w:bidi w:val="0"/>
        <w:spacing w:before="0" w:after="0"/>
        <w:jc w:val="center"/>
        <w:rPr/>
      </w:pPr>
      <w:r>
        <w:rPr/>
      </w:r>
    </w:p>
    <w:p>
      <w:pPr>
        <w:pStyle w:val="TextBody"/>
        <w:bidi w:val="0"/>
        <w:spacing w:lineRule="auto" w:line="240" w:before="0" w:after="0"/>
        <w:ind w:left="0" w:right="0" w:firstLine="720"/>
        <w:jc w:val="center"/>
        <w:rPr>
          <w:rFonts w:ascii="Times New Roman;sans-serif" w:hAnsi="Times New Roman;sans-serif"/>
          <w:b/>
          <w:color w:val="000000"/>
          <w:sz w:val="22"/>
        </w:rPr>
      </w:pPr>
      <w:r>
        <w:rPr>
          <w:rFonts w:ascii="Times New Roman;sans-serif" w:hAnsi="Times New Roman;sans-serif"/>
          <w:b/>
          <w:color w:val="000000"/>
          <w:sz w:val="22"/>
        </w:rPr>
        <w:t>COUNTRY-SPECIFIC PROVISIONS FOR NON-U.S. EMPLOYEES</w:t>
      </w:r>
    </w:p>
    <w:p>
      <w:pPr>
        <w:pStyle w:val="TextBody"/>
        <w:bidi w:val="0"/>
        <w:spacing w:before="0" w:after="0"/>
        <w:ind w:left="0" w:right="0" w:firstLine="720"/>
        <w:jc w:val="center"/>
        <w:rPr/>
      </w:pPr>
      <w:r>
        <w:rPr/>
      </w:r>
    </w:p>
    <w:p>
      <w:pPr>
        <w:pStyle w:val="TextBody"/>
        <w:bidi w:val="0"/>
        <w:spacing w:lineRule="auto" w:line="240" w:before="0" w:after="0"/>
        <w:jc w:val="left"/>
        <w:rPr>
          <w:rFonts w:ascii="Times New Roman;sans-serif" w:hAnsi="Times New Roman;sans-serif"/>
          <w:b/>
          <w:i/>
          <w:color w:val="000000"/>
          <w:sz w:val="22"/>
        </w:rPr>
      </w:pPr>
      <w:r>
        <w:rPr>
          <w:rFonts w:ascii="Times New Roman;sans-serif" w:hAnsi="Times New Roman;sans-serif"/>
          <w:b/>
          <w:i/>
          <w:color w:val="000000"/>
          <w:sz w:val="22"/>
        </w:rPr>
        <w:t xml:space="preserve">Terms and Conditions </w:t>
      </w:r>
    </w:p>
    <w:p>
      <w:pPr>
        <w:pStyle w:val="TextBody"/>
        <w:bidi w:val="0"/>
        <w:spacing w:before="0" w:after="0"/>
        <w:jc w:val="left"/>
        <w:rPr/>
      </w:pPr>
      <w:r>
        <w:rPr/>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This Appendix B includes additional terms and conditions that govern the RSUs granted to Participant under the Plan if Participant works or resides in one of the countries listed below. If Participant is a citizen or resident of a country other than the one in which Participant currently is working (or if Participant is considered as such for local law purposes), or if Participant transfers employment or residence to another country after RSUs have been granted to Participant under the Plan, the Company, in its discretion, will determine the extent to which the terms and conditions herein will be applicable to Participant.</w:t>
      </w:r>
    </w:p>
    <w:p>
      <w:pPr>
        <w:pStyle w:val="TextBody"/>
        <w:bidi w:val="0"/>
        <w:spacing w:lineRule="auto" w:line="240" w:before="0" w:after="240"/>
        <w:jc w:val="both"/>
        <w:rPr>
          <w:rFonts w:ascii="Times New Roman;sans-serif" w:hAnsi="Times New Roman;sans-serif"/>
          <w:b w:val="false"/>
          <w:i/>
          <w:color w:val="000000"/>
          <w:sz w:val="22"/>
        </w:rPr>
      </w:pPr>
      <w:r>
        <w:rPr>
          <w:rFonts w:ascii="Times New Roman;sans-serif" w:hAnsi="Times New Roman;sans-serif"/>
          <w:b w:val="false"/>
          <w:i/>
          <w:color w:val="000000"/>
          <w:sz w:val="22"/>
        </w:rPr>
        <w:t xml:space="preserve">Capitalized terms used but not otherwise defined herein shall have the meaning given to such terms in the Plan, the Notice or Appendix A. </w:t>
      </w:r>
    </w:p>
    <w:p>
      <w:pPr>
        <w:pStyle w:val="TextBody"/>
        <w:bidi w:val="0"/>
        <w:spacing w:lineRule="auto" w:line="240" w:before="0" w:after="240"/>
        <w:jc w:val="both"/>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This Appendix B also includes information regarding securities laws, exchange controls and certain other issues of which Participant should be aware with respect to his or her participation in the Plan. The information is based on the securities, exchange control and other laws in effect in the respective countries as of July 2021. Such laws are often complex and change frequently. As a result, the Company recommends that Participant not rely on the information in this Appendix B as the only source of information relating to the consequences of his or her participation in the Plan because the information included herein may be out of date at the time that Participant acquires Shares under the Plan or subsequently sells such Shares. </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In addition, the information contained herein is general in nature and may not apply to Participant’s particular situation and the Company is not in a position to assure Participant of any particular result. Accordingly, Participant is advised to seek appropriate professional advice as to how the relevant laws in Participant’s country may apply to his or her individual situation. </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Finally, if Participant is a citizen or resident of a country other than the one in which Participant currently is working or residing (or if Participant is considered as such for local law purposes), or if Participant transfers employment or residence to another country after RSUs have been granted to Participant under the Plan, the information contained herein may not be applicable to Participant in the same manner. </w:t>
      </w:r>
    </w:p>
    <w:p>
      <w:pPr>
        <w:pStyle w:val="TextBody"/>
        <w:bidi w:val="0"/>
        <w:spacing w:lineRule="auto" w:line="240"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AUSTRALIA</w:t>
      </w:r>
    </w:p>
    <w:p>
      <w:pPr>
        <w:pStyle w:val="TextBody"/>
        <w:bidi w:val="0"/>
        <w:spacing w:lineRule="auto" w:line="240" w:before="0" w:after="240"/>
        <w:jc w:val="both"/>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40" w:before="0" w:after="240"/>
        <w:jc w:val="both"/>
        <w:rPr/>
      </w:pPr>
      <w:r>
        <w:rPr>
          <w:rFonts w:ascii="Times New Roman;sans-serif" w:hAnsi="Times New Roman;sans-serif"/>
          <w:b/>
          <w:color w:val="000000"/>
          <w:sz w:val="22"/>
        </w:rPr>
        <w:t>Securities Law Information</w:t>
      </w:r>
      <w:r>
        <w:rPr>
          <w:rFonts w:ascii="Times New Roman;sans-serif" w:hAnsi="Times New Roman;sans-serif"/>
          <w:b w:val="false"/>
          <w:color w:val="000000"/>
          <w:sz w:val="22"/>
        </w:rPr>
        <w:t xml:space="preserve">. This offer of RSUs is being made under Division 1A, Part 7.12 of the </w:t>
      </w:r>
      <w:r>
        <w:rPr>
          <w:rFonts w:ascii="Times New Roman;sans-serif" w:hAnsi="Times New Roman;sans-serif"/>
          <w:b w:val="false"/>
          <w:i/>
          <w:color w:val="000000"/>
          <w:sz w:val="22"/>
        </w:rPr>
        <w:t>Corporations Act 2001 (Cth)</w:t>
      </w:r>
      <w:r>
        <w:rPr>
          <w:rFonts w:ascii="Times New Roman;sans-serif" w:hAnsi="Times New Roman;sans-serif"/>
          <w:b w:val="false"/>
          <w:color w:val="000000"/>
          <w:sz w:val="22"/>
        </w:rPr>
        <w:t>. Please note that if Participant offers Shares for sale to a person or entity resident in Australia, the offer may be subject to disclosure requirements under Australian law. Participant should obtain legal advice on applicable disclosure obligations prior to making any such offer.</w:t>
      </w:r>
    </w:p>
    <w:p>
      <w:pPr>
        <w:pStyle w:val="TextBody"/>
        <w:bidi w:val="0"/>
        <w:spacing w:before="0" w:after="0"/>
        <w:jc w:val="center"/>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75260"/>
                <wp:effectExtent l="0" t="0" r="0" b="0"/>
                <wp:wrapNone/>
                <wp:docPr id="166" name="Frame1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2"/>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2"/>
                        </w:rPr>
                        <w:t>-14-</w:t>
                      </w:r>
                    </w:p>
                  </w:txbxContent>
                </v:textbox>
                <w10:wrap type="none"/>
              </v:rect>
            </w:pict>
          </mc:Fallback>
        </mc:AlternateContent>
      </w:r>
    </w:p>
    <w:p>
      <w:pPr>
        <w:pStyle w:val="TextBody"/>
        <w:bidi w:val="0"/>
        <w:spacing w:lineRule="auto" w:line="240" w:before="240" w:after="283"/>
        <w:jc w:val="both"/>
        <w:rPr/>
      </w:pPr>
      <w:r>
        <w:rPr>
          <w:rFonts w:ascii="Times New Roman;sans-serif" w:hAnsi="Times New Roman;sans-serif"/>
          <w:b/>
          <w:color w:val="000000"/>
          <w:sz w:val="22"/>
        </w:rPr>
        <w:t>Tax Information</w:t>
      </w:r>
      <w:r>
        <w:rPr>
          <w:rFonts w:ascii="Times New Roman;sans-serif" w:hAnsi="Times New Roman;sans-serif"/>
          <w:b w:val="false"/>
          <w:color w:val="000000"/>
          <w:sz w:val="22"/>
        </w:rPr>
        <w:t>. The Plan is a plan to which Subdivision 83A-C of the Income Tax Assessment Act 1997 (Cth) (the “</w:t>
      </w:r>
      <w:r>
        <w:rPr>
          <w:rFonts w:ascii="Times New Roman;sans-serif" w:hAnsi="Times New Roman;sans-serif"/>
          <w:b/>
          <w:color w:val="000000"/>
          <w:sz w:val="22"/>
        </w:rPr>
        <w:t>Act</w:t>
      </w:r>
      <w:r>
        <w:rPr>
          <w:color w:val="000000"/>
        </w:rPr>
        <w:t>”</w:t>
      </w:r>
      <w:r>
        <w:rPr>
          <w:rFonts w:ascii="Times New Roman;sans-serif" w:hAnsi="Times New Roman;sans-serif"/>
          <w:b w:val="false"/>
          <w:color w:val="000000"/>
          <w:sz w:val="22"/>
        </w:rPr>
        <w:t xml:space="preserve">) applies (subject to the conditions in that Act). </w:t>
      </w:r>
    </w:p>
    <w:p>
      <w:pPr>
        <w:pStyle w:val="TextBody"/>
        <w:bidi w:val="0"/>
        <w:spacing w:before="0" w:after="0"/>
        <w:jc w:val="both"/>
        <w:rPr/>
      </w:pPr>
      <w:r>
        <w:rPr/>
      </w:r>
    </w:p>
    <w:p>
      <w:pPr>
        <w:pStyle w:val="TextBody"/>
        <w:bidi w:val="0"/>
        <w:spacing w:lineRule="auto" w:line="240"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BRAZIL</w:t>
      </w:r>
    </w:p>
    <w:p>
      <w:pPr>
        <w:pStyle w:val="TextBody"/>
        <w:bidi w:val="0"/>
        <w:spacing w:lineRule="auto" w:line="240" w:before="0" w:after="24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40" w:before="0" w:after="240"/>
        <w:jc w:val="both"/>
        <w:rPr/>
      </w:pPr>
      <w:r>
        <w:rPr>
          <w:rFonts w:ascii="Times New Roman;sans-serif" w:hAnsi="Times New Roman;sans-serif"/>
          <w:b/>
          <w:color w:val="000000"/>
          <w:sz w:val="22"/>
        </w:rPr>
        <w:t>Compliance with Law</w:t>
      </w:r>
      <w:r>
        <w:rPr>
          <w:rFonts w:ascii="Times New Roman;sans-serif" w:hAnsi="Times New Roman;sans-serif"/>
          <w:b w:val="false"/>
          <w:color w:val="000000"/>
          <w:sz w:val="22"/>
        </w:rPr>
        <w:t>. By participating in the Plan, Participant agrees to comply with all applicable Brazilian laws and to pay any and all applicable taxes associated with the acquisition and sale of Shares acquired under the Plan, or the receipt of any dividends in the future.</w:t>
      </w:r>
    </w:p>
    <w:p>
      <w:pPr>
        <w:pStyle w:val="TextBody"/>
        <w:bidi w:val="0"/>
        <w:spacing w:lineRule="auto" w:line="240"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40" w:before="0" w:after="240"/>
        <w:jc w:val="both"/>
        <w:rPr/>
      </w:pPr>
      <w:r>
        <w:rPr>
          <w:rFonts w:ascii="Times New Roman;sans-serif" w:hAnsi="Times New Roman;sans-serif"/>
          <w:b/>
          <w:color w:val="000000"/>
          <w:sz w:val="22"/>
        </w:rPr>
        <w:t>Exchange Control Information</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color w:val="000000"/>
          <w:sz w:val="22"/>
        </w:rPr>
        <w:t>Participants who are residents or domiciled in Brazil must submit a declaration of assets and rights held outside of Brazil, including Shares acquired under the Plan, to the Central Bank if the aggregate value of such assets and rights is at least US$1,000,000. Participants should consult their personal legal advisors for further details regarding this requirement.</w:t>
      </w:r>
    </w:p>
    <w:p>
      <w:pPr>
        <w:pStyle w:val="TextBody"/>
        <w:bidi w:val="0"/>
        <w:spacing w:lineRule="auto" w:line="240"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CANADA</w:t>
      </w:r>
    </w:p>
    <w:p>
      <w:pPr>
        <w:pStyle w:val="TextBody"/>
        <w:bidi w:val="0"/>
        <w:spacing w:lineRule="auto" w:line="240" w:before="0" w:after="240"/>
        <w:jc w:val="both"/>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40" w:before="0" w:after="240"/>
        <w:jc w:val="both"/>
        <w:rPr/>
      </w:pPr>
      <w:r>
        <w:rPr>
          <w:rFonts w:ascii="Times New Roman;sans-serif" w:hAnsi="Times New Roman;sans-serif"/>
          <w:b/>
          <w:color w:val="000000"/>
          <w:sz w:val="22"/>
        </w:rPr>
        <w:t>Labor Law Acknowledgement</w:t>
      </w:r>
      <w:r>
        <w:rPr>
          <w:rFonts w:ascii="Times New Roman;sans-serif" w:hAnsi="Times New Roman;sans-serif"/>
          <w:b w:val="false"/>
          <w:color w:val="000000"/>
          <w:sz w:val="22"/>
        </w:rPr>
        <w:t xml:space="preserve">. This provision replaces </w:t>
      </w:r>
      <w:r>
        <w:rPr>
          <w:rFonts w:ascii="Times New Roman;sans-serif" w:hAnsi="Times New Roman;sans-serif"/>
          <w:b w:val="false"/>
          <w:color w:val="000000"/>
          <w:sz w:val="22"/>
          <w:u w:val="single"/>
        </w:rPr>
        <w:t>Section 3(g)</w:t>
      </w:r>
      <w:r>
        <w:rPr>
          <w:color w:val="000000"/>
        </w:rPr>
        <w:t xml:space="preserve"> </w:t>
      </w:r>
      <w:r>
        <w:rPr>
          <w:rFonts w:ascii="Times New Roman;sans-serif" w:hAnsi="Times New Roman;sans-serif"/>
          <w:b w:val="false"/>
          <w:color w:val="000000"/>
          <w:sz w:val="22"/>
        </w:rPr>
        <w:t xml:space="preserve">of Appendix A and supplements </w:t>
      </w:r>
      <w:r>
        <w:rPr>
          <w:rFonts w:ascii="Times New Roman;sans-serif" w:hAnsi="Times New Roman;sans-serif"/>
          <w:b w:val="false"/>
          <w:color w:val="000000"/>
          <w:sz w:val="22"/>
          <w:u w:val="single"/>
        </w:rPr>
        <w:t>Section 2</w:t>
      </w:r>
      <w:r>
        <w:rPr>
          <w:color w:val="000000"/>
        </w:rPr>
        <w:t xml:space="preserve"> </w:t>
      </w:r>
      <w:r>
        <w:rPr>
          <w:rFonts w:ascii="Times New Roman;sans-serif" w:hAnsi="Times New Roman;sans-serif"/>
          <w:b w:val="false"/>
          <w:color w:val="000000"/>
          <w:sz w:val="22"/>
        </w:rPr>
        <w:t>of the Notice:</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for purposes of the RSUs, Participant’s Continuous Service will be considered terminated as of the earlier of: (i) the date on which Participant’s employment with the Company and/or the Employer is terminated; (ii) the date on which Participant receives a written notice of termination of Continuous Service regardless of any notice period or period of pay in lieu of such notice required under any employment laws in Participant’s country (including, without limitation, statutory law, regulatory law, and/or common law), even if such law is otherwise applicable to Participant’s benefits from the Company and/or the Employer; or (iii) the date on which Participant is no longer actively providing services to the Company and/or the Employer (regardless of the reason for such termination and regardless of whether it is later found to be invalid, unlawful or in breach of employment laws in the jurisdiction where Participant is employed or the terms of Participant’s employment agreement, if any), and unless otherwise expressly provided in this Notice or determined by the Company, Participant’s right to vest in the RSUs under the Plan, if any, will terminate as of such date. Notwithstanding the foregoing, if applicable employment standards legislation explicitly requires continued vesting during a statutory notice period, Participant’s right to vest in the RSUs, if any, will terminate effective as of the last day of Participant’s minimum statutory notice period, but Participant will not earn or be entitled to pro-rated vesting if a Vesting Date falls after the end of the statutory notice period, nor will Participant be entitled to any compensation for lost vesting. The Board or Committee shall have the exclusive discretion to determine when Participant is no longer actively providing services for purposes of the RSUs (including whether Participant may still be considered to be providing services while on a leave of absence);</w:t>
      </w:r>
    </w:p>
    <w:p>
      <w:pPr>
        <w:pStyle w:val="TextBody"/>
        <w:bidi w:val="0"/>
        <w:spacing w:lineRule="auto" w:line="240" w:before="0" w:after="240"/>
        <w:jc w:val="both"/>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40" w:before="0" w:after="240"/>
        <w:jc w:val="both"/>
        <w:rPr/>
      </w:pPr>
      <w:r>
        <w:rPr>
          <w:rFonts w:ascii="Times New Roman;sans-serif" w:hAnsi="Times New Roman;sans-serif"/>
          <w:b/>
          <w:color w:val="000000"/>
          <w:sz w:val="22"/>
        </w:rPr>
        <w:t>Securities Law Information</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color w:val="000000"/>
          <w:sz w:val="22"/>
        </w:rPr>
        <w:t>Shares acquired under the Plan may result in Canadian securities laws issues if such Shares are sold through a broker other than the designated broker or if the sale does not take place through the facilities of a stock exchange outside Canada on which the Shares are listed (</w:t>
      </w:r>
      <w:r>
        <w:rPr>
          <w:rFonts w:ascii="Times New Roman;sans-serif" w:hAnsi="Times New Roman;sans-serif"/>
          <w:b w:val="false"/>
          <w:i/>
          <w:color w:val="000000"/>
          <w:sz w:val="22"/>
        </w:rPr>
        <w:t>i.e.</w:t>
      </w:r>
      <w:r>
        <w:rPr>
          <w:rFonts w:ascii="Times New Roman;sans-serif" w:hAnsi="Times New Roman;sans-serif"/>
          <w:b w:val="false"/>
          <w:color w:val="000000"/>
          <w:sz w:val="22"/>
        </w:rPr>
        <w:t xml:space="preserve">, the Nasdaq). </w:t>
      </w:r>
    </w:p>
    <w:p>
      <w:pPr>
        <w:pStyle w:val="TextBody"/>
        <w:bidi w:val="0"/>
        <w:spacing w:lineRule="auto" w:line="240" w:before="0" w:after="240"/>
        <w:jc w:val="both"/>
        <w:rPr/>
      </w:pPr>
      <w:r>
        <w:rPr>
          <w:rFonts w:ascii="Times New Roman;sans-serif" w:hAnsi="Times New Roman;sans-serif"/>
          <w:b/>
          <w:color w:val="000000"/>
          <w:sz w:val="22"/>
        </w:rPr>
        <w:t>Tax Reporting Obligation</w:t>
      </w:r>
      <w:r>
        <w:rPr>
          <w:rFonts w:ascii="Times New Roman;sans-serif" w:hAnsi="Times New Roman;sans-serif"/>
          <w:b w:val="false"/>
          <w:color w:val="000000"/>
          <w:sz w:val="22"/>
        </w:rPr>
        <w:t xml:space="preserve">. Foreign property (including Shares acquired under the Plan and possibly the RSUs) must be reported on Form T1135 (Foreign Income Verification Statement) if the total value of foreign property exceeds C$100,000 at any time during the year. Thus, RSUs must be reported - generally at a nil cost - if the C$100,000 cost threshold is exceeded because of other foreign specified </w:t>
      </w:r>
    </w:p>
    <w:p>
      <w:pPr>
        <w:pStyle w:val="TextBody"/>
        <w:bidi w:val="0"/>
        <w:spacing w:before="0" w:after="0"/>
        <w:jc w:val="center"/>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75260"/>
                <wp:effectExtent l="0" t="0" r="0" b="0"/>
                <wp:wrapNone/>
                <wp:docPr id="167" name="Frame1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2"/>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2"/>
                        </w:rPr>
                        <w:t>-15-</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property a Participant holds. When Shares are acquired, their cost generally is the adjusted cost base (“</w:t>
      </w:r>
      <w:r>
        <w:rPr>
          <w:rFonts w:ascii="Times New Roman;sans-serif" w:hAnsi="Times New Roman;sans-serif"/>
          <w:b/>
          <w:color w:val="000000"/>
          <w:sz w:val="22"/>
        </w:rPr>
        <w:t>ACB</w:t>
      </w:r>
      <w:r>
        <w:rPr>
          <w:color w:val="000000"/>
        </w:rPr>
        <w:t>”</w:t>
      </w:r>
      <w:r>
        <w:rPr>
          <w:rFonts w:ascii="Times New Roman;sans-serif" w:hAnsi="Times New Roman;sans-serif"/>
          <w:b w:val="false"/>
          <w:color w:val="000000"/>
          <w:sz w:val="22"/>
        </w:rPr>
        <w:t>) of the Shares. The ACB would ordinarily equal the fair market value of the Shares at the time of acquisition, but if other shares of Common Stock are also owned, this ACB may have to be averaged with the ACB of the other shares. Participants should consult their personal tax advisors for further details regarding this requirement.</w:t>
      </w:r>
    </w:p>
    <w:p>
      <w:pPr>
        <w:pStyle w:val="TextBody"/>
        <w:bidi w:val="0"/>
        <w:spacing w:lineRule="auto" w:line="240"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FRANCE</w:t>
      </w:r>
    </w:p>
    <w:p>
      <w:pPr>
        <w:pStyle w:val="TextBody"/>
        <w:bidi w:val="0"/>
        <w:spacing w:lineRule="auto" w:line="240" w:before="0" w:after="0"/>
        <w:jc w:val="both"/>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color w:val="000000"/>
          <w:sz w:val="22"/>
        </w:rPr>
        <w:t>Language Consent</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color w:val="000000"/>
          <w:sz w:val="22"/>
        </w:rPr>
        <w:t>By participating in the Plan, Participant confirms having read and understood the documents relating to the RSUs and his or her participation in the Plan (</w:t>
      </w:r>
      <w:r>
        <w:rPr>
          <w:rFonts w:ascii="Times New Roman;sans-serif" w:hAnsi="Times New Roman;sans-serif"/>
          <w:b w:val="false"/>
          <w:i/>
          <w:color w:val="000000"/>
          <w:sz w:val="22"/>
        </w:rPr>
        <w:t xml:space="preserve">i.e., </w:t>
      </w:r>
      <w:r>
        <w:rPr>
          <w:rFonts w:ascii="Times New Roman;sans-serif" w:hAnsi="Times New Roman;sans-serif"/>
          <w:b w:val="false"/>
          <w:color w:val="000000"/>
          <w:sz w:val="22"/>
        </w:rPr>
        <w:t>the Plan and this Notice), which were provided to Participant in the English language. Participant accepts the terms of these documents accordingly.</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color w:val="000000"/>
          <w:sz w:val="22"/>
        </w:rPr>
        <w:t>Consentement Relatif à la Langue Utilisée</w:t>
      </w:r>
      <w:r>
        <w:rPr>
          <w:rFonts w:ascii="Times New Roman;sans-serif" w:hAnsi="Times New Roman;sans-serif"/>
          <w:b w:val="false"/>
          <w:color w:val="000000"/>
          <w:sz w:val="22"/>
        </w:rPr>
        <w:t xml:space="preserve">. </w:t>
      </w:r>
      <w:r>
        <w:rPr>
          <w:rFonts w:ascii="Times New Roman;sans-serif" w:hAnsi="Times New Roman;sans-serif"/>
          <w:b w:val="false"/>
          <w:i/>
          <w:color w:val="000000"/>
          <w:sz w:val="22"/>
        </w:rPr>
        <w:t>En participant au Plan, le Participant confirme avoir lu et compris les documents relatifs aux RSUs et à sa participation au Plan (à savoir, le Plan et le présent Avis) qui lui ont été communiqués en langue anglaise. Le Participant accepte les termes de ces documents en connaissance de cause.</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before="0" w:after="0"/>
        <w:jc w:val="both"/>
        <w:rPr/>
      </w:pPr>
      <w:r>
        <w:rPr/>
      </w:r>
    </w:p>
    <w:p>
      <w:pPr>
        <w:pStyle w:val="TextBody"/>
        <w:bidi w:val="0"/>
        <w:spacing w:lineRule="auto" w:line="240" w:before="0" w:after="240"/>
        <w:jc w:val="both"/>
        <w:rPr/>
      </w:pPr>
      <w:r>
        <w:rPr>
          <w:rFonts w:ascii="Times New Roman;sans-serif" w:hAnsi="Times New Roman;sans-serif"/>
          <w:b/>
          <w:color w:val="000000"/>
          <w:sz w:val="22"/>
        </w:rPr>
        <w:t>Foreign Asset/Account Reporting Information</w:t>
      </w:r>
      <w:r>
        <w:rPr>
          <w:rFonts w:ascii="Times New Roman;sans-serif" w:hAnsi="Times New Roman;sans-serif"/>
          <w:b w:val="false"/>
          <w:color w:val="000000"/>
          <w:sz w:val="22"/>
        </w:rPr>
        <w:t>. Participants in France must declare any foreign bank investment, or brokerage account opened, used or closed during the fiscal year to the French tax authorities when filing their annual tax returns. Participants should consult their personal tax advisors for details regarding this requirement.</w:t>
      </w:r>
    </w:p>
    <w:p>
      <w:pPr>
        <w:pStyle w:val="TextBody"/>
        <w:bidi w:val="0"/>
        <w:spacing w:lineRule="auto" w:line="240" w:before="0" w:after="0"/>
        <w:jc w:val="center"/>
        <w:rPr>
          <w:rFonts w:ascii="Times New Roman;sans-serif" w:hAnsi="Times New Roman;sans-serif"/>
          <w:b/>
          <w:color w:val="000000"/>
          <w:sz w:val="22"/>
          <w:u w:val="single"/>
        </w:rPr>
      </w:pPr>
      <w:r>
        <w:rPr>
          <w:rFonts w:ascii="Times New Roman;sans-serif" w:hAnsi="Times New Roman;sans-serif"/>
          <w:b/>
          <w:color w:val="000000"/>
          <w:sz w:val="22"/>
          <w:u w:val="single"/>
        </w:rPr>
        <w:t>GERMANY</w:t>
      </w:r>
    </w:p>
    <w:p>
      <w:pPr>
        <w:pStyle w:val="TextBody"/>
        <w:bidi w:val="0"/>
        <w:spacing w:before="0" w:after="0"/>
        <w:jc w:val="center"/>
        <w:rPr/>
      </w:pPr>
      <w:r>
        <w:rPr/>
      </w:r>
    </w:p>
    <w:p>
      <w:pPr>
        <w:pStyle w:val="TextBody"/>
        <w:bidi w:val="0"/>
        <w:spacing w:lineRule="auto" w:line="240" w:before="0" w:after="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before="0" w:after="0"/>
        <w:jc w:val="left"/>
        <w:rPr/>
      </w:pPr>
      <w:r>
        <w:rPr/>
      </w:r>
    </w:p>
    <w:p>
      <w:pPr>
        <w:pStyle w:val="TextBody"/>
        <w:bidi w:val="0"/>
        <w:spacing w:lineRule="auto" w:line="240" w:before="0" w:after="0"/>
        <w:jc w:val="both"/>
        <w:rPr/>
      </w:pPr>
      <w:r>
        <w:rPr>
          <w:rFonts w:ascii="Times New Roman;sans-serif" w:hAnsi="Times New Roman;sans-serif"/>
          <w:b/>
          <w:color w:val="000000"/>
          <w:sz w:val="22"/>
        </w:rPr>
        <w:t>Exchange Control Information</w:t>
      </w:r>
      <w:r>
        <w:rPr>
          <w:rFonts w:ascii="Times New Roman;sans-serif" w:hAnsi="Times New Roman;sans-serif"/>
          <w:b w:val="false"/>
          <w:color w:val="000000"/>
          <w:sz w:val="22"/>
        </w:rPr>
        <w:t>. Cross-border payments in excess of €12,500 in connection with the acquisition or sale of securities (</w:t>
      </w:r>
      <w:r>
        <w:rPr>
          <w:rFonts w:ascii="Times New Roman;sans-serif" w:hAnsi="Times New Roman;sans-serif"/>
          <w:b w:val="false"/>
          <w:i/>
          <w:color w:val="000000"/>
          <w:sz w:val="22"/>
        </w:rPr>
        <w:t>e.g.</w:t>
      </w:r>
      <w:r>
        <w:rPr>
          <w:rFonts w:ascii="Times New Roman;sans-serif" w:hAnsi="Times New Roman;sans-serif"/>
          <w:b w:val="false"/>
          <w:color w:val="000000"/>
          <w:sz w:val="22"/>
        </w:rPr>
        <w:t>, transfer of proceeds from the sale of Shares into Germany) must be reported electronically to the German Federal Bank. The online filing portal may be accessed at the website of the German Federal Bank. Participants should consult their personal tax advisors for details regarding this requirement.</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color w:val="000000"/>
          <w:sz w:val="22"/>
        </w:rPr>
        <w:t>Foreign Asset/Account Reporting Information</w:t>
      </w:r>
      <w:r>
        <w:rPr>
          <w:rFonts w:ascii="Times New Roman;sans-serif" w:hAnsi="Times New Roman;sans-serif"/>
          <w:b w:val="false"/>
          <w:color w:val="000000"/>
          <w:sz w:val="22"/>
        </w:rPr>
        <w:t>. If Participants’ acquisition of Shares under the Plan leads to a qualified participation at any point during the calendar year, Participant may need to report the acquisition when Participant files his or her tax return for the relevant year. A qualified participation occurs if (i) a Participant owns at least 1% of the Company and the value of the Shares acquired exceeds EUR 150,000, or (ii) a Participant holds Shares exceeding 10% of the Company’s total common stock.</w:t>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color w:val="000000"/>
          <w:sz w:val="22"/>
          <w:u w:val="single"/>
        </w:rPr>
      </w:pPr>
      <w:r>
        <w:rPr>
          <w:rFonts w:ascii="Times New Roman;sans-serif" w:hAnsi="Times New Roman;sans-serif"/>
          <w:b/>
          <w:color w:val="000000"/>
          <w:sz w:val="22"/>
          <w:u w:val="single"/>
        </w:rPr>
        <w:t>INDIA</w:t>
      </w:r>
    </w:p>
    <w:p>
      <w:pPr>
        <w:pStyle w:val="TextBody"/>
        <w:bidi w:val="0"/>
        <w:spacing w:before="0" w:after="0"/>
        <w:jc w:val="center"/>
        <w:rPr/>
      </w:pPr>
      <w:r>
        <w:rPr/>
      </w:r>
    </w:p>
    <w:p>
      <w:pPr>
        <w:pStyle w:val="TextBody"/>
        <w:bidi w:val="0"/>
        <w:spacing w:lineRule="auto" w:line="240" w:before="0" w:after="0"/>
        <w:jc w:val="both"/>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color w:val="000000"/>
          <w:sz w:val="22"/>
        </w:rPr>
        <w:t>Exchange Control Information</w:t>
      </w:r>
      <w:r>
        <w:rPr>
          <w:rFonts w:ascii="Times New Roman;sans-serif" w:hAnsi="Times New Roman;sans-serif"/>
          <w:b w:val="false"/>
          <w:color w:val="000000"/>
          <w:sz w:val="22"/>
        </w:rPr>
        <w:t>. Participant must repatriate any funds received from participation in the Plan (</w:t>
      </w:r>
      <w:r>
        <w:rPr>
          <w:rFonts w:ascii="Times New Roman;sans-serif" w:hAnsi="Times New Roman;sans-serif"/>
          <w:b w:val="false"/>
          <w:i/>
          <w:color w:val="000000"/>
          <w:sz w:val="22"/>
        </w:rPr>
        <w:t>e.g.</w:t>
      </w:r>
      <w:r>
        <w:rPr>
          <w:rFonts w:ascii="Times New Roman;sans-serif" w:hAnsi="Times New Roman;sans-serif"/>
          <w:b w:val="false"/>
          <w:color w:val="000000"/>
          <w:sz w:val="22"/>
        </w:rPr>
        <w:t>, proceeds from the sale of Shares) within such time as prescribed under applicable Indian exchange control laws, which may be amended from time to time. Participant should obtain a foreign inward remittance certificate (“</w:t>
      </w:r>
      <w:r>
        <w:rPr>
          <w:rFonts w:ascii="Times New Roman;sans-serif" w:hAnsi="Times New Roman;sans-serif"/>
          <w:b/>
          <w:color w:val="000000"/>
          <w:sz w:val="22"/>
        </w:rPr>
        <w:t>FIRC</w:t>
      </w:r>
      <w:r>
        <w:rPr>
          <w:color w:val="000000"/>
        </w:rPr>
        <w:t>”</w:t>
      </w:r>
      <w:r>
        <w:rPr>
          <w:rFonts w:ascii="Times New Roman;sans-serif" w:hAnsi="Times New Roman;sans-serif"/>
          <w:b w:val="false"/>
          <w:color w:val="000000"/>
          <w:sz w:val="22"/>
        </w:rPr>
        <w:t>) from the bank where Participant deposits the foreign currency and maintain the FIRC as evidence of the repatriation of funds in the event the Reserve Bank of India or the Company or the Employer requests proof of repatriation. Participant should consult his or her personal legal advisor to ensure compliance with the applicable requirements.</w:t>
      </w:r>
    </w:p>
    <w:p>
      <w:pPr>
        <w:pStyle w:val="TextBody"/>
        <w:bidi w:val="0"/>
        <w:jc w:val="both"/>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75260"/>
                <wp:effectExtent l="0" t="0" r="0" b="0"/>
                <wp:wrapNone/>
                <wp:docPr id="168" name="Frame1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2"/>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2"/>
                        </w:rPr>
                        <w:t>-16-</w:t>
                      </w:r>
                    </w:p>
                  </w:txbxContent>
                </v:textbox>
                <w10:wrap type="none"/>
              </v:rect>
            </w:pict>
          </mc:Fallback>
        </mc:AlternateContent>
      </w:r>
    </w:p>
    <w:p>
      <w:pPr>
        <w:pStyle w:val="TextBody"/>
        <w:bidi w:val="0"/>
        <w:spacing w:lineRule="auto" w:line="240" w:before="0" w:after="0"/>
        <w:jc w:val="both"/>
        <w:rPr/>
      </w:pPr>
      <w:r>
        <w:rPr>
          <w:rFonts w:ascii="Times New Roman;sans-serif" w:hAnsi="Times New Roman;sans-serif"/>
          <w:b/>
          <w:color w:val="000000"/>
          <w:sz w:val="22"/>
        </w:rPr>
        <w:t>Foreign Asset/Account Reporting Information</w:t>
      </w:r>
      <w:r>
        <w:rPr>
          <w:rFonts w:ascii="Times New Roman;sans-serif" w:hAnsi="Times New Roman;sans-serif"/>
          <w:b w:val="false"/>
          <w:color w:val="000000"/>
          <w:sz w:val="22"/>
        </w:rPr>
        <w:t>. Participant must declare the following items in his or her annual tax return: (i) any foreign assets held (including Shares acquired under the Plan), and (ii) any foreign bank accounts for which Participant has signing authority. Participant should consult his or her personal tax advisor to ensure compliance with the applicable requirements.</w:t>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color w:val="000000"/>
          <w:sz w:val="22"/>
          <w:u w:val="single"/>
        </w:rPr>
      </w:pPr>
      <w:r>
        <w:rPr>
          <w:rFonts w:ascii="Times New Roman;sans-serif" w:hAnsi="Times New Roman;sans-serif"/>
          <w:b/>
          <w:color w:val="000000"/>
          <w:sz w:val="22"/>
          <w:u w:val="single"/>
        </w:rPr>
        <w:t>ITALY</w:t>
      </w:r>
    </w:p>
    <w:p>
      <w:pPr>
        <w:pStyle w:val="TextBody"/>
        <w:bidi w:val="0"/>
        <w:spacing w:before="0" w:after="0"/>
        <w:jc w:val="center"/>
        <w:rPr/>
      </w:pPr>
      <w:r>
        <w:rPr/>
      </w:r>
    </w:p>
    <w:p>
      <w:pPr>
        <w:pStyle w:val="TextBody"/>
        <w:bidi w:val="0"/>
        <w:spacing w:lineRule="auto" w:line="240" w:before="0" w:after="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before="0" w:after="0"/>
        <w:jc w:val="left"/>
        <w:rPr/>
      </w:pPr>
      <w:r>
        <w:rPr/>
      </w:r>
    </w:p>
    <w:p>
      <w:pPr>
        <w:pStyle w:val="TextBody"/>
        <w:bidi w:val="0"/>
        <w:spacing w:lineRule="auto" w:line="240" w:before="0" w:after="240"/>
        <w:jc w:val="both"/>
        <w:rPr/>
      </w:pPr>
      <w:r>
        <w:rPr>
          <w:rFonts w:ascii="Times New Roman;sans-serif" w:hAnsi="Times New Roman;sans-serif"/>
          <w:b/>
          <w:color w:val="000000"/>
          <w:sz w:val="22"/>
        </w:rPr>
        <w:t>Plan Document Acknowledgment</w:t>
      </w:r>
      <w:r>
        <w:rPr>
          <w:rFonts w:ascii="Times New Roman;sans-serif" w:hAnsi="Times New Roman;sans-serif"/>
          <w:b w:val="false"/>
          <w:color w:val="000000"/>
          <w:sz w:val="22"/>
        </w:rPr>
        <w:t>. In participating in the Plan, Participant acknowledges that he or she has received a copy of the Plan and this Notice and has reviewed the Plan and this Notice in their entirety and fully understands and accepts all provisions of the Plan and this Notice. Participant further acknowledges that Participant has read and specifically and expressly approves the sections of the Notice and Appendix A addressing (i) Forfeiture Upon Termination of Continuous Service (</w:t>
      </w:r>
      <w:r>
        <w:rPr>
          <w:rFonts w:ascii="Times New Roman;sans-serif" w:hAnsi="Times New Roman;sans-serif"/>
          <w:b w:val="false"/>
          <w:color w:val="000000"/>
          <w:sz w:val="22"/>
          <w:u w:val="single"/>
        </w:rPr>
        <w:t>Section 2 of the Notice</w:t>
      </w:r>
      <w:r>
        <w:rPr>
          <w:rFonts w:ascii="Times New Roman;sans-serif" w:hAnsi="Times New Roman;sans-serif"/>
          <w:b w:val="false"/>
          <w:color w:val="000000"/>
          <w:sz w:val="22"/>
        </w:rPr>
        <w:t>), (ii) Tax Consequences, Withholding, and Liability (</w:t>
      </w:r>
      <w:r>
        <w:rPr>
          <w:rFonts w:ascii="Times New Roman;sans-serif" w:hAnsi="Times New Roman;sans-serif"/>
          <w:b w:val="false"/>
          <w:color w:val="000000"/>
          <w:sz w:val="22"/>
          <w:u w:val="single"/>
        </w:rPr>
        <w:t>Section 3 of the Notice</w:t>
      </w:r>
      <w:r>
        <w:rPr>
          <w:rFonts w:ascii="Times New Roman;sans-serif" w:hAnsi="Times New Roman;sans-serif"/>
          <w:b w:val="false"/>
          <w:color w:val="000000"/>
          <w:sz w:val="22"/>
        </w:rPr>
        <w:t>), (iii) Data Privacy (</w:t>
      </w:r>
      <w:r>
        <w:rPr>
          <w:rFonts w:ascii="Times New Roman;sans-serif" w:hAnsi="Times New Roman;sans-serif"/>
          <w:b w:val="false"/>
          <w:color w:val="000000"/>
          <w:sz w:val="22"/>
          <w:u w:val="single"/>
        </w:rPr>
        <w:t>Section 10 of the Notice</w:t>
      </w:r>
      <w:r>
        <w:rPr>
          <w:rFonts w:ascii="Times New Roman;sans-serif" w:hAnsi="Times New Roman;sans-serif"/>
          <w:b w:val="false"/>
          <w:color w:val="000000"/>
          <w:sz w:val="22"/>
        </w:rPr>
        <w:t>); (iv) Governing Law; Severability (</w:t>
      </w:r>
      <w:r>
        <w:rPr>
          <w:rFonts w:ascii="Times New Roman;sans-serif" w:hAnsi="Times New Roman;sans-serif"/>
          <w:b w:val="false"/>
          <w:color w:val="000000"/>
          <w:sz w:val="22"/>
          <w:u w:val="single"/>
        </w:rPr>
        <w:t>Section 11(f) of the Notice</w:t>
      </w:r>
      <w:r>
        <w:rPr>
          <w:rFonts w:ascii="Times New Roman;sans-serif" w:hAnsi="Times New Roman;sans-serif"/>
          <w:b w:val="false"/>
          <w:color w:val="000000"/>
          <w:sz w:val="22"/>
        </w:rPr>
        <w:t>), (v) Imposition of Other Requirements (</w:t>
      </w:r>
      <w:r>
        <w:rPr>
          <w:rFonts w:ascii="Times New Roman;sans-serif" w:hAnsi="Times New Roman;sans-serif"/>
          <w:b w:val="false"/>
          <w:color w:val="000000"/>
          <w:sz w:val="22"/>
          <w:u w:val="single"/>
        </w:rPr>
        <w:t>Section 11(i) of the Notice</w:t>
      </w:r>
      <w:r>
        <w:rPr>
          <w:rFonts w:ascii="Times New Roman;sans-serif" w:hAnsi="Times New Roman;sans-serif"/>
          <w:b w:val="false"/>
          <w:color w:val="000000"/>
          <w:sz w:val="22"/>
        </w:rPr>
        <w:t>); (vi) Nature of Grant (</w:t>
      </w:r>
      <w:r>
        <w:rPr>
          <w:rFonts w:ascii="Times New Roman;sans-serif" w:hAnsi="Times New Roman;sans-serif"/>
          <w:b w:val="false"/>
          <w:color w:val="000000"/>
          <w:sz w:val="22"/>
          <w:u w:val="single"/>
        </w:rPr>
        <w:t>Section 3 of Appendix A</w:t>
      </w:r>
      <w:r>
        <w:rPr>
          <w:rFonts w:ascii="Times New Roman;sans-serif" w:hAnsi="Times New Roman;sans-serif"/>
          <w:b w:val="false"/>
          <w:color w:val="000000"/>
          <w:sz w:val="22"/>
        </w:rPr>
        <w:t>), (vii) Venue (</w:t>
      </w:r>
      <w:r>
        <w:rPr>
          <w:rFonts w:ascii="Times New Roman;sans-serif" w:hAnsi="Times New Roman;sans-serif"/>
          <w:b w:val="false"/>
          <w:color w:val="000000"/>
          <w:sz w:val="22"/>
          <w:u w:val="single"/>
        </w:rPr>
        <w:t>Section 4 of Appendix A</w:t>
      </w:r>
      <w:r>
        <w:rPr>
          <w:rFonts w:ascii="Times New Roman;sans-serif" w:hAnsi="Times New Roman;sans-serif"/>
          <w:b w:val="false"/>
          <w:color w:val="000000"/>
          <w:sz w:val="22"/>
        </w:rPr>
        <w:t>), and (viii) Language (</w:t>
      </w:r>
      <w:r>
        <w:rPr>
          <w:rFonts w:ascii="Times New Roman;sans-serif" w:hAnsi="Times New Roman;sans-serif"/>
          <w:b w:val="false"/>
          <w:color w:val="000000"/>
          <w:sz w:val="22"/>
          <w:u w:val="single"/>
        </w:rPr>
        <w:t>Section 5 of Appendix A</w:t>
      </w:r>
      <w:r>
        <w:rPr>
          <w:rFonts w:ascii="Times New Roman;sans-serif" w:hAnsi="Times New Roman;sans-serif"/>
          <w:b w:val="false"/>
          <w:color w:val="000000"/>
          <w:sz w:val="22"/>
        </w:rPr>
        <w:t xml:space="preserve">). </w:t>
      </w:r>
    </w:p>
    <w:p>
      <w:pPr>
        <w:pStyle w:val="TextBody"/>
        <w:bidi w:val="0"/>
        <w:spacing w:lineRule="auto" w:line="240"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40" w:before="0" w:after="0"/>
        <w:jc w:val="both"/>
        <w:rPr/>
      </w:pPr>
      <w:r>
        <w:rPr>
          <w:rFonts w:ascii="Times New Roman;sans-serif" w:hAnsi="Times New Roman;sans-serif"/>
          <w:b/>
          <w:color w:val="000000"/>
          <w:sz w:val="22"/>
        </w:rPr>
        <w:t>Exchange Control Information</w:t>
      </w:r>
      <w:r>
        <w:rPr>
          <w:rFonts w:ascii="Times New Roman;sans-serif" w:hAnsi="Times New Roman;sans-serif"/>
          <w:b w:val="false"/>
          <w:color w:val="000000"/>
          <w:sz w:val="22"/>
        </w:rPr>
        <w:t>. Participants are required to report investments held abroad or foreign financial assets (</w:t>
      </w:r>
      <w:r>
        <w:rPr>
          <w:rFonts w:ascii="Times New Roman;sans-serif" w:hAnsi="Times New Roman;sans-serif"/>
          <w:b w:val="false"/>
          <w:i/>
          <w:color w:val="000000"/>
          <w:sz w:val="22"/>
        </w:rPr>
        <w:t>e.g.</w:t>
      </w:r>
      <w:r>
        <w:rPr>
          <w:rFonts w:ascii="Times New Roman;sans-serif" w:hAnsi="Times New Roman;sans-serif"/>
          <w:b w:val="false"/>
          <w:color w:val="000000"/>
          <w:sz w:val="22"/>
        </w:rPr>
        <w:t>, cash, Shares) that may generate income taxable in Italy on an annual tax return (UNICO Form, RW Schedule) or on a special form if no tax return is due, irrespective of their value. The same reporting duties apply to Italian residents who are beneficial owners of the investments, even if Participant do not directly hold investments abroad or foreign assets.</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color w:val="000000"/>
          <w:sz w:val="22"/>
        </w:rPr>
        <w:t>Foreign Asset/Account Reporting Information</w:t>
      </w:r>
      <w:r>
        <w:rPr>
          <w:rFonts w:ascii="Times New Roman;sans-serif" w:hAnsi="Times New Roman;sans-serif"/>
          <w:b w:val="false"/>
          <w:color w:val="000000"/>
          <w:sz w:val="22"/>
        </w:rPr>
        <w:t>. A tax on the value of any financial assets held outside Italy by Italian residents (including Shares acquired under the Plan) may apply. Participants are responsible for reporting their foreign assets and their value on Participants’ annual tax return and for paying any foreign financial assets tax due. The taxable amount will be the fair market value of the financial assets, assessed at the end of the calendar year in the place where the financial assets are held, using the documentation issued by the local broker. No tax payment duties arise if the amount of the foreign financial assets tax calculated on all financial assets does not exceed a certain threshold. Participants should consult their personal tax advisors for details regarding this requirement.</w:t>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color w:val="000000"/>
          <w:sz w:val="22"/>
          <w:u w:val="single"/>
        </w:rPr>
      </w:pPr>
      <w:r>
        <w:rPr>
          <w:rFonts w:ascii="Times New Roman;sans-serif" w:hAnsi="Times New Roman;sans-serif"/>
          <w:b/>
          <w:color w:val="000000"/>
          <w:sz w:val="22"/>
          <w:u w:val="single"/>
        </w:rPr>
        <w:t>JAPAN</w:t>
      </w:r>
    </w:p>
    <w:p>
      <w:pPr>
        <w:pStyle w:val="TextBody"/>
        <w:bidi w:val="0"/>
        <w:spacing w:before="0" w:after="0"/>
        <w:jc w:val="center"/>
        <w:rPr/>
      </w:pPr>
      <w:r>
        <w:rPr/>
      </w:r>
    </w:p>
    <w:p>
      <w:pPr>
        <w:pStyle w:val="TextBody"/>
        <w:bidi w:val="0"/>
        <w:spacing w:lineRule="auto" w:line="240" w:before="0" w:after="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before="0" w:after="0"/>
        <w:jc w:val="left"/>
        <w:rPr/>
      </w:pPr>
      <w:r>
        <w:rPr/>
      </w:r>
    </w:p>
    <w:p>
      <w:pPr>
        <w:pStyle w:val="TextBody"/>
        <w:bidi w:val="0"/>
        <w:spacing w:lineRule="auto" w:line="240" w:before="0" w:after="0"/>
        <w:jc w:val="both"/>
        <w:rPr/>
      </w:pPr>
      <w:r>
        <w:rPr>
          <w:rFonts w:ascii="Times New Roman;sans-serif" w:hAnsi="Times New Roman;sans-serif"/>
          <w:b/>
          <w:color w:val="000000"/>
          <w:sz w:val="22"/>
        </w:rPr>
        <w:t>Foreign Asset/Account Reporting Information</w:t>
      </w:r>
      <w:r>
        <w:rPr>
          <w:rFonts w:ascii="Times New Roman;sans-serif" w:hAnsi="Times New Roman;sans-serif"/>
          <w:b w:val="false"/>
          <w:color w:val="000000"/>
          <w:sz w:val="22"/>
        </w:rPr>
        <w:t>.  Participants holding assets outside of Japan (</w:t>
      </w:r>
      <w:r>
        <w:rPr>
          <w:rFonts w:ascii="Times New Roman;sans-serif" w:hAnsi="Times New Roman;sans-serif"/>
          <w:b w:val="false"/>
          <w:i/>
          <w:color w:val="000000"/>
          <w:sz w:val="22"/>
        </w:rPr>
        <w:t>e.g.</w:t>
      </w:r>
      <w:r>
        <w:rPr>
          <w:rFonts w:ascii="Times New Roman;sans-serif" w:hAnsi="Times New Roman;sans-serif"/>
          <w:b w:val="false"/>
          <w:color w:val="000000"/>
          <w:sz w:val="22"/>
        </w:rPr>
        <w:t>, Shares acquired under the Plan) with a value exceeding ¥50,000,000 (as of December 31 each year) are required to comply with annual tax reporting obligations with respect to such assets. Participants should consult their personal tax advisors for details regarding this requirement.</w:t>
      </w:r>
    </w:p>
    <w:p>
      <w:pPr>
        <w:pStyle w:val="TextBody"/>
        <w:bidi w:val="0"/>
        <w:spacing w:before="0" w:after="0"/>
        <w:jc w:val="both"/>
        <w:rPr/>
      </w:pPr>
      <w:r>
        <w:rPr/>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color w:val="000000"/>
          <w:sz w:val="22"/>
          <w:u w:val="single"/>
        </w:rPr>
      </w:pPr>
      <w:r>
        <w:rPr>
          <w:rFonts w:ascii="Times New Roman;sans-serif" w:hAnsi="Times New Roman;sans-serif"/>
          <w:b/>
          <w:color w:val="000000"/>
          <w:sz w:val="22"/>
          <w:u w:val="single"/>
        </w:rPr>
        <w:t>NEW ZEALAND</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before="0" w:after="0"/>
        <w:jc w:val="left"/>
        <w:rPr/>
      </w:pPr>
      <w:r>
        <w:rPr/>
      </w:r>
    </w:p>
    <w:p>
      <w:pPr>
        <w:pStyle w:val="TextBody"/>
        <w:bidi w:val="0"/>
        <w:spacing w:lineRule="auto" w:line="240" w:before="0" w:after="0"/>
        <w:jc w:val="both"/>
        <w:rPr/>
      </w:pPr>
      <w:r>
        <w:rPr>
          <w:rFonts w:ascii="Times New Roman;sans-serif" w:hAnsi="Times New Roman;sans-serif"/>
          <w:b/>
          <w:color w:val="000000"/>
          <w:sz w:val="22"/>
        </w:rPr>
        <w:t>Securities Law Information</w:t>
      </w:r>
      <w:r>
        <w:rPr>
          <w:rFonts w:ascii="Times New Roman;sans-serif" w:hAnsi="Times New Roman;sans-serif"/>
          <w:b w:val="false"/>
          <w:color w:val="000000"/>
          <w:sz w:val="22"/>
        </w:rPr>
        <w:t>.</w:t>
      </w:r>
      <w:r>
        <w:rPr>
          <w:color w:val="000000"/>
        </w:rPr>
        <w:t xml:space="preserve"> </w:t>
      </w:r>
      <w:r>
        <w:rPr>
          <w:rFonts w:ascii="Times New Roman;sans-serif" w:hAnsi="Times New Roman;sans-serif"/>
          <w:b/>
          <w:i/>
          <w:color w:val="000000"/>
          <w:sz w:val="22"/>
        </w:rPr>
        <w:t>Warning:</w:t>
      </w:r>
      <w:r>
        <w:rPr>
          <w:color w:val="000000"/>
        </w:rPr>
        <w:t xml:space="preserve"> </w:t>
      </w:r>
      <w:r>
        <w:rPr>
          <w:rFonts w:ascii="Times New Roman;sans-serif" w:hAnsi="Times New Roman;sans-serif"/>
          <w:b w:val="false"/>
          <w:color w:val="000000"/>
          <w:sz w:val="22"/>
        </w:rPr>
        <w:t>This is an offer of Restricted Stock Units which allows you to acquire shares in accordance with the terms of the Plan and the Agreement. The shares, if issued, give you a stake in the ownership of the Company. You may receive a return if dividends are paid on the shares.</w:t>
      </w:r>
    </w:p>
    <w:p>
      <w:pPr>
        <w:pStyle w:val="TextBody"/>
        <w:bidi w:val="0"/>
        <w:spacing w:before="0" w:after="0"/>
        <w:jc w:val="both"/>
        <w:rPr/>
      </w:pPr>
      <w:r>
        <w:rPr/>
      </w:r>
    </w:p>
    <w:p>
      <w:pPr>
        <w:pStyle w:val="TextBody"/>
        <w:bidi w:val="0"/>
        <w:spacing w:lineRule="auto" w:line="240"/>
        <w:jc w:val="both"/>
        <w:rPr>
          <w:rFonts w:ascii="Times New Roman;sans-serif" w:hAnsi="Times New Roman;sans-serif"/>
          <w:b w:val="false"/>
          <w:color w:val="000000"/>
          <w:sz w:val="22"/>
        </w:rPr>
      </w:pPr>
      <w:r>
        <w:rPr>
          <w:rFonts w:ascii="Times New Roman;sans-serif" w:hAnsi="Times New Roman;sans-serif"/>
          <w:b w:val="false"/>
          <w:color w:val="000000"/>
          <w:sz w:val="22"/>
        </w:rPr>
        <w:t>If the Company runs into financial difficulties and is wound up, you will be paid only after all creditors and holders of preferred shares have been paid. You may lose some or all of your investment.</w:t>
      </w:r>
    </w:p>
    <w:p>
      <w:pPr>
        <w:pStyle w:val="TextBody"/>
        <w:bidi w:val="0"/>
        <w:spacing w:before="0" w:after="0"/>
        <w:jc w:val="center"/>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75260"/>
                <wp:effectExtent l="0" t="0" r="0" b="0"/>
                <wp:wrapNone/>
                <wp:docPr id="169" name="Frame1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2"/>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2"/>
                        </w:rPr>
                        <w:t>-17-</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New Zealand law normally requires people who offer financial products to give information to investors before they invest. This information is designed to help investors to make an informed decision. The usual rules do not apply to this offer because it is made under an employee share purchase scheme. As a result, you may not be given all the information usually required. You will also have fewer other legal protections for this investment. </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You should ask questions, read all documents carefully, and seek independent financial advice before committing yourself.</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shares are quoted or approved for trading on the Nasdaq. This means that if you acquire shares under the Plan, you can sell your investment on the Nasdaq if there are buyers for it. If you sell your investment, the price you receive may vary depending on factors such as the financial condition of the Company. You may receive less than the full amount that you paid for it, if anything.</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For a copy of the Company’s most recent financial statements (and, where applicable, a copy of the auditor’s report on those financial statements), as well as information on risk factors impacting the Company’s business that may affect the value of the shares, you should refer to the Company’s Annual Report on Form 10-K and Quarterly Reports on Form 10-Q, which are filed with the U.S. Securities and Exchange Commission and are available online at www.sec.gov and on the Company’s investor’s page at http://investor.magnite.com/. </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For more details on the terms and conditions of the Stock Units, please refer to this Agreement, the Plan and the Plan prospectus which are available through your Company sponsored ETRADE account.</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As noted above, you should carefully read the materials provided before making a decision whether to participate in the Plan. In addition, you understand that you should contact your tax advisor for specific information concerning your personal tax situation with regard to participation in the Plan.</w:t>
      </w:r>
    </w:p>
    <w:p>
      <w:pPr>
        <w:pStyle w:val="TextBody"/>
        <w:bidi w:val="0"/>
        <w:spacing w:before="0" w:after="0"/>
        <w:jc w:val="both"/>
        <w:rPr/>
      </w:pPr>
      <w:r>
        <w:rPr/>
      </w:r>
    </w:p>
    <w:p>
      <w:pPr>
        <w:pStyle w:val="TextBody"/>
        <w:bidi w:val="0"/>
        <w:spacing w:lineRule="auto" w:line="240" w:before="0" w:after="0"/>
        <w:jc w:val="center"/>
        <w:rPr>
          <w:rFonts w:ascii="Times New Roman;sans-serif" w:hAnsi="Times New Roman;sans-serif"/>
          <w:b/>
          <w:color w:val="000000"/>
          <w:sz w:val="22"/>
          <w:u w:val="single"/>
        </w:rPr>
      </w:pPr>
      <w:r>
        <w:rPr>
          <w:rFonts w:ascii="Times New Roman;sans-serif" w:hAnsi="Times New Roman;sans-serif"/>
          <w:b/>
          <w:color w:val="000000"/>
          <w:sz w:val="22"/>
          <w:u w:val="single"/>
        </w:rPr>
        <w:t>SINGAPORE</w:t>
      </w:r>
    </w:p>
    <w:p>
      <w:pPr>
        <w:pStyle w:val="TextBody"/>
        <w:bidi w:val="0"/>
        <w:spacing w:before="0" w:after="0"/>
        <w:jc w:val="center"/>
        <w:rPr/>
      </w:pPr>
      <w:r>
        <w:rPr/>
      </w:r>
    </w:p>
    <w:p>
      <w:pPr>
        <w:pStyle w:val="TextBody"/>
        <w:bidi w:val="0"/>
        <w:spacing w:lineRule="auto" w:line="240" w:before="0" w:after="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before="0" w:after="0"/>
        <w:jc w:val="left"/>
        <w:rPr/>
      </w:pPr>
      <w:r>
        <w:rPr/>
      </w:r>
    </w:p>
    <w:p>
      <w:pPr>
        <w:pStyle w:val="TextBody"/>
        <w:bidi w:val="0"/>
        <w:spacing w:lineRule="auto" w:line="240" w:before="0" w:after="0"/>
        <w:jc w:val="both"/>
        <w:rPr/>
      </w:pPr>
      <w:r>
        <w:rPr>
          <w:rFonts w:ascii="Times New Roman;sans-serif" w:hAnsi="Times New Roman;sans-serif"/>
          <w:b/>
          <w:color w:val="000000"/>
          <w:sz w:val="22"/>
        </w:rPr>
        <w:t>Securities Law Information</w:t>
      </w:r>
      <w:r>
        <w:rPr>
          <w:rFonts w:ascii="Times New Roman;sans-serif" w:hAnsi="Times New Roman;sans-serif"/>
          <w:b w:val="false"/>
          <w:color w:val="000000"/>
          <w:sz w:val="22"/>
        </w:rPr>
        <w:t>. The grant of RSUs under the Plan is being made pursuant to the “Qualifying Person” exemption under section 273(1)(f) of the Singapore Securities and Futures Act (Chapter 289, 2006 Ed.) (“</w:t>
      </w:r>
      <w:r>
        <w:rPr>
          <w:rFonts w:ascii="Times New Roman;sans-serif" w:hAnsi="Times New Roman;sans-serif"/>
          <w:b/>
          <w:color w:val="000000"/>
          <w:sz w:val="22"/>
        </w:rPr>
        <w:t>SFA</w:t>
      </w:r>
      <w:r>
        <w:rPr>
          <w:color w:val="000000"/>
        </w:rPr>
        <w:t>”</w:t>
      </w:r>
      <w:r>
        <w:rPr>
          <w:rFonts w:ascii="Times New Roman;sans-serif" w:hAnsi="Times New Roman;sans-serif"/>
          <w:b w:val="false"/>
          <w:color w:val="000000"/>
          <w:sz w:val="22"/>
        </w:rPr>
        <w:t>). The Plan has not been lodged or registered as a prospectus with the Monetary Authority of Singapore. Further, the RSUs granted under the Plan are subject to section 257 of the SFA and Participant is not permitted to sell, or offer to sell, any Shares in Singapore unless such sale or offer is made (i) more than six months from the date the RSUs are granted, (ii) pursuant to the exemptions under Part XIII Division (1) Subdivision (4) (other than section 280) of the SFA, or (iii) pursuant to, and in accordance with the conditions of, any other applicable provisions of the SFA</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color w:val="000000"/>
          <w:sz w:val="22"/>
        </w:rPr>
        <w:t>Director Notification Obligation</w:t>
      </w:r>
      <w:r>
        <w:rPr>
          <w:rFonts w:ascii="Times New Roman;sans-serif" w:hAnsi="Times New Roman;sans-serif"/>
          <w:b w:val="false"/>
          <w:color w:val="000000"/>
          <w:sz w:val="22"/>
        </w:rPr>
        <w:t>. Directors, associate directors or shadow directors of a Singapore Subsidiary or Affiliate are subject to certain notification requirements under the Singapore Companies Act. Among these requirements is an obligation to notify such entity in writing within two business days of any of the following events: (i) the acquisition or disposal of an interest (</w:t>
      </w:r>
      <w:r>
        <w:rPr>
          <w:rFonts w:ascii="Times New Roman;sans-serif" w:hAnsi="Times New Roman;sans-serif"/>
          <w:b w:val="false"/>
          <w:i/>
          <w:color w:val="000000"/>
          <w:sz w:val="22"/>
        </w:rPr>
        <w:t>e.g.</w:t>
      </w:r>
      <w:r>
        <w:rPr>
          <w:rFonts w:ascii="Times New Roman;sans-serif" w:hAnsi="Times New Roman;sans-serif"/>
          <w:b w:val="false"/>
          <w:color w:val="000000"/>
          <w:sz w:val="22"/>
        </w:rPr>
        <w:t>, RSUs granted under the Plan or Shares) in the Company or any Subsidiary or Affiliate, (ii) any change in previously-disclosed interests (</w:t>
      </w:r>
      <w:r>
        <w:rPr>
          <w:rFonts w:ascii="Times New Roman;sans-serif" w:hAnsi="Times New Roman;sans-serif"/>
          <w:b w:val="false"/>
          <w:i/>
          <w:color w:val="000000"/>
          <w:sz w:val="22"/>
        </w:rPr>
        <w:t>e.g.</w:t>
      </w:r>
      <w:r>
        <w:rPr>
          <w:rFonts w:ascii="Times New Roman;sans-serif" w:hAnsi="Times New Roman;sans-serif"/>
          <w:b w:val="false"/>
          <w:color w:val="000000"/>
          <w:sz w:val="22"/>
        </w:rPr>
        <w:t xml:space="preserve">, sale of Shares), or (iii) becoming a director, associate director or shadow director of a Subsidiary or Affiliate in Singapore, if the individual holds such an interest at that time. </w:t>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color w:val="000000"/>
          <w:sz w:val="22"/>
          <w:u w:val="single"/>
        </w:rPr>
      </w:pPr>
      <w:r>
        <w:rPr>
          <w:rFonts w:ascii="Times New Roman;sans-serif" w:hAnsi="Times New Roman;sans-serif"/>
          <w:b/>
          <w:color w:val="000000"/>
          <w:sz w:val="22"/>
          <w:u w:val="single"/>
        </w:rPr>
        <w:t>SWEDEN</w:t>
      </w:r>
    </w:p>
    <w:p>
      <w:pPr>
        <w:pStyle w:val="TextBody"/>
        <w:bidi w:val="0"/>
        <w:spacing w:before="0" w:after="0"/>
        <w:jc w:val="center"/>
        <w:rPr/>
      </w:pPr>
      <w:r>
        <w:rPr/>
      </w:r>
    </w:p>
    <w:p>
      <w:pPr>
        <w:pStyle w:val="TextBody"/>
        <w:bidi w:val="0"/>
        <w:spacing w:lineRule="auto" w:line="240" w:before="0" w:after="0"/>
        <w:jc w:val="both"/>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color w:val="000000"/>
          <w:sz w:val="22"/>
        </w:rPr>
        <w:t>Authorization to Withhold</w:t>
      </w:r>
      <w:r>
        <w:rPr>
          <w:rFonts w:ascii="Times New Roman;sans-serif" w:hAnsi="Times New Roman;sans-serif"/>
          <w:b w:val="false"/>
          <w:color w:val="000000"/>
          <w:sz w:val="22"/>
        </w:rPr>
        <w:t xml:space="preserve">. The following provision supplements </w:t>
      </w:r>
      <w:r>
        <w:rPr>
          <w:rFonts w:ascii="Times New Roman;sans-serif" w:hAnsi="Times New Roman;sans-serif"/>
          <w:b w:val="false"/>
          <w:color w:val="000000"/>
          <w:sz w:val="22"/>
          <w:u w:val="single"/>
        </w:rPr>
        <w:t>Section 3 of the Notice</w:t>
      </w:r>
      <w:r>
        <w:rPr>
          <w:color w:val="000000"/>
        </w:rPr>
        <w:t xml:space="preserve"> </w:t>
      </w:r>
      <w:r>
        <w:rPr>
          <w:rFonts w:ascii="Times New Roman;sans-serif" w:hAnsi="Times New Roman;sans-serif"/>
          <w:b w:val="false"/>
          <w:color w:val="000000"/>
          <w:sz w:val="22"/>
        </w:rPr>
        <w:t xml:space="preserve">as supplemented by </w:t>
      </w:r>
      <w:r>
        <w:rPr>
          <w:rFonts w:ascii="Times New Roman;sans-serif" w:hAnsi="Times New Roman;sans-serif"/>
          <w:b w:val="false"/>
          <w:color w:val="000000"/>
          <w:sz w:val="22"/>
          <w:u w:val="single"/>
        </w:rPr>
        <w:t>Section 2 of Appendix A</w:t>
      </w:r>
      <w:r>
        <w:rPr>
          <w:color w:val="000000"/>
        </w:rPr>
        <w:t xml:space="preserve"> </w:t>
      </w:r>
      <w:r>
        <w:rPr>
          <w:rFonts w:ascii="Times New Roman;sans-serif" w:hAnsi="Times New Roman;sans-serif"/>
          <w:b w:val="false"/>
          <w:color w:val="000000"/>
          <w:sz w:val="22"/>
        </w:rPr>
        <w:t>(Tax Consequences, Withholding, and Liability):</w:t>
      </w:r>
    </w:p>
    <w:p>
      <w:pPr>
        <w:pStyle w:val="TextBody"/>
        <w:bidi w:val="0"/>
        <w:jc w:val="both"/>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75260"/>
                <wp:effectExtent l="0" t="0" r="0" b="0"/>
                <wp:wrapNone/>
                <wp:docPr id="170" name="Frame1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2"/>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2"/>
                        </w:rPr>
                        <w:t>-18-</w:t>
                      </w:r>
                    </w:p>
                  </w:txbxContent>
                </v:textbox>
                <w10:wrap type="none"/>
              </v:rect>
            </w:pict>
          </mc:Fallback>
        </mc:AlternateContent>
      </w:r>
    </w:p>
    <w:p>
      <w:pPr>
        <w:pStyle w:val="TextBody"/>
        <w:bidi w:val="0"/>
        <w:spacing w:lineRule="auto" w:line="240" w:before="0" w:after="0"/>
        <w:jc w:val="both"/>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Without limiting the Company’s and the Employer’s authority to satisfy their withholding obligations for Tax Obligations as set forth in this Notice, by accepting the grant of the RSUs, Participant authorizes the Company and/or the Employer to withhold Shares or to sell Shares otherwise deliverable to Participant upon vesting or settlement to satisfy Tax Obligations, regardless of whether the Company and/or Employer have an obligation to withhold such Tax Obligations.</w:t>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color w:val="000000"/>
          <w:sz w:val="22"/>
          <w:u w:val="single"/>
        </w:rPr>
      </w:pPr>
      <w:r>
        <w:rPr>
          <w:rFonts w:ascii="Times New Roman;sans-serif" w:hAnsi="Times New Roman;sans-serif"/>
          <w:b/>
          <w:color w:val="000000"/>
          <w:sz w:val="22"/>
          <w:u w:val="single"/>
        </w:rPr>
        <w:t>UNITED KINGDOM</w:t>
      </w:r>
    </w:p>
    <w:p>
      <w:pPr>
        <w:pStyle w:val="TextBody"/>
        <w:bidi w:val="0"/>
        <w:spacing w:before="0" w:after="0"/>
        <w:jc w:val="center"/>
        <w:rPr/>
      </w:pPr>
      <w:r>
        <w:rPr/>
      </w:r>
    </w:p>
    <w:p>
      <w:pPr>
        <w:pStyle w:val="TextBody"/>
        <w:bidi w:val="0"/>
        <w:spacing w:lineRule="auto" w:line="240" w:before="0" w:after="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before="0" w:after="0"/>
        <w:jc w:val="left"/>
        <w:rPr/>
      </w:pPr>
      <w:r>
        <w:rPr/>
      </w:r>
    </w:p>
    <w:p>
      <w:pPr>
        <w:pStyle w:val="TextBody"/>
        <w:bidi w:val="0"/>
        <w:spacing w:lineRule="auto" w:line="240" w:before="0" w:after="240"/>
        <w:jc w:val="both"/>
        <w:rPr/>
      </w:pPr>
      <w:r>
        <w:rPr>
          <w:rFonts w:ascii="Times New Roman;sans-serif" w:hAnsi="Times New Roman;sans-serif"/>
          <w:b/>
          <w:color w:val="000000"/>
          <w:sz w:val="22"/>
        </w:rPr>
        <w:t>Tax Obligations.</w:t>
      </w:r>
      <w:r>
        <w:rPr>
          <w:color w:val="000000"/>
        </w:rPr>
        <w:t xml:space="preserve"> </w:t>
      </w:r>
      <w:r>
        <w:rPr>
          <w:rFonts w:ascii="Times New Roman;sans-serif" w:hAnsi="Times New Roman;sans-serif"/>
          <w:b w:val="false"/>
          <w:color w:val="000000"/>
          <w:sz w:val="22"/>
        </w:rPr>
        <w:t xml:space="preserve">The following provision supplements Section 3 of the Notice as supplemented by </w:t>
      </w:r>
      <w:r>
        <w:rPr>
          <w:rFonts w:ascii="Times New Roman;sans-serif" w:hAnsi="Times New Roman;sans-serif"/>
          <w:b w:val="false"/>
          <w:color w:val="000000"/>
          <w:sz w:val="22"/>
          <w:u w:val="single"/>
        </w:rPr>
        <w:t>Section 2 of Appendix A</w:t>
      </w:r>
      <w:r>
        <w:rPr>
          <w:color w:val="000000"/>
        </w:rPr>
        <w:t xml:space="preserve"> </w:t>
      </w:r>
      <w:r>
        <w:rPr>
          <w:rFonts w:ascii="Times New Roman;sans-serif" w:hAnsi="Times New Roman;sans-serif"/>
          <w:b w:val="false"/>
          <w:color w:val="000000"/>
          <w:sz w:val="22"/>
        </w:rPr>
        <w:t>(Tax Consequences, Withholding, and Liability):</w:t>
      </w:r>
    </w:p>
    <w:p>
      <w:pPr>
        <w:pStyle w:val="TextBody"/>
        <w:bidi w:val="0"/>
        <w:spacing w:lineRule="auto" w:line="240" w:before="0" w:after="240"/>
        <w:jc w:val="both"/>
        <w:rPr/>
      </w:pPr>
      <w:r>
        <w:rPr>
          <w:rFonts w:ascii="Times New Roman;sans-serif" w:hAnsi="Times New Roman;sans-serif"/>
          <w:b w:val="false"/>
          <w:color w:val="000000"/>
          <w:sz w:val="22"/>
        </w:rPr>
        <w:t>Participant agrees to indemnify the Company and/or the Employer for all Tax Obligations that he or she is required to pay or withhold or have paid or will pay to Her Majesty’s Revenue &amp; Customs (“</w:t>
      </w:r>
      <w:r>
        <w:rPr>
          <w:rFonts w:ascii="Times New Roman;sans-serif" w:hAnsi="Times New Roman;sans-serif"/>
          <w:b/>
          <w:color w:val="000000"/>
          <w:sz w:val="22"/>
        </w:rPr>
        <w:t>HMRC</w:t>
      </w:r>
      <w:r>
        <w:rPr>
          <w:color w:val="000000"/>
        </w:rPr>
        <w:t>”</w:t>
      </w:r>
      <w:r>
        <w:rPr>
          <w:rFonts w:ascii="Times New Roman;sans-serif" w:hAnsi="Times New Roman;sans-serif"/>
          <w:b w:val="false"/>
          <w:color w:val="000000"/>
          <w:sz w:val="22"/>
        </w:rPr>
        <w:t xml:space="preserve">) (or any other tax or relevant authority) on Participant’s behalf and authorizes the Company and/or the Employer to recover such amounts by any of the means set out in this Notice. Participant also agrees to be liable for any Tax Obligations related to the RSUs and legally applicable to Participant, and hereby covenants to pay any such Tax-Related items as and when requested by the Company, the Employer or by HMRC (or any other tax or relevant authority). </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Notwithstanding the foregoing, if Participant is a director or an executive officer (within the meaning of such terms for purposes of Section 13(k) of the Exchange Act), the terms of the immediately foregoing provision will not apply. In the event that Participant is a director or an executive officer and the income tax is not collected from or paid by Participant within ninety (90) days of the end of the U.K. tax year in which an event giving rise to the indemnification described above occurs, the amount of any uncollected income tax may constitute a benefit to Participant on which additional income tax and National Insurance Contributions may be payable. Participant understands and agrees that Participant will be responsible for reporting and paying any income tax due on this additional benefit directly to HMRC under the self-assessment regime and for paying the Company or the Employer (as appropriate) for the value of any employee National Insurance Contributions due on this additional benefit, which the Company or the Employer may recover from Participant by any of the means referred to in the Plan or this Notice.</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75260"/>
                <wp:effectExtent l="0" t="0" r="0" b="0"/>
                <wp:wrapNone/>
                <wp:docPr id="171" name="Frame1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2"/>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2"/>
                        </w:rPr>
                        <w:t>-19-</w:t>
                      </w:r>
                    </w:p>
                  </w:txbxContent>
                </v:textbox>
                <w10:wrap type="none"/>
              </v:rect>
            </w:pict>
          </mc:Fallback>
        </mc:AlternateContent>
      </w:r>
    </w:p>
    <w:p>
      <w:pPr>
        <w:pStyle w:val="TextBody"/>
        <w:bidi w:val="0"/>
        <w:spacing w:lineRule="auto" w:line="240" w:before="120" w:after="283"/>
        <w:jc w:val="right"/>
        <w:rPr>
          <w:rFonts w:ascii="Times New Roman;sans-serif" w:hAnsi="Times New Roman;sans-serif"/>
          <w:b/>
          <w:color w:val="000000"/>
          <w:sz w:val="22"/>
        </w:rPr>
      </w:pPr>
      <w:r>
        <w:rPr>
          <w:rFonts w:ascii="Times New Roman;sans-serif" w:hAnsi="Times New Roman;sans-serif"/>
          <w:b/>
          <w:color w:val="000000"/>
          <w:sz w:val="22"/>
        </w:rPr>
        <w:t>Exhibit 10.13</w:t>
      </w:r>
    </w:p>
    <w:p>
      <w:pPr>
        <w:pStyle w:val="TextBody"/>
        <w:bidi w:val="0"/>
        <w:spacing w:lineRule="auto" w:line="240" w:before="240" w:after="283"/>
        <w:jc w:val="center"/>
        <w:rPr>
          <w:rFonts w:ascii="Times New Roman;sans-serif" w:hAnsi="Times New Roman;sans-serif"/>
          <w:b/>
          <w:color w:val="000000"/>
          <w:sz w:val="24"/>
        </w:rPr>
      </w:pPr>
      <w:r>
        <w:rPr>
          <w:rFonts w:ascii="Times New Roman;sans-serif" w:hAnsi="Times New Roman;sans-serif"/>
          <w:b/>
          <w:color w:val="000000"/>
          <w:sz w:val="24"/>
        </w:rPr>
        <w:t>MAGNITE, INC.</w:t>
      </w:r>
    </w:p>
    <w:p>
      <w:pPr>
        <w:pStyle w:val="TextBody"/>
        <w:bidi w:val="0"/>
        <w:spacing w:lineRule="auto" w:line="240" w:before="120" w:after="283"/>
        <w:jc w:val="center"/>
        <w:rPr>
          <w:rFonts w:ascii="Times New Roman;sans-serif" w:hAnsi="Times New Roman;sans-serif"/>
          <w:b/>
          <w:color w:val="000000"/>
          <w:sz w:val="24"/>
        </w:rPr>
      </w:pPr>
      <w:r>
        <w:rPr>
          <w:rFonts w:ascii="Times New Roman;sans-serif" w:hAnsi="Times New Roman;sans-serif"/>
          <w:b/>
          <w:color w:val="000000"/>
          <w:sz w:val="24"/>
        </w:rPr>
        <w:t>AMENDED AND RESTATED 2014 EQUITY INCENTIVE PLAN</w:t>
      </w:r>
    </w:p>
    <w:p>
      <w:pPr>
        <w:pStyle w:val="TextBody"/>
        <w:bidi w:val="0"/>
        <w:spacing w:lineRule="auto" w:line="240" w:before="120" w:after="283"/>
        <w:jc w:val="center"/>
        <w:rPr>
          <w:rFonts w:ascii="Times New Roman;sans-serif" w:hAnsi="Times New Roman;sans-serif"/>
          <w:b/>
          <w:color w:val="000000"/>
          <w:sz w:val="24"/>
        </w:rPr>
      </w:pPr>
      <w:r>
        <w:rPr>
          <w:rFonts w:ascii="Times New Roman;sans-serif" w:hAnsi="Times New Roman;sans-serif"/>
          <w:b/>
          <w:color w:val="000000"/>
          <w:sz w:val="24"/>
        </w:rPr>
        <w:t>PERFORMANCE STOCK UNIT GRANT NOTICE</w:t>
      </w:r>
    </w:p>
    <w:p>
      <w:pPr>
        <w:pStyle w:val="TextBody"/>
        <w:bidi w:val="0"/>
        <w:spacing w:lineRule="auto" w:line="240" w:before="360" w:after="283"/>
        <w:jc w:val="both"/>
        <w:rPr/>
      </w:pPr>
      <w:r>
        <w:rPr>
          <w:color w:val="000000"/>
        </w:rPr>
        <w:t>    </w:t>
      </w:r>
      <w:r>
        <w:rPr>
          <w:rFonts w:ascii="Times New Roman;sans-serif" w:hAnsi="Times New Roman;sans-serif"/>
          <w:b w:val="false"/>
          <w:color w:val="000000"/>
          <w:sz w:val="22"/>
        </w:rPr>
        <w:t>Notice is hereby given of the grant by Magnite, Inc. (the “</w:t>
      </w:r>
      <w:r>
        <w:rPr>
          <w:rFonts w:ascii="Times New Roman;sans-serif" w:hAnsi="Times New Roman;sans-serif"/>
          <w:b/>
          <w:color w:val="000000"/>
          <w:sz w:val="22"/>
        </w:rPr>
        <w:t>Company</w:t>
      </w:r>
      <w:r>
        <w:rPr>
          <w:color w:val="000000"/>
        </w:rPr>
        <w:t>”</w:t>
      </w:r>
      <w:r>
        <w:rPr>
          <w:rFonts w:ascii="Times New Roman;sans-serif" w:hAnsi="Times New Roman;sans-serif"/>
          <w:b w:val="false"/>
          <w:color w:val="000000"/>
          <w:sz w:val="22"/>
        </w:rPr>
        <w:t>) to the Participant named below (the “</w:t>
      </w:r>
      <w:r>
        <w:rPr>
          <w:rFonts w:ascii="Times New Roman;sans-serif" w:hAnsi="Times New Roman;sans-serif"/>
          <w:b/>
          <w:color w:val="000000"/>
          <w:sz w:val="22"/>
        </w:rPr>
        <w:t>Participant</w:t>
      </w:r>
      <w:r>
        <w:rPr>
          <w:color w:val="000000"/>
        </w:rPr>
        <w:t>”</w:t>
      </w:r>
      <w:r>
        <w:rPr>
          <w:rFonts w:ascii="Times New Roman;sans-serif" w:hAnsi="Times New Roman;sans-serif"/>
          <w:b w:val="false"/>
          <w:color w:val="000000"/>
          <w:sz w:val="22"/>
        </w:rPr>
        <w:t>) of a Performance Stock Unit Award under the Company’s Amended and Restated 2014 Equity Incentive Plan (the “</w:t>
      </w:r>
      <w:r>
        <w:rPr>
          <w:rFonts w:ascii="Times New Roman;sans-serif" w:hAnsi="Times New Roman;sans-serif"/>
          <w:b/>
          <w:color w:val="000000"/>
          <w:sz w:val="22"/>
        </w:rPr>
        <w:t>Plan</w:t>
      </w:r>
      <w:r>
        <w:rPr>
          <w:color w:val="000000"/>
        </w:rPr>
        <w:t>”</w:t>
      </w:r>
      <w:r>
        <w:rPr>
          <w:rFonts w:ascii="Times New Roman;sans-serif" w:hAnsi="Times New Roman;sans-serif"/>
          <w:b w:val="false"/>
          <w:color w:val="000000"/>
          <w:sz w:val="22"/>
        </w:rPr>
        <w:t xml:space="preserve">), which is available at </w:t>
      </w:r>
      <w:hyperlink r:id="rId44">
        <w:r>
          <w:rPr>
            <w:rStyle w:val="InternetLink"/>
            <w:rFonts w:ascii="Times New Roman;sans-serif" w:hAnsi="Times New Roman;sans-serif"/>
            <w:b w:val="false"/>
            <w:color w:val="0000FF"/>
            <w:sz w:val="22"/>
            <w:u w:val="single"/>
          </w:rPr>
          <w:t>https://www.sec.gov/Archives/edgar/data/1595974/000159597423000031/exhibit101-arequityplan.htm</w:t>
        </w:r>
      </w:hyperlink>
      <w:r>
        <w:rPr>
          <w:color w:val="000000"/>
        </w:rPr>
        <w:t xml:space="preserve"> </w:t>
      </w:r>
      <w:r>
        <w:rPr>
          <w:rFonts w:ascii="Times New Roman;sans-serif" w:hAnsi="Times New Roman;sans-serif"/>
          <w:b w:val="false"/>
          <w:color w:val="000000"/>
          <w:sz w:val="22"/>
        </w:rPr>
        <w:t xml:space="preserve">and incorporated herein by reference. This Performance Stock Unit Award is governed by this Notice (including any special terms and conditions set forth in any appendices attached hereto), and the Plan, and in the event of a conflict between the terms of this Notice and the Plan, the terms of the Plan shall control. By acceptance of the Performance Stock Unit Award, and also by acceptance through performance of the vesting requirements and the Shares issuable upon vesting, Participant agrees to the terms and conditions set forth in this Notice (including any special terms and conditions set forth in any appendices attached hereto) and the Plan. Capitalized terms used but not defined in this Notice shall have the meanings given to them in the Plan. </w:t>
      </w:r>
    </w:p>
    <w:p>
      <w:pPr>
        <w:pStyle w:val="TextBody"/>
        <w:bidi w:val="0"/>
        <w:spacing w:lineRule="auto" w:line="240" w:before="360" w:after="283"/>
        <w:jc w:val="both"/>
        <w:rPr/>
      </w:pPr>
      <w:r>
        <w:rPr>
          <w:color w:val="000000"/>
        </w:rPr>
        <w:t>    </w:t>
      </w:r>
      <w:r>
        <w:rPr>
          <w:rFonts w:ascii="Times New Roman;sans-serif" w:hAnsi="Times New Roman;sans-serif"/>
          <w:b w:val="false"/>
          <w:color w:val="000000"/>
          <w:sz w:val="22"/>
        </w:rPr>
        <w:t>The Performance Stock Unit Award consists of the number of Performance Stock Units set forth below (the “</w:t>
      </w:r>
      <w:r>
        <w:rPr>
          <w:rFonts w:ascii="Times New Roman;sans-serif" w:hAnsi="Times New Roman;sans-serif"/>
          <w:b/>
          <w:color w:val="000000"/>
          <w:sz w:val="22"/>
        </w:rPr>
        <w:t>Performance Stock Units</w:t>
      </w:r>
      <w:r>
        <w:rPr>
          <w:color w:val="000000"/>
        </w:rPr>
        <w:t xml:space="preserve">” </w:t>
      </w:r>
      <w:r>
        <w:rPr>
          <w:rFonts w:ascii="Times New Roman;sans-serif" w:hAnsi="Times New Roman;sans-serif"/>
          <w:b w:val="false"/>
          <w:color w:val="000000"/>
          <w:sz w:val="22"/>
        </w:rPr>
        <w:t>or</w:t>
      </w:r>
      <w:r>
        <w:rPr>
          <w:color w:val="000000"/>
        </w:rPr>
        <w:t xml:space="preserve"> “</w:t>
      </w:r>
      <w:r>
        <w:rPr>
          <w:rFonts w:ascii="Times New Roman;sans-serif" w:hAnsi="Times New Roman;sans-serif"/>
          <w:b/>
          <w:color w:val="000000"/>
          <w:sz w:val="22"/>
        </w:rPr>
        <w:t>PSUs</w:t>
      </w:r>
      <w:r>
        <w:rPr>
          <w:color w:val="000000"/>
        </w:rPr>
        <w:t>”</w:t>
      </w:r>
      <w:r>
        <w:rPr>
          <w:rFonts w:ascii="Times New Roman;sans-serif" w:hAnsi="Times New Roman;sans-serif"/>
          <w:b w:val="false"/>
          <w:color w:val="000000"/>
          <w:sz w:val="22"/>
        </w:rPr>
        <w:t>). Each PSU represents the right to receive one share (a “</w:t>
      </w:r>
      <w:r>
        <w:rPr>
          <w:rFonts w:ascii="Times New Roman;sans-serif" w:hAnsi="Times New Roman;sans-serif"/>
          <w:b/>
          <w:color w:val="000000"/>
          <w:sz w:val="22"/>
        </w:rPr>
        <w:t>Share</w:t>
      </w:r>
      <w:r>
        <w:rPr>
          <w:color w:val="000000"/>
        </w:rPr>
        <w:t>”</w:t>
      </w:r>
      <w:r>
        <w:rPr>
          <w:rFonts w:ascii="Times New Roman;sans-serif" w:hAnsi="Times New Roman;sans-serif"/>
          <w:b w:val="false"/>
          <w:color w:val="000000"/>
          <w:sz w:val="22"/>
        </w:rPr>
        <w:t>) of the Company’s Common Stock, par value $0.00001 (the “</w:t>
      </w:r>
      <w:r>
        <w:rPr>
          <w:rFonts w:ascii="Times New Roman;sans-serif" w:hAnsi="Times New Roman;sans-serif"/>
          <w:b/>
          <w:color w:val="000000"/>
          <w:sz w:val="22"/>
        </w:rPr>
        <w:t>Common Stock</w:t>
      </w:r>
      <w:r>
        <w:rPr>
          <w:color w:val="000000"/>
        </w:rPr>
        <w:t>”</w:t>
      </w:r>
      <w:r>
        <w:rPr>
          <w:rFonts w:ascii="Times New Roman;sans-serif" w:hAnsi="Times New Roman;sans-serif"/>
          <w:b w:val="false"/>
          <w:color w:val="000000"/>
          <w:sz w:val="22"/>
        </w:rPr>
        <w:t>), subject to vesting as set forth below and to the terms and conditions of the Plan and this Notice, as follows:</w:t>
      </w:r>
    </w:p>
    <w:p>
      <w:pPr>
        <w:pStyle w:val="TextBody"/>
        <w:bidi w:val="0"/>
        <w:spacing w:before="0" w:after="0"/>
        <w:jc w:val="left"/>
        <w:rPr/>
      </w:pPr>
      <w:r>
        <w:rPr/>
      </w:r>
    </w:p>
    <w:tbl>
      <w:tblPr>
        <w:tblW w:w="5205" w:type="dxa"/>
        <w:jc w:val="left"/>
        <w:tblInd w:w="0" w:type="dxa"/>
        <w:tblLayout w:type="fixed"/>
        <w:tblCellMar>
          <w:top w:w="28" w:type="dxa"/>
          <w:left w:w="28" w:type="dxa"/>
          <w:bottom w:w="28" w:type="dxa"/>
          <w:right w:w="28" w:type="dxa"/>
        </w:tblCellMar>
      </w:tblPr>
      <w:tblGrid>
        <w:gridCol w:w="1004"/>
        <w:gridCol w:w="883"/>
        <w:gridCol w:w="888"/>
        <w:gridCol w:w="712"/>
        <w:gridCol w:w="712"/>
        <w:gridCol w:w="1006"/>
      </w:tblGrid>
      <w:tr>
        <w:trPr/>
        <w:tc>
          <w:tcPr>
            <w:tcW w:w="1004"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tcMar>
              <w:top w:w="0" w:type="dxa"/>
              <w:left w:w="0" w:type="dxa"/>
              <w:bottom w:w="0" w:type="dxa"/>
              <w:right w:w="0" w:type="dxa"/>
            </w:tcMar>
            <w:vAlign w:val="center"/>
          </w:tcPr>
          <w:p>
            <w:pPr>
              <w:pStyle w:val="TableContents"/>
              <w:bidi w:val="0"/>
              <w:spacing w:lineRule="auto" w:line="417" w:before="0" w:after="0"/>
              <w:ind w:left="0" w:right="0" w:hanging="0"/>
              <w:jc w:val="left"/>
              <w:rPr/>
            </w:pPr>
            <w:r>
              <w:rPr>
                <w:rFonts w:ascii="Times New Roman;sans-serif" w:hAnsi="Times New Roman;sans-serif"/>
                <w:b/>
                <w:color w:val="000000"/>
                <w:sz w:val="22"/>
              </w:rPr>
              <w:t>Participant Name</w:t>
            </w:r>
            <w:r>
              <w:rPr>
                <w:rFonts w:ascii="Times New Roman;sans-serif" w:hAnsi="Times New Roman;sans-serif"/>
                <w:b w:val="false"/>
                <w:color w:val="000000"/>
                <w:sz w:val="22"/>
              </w:rPr>
              <w:t>:</w:t>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___________________</w:t>
            </w:r>
          </w:p>
        </w:tc>
      </w:tr>
      <w:tr>
        <w:trPr/>
        <w:tc>
          <w:tcPr>
            <w:tcW w:w="2775" w:type="dxa"/>
            <w:gridSpan w:val="3"/>
            <w:tcBorders/>
            <w:tcMar>
              <w:top w:w="0" w:type="dxa"/>
              <w:left w:w="0" w:type="dxa"/>
              <w:bottom w:w="0" w:type="dxa"/>
              <w:right w:w="0" w:type="dxa"/>
            </w:tcMar>
            <w:vAlign w:val="center"/>
          </w:tcPr>
          <w:p>
            <w:pPr>
              <w:pStyle w:val="TableContents"/>
              <w:bidi w:val="0"/>
              <w:spacing w:lineRule="auto" w:line="417" w:before="0" w:after="0"/>
              <w:ind w:left="0" w:right="0" w:hanging="0"/>
              <w:jc w:val="left"/>
              <w:rPr/>
            </w:pPr>
            <w:r>
              <w:rPr>
                <w:rFonts w:ascii="Times New Roman;sans-serif" w:hAnsi="Times New Roman;sans-serif"/>
                <w:b/>
                <w:color w:val="000000"/>
                <w:sz w:val="22"/>
              </w:rPr>
              <w:t>Target Number of PSUs</w:t>
            </w:r>
            <w:r>
              <w:rPr>
                <w:rFonts w:ascii="Times New Roman;sans-serif" w:hAnsi="Times New Roman;sans-serif"/>
                <w:b w:val="false"/>
                <w:color w:val="000000"/>
                <w:sz w:val="22"/>
              </w:rPr>
              <w:t>:</w:t>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___________________</w:t>
            </w:r>
          </w:p>
        </w:tc>
      </w:tr>
      <w:tr>
        <w:trPr/>
        <w:tc>
          <w:tcPr>
            <w:tcW w:w="2775" w:type="dxa"/>
            <w:gridSpan w:val="3"/>
            <w:tcBorders/>
            <w:tcMar>
              <w:top w:w="0" w:type="dxa"/>
              <w:left w:w="0" w:type="dxa"/>
              <w:bottom w:w="0" w:type="dxa"/>
              <w:right w:w="0" w:type="dxa"/>
            </w:tcMar>
            <w:vAlign w:val="center"/>
          </w:tcPr>
          <w:p>
            <w:pPr>
              <w:pStyle w:val="TableContents"/>
              <w:bidi w:val="0"/>
              <w:spacing w:lineRule="auto" w:line="417" w:before="0" w:after="0"/>
              <w:ind w:left="0" w:right="0" w:hanging="0"/>
              <w:jc w:val="left"/>
              <w:rPr/>
            </w:pPr>
            <w:r>
              <w:rPr>
                <w:rFonts w:ascii="Times New Roman;sans-serif" w:hAnsi="Times New Roman;sans-serif"/>
                <w:b/>
                <w:color w:val="000000"/>
                <w:sz w:val="22"/>
              </w:rPr>
              <w:t>Issuance Date</w:t>
            </w:r>
            <w:r>
              <w:rPr>
                <w:rFonts w:ascii="Times New Roman;sans-serif" w:hAnsi="Times New Roman;sans-serif"/>
                <w:b w:val="false"/>
                <w:color w:val="000000"/>
                <w:sz w:val="22"/>
              </w:rPr>
              <w:t>:    </w:t>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___________________</w:t>
            </w:r>
          </w:p>
        </w:tc>
      </w:tr>
      <w:tr>
        <w:trPr/>
        <w:tc>
          <w:tcPr>
            <w:tcW w:w="2775" w:type="dxa"/>
            <w:gridSpan w:val="3"/>
            <w:tcBorders/>
            <w:tcMar>
              <w:top w:w="0" w:type="dxa"/>
              <w:left w:w="0" w:type="dxa"/>
              <w:bottom w:w="0" w:type="dxa"/>
              <w:right w:w="0" w:type="dxa"/>
            </w:tcMar>
            <w:vAlign w:val="center"/>
          </w:tcPr>
          <w:p>
            <w:pPr>
              <w:pStyle w:val="TableContents"/>
              <w:bidi w:val="0"/>
              <w:spacing w:lineRule="auto" w:line="417" w:before="0" w:after="0"/>
              <w:ind w:left="0" w:right="0" w:hanging="0"/>
              <w:jc w:val="left"/>
              <w:rPr/>
            </w:pPr>
            <w:r>
              <w:rPr>
                <w:rFonts w:ascii="Times New Roman;sans-serif" w:hAnsi="Times New Roman;sans-serif"/>
                <w:b/>
                <w:color w:val="000000"/>
                <w:sz w:val="22"/>
              </w:rPr>
              <w:t>Performance Start Date</w:t>
            </w:r>
            <w:r>
              <w:rPr>
                <w:rFonts w:ascii="Times New Roman;sans-serif" w:hAnsi="Times New Roman;sans-serif"/>
                <w:b w:val="false"/>
                <w:color w:val="000000"/>
                <w:sz w:val="22"/>
              </w:rPr>
              <w:t>:    </w:t>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___________________</w:t>
            </w:r>
          </w:p>
        </w:tc>
      </w:tr>
    </w:tbl>
    <w:p>
      <w:pPr>
        <w:pStyle w:val="TextBody"/>
        <w:bidi w:val="0"/>
        <w:spacing w:lineRule="auto" w:line="240" w:before="240" w:after="283"/>
        <w:ind w:left="0" w:right="0" w:firstLine="720"/>
        <w:jc w:val="both"/>
        <w:rPr/>
      </w:pPr>
      <w:r>
        <w:rPr>
          <w:rFonts w:ascii="Times New Roman;sans-serif" w:hAnsi="Times New Roman;sans-serif"/>
          <w:b w:val="false"/>
          <w:color w:val="000000"/>
          <w:sz w:val="22"/>
        </w:rPr>
        <w:t xml:space="preserve">The PSUs are subject to both time-based and performance-based vesting requirements as set forth below, in </w:t>
      </w:r>
      <w:r>
        <w:rPr>
          <w:rFonts w:ascii="Times New Roman;sans-serif" w:hAnsi="Times New Roman;sans-serif"/>
          <w:b w:val="false"/>
          <w:color w:val="000000"/>
          <w:sz w:val="22"/>
          <w:u w:val="single"/>
        </w:rPr>
        <w:t>Section 1</w:t>
      </w:r>
      <w:r>
        <w:rPr>
          <w:color w:val="000000"/>
        </w:rPr>
        <w:t xml:space="preserve"> </w:t>
      </w:r>
      <w:r>
        <w:rPr>
          <w:rFonts w:ascii="Times New Roman;sans-serif" w:hAnsi="Times New Roman;sans-serif"/>
          <w:b w:val="false"/>
          <w:color w:val="000000"/>
          <w:sz w:val="22"/>
        </w:rPr>
        <w:t xml:space="preserve">and in </w:t>
      </w:r>
      <w:r>
        <w:rPr>
          <w:rFonts w:ascii="Times New Roman;sans-serif" w:hAnsi="Times New Roman;sans-serif"/>
          <w:b w:val="false"/>
          <w:color w:val="000000"/>
          <w:sz w:val="22"/>
          <w:u w:val="single"/>
        </w:rPr>
        <w:t>Exhibit A</w:t>
      </w:r>
      <w:r>
        <w:rPr>
          <w:rFonts w:ascii="Times New Roman;sans-serif" w:hAnsi="Times New Roman;sans-serif"/>
          <w:b w:val="false"/>
          <w:color w:val="000000"/>
          <w:sz w:val="22"/>
        </w:rPr>
        <w:t>.</w:t>
      </w:r>
    </w:p>
    <w:p>
      <w:pPr>
        <w:pStyle w:val="TextBody"/>
        <w:bidi w:val="0"/>
        <w:spacing w:lineRule="auto" w:line="240" w:before="240" w:after="283"/>
        <w:ind w:left="0" w:right="0" w:firstLine="720"/>
        <w:jc w:val="both"/>
        <w:rPr/>
      </w:pPr>
      <w:r>
        <w:rPr>
          <w:rFonts w:ascii="Times New Roman;sans-serif" w:hAnsi="Times New Roman;sans-serif"/>
          <w:b w:val="false"/>
          <w:color w:val="000000"/>
          <w:sz w:val="22"/>
        </w:rPr>
        <w:t>For purposes of this Notice and except as otherwise provided herein, “</w:t>
      </w:r>
      <w:r>
        <w:rPr>
          <w:rFonts w:ascii="Times New Roman;sans-serif" w:hAnsi="Times New Roman;sans-serif"/>
          <w:b/>
          <w:color w:val="000000"/>
          <w:sz w:val="22"/>
        </w:rPr>
        <w:t>Vesting Date</w:t>
      </w:r>
      <w:r>
        <w:rPr>
          <w:color w:val="000000"/>
        </w:rPr>
        <w:t xml:space="preserve">” </w:t>
      </w:r>
      <w:r>
        <w:rPr>
          <w:rFonts w:ascii="Times New Roman;sans-serif" w:hAnsi="Times New Roman;sans-serif"/>
          <w:b w:val="false"/>
          <w:color w:val="000000"/>
          <w:sz w:val="22"/>
        </w:rPr>
        <w:t>means the third (3</w:t>
      </w:r>
      <w:r>
        <w:rPr>
          <w:rFonts w:ascii="Times New Roman;sans-serif" w:hAnsi="Times New Roman;sans-serif"/>
          <w:b w:val="false"/>
          <w:color w:val="000000"/>
          <w:sz w:val="14"/>
        </w:rPr>
        <w:t>rd</w:t>
      </w:r>
      <w:r>
        <w:rPr>
          <w:rFonts w:ascii="Times New Roman;sans-serif" w:hAnsi="Times New Roman;sans-serif"/>
          <w:b w:val="false"/>
          <w:color w:val="000000"/>
          <w:sz w:val="22"/>
        </w:rPr>
        <w:t>) anniversary of the “</w:t>
      </w:r>
      <w:r>
        <w:rPr>
          <w:rFonts w:ascii="Times New Roman;sans-serif" w:hAnsi="Times New Roman;sans-serif"/>
          <w:b/>
          <w:color w:val="000000"/>
          <w:sz w:val="22"/>
        </w:rPr>
        <w:t>Issuance Date</w:t>
      </w:r>
      <w:r>
        <w:rPr>
          <w:color w:val="000000"/>
        </w:rPr>
        <w:t xml:space="preserve">” </w:t>
      </w:r>
      <w:r>
        <w:rPr>
          <w:rFonts w:ascii="Times New Roman;sans-serif" w:hAnsi="Times New Roman;sans-serif"/>
          <w:b w:val="false"/>
          <w:color w:val="000000"/>
          <w:sz w:val="22"/>
        </w:rPr>
        <w:t xml:space="preserve">set forth above. Except as expressly provided in </w:t>
      </w:r>
      <w:r>
        <w:rPr>
          <w:rFonts w:ascii="Times New Roman;sans-serif" w:hAnsi="Times New Roman;sans-serif"/>
          <w:b w:val="false"/>
          <w:color w:val="000000"/>
          <w:sz w:val="22"/>
          <w:u w:val="single"/>
        </w:rPr>
        <w:t>Section 2</w:t>
      </w:r>
      <w:r>
        <w:rPr>
          <w:color w:val="000000"/>
        </w:rPr>
        <w:t xml:space="preserve"> </w:t>
      </w:r>
      <w:r>
        <w:rPr>
          <w:rFonts w:ascii="Times New Roman;sans-serif" w:hAnsi="Times New Roman;sans-serif"/>
          <w:b w:val="false"/>
          <w:color w:val="000000"/>
          <w:sz w:val="22"/>
        </w:rPr>
        <w:t xml:space="preserve">below, if Participant ceases to remain in Continuous Service for any or no reason before the Vesting Date, all unvested Performance Stock Units and Participant’s right to acquire any Shares of Common Stock hereunder will immediately terminate and be forfeited. For purposes of clarity, the vesting of the Performance Stock Units shall not be subject to any vesting acceleration provisions contained in the Plan and/or any employment or service agreement, offer letter, severance agreement, or any other agreement between Participant and the Company or any Affiliate. Furthermore, under all circumstances, the vesting of Performance Stock Units shall be subject to the satisfaction of Participant’s obligations as set forth in </w:t>
      </w:r>
      <w:r>
        <w:rPr>
          <w:rFonts w:ascii="Times New Roman;sans-serif" w:hAnsi="Times New Roman;sans-serif"/>
          <w:b w:val="false"/>
          <w:color w:val="000000"/>
          <w:sz w:val="22"/>
          <w:u w:val="single"/>
        </w:rPr>
        <w:t>Section 6(b)</w:t>
      </w:r>
      <w:r>
        <w:rPr>
          <w:rFonts w:ascii="Times New Roman;sans-serif" w:hAnsi="Times New Roman;sans-serif"/>
          <w:b w:val="false"/>
          <w:color w:val="000000"/>
          <w:sz w:val="22"/>
        </w:rPr>
        <w:t>.</w:t>
      </w:r>
    </w:p>
    <w:p>
      <w:pPr>
        <w:pStyle w:val="TextBody"/>
        <w:bidi w:val="0"/>
        <w:spacing w:lineRule="auto" w:line="240" w:before="240" w:after="283"/>
        <w:jc w:val="left"/>
        <w:rPr/>
      </w:pPr>
      <w:r>
        <w:rPr>
          <w:color w:val="000000"/>
        </w:rPr>
        <w:t>    </w:t>
      </w:r>
      <w:r>
        <w:rPr>
          <w:rFonts w:ascii="Times New Roman;sans-serif" w:hAnsi="Times New Roman;sans-serif"/>
          <w:b w:val="false"/>
          <w:color w:val="000000"/>
          <w:sz w:val="22"/>
        </w:rPr>
        <w:t>The Performance Stock Unit Award is subject to the terms and conditions, and the representations of Participant, set forth below and including any special terms and conditions set forth in any appendices attached hereto.</w:t>
      </w:r>
    </w:p>
    <w:p>
      <w:pPr>
        <w:pStyle w:val="TextBody"/>
        <w:bidi w:val="0"/>
        <w:spacing w:before="0" w:after="0"/>
        <w:jc w:val="center"/>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75260"/>
                <wp:effectExtent l="0" t="0" r="0" b="0"/>
                <wp:wrapNone/>
                <wp:docPr id="172" name="Frame1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2"/>
                              </w:rPr>
                              <w:t>-1-</w:t>
                            </w:r>
                            <w:r>
                              <w:rPr>
                                <w:color w:val="000000"/>
                              </w:rPr>
                              <w:t xml:space="preserve">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2"/>
                        </w:rPr>
                        <w:t>-1-</w:t>
                      </w:r>
                      <w:r>
                        <w:rPr>
                          <w:color w:val="000000"/>
                        </w:rPr>
                        <w:t xml:space="preserve"> </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color w:val="000000"/>
          <w:sz w:val="22"/>
        </w:rPr>
        <w:t>1.    Vesting of PSUs and Payment of Shares</w:t>
      </w:r>
      <w:r>
        <w:rPr>
          <w:rFonts w:ascii="Times New Roman;sans-serif" w:hAnsi="Times New Roman;sans-serif"/>
          <w:b w:val="false"/>
          <w:color w:val="000000"/>
          <w:sz w:val="22"/>
        </w:rPr>
        <w:t xml:space="preserve">.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(a)    </w:t>
      </w:r>
      <w:r>
        <w:rPr>
          <w:rFonts w:ascii="Times New Roman;sans-serif" w:hAnsi="Times New Roman;sans-serif"/>
          <w:b w:val="false"/>
          <w:color w:val="000000"/>
          <w:sz w:val="22"/>
          <w:u w:val="single"/>
        </w:rPr>
        <w:t>Prior to Vesting</w:t>
      </w:r>
      <w:r>
        <w:rPr>
          <w:rFonts w:ascii="Times New Roman;sans-serif" w:hAnsi="Times New Roman;sans-serif"/>
          <w:b w:val="false"/>
          <w:color w:val="000000"/>
          <w:sz w:val="22"/>
        </w:rPr>
        <w:t>. Prior to vesting and actual payment on any vested Performance Stock Unit, such Performance Stock Unit will represent an unsecured obligation of the Company, for which there is no trust and no obligation other than to make payment as contemplated by this Notice and the Plan. Neither Participant nor any person claiming under or through Participant will have any of the rights or privileges of a stockholder of the Company in respect of any Performance Stock Units, or any Shares deliverable hereunder unless and until such PSUs have vested in accordance with the provisions of this Notice and the underlying Shares have been issued and recorded on the records of the Company or its transfer agents or registrars. No adjustment shall be made for any dividends (ordinary or extraordinary, whether cash, securities, or other property) or distributions or other rights for which the record date is prior to the date Shares are issued, except as provided in Section 10 of the Plan.</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(b)    </w:t>
      </w:r>
      <w:r>
        <w:rPr>
          <w:rFonts w:ascii="Times New Roman;sans-serif" w:hAnsi="Times New Roman;sans-serif"/>
          <w:b w:val="false"/>
          <w:color w:val="000000"/>
          <w:sz w:val="22"/>
          <w:u w:val="single"/>
        </w:rPr>
        <w:t>Time-Based and Performance-Based Vesting</w:t>
      </w:r>
      <w:r>
        <w:rPr>
          <w:rFonts w:ascii="Times New Roman;sans-serif" w:hAnsi="Times New Roman;sans-serif"/>
          <w:b w:val="false"/>
          <w:color w:val="000000"/>
          <w:sz w:val="22"/>
        </w:rPr>
        <w:t xml:space="preserve">. The PSUs are subject to both time-based and performance-based vesting as provided herein. Subject to </w:t>
      </w:r>
      <w:r>
        <w:rPr>
          <w:rFonts w:ascii="Times New Roman;sans-serif" w:hAnsi="Times New Roman;sans-serif"/>
          <w:b w:val="false"/>
          <w:color w:val="000000"/>
          <w:sz w:val="22"/>
          <w:u w:val="single"/>
        </w:rPr>
        <w:t>Section 2</w:t>
      </w:r>
      <w:r>
        <w:rPr>
          <w:rFonts w:ascii="Times New Roman;sans-serif" w:hAnsi="Times New Roman;sans-serif"/>
          <w:b w:val="false"/>
          <w:color w:val="000000"/>
          <w:sz w:val="22"/>
        </w:rPr>
        <w:t xml:space="preserve">, the number of PSUs that vest and become payable shall be determined based on the Company’s achievement of the performance goals set forth on </w:t>
      </w:r>
      <w:r>
        <w:rPr>
          <w:rFonts w:ascii="Times New Roman;sans-serif" w:hAnsi="Times New Roman;sans-serif"/>
          <w:b w:val="false"/>
          <w:color w:val="000000"/>
          <w:sz w:val="22"/>
          <w:u w:val="single"/>
        </w:rPr>
        <w:t>Exhibit A</w:t>
      </w:r>
      <w:r>
        <w:rPr>
          <w:color w:val="000000"/>
        </w:rPr>
        <w:t xml:space="preserve"> </w:t>
      </w:r>
      <w:r>
        <w:rPr>
          <w:rFonts w:ascii="Times New Roman;sans-serif" w:hAnsi="Times New Roman;sans-serif"/>
          <w:b w:val="false"/>
          <w:color w:val="000000"/>
          <w:sz w:val="22"/>
        </w:rPr>
        <w:t xml:space="preserve">attached hereto for the Performance Period (as defined in </w:t>
      </w:r>
      <w:r>
        <w:rPr>
          <w:rFonts w:ascii="Times New Roman;sans-serif" w:hAnsi="Times New Roman;sans-serif"/>
          <w:b w:val="false"/>
          <w:color w:val="000000"/>
          <w:sz w:val="22"/>
          <w:u w:val="single"/>
        </w:rPr>
        <w:t>Exhibit A</w:t>
      </w:r>
      <w:r>
        <w:rPr>
          <w:rFonts w:ascii="Times New Roman;sans-serif" w:hAnsi="Times New Roman;sans-serif"/>
          <w:b w:val="false"/>
          <w:color w:val="000000"/>
          <w:sz w:val="22"/>
        </w:rPr>
        <w:t xml:space="preserve">). In addition, except as expressly provided in </w:t>
      </w:r>
      <w:r>
        <w:rPr>
          <w:rFonts w:ascii="Times New Roman;sans-serif" w:hAnsi="Times New Roman;sans-serif"/>
          <w:b w:val="false"/>
          <w:color w:val="000000"/>
          <w:sz w:val="22"/>
          <w:u w:val="single"/>
        </w:rPr>
        <w:t>Section 2</w:t>
      </w:r>
      <w:r>
        <w:rPr>
          <w:rFonts w:ascii="Times New Roman;sans-serif" w:hAnsi="Times New Roman;sans-serif"/>
          <w:b w:val="false"/>
          <w:color w:val="000000"/>
          <w:sz w:val="22"/>
        </w:rPr>
        <w:t xml:space="preserve">, the vesting of any PSUs that are determined to be eligible to vest pursuant to </w:t>
      </w:r>
      <w:r>
        <w:rPr>
          <w:rFonts w:ascii="Times New Roman;sans-serif" w:hAnsi="Times New Roman;sans-serif"/>
          <w:b w:val="false"/>
          <w:color w:val="000000"/>
          <w:sz w:val="22"/>
          <w:u w:val="single"/>
        </w:rPr>
        <w:t>Exhibit A</w:t>
      </w:r>
      <w:r>
        <w:rPr>
          <w:color w:val="000000"/>
        </w:rPr>
        <w:t xml:space="preserve"> </w:t>
      </w:r>
      <w:r>
        <w:rPr>
          <w:rFonts w:ascii="Times New Roman;sans-serif" w:hAnsi="Times New Roman;sans-serif"/>
          <w:b w:val="false"/>
          <w:color w:val="000000"/>
          <w:sz w:val="22"/>
        </w:rPr>
        <w:t xml:space="preserve">shall be contingent on Participant’s Continuous Service through the Vesting Date.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(c)    </w:t>
      </w:r>
      <w:r>
        <w:rPr>
          <w:rFonts w:ascii="Times New Roman;sans-serif" w:hAnsi="Times New Roman;sans-serif"/>
          <w:b w:val="false"/>
          <w:color w:val="000000"/>
          <w:sz w:val="22"/>
          <w:u w:val="single"/>
        </w:rPr>
        <w:t>Payment of Vested PSUs</w:t>
      </w:r>
      <w:r>
        <w:rPr>
          <w:rFonts w:ascii="Times New Roman;sans-serif" w:hAnsi="Times New Roman;sans-serif"/>
          <w:b w:val="false"/>
          <w:color w:val="000000"/>
          <w:sz w:val="22"/>
        </w:rPr>
        <w:t xml:space="preserve">. Each Performance Stock Unit represents the right to receive payment on the date it vests in the form of one Share. Subject to </w:t>
      </w:r>
      <w:r>
        <w:rPr>
          <w:rFonts w:ascii="Times New Roman;sans-serif" w:hAnsi="Times New Roman;sans-serif"/>
          <w:b w:val="false"/>
          <w:color w:val="000000"/>
          <w:sz w:val="22"/>
          <w:u w:val="single"/>
        </w:rPr>
        <w:t>Section 3</w:t>
      </w:r>
      <w:r>
        <w:rPr>
          <w:color w:val="000000"/>
        </w:rPr>
        <w:t xml:space="preserve"> </w:t>
      </w:r>
      <w:r>
        <w:rPr>
          <w:rFonts w:ascii="Times New Roman;sans-serif" w:hAnsi="Times New Roman;sans-serif"/>
          <w:b w:val="false"/>
          <w:color w:val="000000"/>
          <w:sz w:val="22"/>
        </w:rPr>
        <w:t>and the next paragraph, any Performance Stock Units that vest will be paid to Participant in whole Shares as soon as practicable after vesting, but in each such case within the period ending no later than the fifteenth (15</w:t>
      </w:r>
      <w:r>
        <w:rPr>
          <w:rFonts w:ascii="Times New Roman;sans-serif" w:hAnsi="Times New Roman;sans-serif"/>
          <w:b w:val="false"/>
          <w:color w:val="000000"/>
          <w:sz w:val="14"/>
        </w:rPr>
        <w:t>th</w:t>
      </w:r>
      <w:r>
        <w:rPr>
          <w:rFonts w:ascii="Times New Roman;sans-serif" w:hAnsi="Times New Roman;sans-serif"/>
          <w:b w:val="false"/>
          <w:color w:val="000000"/>
          <w:sz w:val="22"/>
        </w:rPr>
        <w:t>) day of the third (3</w:t>
      </w:r>
      <w:r>
        <w:rPr>
          <w:rFonts w:ascii="Times New Roman;sans-serif" w:hAnsi="Times New Roman;sans-serif"/>
          <w:b w:val="false"/>
          <w:color w:val="000000"/>
          <w:sz w:val="14"/>
        </w:rPr>
        <w:t>rd</w:t>
      </w:r>
      <w:r>
        <w:rPr>
          <w:rFonts w:ascii="Times New Roman;sans-serif" w:hAnsi="Times New Roman;sans-serif"/>
          <w:b w:val="false"/>
          <w:color w:val="000000"/>
          <w:sz w:val="22"/>
        </w:rPr>
        <w:t xml:space="preserve">) month following the applicable Vesting Date. In no event will Participant be permitted, directly or indirectly, to specify the taxable year of payment of any Performance Stock Units payable under this Notice. Any distribution or delivery of Shares to be made to Participant will, if Participant is then deceased, be made to Participant’s designated beneficiary, or if no beneficiary survives Participant, the administrator or executor of Participant’s estate. Any such transferee must furnish the Company with written notice of his or her status as transferee and evidence satisfactory to the Company to establish the validity of the transfer and compliance with any laws or regulations pertaining to said transfer. After PSUs have vested in accordance with the provisions of this Notice and the underlying Shares have been issued and recorded on the records of the Company or its transfer agents or registrars, Participant will have all the rights of a stockholder of the Company with respect to voting such Shares and receipt of dividends and distributions on such Shares.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(d)    </w:t>
      </w:r>
      <w:r>
        <w:rPr>
          <w:rFonts w:ascii="Times New Roman;sans-serif" w:hAnsi="Times New Roman;sans-serif"/>
          <w:b w:val="false"/>
          <w:color w:val="000000"/>
          <w:sz w:val="22"/>
          <w:u w:val="single"/>
        </w:rPr>
        <w:t>409A</w:t>
      </w:r>
      <w:r>
        <w:rPr>
          <w:rFonts w:ascii="Times New Roman;sans-serif" w:hAnsi="Times New Roman;sans-serif"/>
          <w:b w:val="false"/>
          <w:color w:val="000000"/>
          <w:sz w:val="22"/>
        </w:rPr>
        <w:t xml:space="preserve">. Notwithstanding anything in the Plan, this Notice, or any other agreement to the contrary, if the vesting of the balance, or some lesser portion of the balance, of the Performance Stock Units is accelerated in connection with the termination of Participant’s Continuous Service (provided that such termination is a “separation from service” within the meaning of Section 409A, as determined by the Company), other than due to death, and if (x) Participant is a “specified employee” within the meaning of Section 409A at the time of the termination of Participant’s Continuous Service and (y) the payment of such accelerated Performance Stock Units will result in the imposition of additional tax under Section 409A if paid to Participant on or within the six (6) month period following the termination of Participant’s Continuous Service, then the payment of such accelerated Performance Stock Units will not be made until the date that is six (6) months and one (1) day following the date of termination of Participant’s Continuous Service, unless Participant dies following the date his or her Continuous Service terminates, in which case, the PSUs will be paid in Shares to Participant’s estate as soon as practicable following his or her death. It is the intent of this Notice that the grant of Performance Stock Units and any Shares issuable upon vesting of the Performance Stock Units be exempt from the requirements of Section 409A to the greatest extent provided under the regulations promulgated so that none of the Performance Stock Units or Shares issuable upon vesting of PSUs will be subject to the additional tax imposed under Section 409A, and any ambiguities herein will be interpreted to so comply. To the extent that any Performance Stock Units or any Shares issuable under the terms of any Performance Stock Units are determined to be subject to the requirements of Section 409A, it is the intent of this Notice that the award comply with Section 409A, and any ambiguities will be interpreted to so comply. For purposes of </w:t>
      </w:r>
    </w:p>
    <w:p>
      <w:pPr>
        <w:pStyle w:val="TextBody"/>
        <w:bidi w:val="0"/>
        <w:spacing w:before="0" w:after="0"/>
        <w:jc w:val="center"/>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75260"/>
                <wp:effectExtent l="0" t="0" r="0" b="0"/>
                <wp:wrapNone/>
                <wp:docPr id="173" name="Frame1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2"/>
                              </w:rPr>
                              <w:t>-2-</w:t>
                            </w:r>
                            <w:r>
                              <w:rPr>
                                <w:color w:val="000000"/>
                              </w:rPr>
                              <w:t xml:space="preserve">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2"/>
                        </w:rPr>
                        <w:t>-2-</w:t>
                      </w:r>
                      <w:r>
                        <w:rPr>
                          <w:color w:val="000000"/>
                        </w:rPr>
                        <w:t xml:space="preserve"> </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this Notice, “</w:t>
      </w:r>
      <w:r>
        <w:rPr>
          <w:rFonts w:ascii="Times New Roman;sans-serif" w:hAnsi="Times New Roman;sans-serif"/>
          <w:b/>
          <w:color w:val="000000"/>
          <w:sz w:val="22"/>
        </w:rPr>
        <w:t>Section 409A</w:t>
      </w:r>
      <w:r>
        <w:rPr>
          <w:color w:val="000000"/>
        </w:rPr>
        <w:t xml:space="preserve">” </w:t>
      </w:r>
      <w:r>
        <w:rPr>
          <w:rFonts w:ascii="Times New Roman;sans-serif" w:hAnsi="Times New Roman;sans-serif"/>
          <w:b w:val="false"/>
          <w:color w:val="000000"/>
          <w:sz w:val="22"/>
        </w:rPr>
        <w:t>means Section 409A of the Code, and any proposed, temporary or final Treasury Regulations and Internal Revenue Service guidance thereunder, as each may be amended from time to time.</w:t>
      </w:r>
    </w:p>
    <w:p>
      <w:pPr>
        <w:pStyle w:val="TextBody"/>
        <w:bidi w:val="0"/>
        <w:spacing w:lineRule="auto" w:line="240" w:before="0" w:after="240"/>
        <w:ind w:left="0" w:right="0" w:firstLine="720"/>
        <w:jc w:val="both"/>
        <w:rPr/>
      </w:pPr>
      <w:r>
        <w:rPr>
          <w:rFonts w:ascii="Times New Roman;sans-serif" w:hAnsi="Times New Roman;sans-serif"/>
          <w:b/>
          <w:color w:val="000000"/>
          <w:sz w:val="22"/>
        </w:rPr>
        <w:t>2.    Termination of Continuous Service; Sale Transaction</w:t>
      </w:r>
      <w:r>
        <w:rPr>
          <w:rFonts w:ascii="Times New Roman;sans-serif" w:hAnsi="Times New Roman;sans-serif"/>
          <w:b w:val="false"/>
          <w:color w:val="000000"/>
          <w:sz w:val="22"/>
        </w:rPr>
        <w:t xml:space="preserve">.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(a)    </w:t>
      </w:r>
      <w:r>
        <w:rPr>
          <w:rFonts w:ascii="Times New Roman;sans-serif" w:hAnsi="Times New Roman;sans-serif"/>
          <w:b w:val="false"/>
          <w:color w:val="000000"/>
          <w:sz w:val="22"/>
          <w:u w:val="single"/>
        </w:rPr>
        <w:t>General</w:t>
      </w:r>
      <w:r>
        <w:rPr>
          <w:rFonts w:ascii="Times New Roman;sans-serif" w:hAnsi="Times New Roman;sans-serif"/>
          <w:b w:val="false"/>
          <w:color w:val="000000"/>
          <w:sz w:val="22"/>
        </w:rPr>
        <w:t xml:space="preserve">. Except as otherwise provided below in this </w:t>
      </w:r>
      <w:r>
        <w:rPr>
          <w:rFonts w:ascii="Times New Roman;sans-serif" w:hAnsi="Times New Roman;sans-serif"/>
          <w:b w:val="false"/>
          <w:color w:val="000000"/>
          <w:sz w:val="22"/>
          <w:u w:val="single"/>
        </w:rPr>
        <w:t>Section 2</w:t>
      </w:r>
      <w:r>
        <w:rPr>
          <w:rFonts w:ascii="Times New Roman;sans-serif" w:hAnsi="Times New Roman;sans-serif"/>
          <w:b w:val="false"/>
          <w:color w:val="000000"/>
          <w:sz w:val="22"/>
        </w:rPr>
        <w:t xml:space="preserve">, if Participant’s Continuous Service terminates for any reason prior to the Vesting Date, the then-outstanding and unvested Performance Stock Units will thereupon terminate and be forfeited at no cost to the Company and Participant will have no further rights with respect to such forfeited Performance Stock Units or any underlying Shares.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(b)    </w:t>
      </w:r>
      <w:r>
        <w:rPr>
          <w:rFonts w:ascii="Times New Roman;sans-serif" w:hAnsi="Times New Roman;sans-serif"/>
          <w:b w:val="false"/>
          <w:color w:val="000000"/>
          <w:sz w:val="22"/>
          <w:u w:val="single"/>
        </w:rPr>
        <w:t>Involuntary Termination Prior to a Sale Transaction</w:t>
      </w:r>
      <w:r>
        <w:rPr>
          <w:rFonts w:ascii="Times New Roman;sans-serif" w:hAnsi="Times New Roman;sans-serif"/>
          <w:b w:val="false"/>
          <w:color w:val="000000"/>
          <w:sz w:val="22"/>
        </w:rPr>
        <w:t>. If Participant’s Continuous Service terminates due to an Involuntary Termination at any time after the Issuance Date set forth on the cover page of this Notice and prior to the earlier of the Vesting Date or any Sale Transaction, the following provisions shall apply:</w:t>
      </w: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(i)    If such a termination of Participant’s Continuous Service occurs prior to the first anniversary of the Issuance Date, the Performance Stock Units will thereupon terminate and be forfeited at no cost to the Company and Participant will have no further rights with respect to such forfeited Performance Stock Units or any underlying Shares.</w:t>
      </w:r>
    </w:p>
    <w:p>
      <w:pPr>
        <w:pStyle w:val="TextBody"/>
        <w:bidi w:val="0"/>
        <w:spacing w:lineRule="auto" w:line="240" w:before="0" w:after="240"/>
        <w:ind w:left="0" w:right="0" w:hanging="720"/>
        <w:jc w:val="both"/>
        <w:rPr/>
      </w:pPr>
      <w:r>
        <w:rPr>
          <w:rFonts w:ascii="Times New Roman;sans-serif" w:hAnsi="Times New Roman;sans-serif"/>
          <w:b w:val="false"/>
          <w:color w:val="000000"/>
          <w:sz w:val="22"/>
        </w:rPr>
        <w:t xml:space="preserve">(ii)    If such a termination of Participant’s Continuous Service occurs on or after the first anniversary of the Issuance Date and prior to the Performance End Date, this award of PSUs shall remain outstanding and shall vest at the Performance End Date as determined in accordance with </w:t>
      </w:r>
      <w:r>
        <w:rPr>
          <w:rFonts w:ascii="Times New Roman;sans-serif" w:hAnsi="Times New Roman;sans-serif"/>
          <w:b w:val="false"/>
          <w:color w:val="000000"/>
          <w:sz w:val="22"/>
          <w:u w:val="single"/>
        </w:rPr>
        <w:t>Exhibit A</w:t>
      </w:r>
      <w:r>
        <w:rPr>
          <w:color w:val="000000"/>
        </w:rPr>
        <w:t xml:space="preserve"> </w:t>
      </w:r>
      <w:r>
        <w:rPr>
          <w:rFonts w:ascii="Times New Roman;sans-serif" w:hAnsi="Times New Roman;sans-serif"/>
          <w:b w:val="false"/>
          <w:color w:val="000000"/>
          <w:sz w:val="22"/>
        </w:rPr>
        <w:t>hereto; provided, however, that the number of shares that vest shall be pro-rated by multiplying (x) the amount vested as calculated in accordance with Exhibit A by (y) a fraction, the numerator of which is the number of full months of Participant’s Continuous Service from the Performance Start Date through the date of termination of Participant’s Continuous Service, and the denominator of which is thirty-six (36). The Vesting Date for any PSUs that vest pursuant to this paragraph shall be the Performance End Date.</w:t>
      </w:r>
    </w:p>
    <w:p>
      <w:pPr>
        <w:pStyle w:val="TextBody"/>
        <w:bidi w:val="0"/>
        <w:spacing w:lineRule="auto" w:line="240" w:before="0" w:after="240"/>
        <w:ind w:left="0" w:right="0" w:hanging="720"/>
        <w:jc w:val="both"/>
        <w:rPr/>
      </w:pPr>
      <w:r>
        <w:rPr>
          <w:rFonts w:ascii="Times New Roman;sans-serif" w:hAnsi="Times New Roman;sans-serif"/>
          <w:b w:val="false"/>
          <w:color w:val="000000"/>
          <w:sz w:val="22"/>
        </w:rPr>
        <w:t xml:space="preserve">(iii)    If such a termination of Participant’s Continuous Service occurs on or after the Performance End Date and prior to the Vesting Date, any PSUs that are then outstanding and eligible to vest as determined in accordance with </w:t>
      </w:r>
      <w:r>
        <w:rPr>
          <w:rFonts w:ascii="Times New Roman;sans-serif" w:hAnsi="Times New Roman;sans-serif"/>
          <w:b w:val="false"/>
          <w:color w:val="000000"/>
          <w:sz w:val="22"/>
          <w:u w:val="single"/>
        </w:rPr>
        <w:t>Exhibit A</w:t>
      </w:r>
      <w:r>
        <w:rPr>
          <w:color w:val="000000"/>
        </w:rPr>
        <w:t xml:space="preserve"> </w:t>
      </w:r>
      <w:r>
        <w:rPr>
          <w:rFonts w:ascii="Times New Roman;sans-serif" w:hAnsi="Times New Roman;sans-serif"/>
          <w:b w:val="false"/>
          <w:color w:val="000000"/>
          <w:sz w:val="22"/>
        </w:rPr>
        <w:t xml:space="preserve">hereto shall vest as of the date of termination of Participant’s Continuous Service. The Vesting Date for any PSUs that vest pursuant to this paragraph shall be the date of termination of Participant’s Continuous Service.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(c)    </w:t>
      </w:r>
      <w:r>
        <w:rPr>
          <w:rFonts w:ascii="Times New Roman;sans-serif" w:hAnsi="Times New Roman;sans-serif"/>
          <w:b w:val="false"/>
          <w:color w:val="000000"/>
          <w:sz w:val="22"/>
          <w:u w:val="single"/>
        </w:rPr>
        <w:t>Termination Due to Death or Disability Prior to a Sale Transaction</w:t>
      </w:r>
      <w:r>
        <w:rPr>
          <w:rFonts w:ascii="Times New Roman;sans-serif" w:hAnsi="Times New Roman;sans-serif"/>
          <w:b w:val="false"/>
          <w:color w:val="000000"/>
          <w:sz w:val="22"/>
        </w:rPr>
        <w:t>. If Participant’s Continuous Service terminates due to Participant’s death or Disability at any time after the Issuance Date and prior to the earlier of the Vesting Date or any Sale Transaction, the following provisions shall apply:</w:t>
      </w:r>
    </w:p>
    <w:p>
      <w:pPr>
        <w:pStyle w:val="TextBody"/>
        <w:bidi w:val="0"/>
        <w:spacing w:lineRule="auto" w:line="240" w:before="0" w:after="240"/>
        <w:ind w:left="0" w:right="0" w:hanging="720"/>
        <w:jc w:val="both"/>
        <w:rPr/>
      </w:pPr>
      <w:r>
        <w:rPr>
          <w:rFonts w:ascii="Times New Roman;sans-serif" w:hAnsi="Times New Roman;sans-serif"/>
          <w:b w:val="false"/>
          <w:color w:val="000000"/>
          <w:sz w:val="22"/>
        </w:rPr>
        <w:t xml:space="preserve">(i)    If such a termination of Participant’s Continuous Service occurs prior to the Performance End Date, this award of PSUs shall immediately vest as to a number of PSUs equal to (x) (i) the Target Number of PSUs set forth on the cover page of this Notice </w:t>
      </w:r>
      <w:r>
        <w:rPr>
          <w:rFonts w:ascii="Times New Roman;sans-serif" w:hAnsi="Times New Roman;sans-serif"/>
          <w:b w:val="false"/>
          <w:i/>
          <w:color w:val="000000"/>
          <w:sz w:val="22"/>
        </w:rPr>
        <w:t xml:space="preserve">plus </w:t>
      </w:r>
      <w:r>
        <w:rPr>
          <w:rFonts w:ascii="Times New Roman;sans-serif" w:hAnsi="Times New Roman;sans-serif"/>
          <w:b w:val="false"/>
          <w:color w:val="000000"/>
          <w:sz w:val="22"/>
        </w:rPr>
        <w:t xml:space="preserve">(ii) Over-Achievement PSUs, if any, with respect to completed Performance Periods </w:t>
      </w:r>
      <w:r>
        <w:rPr>
          <w:rFonts w:ascii="Times New Roman;sans-serif" w:hAnsi="Times New Roman;sans-serif"/>
          <w:b w:val="false"/>
          <w:i/>
          <w:color w:val="000000"/>
          <w:sz w:val="22"/>
        </w:rPr>
        <w:t xml:space="preserve">multiplied </w:t>
      </w:r>
      <w:r>
        <w:rPr>
          <w:rFonts w:ascii="Times New Roman;sans-serif" w:hAnsi="Times New Roman;sans-serif"/>
          <w:b w:val="false"/>
          <w:color w:val="000000"/>
          <w:sz w:val="22"/>
        </w:rPr>
        <w:t>by (y) a fraction, the numerator of which is the number of full months of Participant’s Continuous Service from the beginning of the Performance Period through the date of termination of Participant’s Continuous Service, and the denominator of which is thirty-six (36). The Vesting Date for any PSUs that vest pursuant to this paragraph shall be the date of termination of Participant’s Continuous Service.</w:t>
      </w:r>
    </w:p>
    <w:p>
      <w:pPr>
        <w:pStyle w:val="TextBody"/>
        <w:bidi w:val="0"/>
        <w:spacing w:lineRule="auto" w:line="240" w:before="0" w:after="240"/>
        <w:ind w:left="0" w:right="0" w:hanging="720"/>
        <w:jc w:val="both"/>
        <w:rPr/>
      </w:pPr>
      <w:r>
        <w:rPr>
          <w:rFonts w:ascii="Times New Roman;sans-serif" w:hAnsi="Times New Roman;sans-serif"/>
          <w:b w:val="false"/>
          <w:color w:val="000000"/>
          <w:sz w:val="22"/>
        </w:rPr>
        <w:t xml:space="preserve">(ii)    If such a termination of Participant’s Continuous Service occurs on or after the Performance End Date and prior to the Vesting Date, any PSUs that are then outstanding and eligible to vest as determined in accordance with </w:t>
      </w:r>
      <w:r>
        <w:rPr>
          <w:rFonts w:ascii="Times New Roman;sans-serif" w:hAnsi="Times New Roman;sans-serif"/>
          <w:b w:val="false"/>
          <w:color w:val="000000"/>
          <w:sz w:val="22"/>
          <w:u w:val="single"/>
        </w:rPr>
        <w:t>Exhibit A</w:t>
      </w:r>
      <w:r>
        <w:rPr>
          <w:color w:val="000000"/>
        </w:rPr>
        <w:t xml:space="preserve"> </w:t>
      </w:r>
      <w:r>
        <w:rPr>
          <w:rFonts w:ascii="Times New Roman;sans-serif" w:hAnsi="Times New Roman;sans-serif"/>
          <w:b w:val="false"/>
          <w:color w:val="000000"/>
          <w:sz w:val="22"/>
        </w:rPr>
        <w:t xml:space="preserve">hereto shall vest as of the </w:t>
      </w:r>
    </w:p>
    <w:p>
      <w:pPr>
        <w:pStyle w:val="TextBody"/>
        <w:bidi w:val="0"/>
        <w:spacing w:before="0" w:after="0"/>
        <w:jc w:val="center"/>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75260"/>
                <wp:effectExtent l="0" t="0" r="0" b="0"/>
                <wp:wrapNone/>
                <wp:docPr id="174" name="Frame1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2"/>
                              </w:rPr>
                              <w:t>-3-</w:t>
                            </w:r>
                            <w:r>
                              <w:rPr>
                                <w:color w:val="000000"/>
                              </w:rPr>
                              <w:t xml:space="preserve">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2"/>
                        </w:rPr>
                        <w:t>-3-</w:t>
                      </w:r>
                      <w:r>
                        <w:rPr>
                          <w:color w:val="000000"/>
                        </w:rPr>
                        <w:t xml:space="preserve"> </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date of termination of Participant’s Continuous Service. The Vesting Date for any PSUs that vest pursuant to this paragraph shall be the date of termination of Participant’s Continuous Service.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(d)    </w:t>
      </w:r>
      <w:r>
        <w:rPr>
          <w:rFonts w:ascii="Times New Roman;sans-serif" w:hAnsi="Times New Roman;sans-serif"/>
          <w:b w:val="false"/>
          <w:color w:val="000000"/>
          <w:sz w:val="22"/>
          <w:u w:val="single"/>
        </w:rPr>
        <w:t>Sale Transaction</w:t>
      </w:r>
      <w:r>
        <w:rPr>
          <w:rFonts w:ascii="Times New Roman;sans-serif" w:hAnsi="Times New Roman;sans-serif"/>
          <w:b w:val="false"/>
          <w:color w:val="000000"/>
          <w:sz w:val="22"/>
        </w:rPr>
        <w:t xml:space="preserve">. </w:t>
      </w:r>
    </w:p>
    <w:p>
      <w:pPr>
        <w:pStyle w:val="TextBody"/>
        <w:bidi w:val="0"/>
        <w:spacing w:lineRule="auto" w:line="240" w:before="0" w:after="240"/>
        <w:ind w:left="0" w:right="0" w:hanging="720"/>
        <w:jc w:val="both"/>
        <w:rPr/>
      </w:pPr>
      <w:r>
        <w:rPr>
          <w:rFonts w:ascii="Times New Roman;sans-serif" w:hAnsi="Times New Roman;sans-serif"/>
          <w:b w:val="false"/>
          <w:color w:val="000000"/>
          <w:sz w:val="22"/>
        </w:rPr>
        <w:t xml:space="preserve">(i)    If a Sale Transaction occurs prior to the Performance End Date and prior to any termination of Participant’s Continuous Service, the number of PSUs subject to this award shall become “fixed” and no longer subject to performance-based vesting after such Sale Transaction. For purposes of so fixing the number of PSUs, the Performance Period shall be considered to end with the closing of the Sale Transaction and such number of PSUs shall be determined in accordance with </w:t>
      </w:r>
      <w:r>
        <w:rPr>
          <w:rFonts w:ascii="Times New Roman;sans-serif" w:hAnsi="Times New Roman;sans-serif"/>
          <w:b w:val="false"/>
          <w:color w:val="000000"/>
          <w:sz w:val="22"/>
          <w:u w:val="single"/>
        </w:rPr>
        <w:t>Exhibit A</w:t>
      </w:r>
      <w:r>
        <w:rPr>
          <w:color w:val="000000"/>
        </w:rPr>
        <w:t xml:space="preserve"> </w:t>
      </w:r>
      <w:r>
        <w:rPr>
          <w:rFonts w:ascii="Times New Roman;sans-serif" w:hAnsi="Times New Roman;sans-serif"/>
          <w:b w:val="false"/>
          <w:color w:val="000000"/>
          <w:sz w:val="22"/>
        </w:rPr>
        <w:t>based on the Company’s performance for the shortened Performance Period (such fixed number of PSUs as so determined, the “</w:t>
      </w:r>
      <w:r>
        <w:rPr>
          <w:rFonts w:ascii="Times New Roman;sans-serif" w:hAnsi="Times New Roman;sans-serif"/>
          <w:b/>
          <w:color w:val="000000"/>
          <w:sz w:val="22"/>
        </w:rPr>
        <w:t>Fixed PSUs</w:t>
      </w:r>
      <w:r>
        <w:rPr>
          <w:color w:val="000000"/>
        </w:rPr>
        <w:t>”</w:t>
      </w:r>
      <w:r>
        <w:rPr>
          <w:rFonts w:ascii="Times New Roman;sans-serif" w:hAnsi="Times New Roman;sans-serif"/>
          <w:b w:val="false"/>
          <w:color w:val="000000"/>
          <w:sz w:val="22"/>
        </w:rPr>
        <w:t xml:space="preserve">). No adjustment shall be made pursuant to this </w:t>
      </w:r>
      <w:r>
        <w:rPr>
          <w:rFonts w:ascii="Times New Roman;sans-serif" w:hAnsi="Times New Roman;sans-serif"/>
          <w:b w:val="false"/>
          <w:color w:val="000000"/>
          <w:sz w:val="22"/>
          <w:u w:val="single"/>
        </w:rPr>
        <w:t>Section 2(d)</w:t>
      </w:r>
      <w:r>
        <w:rPr>
          <w:color w:val="000000"/>
        </w:rPr>
        <w:t xml:space="preserve"> </w:t>
      </w:r>
      <w:r>
        <w:rPr>
          <w:rFonts w:ascii="Times New Roman;sans-serif" w:hAnsi="Times New Roman;sans-serif"/>
          <w:b w:val="false"/>
          <w:color w:val="000000"/>
          <w:sz w:val="22"/>
        </w:rPr>
        <w:t xml:space="preserve">as to any Sale Transaction that occurs after the last day of the Performance Period. </w:t>
      </w: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(ii)    If such Sale Transaction is a Corporate Transaction and, in connection with the Sale Transaction, the Board or its Committee has made a provision for the assumption of this award of PSUs or the award would otherwise continue in accordance with its terms in the circumstances, the Fixed PSUs shall remain outstanding and eligible to vest on the Vesting Date set forth on the cover page of this Notice, subject to Participant’s Continuous Service through such date; provided, however, that if on, immediately prior to or at any time within twenty-four (24) months following the Sale Transaction, Participant’s Continuous Service terminates as a result of an Involuntary Termination or as a result of Participant’s death or Disability, the Fixed PSUs shall fully vest upon such termination of Participant’s Continuous Service (with the date of such termination being the Vesting Date of such Fixed PSUs). </w:t>
      </w: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(iii)    If such Sale Transaction is a Corporate Transaction and, in connection with the Sale Transaction, the Board or its Committee has not made a provision for the assumption of this award of PSUs and this award is to terminate in connection with the Sale Transaction pursuant to Section 10(c) of the Plan, the Fixed PSUs shall fully vest upon the closing of the Sale Transaction (with the closing date of such Sale Transaction being the Vesting Date of such Fixed PSUs).</w:t>
      </w:r>
    </w:p>
    <w:p>
      <w:pPr>
        <w:pStyle w:val="TextBody"/>
        <w:bidi w:val="0"/>
        <w:spacing w:lineRule="auto" w:line="240" w:before="0" w:after="240"/>
        <w:ind w:left="0" w:right="0" w:hanging="720"/>
        <w:jc w:val="both"/>
        <w:rPr/>
      </w:pPr>
      <w:r>
        <w:rPr>
          <w:rFonts w:ascii="Times New Roman;sans-serif" w:hAnsi="Times New Roman;sans-serif"/>
          <w:b w:val="false"/>
          <w:color w:val="000000"/>
          <w:sz w:val="22"/>
        </w:rPr>
        <w:t xml:space="preserve">(iv)    If a Sale Transaction occurs prior to the last day of the Performance Period and after the Participant’s Continuous Service has terminated pursuant to an Involuntary Termination as described in </w:t>
      </w:r>
      <w:r>
        <w:rPr>
          <w:rFonts w:ascii="Times New Roman;sans-serif" w:hAnsi="Times New Roman;sans-serif"/>
          <w:b w:val="false"/>
          <w:color w:val="000000"/>
          <w:sz w:val="22"/>
          <w:u w:val="single"/>
        </w:rPr>
        <w:t>Section 2(b)</w:t>
      </w:r>
      <w:r>
        <w:rPr>
          <w:rFonts w:ascii="Times New Roman;sans-serif" w:hAnsi="Times New Roman;sans-serif"/>
          <w:b w:val="false"/>
          <w:color w:val="000000"/>
          <w:sz w:val="22"/>
        </w:rPr>
        <w:t xml:space="preserve">, the number of Fixed PSUs shall be determined as described in </w:t>
      </w:r>
      <w:r>
        <w:rPr>
          <w:rFonts w:ascii="Times New Roman;sans-serif" w:hAnsi="Times New Roman;sans-serif"/>
          <w:b w:val="false"/>
          <w:color w:val="000000"/>
          <w:sz w:val="22"/>
          <w:u w:val="single"/>
        </w:rPr>
        <w:t>Section 2(d)(i)</w:t>
      </w:r>
      <w:r>
        <w:rPr>
          <w:rFonts w:ascii="Times New Roman;sans-serif" w:hAnsi="Times New Roman;sans-serif"/>
          <w:b w:val="false"/>
          <w:color w:val="000000"/>
          <w:sz w:val="22"/>
        </w:rPr>
        <w:t xml:space="preserve">, and such Fixed PSUs shall fully vest upon the closing of the Sale Transaction (with the closing date of such Sale Transaction being the Vesting Date of such Fixed PSUs).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(e)    </w:t>
      </w:r>
      <w:r>
        <w:rPr>
          <w:rFonts w:ascii="Times New Roman;sans-serif" w:hAnsi="Times New Roman;sans-serif"/>
          <w:b w:val="false"/>
          <w:color w:val="000000"/>
          <w:sz w:val="22"/>
          <w:u w:val="single"/>
        </w:rPr>
        <w:t>Definitions</w:t>
      </w:r>
      <w:r>
        <w:rPr>
          <w:rFonts w:ascii="Times New Roman;sans-serif" w:hAnsi="Times New Roman;sans-serif"/>
          <w:b w:val="false"/>
          <w:color w:val="000000"/>
          <w:sz w:val="22"/>
        </w:rPr>
        <w:t>. As used in this Notice, the terms “</w:t>
      </w:r>
      <w:r>
        <w:rPr>
          <w:rFonts w:ascii="Times New Roman;sans-serif" w:hAnsi="Times New Roman;sans-serif"/>
          <w:b/>
          <w:color w:val="000000"/>
          <w:sz w:val="22"/>
        </w:rPr>
        <w:t>Involuntary Termination</w:t>
      </w:r>
      <w:r>
        <w:rPr>
          <w:color w:val="000000"/>
        </w:rPr>
        <w:t xml:space="preserve">” </w:t>
      </w:r>
      <w:r>
        <w:rPr>
          <w:rFonts w:ascii="Times New Roman;sans-serif" w:hAnsi="Times New Roman;sans-serif"/>
          <w:b w:val="false"/>
          <w:color w:val="000000"/>
          <w:sz w:val="22"/>
        </w:rPr>
        <w:t>(including the related terms “</w:t>
      </w:r>
      <w:r>
        <w:rPr>
          <w:rFonts w:ascii="Times New Roman;sans-serif" w:hAnsi="Times New Roman;sans-serif"/>
          <w:b/>
          <w:color w:val="000000"/>
          <w:sz w:val="22"/>
        </w:rPr>
        <w:t>Cause</w:t>
      </w:r>
      <w:r>
        <w:rPr>
          <w:color w:val="000000"/>
        </w:rPr>
        <w:t xml:space="preserve">” </w:t>
      </w:r>
      <w:r>
        <w:rPr>
          <w:rFonts w:ascii="Times New Roman;sans-serif" w:hAnsi="Times New Roman;sans-serif"/>
          <w:b w:val="false"/>
          <w:color w:val="000000"/>
          <w:sz w:val="22"/>
        </w:rPr>
        <w:t>and “</w:t>
      </w:r>
      <w:r>
        <w:rPr>
          <w:rFonts w:ascii="Times New Roman;sans-serif" w:hAnsi="Times New Roman;sans-serif"/>
          <w:b/>
          <w:color w:val="000000"/>
          <w:sz w:val="22"/>
        </w:rPr>
        <w:t>Good Reason</w:t>
      </w:r>
      <w:r>
        <w:rPr>
          <w:color w:val="000000"/>
        </w:rPr>
        <w:t>”</w:t>
      </w:r>
      <w:r>
        <w:rPr>
          <w:rFonts w:ascii="Times New Roman;sans-serif" w:hAnsi="Times New Roman;sans-serif"/>
          <w:b w:val="false"/>
          <w:color w:val="000000"/>
          <w:sz w:val="22"/>
        </w:rPr>
        <w:t>), “</w:t>
      </w:r>
      <w:r>
        <w:rPr>
          <w:rFonts w:ascii="Times New Roman;sans-serif" w:hAnsi="Times New Roman;sans-serif"/>
          <w:b/>
          <w:color w:val="000000"/>
          <w:sz w:val="22"/>
        </w:rPr>
        <w:t>Disability</w:t>
      </w:r>
      <w:r>
        <w:rPr>
          <w:color w:val="000000"/>
        </w:rPr>
        <w:t xml:space="preserve">” </w:t>
      </w:r>
      <w:r>
        <w:rPr>
          <w:rFonts w:ascii="Times New Roman;sans-serif" w:hAnsi="Times New Roman;sans-serif"/>
          <w:b w:val="false"/>
          <w:color w:val="000000"/>
          <w:sz w:val="22"/>
        </w:rPr>
        <w:t>and “</w:t>
      </w:r>
      <w:r>
        <w:rPr>
          <w:rFonts w:ascii="Times New Roman;sans-serif" w:hAnsi="Times New Roman;sans-serif"/>
          <w:b/>
          <w:color w:val="000000"/>
          <w:sz w:val="22"/>
        </w:rPr>
        <w:t>Sale Transaction</w:t>
      </w:r>
      <w:r>
        <w:rPr>
          <w:color w:val="000000"/>
        </w:rPr>
        <w:t xml:space="preserve">” </w:t>
      </w:r>
      <w:r>
        <w:rPr>
          <w:rFonts w:ascii="Times New Roman;sans-serif" w:hAnsi="Times New Roman;sans-serif"/>
          <w:b w:val="false"/>
          <w:color w:val="000000"/>
          <w:sz w:val="22"/>
        </w:rPr>
        <w:t>have the meanings ascribed to such terms in that certain Executive Severance and Vesting Acceleration Agreement, by and between the Company and Participant (the “</w:t>
      </w:r>
      <w:r>
        <w:rPr>
          <w:rFonts w:ascii="Times New Roman;sans-serif" w:hAnsi="Times New Roman;sans-serif"/>
          <w:b/>
          <w:color w:val="000000"/>
          <w:sz w:val="22"/>
        </w:rPr>
        <w:t>Severance Agreement</w:t>
      </w:r>
      <w:r>
        <w:rPr>
          <w:color w:val="000000"/>
        </w:rPr>
        <w:t>”</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(f)    </w:t>
      </w:r>
      <w:r>
        <w:rPr>
          <w:rFonts w:ascii="Times New Roman;sans-serif" w:hAnsi="Times New Roman;sans-serif"/>
          <w:b w:val="false"/>
          <w:color w:val="000000"/>
          <w:sz w:val="22"/>
          <w:u w:val="single"/>
        </w:rPr>
        <w:t>Release</w:t>
      </w:r>
      <w:r>
        <w:rPr>
          <w:rFonts w:ascii="Times New Roman;sans-serif" w:hAnsi="Times New Roman;sans-serif"/>
          <w:b w:val="false"/>
          <w:color w:val="000000"/>
          <w:sz w:val="22"/>
        </w:rPr>
        <w:t xml:space="preserve">. Notwithstanding any other provision herein, in the Plan or in any other agreement, Participant’s right to any accelerated vesting or other benefit with respect to the PSUs under this </w:t>
      </w:r>
      <w:r>
        <w:rPr>
          <w:rFonts w:ascii="Times New Roman;sans-serif" w:hAnsi="Times New Roman;sans-serif"/>
          <w:b w:val="false"/>
          <w:color w:val="000000"/>
          <w:sz w:val="22"/>
          <w:u w:val="single"/>
        </w:rPr>
        <w:t>Section 2</w:t>
      </w:r>
      <w:r>
        <w:rPr>
          <w:color w:val="000000"/>
        </w:rPr>
        <w:t xml:space="preserve"> </w:t>
      </w:r>
      <w:r>
        <w:rPr>
          <w:rFonts w:ascii="Times New Roman;sans-serif" w:hAnsi="Times New Roman;sans-serif"/>
          <w:b w:val="false"/>
          <w:color w:val="000000"/>
          <w:sz w:val="22"/>
        </w:rPr>
        <w:t xml:space="preserve">in connection with a termination of Participant’s Continuous Service is subject to Participant’s providing a release of claims in accordance with </w:t>
      </w:r>
      <w:r>
        <w:rPr>
          <w:rFonts w:ascii="Times New Roman;sans-serif" w:hAnsi="Times New Roman;sans-serif"/>
          <w:b w:val="false"/>
          <w:color w:val="000000"/>
          <w:sz w:val="22"/>
          <w:u w:val="single"/>
        </w:rPr>
        <w:t>Section 3(a)</w:t>
      </w:r>
      <w:r>
        <w:rPr>
          <w:color w:val="000000"/>
        </w:rPr>
        <w:t xml:space="preserve"> </w:t>
      </w:r>
      <w:r>
        <w:rPr>
          <w:rFonts w:ascii="Times New Roman;sans-serif" w:hAnsi="Times New Roman;sans-serif"/>
          <w:b w:val="false"/>
          <w:color w:val="000000"/>
          <w:sz w:val="22"/>
        </w:rPr>
        <w:t xml:space="preserve">of the Severance Agreement and complying with Participant’s obligations set forth in </w:t>
      </w:r>
      <w:r>
        <w:rPr>
          <w:rFonts w:ascii="Times New Roman;sans-serif" w:hAnsi="Times New Roman;sans-serif"/>
          <w:b w:val="false"/>
          <w:color w:val="000000"/>
          <w:sz w:val="22"/>
          <w:u w:val="single"/>
        </w:rPr>
        <w:t>Section 3(b)</w:t>
      </w:r>
      <w:r>
        <w:rPr>
          <w:color w:val="000000"/>
        </w:rPr>
        <w:t xml:space="preserve"> </w:t>
      </w:r>
      <w:r>
        <w:rPr>
          <w:rFonts w:ascii="Times New Roman;sans-serif" w:hAnsi="Times New Roman;sans-serif"/>
          <w:b w:val="false"/>
          <w:color w:val="000000"/>
          <w:sz w:val="22"/>
        </w:rPr>
        <w:t>of the Severance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(g)    </w:t>
      </w:r>
      <w:r>
        <w:rPr>
          <w:rFonts w:ascii="Times New Roman;sans-serif" w:hAnsi="Times New Roman;sans-serif"/>
          <w:b w:val="false"/>
          <w:color w:val="000000"/>
          <w:sz w:val="22"/>
          <w:u w:val="single"/>
        </w:rPr>
        <w:t>Determination of Pro-Rata Vesting</w:t>
      </w:r>
      <w:r>
        <w:rPr>
          <w:rFonts w:ascii="Times New Roman;sans-serif" w:hAnsi="Times New Roman;sans-serif"/>
          <w:b w:val="false"/>
          <w:color w:val="000000"/>
          <w:sz w:val="22"/>
        </w:rPr>
        <w:t xml:space="preserve">. For purposes of determining pro-rata vesting of PSUs under </w:t>
      </w:r>
      <w:r>
        <w:rPr>
          <w:rFonts w:ascii="Times New Roman;sans-serif" w:hAnsi="Times New Roman;sans-serif"/>
          <w:b w:val="false"/>
          <w:color w:val="000000"/>
          <w:sz w:val="22"/>
          <w:u w:val="single"/>
        </w:rPr>
        <w:t>Section 2(b) or 2(c)</w:t>
      </w:r>
      <w:r>
        <w:rPr>
          <w:rFonts w:ascii="Times New Roman;sans-serif" w:hAnsi="Times New Roman;sans-serif"/>
          <w:b w:val="false"/>
          <w:color w:val="000000"/>
          <w:sz w:val="22"/>
        </w:rPr>
        <w:t xml:space="preserve">, a “full month” means the period from the date of one calendar month to the same date the next calendar month (e.g., from May 15 to June 15), or the last day of the next calendar </w:t>
      </w:r>
    </w:p>
    <w:p>
      <w:pPr>
        <w:pStyle w:val="TextBody"/>
        <w:bidi w:val="0"/>
        <w:spacing w:before="0" w:after="0"/>
        <w:jc w:val="center"/>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75260"/>
                <wp:effectExtent l="0" t="0" r="0" b="0"/>
                <wp:wrapNone/>
                <wp:docPr id="175" name="Frame1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2"/>
                              </w:rPr>
                              <w:t>-4-</w:t>
                            </w:r>
                            <w:r>
                              <w:rPr>
                                <w:color w:val="000000"/>
                              </w:rPr>
                              <w:t xml:space="preserve">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2"/>
                        </w:rPr>
                        <w:t>-4-</w:t>
                      </w:r>
                      <w:r>
                        <w:rPr>
                          <w:color w:val="000000"/>
                        </w:rPr>
                        <w:t xml:space="preserve"> </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month if the date is the 29</w:t>
      </w:r>
      <w:r>
        <w:rPr>
          <w:rFonts w:ascii="Times New Roman;sans-serif" w:hAnsi="Times New Roman;sans-serif"/>
          <w:b w:val="false"/>
          <w:color w:val="000000"/>
          <w:sz w:val="14"/>
        </w:rPr>
        <w:t>th</w:t>
      </w:r>
      <w:r>
        <w:rPr>
          <w:rFonts w:ascii="Times New Roman;sans-serif" w:hAnsi="Times New Roman;sans-serif"/>
          <w:b w:val="false"/>
          <w:color w:val="000000"/>
          <w:sz w:val="22"/>
        </w:rPr>
        <w:t>, 30</w:t>
      </w:r>
      <w:r>
        <w:rPr>
          <w:rFonts w:ascii="Times New Roman;sans-serif" w:hAnsi="Times New Roman;sans-serif"/>
          <w:b w:val="false"/>
          <w:color w:val="000000"/>
          <w:sz w:val="14"/>
        </w:rPr>
        <w:t>th</w:t>
      </w:r>
      <w:r>
        <w:rPr>
          <w:rFonts w:ascii="Times New Roman;sans-serif" w:hAnsi="Times New Roman;sans-serif"/>
          <w:b w:val="false"/>
          <w:color w:val="000000"/>
          <w:sz w:val="22"/>
        </w:rPr>
        <w:t>, or 31</w:t>
      </w:r>
      <w:r>
        <w:rPr>
          <w:rFonts w:ascii="Times New Roman;sans-serif" w:hAnsi="Times New Roman;sans-serif"/>
          <w:b w:val="false"/>
          <w:color w:val="000000"/>
          <w:sz w:val="14"/>
        </w:rPr>
        <w:t>st</w:t>
      </w:r>
      <w:r>
        <w:rPr>
          <w:color w:val="000000"/>
        </w:rPr>
        <w:t xml:space="preserve"> </w:t>
      </w:r>
      <w:r>
        <w:rPr>
          <w:rFonts w:ascii="Times New Roman;sans-serif" w:hAnsi="Times New Roman;sans-serif"/>
          <w:b w:val="false"/>
          <w:color w:val="000000"/>
          <w:sz w:val="22"/>
        </w:rPr>
        <w:t xml:space="preserve">and the next calendar month does not have at least 29, 30 or 31 days, as the case may be. Any Performance Stock Units remaining unvested after any such determination of pro-rata vesting shall terminate and be forfeited at no cost to the Company and Participant will have no further rights with respect to such forfeited Performance Stock Units or any underlying Shares. </w:t>
      </w:r>
    </w:p>
    <w:p>
      <w:pPr>
        <w:pStyle w:val="TextBody"/>
        <w:bidi w:val="0"/>
        <w:spacing w:lineRule="auto" w:line="304" w:before="0" w:after="240"/>
        <w:ind w:left="0" w:right="0" w:firstLine="720"/>
        <w:jc w:val="both"/>
        <w:rPr/>
      </w:pPr>
      <w:r>
        <w:rPr>
          <w:rFonts w:ascii="Times New Roman;sans-serif" w:hAnsi="Times New Roman;sans-serif"/>
          <w:b/>
          <w:color w:val="000000"/>
          <w:sz w:val="22"/>
        </w:rPr>
        <w:t>3.    Tax Consequences, Withholding, and Liability</w:t>
      </w:r>
      <w:r>
        <w:rPr>
          <w:rFonts w:ascii="Times New Roman;sans-serif" w:hAnsi="Times New Roman;sans-serif"/>
          <w:b w:val="false"/>
          <w:color w:val="000000"/>
          <w:sz w:val="22"/>
        </w:rPr>
        <w:t xml:space="preserve">. </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    Participant understands that Participant may suffer adverse tax consequences as a result of the grant or vesting of the Performance Stock Units and issuance and/or disposition of the Shares. Participant understands that the actual tax consequences associated with the Performance Stock Units and Shares are complicated and depend, in part, on Participant’s specific situation and may also depend on the resolution of currently uncertain tax law and other variables not within the control of the Company. THEREFORE, PARTICIPANT SHOULD SEEK INDEPENDENT ADVICE REGARDING THE APPLICABLE PROVISIONS OF THE FEDERAL TAX LAW AND THE TAX LAWS OF ANY MUNICIPALITY, STATE OR NON-U.S. JURISDICTION TO WHICH PARTICIPANT IS SUBJECT. By accepting (through performance) the Performance Stock Units and any Shares, Participant acknowledges and agrees that Participant has either consulted with a competent tax advisor independent of the Company to obtain tax advice concerning the PSUs and Shares in light of Participant’s specific situation or has had the opportunity to consult with such a tax advisor and has chosen not to do so. Neither the Company nor any of its employees, counsel, or agents has provided to Participant, and Participant has not relied upon from the Company or any of its employees, counsel, or agents, any written or oral advice or representation regarding the U.S. federal, state, local or non-U.S. tax consequences of the receipt, ownership and vesting of the Performance Stock Units, the issuance of Shares in connection with vesting of the Performance Stock Units, the other transactions contemplated by this Notice, or the value of the Company or the PSUs or Shares at any time. With respect to such matters, Participant relies solely on Participant’s own advisors.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(b)    Participant (and not the Company) shall be responsible for Participant’s own tax liability that may arise as a result of the receipt, ownership and vesting of the Performance Stock Units, the issuance of Shares pursuant to the Performance Stock Units, or the other transactions contemplated by this Notice. Pursuant to such procedures as the Plan administrator may specify from time to time, the Company shall satisfy its obligations to pay withholding taxes or other tax deposits in connection with the receipt, ownership and/or vesting of the Performance Stock Units, the issuance of Shares pursuant to the Performance Stock Units, or the other transactions contemplated by this Notice in accordance with applicable law or regulation (the “</w:t>
      </w:r>
      <w:r>
        <w:rPr>
          <w:rFonts w:ascii="Times New Roman;sans-serif" w:hAnsi="Times New Roman;sans-serif"/>
          <w:b/>
          <w:color w:val="000000"/>
          <w:sz w:val="22"/>
        </w:rPr>
        <w:t>Tax Obligations</w:t>
      </w:r>
      <w:r>
        <w:rPr>
          <w:color w:val="000000"/>
        </w:rPr>
        <w:t>”</w:t>
      </w:r>
      <w:r>
        <w:rPr>
          <w:rFonts w:ascii="Times New Roman;sans-serif" w:hAnsi="Times New Roman;sans-serif"/>
          <w:b w:val="false"/>
          <w:color w:val="000000"/>
          <w:sz w:val="22"/>
        </w:rPr>
        <w:t>). If amounts paid by the Company in respect of Tax Obligations are less than Participant’s tax obligations, Participant is solely responsible for any additional taxes due. If amounts paid by the Company in respect of Tax Obligations exceed Participant’s tax obligations, Participant’s sole recourse will be against the relevant taxing authorities, and the Company and its Affiliates will have no obligation to issue additional Shares or pay cash to Participant in respect thereof. Participant is responsible for determining Participant’s actual income tax liabilities and making appropriate payments to the relevant taxing authorities to fulfill Participant’s tax obligations and avoid interest and penalties.</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    Payment by the Company or its Affiliate of the Tax Obligations will result in a commensurate obligation of Participant to pay, or cause to be paid, to the Company or its Affiliate, in accordance with Section 9(h) of the Plan, the amount of Tax Obligations so paid, and the Company shall not be required to issue any of the Shares or any interest in the Shares unless and until Participant has satisfied this obligation. To the extent determined appropriate by the Company in its discretion, it shall have the right (but not the obligation) to cause Participant to satisfy any or all Tax Obligations by withholding and retaining Shares otherwise deliverable to Participant having an aggregate Fair Market Value equal to the amount of such Tax Obligations. If, at the time Shares are to be issued, those Shares are not freely tradeable on a national securities exchange or market system (and for this purpose, a blackout pursuant to the Company’s insider trading policy will not be considered to render the Shares not freely tradeable), Participant may in Participant’s sole discretion satisfy the Tax Obligations by electing to have the Company withhold and retain such number of Shares otherwise deliverable to Participant, and/or by surrendering such number of Shares already delivered to Participant, having an aggregate Fair Market Value equal to the amount of such Tax Obligations. In order to satisfy the Tax Obligations, the Company </w:t>
      </w:r>
    </w:p>
    <w:p>
      <w:pPr>
        <w:pStyle w:val="TextBody"/>
        <w:bidi w:val="0"/>
        <w:spacing w:before="0" w:after="0"/>
        <w:jc w:val="center"/>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175260"/>
                <wp:effectExtent l="0" t="0" r="0" b="0"/>
                <wp:wrapNone/>
                <wp:docPr id="176" name="Frame1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2"/>
                              </w:rPr>
                              <w:t>-5-</w:t>
                            </w:r>
                            <w:r>
                              <w:rPr>
                                <w:color w:val="000000"/>
                              </w:rPr>
                              <w:t xml:space="preserve">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2"/>
                        </w:rPr>
                        <w:t>-5-</w:t>
                      </w:r>
                      <w:r>
                        <w:rPr>
                          <w:color w:val="000000"/>
                        </w:rPr>
                        <w:t xml:space="preserve"> </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 xml:space="preserve">will not withhold the amount of such Tax Obligations from Participant’s paycheck(s) and/or any other amounts payable to Participant unless the net proceeds from any automatic sale of certain shares of the Performance Stock as set forth in </w:t>
      </w:r>
      <w:r>
        <w:rPr>
          <w:rFonts w:ascii="Times New Roman;sans-serif" w:hAnsi="Times New Roman;sans-serif"/>
          <w:b w:val="false"/>
          <w:color w:val="000000"/>
          <w:sz w:val="22"/>
          <w:u w:val="single"/>
        </w:rPr>
        <w:t>Section 3(d)</w:t>
      </w:r>
      <w:r>
        <w:rPr>
          <w:color w:val="000000"/>
        </w:rPr>
        <w:t xml:space="preserve"> </w:t>
      </w:r>
      <w:r>
        <w:rPr>
          <w:rFonts w:ascii="Times New Roman;sans-serif" w:hAnsi="Times New Roman;sans-serif"/>
          <w:b w:val="false"/>
          <w:color w:val="000000"/>
          <w:sz w:val="22"/>
        </w:rPr>
        <w:t xml:space="preserve">below are not sufficient to satisfy such Tax Obligations in their entirety.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(d)    In the event that (i) Participant is not subject to the requirements of Section 16 of the Securities Exchange Act of 1934 on a date that the risk of forfeiture to the Company as described in this Notice lapses with respect to some or all of the Performance Stock Units (“</w:t>
      </w:r>
      <w:r>
        <w:rPr>
          <w:rFonts w:ascii="Times New Roman;sans-serif" w:hAnsi="Times New Roman;sans-serif"/>
          <w:b/>
          <w:color w:val="000000"/>
          <w:sz w:val="22"/>
        </w:rPr>
        <w:t>Lapse Date</w:t>
      </w:r>
      <w:r>
        <w:rPr>
          <w:color w:val="000000"/>
        </w:rPr>
        <w:t>”</w:t>
      </w:r>
      <w:r>
        <w:rPr>
          <w:rFonts w:ascii="Times New Roman;sans-serif" w:hAnsi="Times New Roman;sans-serif"/>
          <w:b w:val="false"/>
          <w:color w:val="000000"/>
          <w:sz w:val="22"/>
        </w:rPr>
        <w:t>) and (ii) Participant incurs a tax liability on such Lapse Date as a result of such lapse, then the Applicable Percentage (as defined below) of the Shares issuable pursuant to the Performance Stock Units with respect to which the risk of forfeiture shall have lapsed on the Lapse Date, shall be sold within an administratively reasonable period of time on or after the Lapse Date by a broker selected or approved by the Company at such fees and pursuant to such rules and process as the Company may reasonably approve. Participant will bear the brokerage fees and other costs associated with sales and related transmission of funds. The net proceeds from such sale shall be remitted to the relevant tax authorities as determined by the Company for Participant’s benefit in the amounts directed by the Company, or paid to the Company in reimbursement of any Tax Obligations paid by the Company, and any remaining net proceeds shall be delivered to Participant or a brokerage account maintained for Participant. For these purposes the “</w:t>
      </w:r>
      <w:r>
        <w:rPr>
          <w:rFonts w:ascii="Times New Roman;sans-serif" w:hAnsi="Times New Roman;sans-serif"/>
          <w:b/>
          <w:color w:val="000000"/>
          <w:sz w:val="22"/>
        </w:rPr>
        <w:t>Applicable Percentage</w:t>
      </w:r>
      <w:r>
        <w:rPr>
          <w:color w:val="000000"/>
        </w:rPr>
        <w:t xml:space="preserve">” </w:t>
      </w:r>
      <w:r>
        <w:rPr>
          <w:rFonts w:ascii="Times New Roman;sans-serif" w:hAnsi="Times New Roman;sans-serif"/>
          <w:b w:val="false"/>
          <w:color w:val="000000"/>
          <w:sz w:val="22"/>
        </w:rPr>
        <w:t xml:space="preserve">means, in the Company’s sole discretion, an amount reasonably expected to be required to satisfy any or all Tax Obligations and selling expenses. Participant shall have no right to affect or influence any adjustments that the Company may elect to make to the Applicable Percentage for this purpose. There is no assurance that the price at which Shares sold pursuant to this </w:t>
      </w:r>
      <w:r>
        <w:rPr>
          <w:rFonts w:ascii="Times New Roman;sans-serif" w:hAnsi="Times New Roman;sans-serif"/>
          <w:b w:val="false"/>
          <w:color w:val="000000"/>
          <w:sz w:val="22"/>
          <w:u w:val="single"/>
        </w:rPr>
        <w:t>Section 3(d)</w:t>
      </w:r>
      <w:r>
        <w:rPr>
          <w:color w:val="000000"/>
        </w:rPr>
        <w:t xml:space="preserve"> </w:t>
      </w:r>
      <w:r>
        <w:rPr>
          <w:rFonts w:ascii="Times New Roman;sans-serif" w:hAnsi="Times New Roman;sans-serif"/>
          <w:b w:val="false"/>
          <w:color w:val="000000"/>
          <w:sz w:val="22"/>
        </w:rPr>
        <w:t>will equal the value at which Shares vesting on the Lapse Date are taxed.</w:t>
      </w:r>
    </w:p>
    <w:p>
      <w:pPr>
        <w:pStyle w:val="TextBody"/>
        <w:bidi w:val="0"/>
        <w:spacing w:lineRule="auto" w:line="240" w:before="0" w:after="240"/>
        <w:ind w:left="0" w:right="0" w:firstLine="720"/>
        <w:jc w:val="both"/>
        <w:rPr/>
      </w:pPr>
      <w:r>
        <w:rPr>
          <w:rFonts w:ascii="Times New Roman;sans-serif" w:hAnsi="Times New Roman;sans-serif"/>
          <w:b/>
          <w:color w:val="000000"/>
          <w:sz w:val="22"/>
        </w:rPr>
        <w:t>4.    No Guarantee of Continued Service</w:t>
      </w:r>
      <w:r>
        <w:rPr>
          <w:rFonts w:ascii="Times New Roman;sans-serif" w:hAnsi="Times New Roman;sans-serif"/>
          <w:b w:val="false"/>
          <w:color w:val="000000"/>
          <w:sz w:val="22"/>
        </w:rPr>
        <w:t xml:space="preserve">. THE VESTING OF THE PERFORMANCE STOCK UNITS PURSUANT TO THE VESTING SCHEDULE APPLICABLE THERETO IS EARNED ONLY BY CONTINUOUS SERVICE AT THE WILL OF THE COMPANY (OR THE AFFILIATE OR SUBSIDIARY EMPLOYING OR RETAINING PARTICIPANT) AND NOT THROUGH THE ACT OF BEING HIRED, BEING GRANTED A PERFORMANCE STOCK UNIT AWARD OR ACQUIRING SHARES UPON VESTING OF PERFORMANCE STOCK UNITS. THIS NOTICE, THE TRANSACTIONS CONTEMPLATED HEREUNDER AND THE VESTING SCHEDULE APPLICABLE TO PERFORMANCE STOCK UNITS DO NOT CONSTITUTE AN EXPRESS OR IMPLIED PROMISE OF CONTINUED ENGAGEMENT TO PROVIDE SERVICE FOR THE VESTING PERIOD, FOR ANY PERIOD, OR AT ALL, AND SHALL NOT INTERFERE IN ANY WAY WITH PARTICIPANT’S RIGHT OR THE RIGHT OF THE COMPANY (OR THE AFFILIATE OR SUBSIDIARY EMPLOYING OR RETAINING PARTICIPANT) TO TERMINATE PARTICIPANT’S CONTINUOUS SERVICE AT ANY TIME, FOR ANY REASON OR NO REASON, WITH OR WITHOUT NOTICE, AND WITH OR WITHOUT CAUSE. </w:t>
      </w:r>
    </w:p>
    <w:p>
      <w:pPr>
        <w:pStyle w:val="TextBody"/>
        <w:bidi w:val="0"/>
        <w:spacing w:lineRule="auto" w:line="304" w:before="0" w:after="240"/>
        <w:ind w:left="0" w:right="0" w:firstLine="720"/>
        <w:jc w:val="both"/>
        <w:rPr>
          <w:rFonts w:ascii="Times New Roman;sans-serif" w:hAnsi="Times New Roman;sans-serif"/>
          <w:b/>
          <w:color w:val="000000"/>
          <w:sz w:val="22"/>
        </w:rPr>
      </w:pPr>
      <w:r>
        <w:rPr>
          <w:rFonts w:ascii="Times New Roman;sans-serif" w:hAnsi="Times New Roman;sans-serif"/>
          <w:b/>
          <w:color w:val="000000"/>
          <w:sz w:val="22"/>
        </w:rPr>
        <w:t xml:space="preserve">5.    Participant Representations. </w:t>
      </w:r>
    </w:p>
    <w:p>
      <w:pPr>
        <w:pStyle w:val="TextBody"/>
        <w:bidi w:val="0"/>
        <w:spacing w:lineRule="auto" w:line="240" w:before="0" w:after="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(a)    Participant acknowledges that (i) Participant was and is free to use professional advisors of Participant’s choice in connection with this Notice and grant of the Performance Stock Units; (ii) Participant understands this Notice and the meaning and consequences of receiving grants of PSUs and Shares issued upon vesting of PSUs; (iii) Participant has reviewed and understands this Notice and the Plan; (iv) receipt of the PSUs and any Shares issued upon vesting of the PSUs is voluntary and Participant is accepting the PSUs and any Shares issued freely and without coercion or duress; and (v) Participant has not received and is not relying, and will not rely, upon any advice, representations or assurances made by or on behalf of the Company or any of its Affiliates or any employee of or counsel to the Company or any of its Affiliates regarding any tax or other effects or implications of the PSUs or Shares or other matters contemplated by this award of Performance Stock Units.</w:t>
      </w:r>
    </w:p>
    <w:p>
      <w:pPr>
        <w:pStyle w:val="TextBody"/>
        <w:bidi w:val="0"/>
        <w:spacing w:before="0" w:after="0"/>
        <w:jc w:val="both"/>
        <w:rPr/>
      </w:pPr>
      <w:r>
        <w:rPr/>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(b)    Participant is aware of the Company’s business affairs and financial condition and understands that an investment in the Shares involves a high degree of risk. Participant has not received and is not relying, and will not rely, upon any advice, representations or assurances made by or on behalf of the Company or any of its Affiliates or any employee of or counsel to the Company or any of its Affiliates regarding the Company’s prospects or the value of the PSUs or Shares. </w:t>
      </w:r>
    </w:p>
    <w:p>
      <w:pPr>
        <w:pStyle w:val="TextBody"/>
        <w:bidi w:val="0"/>
        <w:spacing w:before="0" w:after="0"/>
        <w:jc w:val="center"/>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175260"/>
                <wp:effectExtent l="0" t="0" r="0" b="0"/>
                <wp:wrapNone/>
                <wp:docPr id="177" name="Frame1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2"/>
                              </w:rPr>
                              <w:t>-6-</w:t>
                            </w:r>
                            <w:r>
                              <w:rPr>
                                <w:color w:val="000000"/>
                              </w:rPr>
                              <w:t xml:space="preserve">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2"/>
                        </w:rPr>
                        <w:t>-6-</w:t>
                      </w:r>
                      <w:r>
                        <w:rPr>
                          <w:color w:val="000000"/>
                        </w:rPr>
                        <w:t xml:space="preserve"> </w:t>
                      </w:r>
                    </w:p>
                  </w:txbxContent>
                </v:textbox>
                <w10:wrap type="none"/>
              </v:rect>
            </w:pict>
          </mc:Fallback>
        </mc:AlternateContent>
      </w:r>
    </w:p>
    <w:p>
      <w:pPr>
        <w:pStyle w:val="TextBody"/>
        <w:bidi w:val="0"/>
        <w:spacing w:lineRule="auto" w:line="240" w:before="0" w:after="0"/>
        <w:ind w:left="0" w:right="0" w:firstLine="720"/>
        <w:jc w:val="both"/>
        <w:rPr/>
      </w:pPr>
      <w:r>
        <w:rPr>
          <w:rFonts w:ascii="Times New Roman;sans-serif" w:hAnsi="Times New Roman;sans-serif"/>
          <w:b/>
          <w:color w:val="000000"/>
          <w:sz w:val="22"/>
        </w:rPr>
        <w:t>6.    Additional Conditions to Issuance of Stock.</w:t>
      </w:r>
      <w:r>
        <w:rPr>
          <w:color w:val="000000"/>
        </w:rPr>
        <w:t xml:space="preserve"> </w:t>
      </w:r>
    </w:p>
    <w:p>
      <w:pPr>
        <w:pStyle w:val="TextBody"/>
        <w:bidi w:val="0"/>
        <w:spacing w:before="0" w:after="0"/>
        <w:ind w:left="0" w:right="0" w:firstLine="1440"/>
        <w:jc w:val="both"/>
        <w:rPr/>
      </w:pPr>
      <w:r>
        <w:rPr/>
      </w:r>
    </w:p>
    <w:p>
      <w:pPr>
        <w:pStyle w:val="TextBody"/>
        <w:bidi w:val="0"/>
        <w:spacing w:lineRule="auto" w:line="240" w:before="0" w:after="0"/>
        <w:ind w:left="0" w:right="0" w:firstLine="1440"/>
        <w:jc w:val="both"/>
        <w:rPr/>
      </w:pPr>
      <w:r>
        <w:rPr>
          <w:rFonts w:ascii="Times New Roman;sans-serif" w:hAnsi="Times New Roman;sans-serif"/>
          <w:b w:val="false"/>
          <w:color w:val="000000"/>
          <w:sz w:val="22"/>
        </w:rPr>
        <w:t>(a)    </w:t>
      </w:r>
      <w:r>
        <w:rPr>
          <w:rFonts w:ascii="Times New Roman;sans-serif" w:hAnsi="Times New Roman;sans-serif"/>
          <w:b w:val="false"/>
          <w:color w:val="000000"/>
          <w:sz w:val="22"/>
          <w:u w:val="single"/>
        </w:rPr>
        <w:t>Legal and Regulatory Compliance</w:t>
      </w:r>
      <w:r>
        <w:rPr>
          <w:rFonts w:ascii="Times New Roman;sans-serif" w:hAnsi="Times New Roman;sans-serif"/>
          <w:b w:val="false"/>
          <w:color w:val="000000"/>
          <w:sz w:val="22"/>
        </w:rPr>
        <w:t>. The issuance of Shares upon or after vesting of the Performance Stock Units shall be subject to compliance with all applicable requirements of federal, state or foreign law with respect to such securities. If at any time the Company determines, in its discretion, that the listing, registration or qualification of the Shares upon any securities exchange or under any state or federal law, or the consent or approval of any governmental regulatory authority is necessary as a condition to the issuance of Shares to Participant (or his or her estate), such issuance will not occur unless and until such listing, registration, qualification, consent or approval will have been effected or obtained free of any conditions not acceptable to the Company. If the Company determines that the issuance of any Shares will violate federal securities laws or other applicable laws or regulations or the requirements of any exchange or market system upon which the Shares are listed, the Company may defer issuance until the earliest date at which the Company reasonably anticipates that the issuance of Shares will no longer cause such violation. Accordingly, Participant may not be able to receive Shares when desired even though the Performance Stock Units have vested. The Company will make all reasonable efforts to meet the requirements of any such state or federal law or securities exchange and to obtain any such consent or approval of any such governmental authority, but the inability of the Company to obtain from any regulatory body having jurisdiction the authority, if any, deemed by the Company’s legal counsel to be necessary to the lawful issuance of any Shares shall relieve the Company of any liability in respect of the failure to issue such Shares as to which such requisite authority shall not have been obtained. As a condition to the issuance of Shares, the Company may require Participant to satisfy any qualifications that may be necessary or appropriate, to evidence compliance with any applicable law or regulation and to make any representation or warranty with respect thereto as may be requested by the Company. Without limiting the foregoing, if at the time of vesting of any Performance Stock Units, there is not in effect under the Securities Act of 1933, as amended (the “</w:t>
      </w:r>
      <w:r>
        <w:rPr>
          <w:rFonts w:ascii="Times New Roman;sans-serif" w:hAnsi="Times New Roman;sans-serif"/>
          <w:b/>
          <w:color w:val="000000"/>
          <w:sz w:val="22"/>
        </w:rPr>
        <w:t>Securities Act</w:t>
      </w:r>
      <w:r>
        <w:rPr>
          <w:color w:val="000000"/>
        </w:rPr>
        <w:t>”</w:t>
      </w:r>
      <w:r>
        <w:rPr>
          <w:rFonts w:ascii="Times New Roman;sans-serif" w:hAnsi="Times New Roman;sans-serif"/>
          <w:b w:val="false"/>
          <w:color w:val="000000"/>
          <w:sz w:val="22"/>
        </w:rPr>
        <w:t>), a registration statement covering the Shares to be issued, and available for delivery a prospectus meeting the requirements of Section 10(a)(3) of the Securities Act, Participant shall, if required by the Company, as a condition to vesting and issuance of the Shares, make appropriate representations in a form satisfactory to the Company to support issuance of the Shares in compliance with applicable laws and regulations, including to the effect that such Shares will not be sold other than (A) pursuant to an effective registration statement under the Securities Act, or an applicable exemption from the registration requirements of such Act; (B) in compliance with all applicable state securities laws and regulations; and (C) in compliance with all terms and conditions of the Plan, this Notice, and any other written agreement between Participant and the Company or any of its Affiliates.</w:t>
      </w:r>
    </w:p>
    <w:p>
      <w:pPr>
        <w:pStyle w:val="TextBody"/>
        <w:bidi w:val="0"/>
        <w:spacing w:before="0" w:after="0"/>
        <w:ind w:left="0" w:right="0" w:firstLine="1440"/>
        <w:jc w:val="both"/>
        <w:rPr/>
      </w:pPr>
      <w:r>
        <w:rPr/>
      </w:r>
    </w:p>
    <w:p>
      <w:pPr>
        <w:pStyle w:val="TextBody"/>
        <w:bidi w:val="0"/>
        <w:spacing w:lineRule="auto" w:line="240" w:before="0" w:after="0"/>
        <w:ind w:left="0" w:right="0" w:firstLine="1440"/>
        <w:jc w:val="both"/>
        <w:rPr/>
      </w:pPr>
      <w:r>
        <w:rPr>
          <w:rFonts w:ascii="Times New Roman;sans-serif" w:hAnsi="Times New Roman;sans-serif"/>
          <w:b w:val="false"/>
          <w:color w:val="000000"/>
          <w:sz w:val="22"/>
        </w:rPr>
        <w:t>(b)    </w:t>
      </w:r>
      <w:r>
        <w:rPr>
          <w:rFonts w:ascii="Times New Roman;sans-serif" w:hAnsi="Times New Roman;sans-serif"/>
          <w:b w:val="false"/>
          <w:color w:val="000000"/>
          <w:sz w:val="22"/>
          <w:u w:val="single"/>
        </w:rPr>
        <w:t>Obligations to the Company</w:t>
      </w:r>
      <w:r>
        <w:rPr>
          <w:rFonts w:ascii="Times New Roman;sans-serif" w:hAnsi="Times New Roman;sans-serif"/>
          <w:b w:val="false"/>
          <w:color w:val="000000"/>
          <w:sz w:val="22"/>
        </w:rPr>
        <w:t>. As a condition to receipt and vesting of any Performance Stock Units and issuance of Shares as a result of vesting, Participant must enter into the Company’s Intellectual Property Assignment and Confidential Information Agreement, or a similar or successor agreement for the protection of the Company’s intellectual property and confidential information, in form specified by the Company (the “</w:t>
      </w:r>
      <w:r>
        <w:rPr>
          <w:rFonts w:ascii="Times New Roman;sans-serif" w:hAnsi="Times New Roman;sans-serif"/>
          <w:b/>
          <w:color w:val="000000"/>
          <w:sz w:val="22"/>
        </w:rPr>
        <w:t>Proprietary Interests Agreement</w:t>
      </w:r>
      <w:r>
        <w:rPr>
          <w:color w:val="000000"/>
        </w:rPr>
        <w:t>”</w:t>
      </w:r>
      <w:r>
        <w:rPr>
          <w:rFonts w:ascii="Times New Roman;sans-serif" w:hAnsi="Times New Roman;sans-serif"/>
          <w:b w:val="false"/>
          <w:color w:val="000000"/>
          <w:sz w:val="22"/>
        </w:rPr>
        <w:t xml:space="preserve">), if Participant has not already done so, and Participant’s acceptance of Performance Stock Units and any Shares will constitute Participant’s agreement to the Proprietary Interests Agreement. If Participant breaches in any material respect the Proprietary Interests Agreement or any other contract between Participant and the Company, or Participant’s common law duty of confidentiality or trade secret protection, or any Company policy prohibiting misappropriation of property or any illegal or fraudulent acts, the Company may suspend any vesting of any Performance Stock Units or issuance of any Shares pending Participant’s cure of such breach, and if such breach cannot be cured or is not cured to the Company’s reasonable satisfaction within such time not less than twenty (20) days as the Company may specify, the Company may terminate any Performance Stock Units for which Shares have not been issued and will have no obligation to issue any Shares in respect of any such terminated Performance Stock Units or to provide any consideration to Participant in respect thereof. </w:t>
      </w:r>
    </w:p>
    <w:p>
      <w:pPr>
        <w:pStyle w:val="TextBody"/>
        <w:bidi w:val="0"/>
        <w:spacing w:before="0" w:after="0"/>
        <w:ind w:left="0" w:right="0" w:firstLine="1440"/>
        <w:jc w:val="both"/>
        <w:rPr/>
      </w:pPr>
      <w:r>
        <w:rPr/>
      </w:r>
    </w:p>
    <w:p>
      <w:pPr>
        <w:pStyle w:val="TextBody"/>
        <w:bidi w:val="0"/>
        <w:spacing w:lineRule="auto" w:line="304" w:before="0" w:after="240"/>
        <w:ind w:left="0" w:right="0" w:firstLine="720"/>
        <w:jc w:val="both"/>
        <w:rPr>
          <w:rFonts w:ascii="Times New Roman;sans-serif" w:hAnsi="Times New Roman;sans-serif"/>
          <w:b/>
          <w:color w:val="000000"/>
          <w:sz w:val="22"/>
        </w:rPr>
      </w:pPr>
      <w:r>
        <w:rPr>
          <w:rFonts w:ascii="Times New Roman;sans-serif" w:hAnsi="Times New Roman;sans-serif"/>
          <w:b/>
          <w:color w:val="000000"/>
          <w:sz w:val="22"/>
        </w:rPr>
        <w:t>7.    Handling of Shares; Restrictive Legends and Stop-Transfer Orders.</w:t>
      </w:r>
    </w:p>
    <w:p>
      <w:pPr>
        <w:pStyle w:val="TextBody"/>
        <w:bidi w:val="0"/>
        <w:spacing w:lineRule="auto" w:line="240" w:before="240" w:after="283"/>
        <w:ind w:left="0" w:right="0" w:firstLine="1440"/>
        <w:jc w:val="both"/>
        <w:rPr/>
      </w:pPr>
      <w:r>
        <w:rPr>
          <w:rFonts w:ascii="Times New Roman;sans-serif" w:hAnsi="Times New Roman;sans-serif"/>
          <w:b w:val="false"/>
          <w:color w:val="000000"/>
          <w:sz w:val="22"/>
        </w:rPr>
        <w:t>(a)    </w:t>
      </w:r>
      <w:r>
        <w:rPr>
          <w:rFonts w:ascii="Times New Roman;sans-serif" w:hAnsi="Times New Roman;sans-serif"/>
          <w:b w:val="false"/>
          <w:color w:val="000000"/>
          <w:sz w:val="22"/>
          <w:u w:val="single"/>
        </w:rPr>
        <w:t>Book Entries</w:t>
      </w:r>
      <w:r>
        <w:rPr>
          <w:rFonts w:ascii="Times New Roman;sans-serif" w:hAnsi="Times New Roman;sans-serif"/>
          <w:b w:val="false"/>
          <w:color w:val="000000"/>
          <w:sz w:val="22"/>
        </w:rPr>
        <w:t xml:space="preserve">. The Company will cause the Shares to be recorded in book entry or other electronic form and reflected in records maintained by or for the Company. </w:t>
      </w:r>
    </w:p>
    <w:p>
      <w:pPr>
        <w:pStyle w:val="TextBody"/>
        <w:bidi w:val="0"/>
        <w:jc w:val="both"/>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175260"/>
                <wp:effectExtent l="0" t="0" r="0" b="0"/>
                <wp:wrapNone/>
                <wp:docPr id="178" name="Frame1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2"/>
                              </w:rPr>
                              <w:t>-7-</w:t>
                            </w:r>
                            <w:r>
                              <w:rPr>
                                <w:color w:val="000000"/>
                              </w:rPr>
                              <w:t xml:space="preserve">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2"/>
                        </w:rPr>
                        <w:t>-7-</w:t>
                      </w:r>
                      <w:r>
                        <w:rPr>
                          <w:color w:val="000000"/>
                        </w:rPr>
                        <w:t xml:space="preserve"> </w:t>
                      </w:r>
                    </w:p>
                  </w:txbxContent>
                </v:textbox>
                <w10:wrap type="none"/>
              </v:rect>
            </w:pict>
          </mc:Fallback>
        </mc:AlternateContent>
      </w:r>
    </w:p>
    <w:p>
      <w:pPr>
        <w:pStyle w:val="TextBody"/>
        <w:bidi w:val="0"/>
        <w:spacing w:lineRule="auto" w:line="240" w:before="0" w:after="0"/>
        <w:ind w:left="0" w:right="0" w:firstLine="1440"/>
        <w:jc w:val="both"/>
        <w:rPr/>
      </w:pPr>
      <w:r>
        <w:rPr>
          <w:rFonts w:ascii="Times New Roman;sans-serif" w:hAnsi="Times New Roman;sans-serif"/>
          <w:b w:val="false"/>
          <w:color w:val="000000"/>
          <w:sz w:val="22"/>
        </w:rPr>
        <w:t>(b)    </w:t>
      </w:r>
      <w:r>
        <w:rPr>
          <w:rFonts w:ascii="Times New Roman;sans-serif" w:hAnsi="Times New Roman;sans-serif"/>
          <w:b w:val="false"/>
          <w:color w:val="000000"/>
          <w:sz w:val="22"/>
          <w:u w:val="single"/>
        </w:rPr>
        <w:t>Stop-Transfer Notices</w:t>
      </w:r>
      <w:r>
        <w:rPr>
          <w:rFonts w:ascii="Times New Roman;sans-serif" w:hAnsi="Times New Roman;sans-serif"/>
          <w:b w:val="false"/>
          <w:color w:val="000000"/>
          <w:sz w:val="22"/>
        </w:rPr>
        <w:t>. In order to ensure compliance with the restrictions referred to herein and Company policies, the Company may issue appropriate “stop transfer” instructions to its transfer agent, if any, and that, if the Company transfers its own securities, it may make appropriate notations to the same effect in its own records.</w:t>
      </w:r>
    </w:p>
    <w:p>
      <w:pPr>
        <w:pStyle w:val="TextBody"/>
        <w:bidi w:val="0"/>
        <w:spacing w:before="0" w:after="0"/>
        <w:jc w:val="both"/>
        <w:rPr/>
      </w:pPr>
      <w:r>
        <w:rPr/>
      </w:r>
    </w:p>
    <w:p>
      <w:pPr>
        <w:pStyle w:val="TextBody"/>
        <w:bidi w:val="0"/>
        <w:spacing w:lineRule="auto" w:line="240" w:before="0" w:after="0"/>
        <w:ind w:left="0" w:right="0" w:firstLine="1440"/>
        <w:jc w:val="both"/>
        <w:rPr/>
      </w:pPr>
      <w:r>
        <w:rPr>
          <w:rFonts w:ascii="Times New Roman;sans-serif" w:hAnsi="Times New Roman;sans-serif"/>
          <w:b w:val="false"/>
          <w:color w:val="000000"/>
          <w:sz w:val="22"/>
        </w:rPr>
        <w:t>(c)    </w:t>
      </w:r>
      <w:r>
        <w:rPr>
          <w:rFonts w:ascii="Times New Roman;sans-serif" w:hAnsi="Times New Roman;sans-serif"/>
          <w:b w:val="false"/>
          <w:color w:val="000000"/>
          <w:sz w:val="22"/>
          <w:u w:val="single"/>
        </w:rPr>
        <w:t>Refusal to Transfer</w:t>
      </w:r>
      <w:r>
        <w:rPr>
          <w:rFonts w:ascii="Times New Roman;sans-serif" w:hAnsi="Times New Roman;sans-serif"/>
          <w:b w:val="false"/>
          <w:color w:val="000000"/>
          <w:sz w:val="22"/>
        </w:rPr>
        <w:t>. The Company shall not be required (i) to transfer on its books any Shares that have been sold or otherwise transferred in violation of any of the provisions of this Notice or any other agreement to which the Shares are subject or any laws governing the Shares or (ii) to treat as owner of such Shares or to accord the right to vote or pay dividends to any purchaser or other transferee to whom such Shares shall have been so transferred.</w:t>
      </w:r>
    </w:p>
    <w:p>
      <w:pPr>
        <w:pStyle w:val="TextBody"/>
        <w:bidi w:val="0"/>
        <w:spacing w:before="0" w:after="0"/>
        <w:ind w:left="0" w:right="0" w:firstLine="1440"/>
        <w:jc w:val="both"/>
        <w:rPr/>
      </w:pPr>
      <w:r>
        <w:rPr/>
      </w:r>
    </w:p>
    <w:p>
      <w:pPr>
        <w:pStyle w:val="TextBody"/>
        <w:bidi w:val="0"/>
        <w:spacing w:lineRule="auto" w:line="240" w:before="0" w:after="240"/>
        <w:ind w:left="0" w:right="0" w:firstLine="720"/>
        <w:jc w:val="both"/>
        <w:rPr/>
      </w:pPr>
      <w:r>
        <w:rPr>
          <w:rFonts w:ascii="Times New Roman;sans-serif" w:hAnsi="Times New Roman;sans-serif"/>
          <w:b/>
          <w:color w:val="000000"/>
          <w:sz w:val="22"/>
        </w:rPr>
        <w:t xml:space="preserve">8.    Restrictions on Transfer. </w:t>
      </w:r>
      <w:r>
        <w:rPr>
          <w:rFonts w:ascii="Times New Roman;sans-serif" w:hAnsi="Times New Roman;sans-serif"/>
          <w:b w:val="false"/>
          <w:color w:val="000000"/>
          <w:sz w:val="22"/>
        </w:rPr>
        <w:t>Except as otherwise expressly provided in this Notice, the Performance Stock Units will not be transferred, assigned, pledged or hypothecated in any way (whether by operation of law or otherwise) and will not be subject to sale under execution, attachment or similar process. Upon any attempt to transfer, assign, pledge, hypothecate or otherwise dispose of the Performance Stock Units, or upon any attempted sale under any execution, attachment or similar process, the affected PSUs will become null and void. The Company may impose such restrictions, conditions or limitations as it determines appropriate as to the timing and manner of any resales by the Participant or other subsequent transfers by the Participant of any vested Shares, including without limitation (a) restrictions under an insider trading policy, (b) restrictions designed to delay and/or coordinate the timing and manner of sales by Participant and other holders, and (c) restrictions as to the use of a specified brokerage firm for such resales or other transfers.</w:t>
      </w:r>
    </w:p>
    <w:p>
      <w:pPr>
        <w:pStyle w:val="TextBody"/>
        <w:bidi w:val="0"/>
        <w:spacing w:lineRule="auto" w:line="304" w:before="0" w:after="240"/>
        <w:ind w:left="0" w:right="0" w:firstLine="720"/>
        <w:jc w:val="both"/>
        <w:rPr>
          <w:rFonts w:ascii="Times New Roman;sans-serif" w:hAnsi="Times New Roman;sans-serif"/>
          <w:b/>
          <w:color w:val="000000"/>
          <w:sz w:val="22"/>
        </w:rPr>
      </w:pPr>
      <w:r>
        <w:rPr>
          <w:rFonts w:ascii="Times New Roman;sans-serif" w:hAnsi="Times New Roman;sans-serif"/>
          <w:b/>
          <w:color w:val="000000"/>
          <w:sz w:val="22"/>
        </w:rPr>
        <w:t xml:space="preserve">9.    Additional Agreements.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(a)    </w:t>
      </w:r>
      <w:r>
        <w:rPr>
          <w:rFonts w:ascii="Times New Roman;sans-serif" w:hAnsi="Times New Roman;sans-serif"/>
          <w:b w:val="false"/>
          <w:color w:val="000000"/>
          <w:sz w:val="22"/>
          <w:u w:val="single"/>
        </w:rPr>
        <w:t>Electronic Delivery</w:t>
      </w:r>
      <w:r>
        <w:rPr>
          <w:rFonts w:ascii="Times New Roman;sans-serif" w:hAnsi="Times New Roman;sans-serif"/>
          <w:b w:val="false"/>
          <w:color w:val="000000"/>
          <w:sz w:val="22"/>
        </w:rPr>
        <w:t>. The Company may, in its sole discretion, decide to deliver any documents related to Performance Stock Units or Shares by electronic means or request Participant’s consent to participate in the Plan by electronic means. Participant hereby consents to receive such documents by electronic delivery and agrees to administration of this Notice, the PSUs and the Shares through any on-line or electronic system established and maintained by the Company or another third party designated by the Company.</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(b)    </w:t>
      </w:r>
      <w:r>
        <w:rPr>
          <w:rFonts w:ascii="Times New Roman;sans-serif" w:hAnsi="Times New Roman;sans-serif"/>
          <w:b w:val="false"/>
          <w:color w:val="000000"/>
          <w:sz w:val="22"/>
          <w:u w:val="single"/>
        </w:rPr>
        <w:t>Proprietary Information</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color w:val="000000"/>
          <w:sz w:val="22"/>
        </w:rPr>
        <w:t>Participant agrees that all financial and other information relating to the Company furnished to Participant constitutes “Proprietary Information” that is the property of the Company. Participant shall hold in confidence and not disclose or, except within the scope of Participant’s Continuous Service, use any Proprietary Information. Participant shall not be obligated under this paragraph with respect to information Participant can document is or becomes readily publicly available without restriction through no fault of Participant. Upon termination of Participant’s Continuous Service, Participant shall promptly return to Company all items containing or embodying Proprietary Information (including all copies). This paragraph supplements, but does not limit, any other agreement between Participant and the Company, or any applicable law, related to protection, ownership, or use of the Company’s information or property.</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(c)    </w:t>
      </w:r>
      <w:r>
        <w:rPr>
          <w:rFonts w:ascii="Times New Roman;sans-serif" w:hAnsi="Times New Roman;sans-serif"/>
          <w:b w:val="false"/>
          <w:color w:val="000000"/>
          <w:sz w:val="22"/>
          <w:u w:val="single"/>
        </w:rPr>
        <w:t>Consideration</w:t>
      </w:r>
      <w:r>
        <w:rPr>
          <w:rFonts w:ascii="Times New Roman;sans-serif" w:hAnsi="Times New Roman;sans-serif"/>
          <w:b w:val="false"/>
          <w:color w:val="000000"/>
          <w:sz w:val="22"/>
        </w:rPr>
        <w:t>. The Performance Stock Units and Shares are issued in consideration of services provided by Participant and/or other benefit to the corporation within the meaning of Section 152 of the General Corporation Law of the State of Delaware; Participant is not required to make any cash payment to the Company in respect of issuance of Performance Stock Units or Shares.</w:t>
      </w:r>
    </w:p>
    <w:p>
      <w:pPr>
        <w:pStyle w:val="TextBody"/>
        <w:bidi w:val="0"/>
        <w:spacing w:lineRule="auto" w:line="240" w:before="240" w:after="240"/>
        <w:ind w:left="0" w:right="0" w:firstLine="720"/>
        <w:jc w:val="both"/>
        <w:rPr/>
      </w:pPr>
      <w:r>
        <w:rPr>
          <w:rFonts w:ascii="Times New Roman;sans-serif" w:hAnsi="Times New Roman;sans-serif"/>
          <w:b/>
          <w:color w:val="000000"/>
          <w:sz w:val="22"/>
        </w:rPr>
        <w:t>10.    </w:t>
      </w:r>
      <w:r>
        <w:rPr>
          <w:rFonts w:ascii="Times New Roman;sans-serif" w:hAnsi="Times New Roman;sans-serif"/>
          <w:b/>
          <w:i/>
          <w:color w:val="000000"/>
          <w:sz w:val="22"/>
        </w:rPr>
        <w:t>Data Privacy</w:t>
      </w:r>
      <w:r>
        <w:rPr>
          <w:rFonts w:ascii="Times New Roman;sans-serif" w:hAnsi="Times New Roman;sans-serif"/>
          <w:b/>
          <w:color w:val="000000"/>
          <w:sz w:val="22"/>
        </w:rPr>
        <w:t xml:space="preserve">. </w:t>
      </w:r>
      <w:r>
        <w:rPr>
          <w:rFonts w:ascii="Times New Roman;sans-serif" w:hAnsi="Times New Roman;sans-serif"/>
          <w:b/>
          <w:i/>
          <w:color w:val="000000"/>
          <w:sz w:val="22"/>
        </w:rPr>
        <w:t>If Participant would like to participate in the Plan, Participant understands Participant will need to review and acknowledge the information provided in this Section 10, which describes the processing and/or transfer of personal data as described below.</w:t>
      </w:r>
    </w:p>
    <w:p>
      <w:pPr>
        <w:pStyle w:val="TextBody"/>
        <w:bidi w:val="0"/>
        <w:spacing w:lineRule="auto" w:line="240" w:before="0" w:after="240"/>
        <w:ind w:left="0" w:right="0" w:firstLine="1440"/>
        <w:jc w:val="both"/>
        <w:rPr/>
      </w:pPr>
      <w:r>
        <w:rPr>
          <w:rFonts w:ascii="Times New Roman;sans-serif" w:hAnsi="Times New Roman;sans-serif"/>
          <w:b/>
          <w:i/>
          <w:color w:val="000000"/>
          <w:sz w:val="22"/>
        </w:rPr>
        <w:t>(a)</w:t>
      </w:r>
      <w:r>
        <w:rPr>
          <w:rFonts w:ascii="Times New Roman;sans-serif" w:hAnsi="Times New Roman;sans-serif"/>
          <w:b/>
          <w:i/>
          <w:color w:val="000000"/>
          <w:sz w:val="22"/>
          <w:u w:val="single"/>
        </w:rPr>
        <w:t>EEA+ Controller</w:t>
      </w:r>
      <w:r>
        <w:rPr>
          <w:rFonts w:ascii="Times New Roman;sans-serif" w:hAnsi="Times New Roman;sans-serif"/>
          <w:b/>
          <w:i/>
          <w:color w:val="000000"/>
          <w:sz w:val="22"/>
        </w:rPr>
        <w:t>. If Participant is based in the European Union (“EU”), the European Economic Area or the United Kingdom (collectively “EEA+”), Participant should note that the Company, with its registered address at 1250 Broadway, 15</w:t>
      </w:r>
      <w:r>
        <w:rPr>
          <w:rFonts w:ascii="Times New Roman;sans-serif" w:hAnsi="Times New Roman;sans-serif"/>
          <w:b/>
          <w:i/>
          <w:color w:val="000000"/>
          <w:sz w:val="14"/>
        </w:rPr>
        <w:t>th</w:t>
      </w:r>
      <w:r>
        <w:rPr>
          <w:color w:val="000000"/>
        </w:rPr>
        <w:t xml:space="preserve"> </w:t>
      </w:r>
      <w:r>
        <w:rPr>
          <w:rFonts w:ascii="Times New Roman;sans-serif" w:hAnsi="Times New Roman;sans-serif"/>
          <w:b/>
          <w:i/>
          <w:color w:val="000000"/>
          <w:sz w:val="22"/>
        </w:rPr>
        <w:t xml:space="preserve">Floor, New York, New York, 10001 </w:t>
      </w:r>
    </w:p>
    <w:p>
      <w:pPr>
        <w:pStyle w:val="TextBody"/>
        <w:bidi w:val="0"/>
        <w:spacing w:before="0" w:after="0"/>
        <w:jc w:val="center"/>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175260"/>
                <wp:effectExtent l="0" t="0" r="0" b="0"/>
                <wp:wrapNone/>
                <wp:docPr id="179" name="Frame1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2"/>
                              </w:rPr>
                              <w:t>-8-</w:t>
                            </w:r>
                            <w:r>
                              <w:rPr>
                                <w:color w:val="000000"/>
                              </w:rPr>
                              <w:t xml:space="preserve">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2"/>
                        </w:rPr>
                        <w:t>-8-</w:t>
                      </w:r>
                      <w:r>
                        <w:rPr>
                          <w:color w:val="000000"/>
                        </w:rPr>
                        <w:t xml:space="preserve"> </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i/>
          <w:color w:val="000000"/>
          <w:sz w:val="22"/>
        </w:rPr>
      </w:pPr>
      <w:r>
        <w:rPr>
          <w:rFonts w:ascii="Times New Roman;sans-serif" w:hAnsi="Times New Roman;sans-serif"/>
          <w:b/>
          <w:i/>
          <w:color w:val="000000"/>
          <w:sz w:val="22"/>
        </w:rPr>
        <w:t>United States of America, is the controller responsible for the processing of Participant’s personal data in connection with this Notice and the Plan.</w:t>
      </w:r>
    </w:p>
    <w:p>
      <w:pPr>
        <w:pStyle w:val="TextBody"/>
        <w:bidi w:val="0"/>
        <w:spacing w:lineRule="auto" w:line="240" w:before="0" w:after="0"/>
        <w:ind w:left="0" w:right="0" w:firstLine="1440"/>
        <w:jc w:val="both"/>
        <w:rPr/>
      </w:pPr>
      <w:r>
        <w:rPr>
          <w:rFonts w:ascii="Times New Roman;sans-serif" w:hAnsi="Times New Roman;sans-serif"/>
          <w:b/>
          <w:i/>
          <w:color w:val="000000"/>
          <w:sz w:val="22"/>
        </w:rPr>
        <w:t>(b)</w:t>
      </w:r>
      <w:r>
        <w:rPr>
          <w:rFonts w:ascii="Times New Roman;sans-serif" w:hAnsi="Times New Roman;sans-serif"/>
          <w:b/>
          <w:i/>
          <w:color w:val="000000"/>
          <w:sz w:val="22"/>
          <w:u w:val="single"/>
        </w:rPr>
        <w:t>Data Collection and Usage</w:t>
      </w:r>
      <w:r>
        <w:rPr>
          <w:rFonts w:ascii="Times New Roman;sans-serif" w:hAnsi="Times New Roman;sans-serif"/>
          <w:b/>
          <w:i/>
          <w:color w:val="000000"/>
          <w:sz w:val="22"/>
        </w:rPr>
        <w:t>. The Company collects, uses and otherwise processes certain personal data about Participant, including, but not limited to, Participant’s name, home address and telephone number, email address, date of birth, social insurance number, passport or other identification number (e.g., resident registration number), salary, nationality, job title, any shares of stock or directorships held in the Company, details of all PSUs granted under the Plan or any other entitlement to shares of stock or equivalent benefits awarded, canceled, exercised, vested, unvested or outstanding in Participant’s favor, which the Company receives from Participant, the Subsidiary or Affiliate retaining Participant (the “Employer”) or otherwise in connection with this Notice or the Plan (“Data”), for the purposes of implementing, administering and managing the Plan and allocating Shares pursuant to the Plan.</w:t>
      </w:r>
    </w:p>
    <w:p>
      <w:pPr>
        <w:pStyle w:val="TextBody"/>
        <w:bidi w:val="0"/>
        <w:spacing w:before="0" w:after="0"/>
        <w:ind w:left="0" w:right="0" w:firstLine="1440"/>
        <w:jc w:val="both"/>
        <w:rPr/>
      </w:pPr>
      <w:r>
        <w:rPr/>
      </w:r>
    </w:p>
    <w:p>
      <w:pPr>
        <w:pStyle w:val="TextBody"/>
        <w:bidi w:val="0"/>
        <w:spacing w:lineRule="auto" w:line="240" w:before="0" w:after="240"/>
        <w:ind w:left="0" w:right="0" w:firstLine="1440"/>
        <w:jc w:val="both"/>
        <w:rPr/>
      </w:pPr>
      <w:r>
        <w:rPr>
          <w:rFonts w:ascii="Times New Roman;sans-serif" w:hAnsi="Times New Roman;sans-serif"/>
          <w:b/>
          <w:i/>
          <w:color w:val="000000"/>
          <w:sz w:val="22"/>
        </w:rPr>
        <w:t>(c)</w:t>
      </w:r>
      <w:r>
        <w:rPr>
          <w:rFonts w:ascii="Times New Roman;sans-serif" w:hAnsi="Times New Roman;sans-serif"/>
          <w:b/>
          <w:i/>
          <w:color w:val="000000"/>
          <w:sz w:val="22"/>
          <w:u w:val="single"/>
        </w:rPr>
        <w:t>Stock Plan Administration Service Providers</w:t>
      </w:r>
      <w:r>
        <w:rPr>
          <w:rFonts w:ascii="Times New Roman;sans-serif" w:hAnsi="Times New Roman;sans-serif"/>
          <w:b/>
          <w:i/>
          <w:color w:val="000000"/>
          <w:sz w:val="22"/>
        </w:rPr>
        <w:t>. Participant understands that the Company transfers Participant’s Data to ETRADE or another independent service provider, which is assisting the Company with the implementation, administration and management of the Plan. In the future, the Company may select a different service provider and share Data with such other provider serving in a similar manner. Such service provider will open an account for Participant to receive and trade Shares acquired under the Plan. Participant may be asked to agree on separate terms and data processing practices with any such service provider, with such agreement being a condition to the ability to participate in the Plan.</w:t>
      </w:r>
    </w:p>
    <w:p>
      <w:pPr>
        <w:pStyle w:val="TextBody"/>
        <w:bidi w:val="0"/>
        <w:spacing w:lineRule="auto" w:line="240" w:before="0" w:after="240"/>
        <w:ind w:left="0" w:right="0" w:firstLine="1440"/>
        <w:jc w:val="both"/>
        <w:rPr/>
      </w:pPr>
      <w:r>
        <w:rPr>
          <w:rFonts w:ascii="Times New Roman;sans-serif" w:hAnsi="Times New Roman;sans-serif"/>
          <w:b/>
          <w:i/>
          <w:color w:val="000000"/>
          <w:sz w:val="22"/>
        </w:rPr>
        <w:t>(d)</w:t>
      </w:r>
      <w:r>
        <w:rPr>
          <w:rFonts w:ascii="Times New Roman;sans-serif" w:hAnsi="Times New Roman;sans-serif"/>
          <w:b/>
          <w:i/>
          <w:color w:val="000000"/>
          <w:sz w:val="22"/>
          <w:u w:val="single"/>
        </w:rPr>
        <w:t>International Data Transfers.</w:t>
      </w:r>
      <w:r>
        <w:rPr>
          <w:color w:val="000000"/>
        </w:rPr>
        <w:t xml:space="preserve"> </w:t>
      </w:r>
      <w:r>
        <w:rPr>
          <w:rFonts w:ascii="Times New Roman;sans-serif" w:hAnsi="Times New Roman;sans-serif"/>
          <w:b/>
          <w:i/>
          <w:color w:val="000000"/>
          <w:sz w:val="22"/>
        </w:rPr>
        <w:t xml:space="preserve">Participant understands that the Company and, as of the date hereof, any third parties assisting in the implementation, administration and management of the Plan are based in the United States. If Participant is located outside the United States, Participant understands and acknowledges that Participant’s country may have enacted data privacy laws that are different from the laws of the United States. </w:t>
      </w:r>
    </w:p>
    <w:p>
      <w:pPr>
        <w:pStyle w:val="TextBody"/>
        <w:bidi w:val="0"/>
        <w:spacing w:lineRule="auto" w:line="240" w:before="0" w:after="240"/>
        <w:ind w:left="0" w:right="0" w:firstLine="1440"/>
        <w:jc w:val="both"/>
        <w:rPr/>
      </w:pPr>
      <w:r>
        <w:rPr>
          <w:rFonts w:ascii="Times New Roman;sans-serif" w:hAnsi="Times New Roman;sans-serif"/>
          <w:b/>
          <w:i/>
          <w:color w:val="000000"/>
          <w:sz w:val="22"/>
        </w:rPr>
        <w:t>(e)</w:t>
      </w:r>
      <w:r>
        <w:rPr>
          <w:rFonts w:ascii="Times New Roman;sans-serif" w:hAnsi="Times New Roman;sans-serif"/>
          <w:b/>
          <w:i/>
          <w:color w:val="000000"/>
          <w:sz w:val="22"/>
          <w:u w:val="single"/>
        </w:rPr>
        <w:t>Data Retention</w:t>
      </w:r>
      <w:r>
        <w:rPr>
          <w:rFonts w:ascii="Times New Roman;sans-serif" w:hAnsi="Times New Roman;sans-serif"/>
          <w:b/>
          <w:i/>
          <w:color w:val="000000"/>
          <w:sz w:val="22"/>
        </w:rPr>
        <w:t>. The Company will hold and use the Data only as long as is necessary to implement, administer and manage Participant’s participation in the Plan, or as required to comply with legal or regulatory obligations, including under tax and securities laws.</w:t>
      </w:r>
    </w:p>
    <w:p>
      <w:pPr>
        <w:pStyle w:val="TextBody"/>
        <w:bidi w:val="0"/>
        <w:spacing w:lineRule="auto" w:line="240" w:before="0" w:after="240"/>
        <w:ind w:left="0" w:right="0" w:firstLine="1440"/>
        <w:jc w:val="both"/>
        <w:rPr/>
      </w:pPr>
      <w:r>
        <w:rPr>
          <w:rFonts w:ascii="Times New Roman;sans-serif" w:hAnsi="Times New Roman;sans-serif"/>
          <w:b/>
          <w:i/>
          <w:color w:val="000000"/>
          <w:sz w:val="22"/>
        </w:rPr>
        <w:t>(f)</w:t>
      </w:r>
      <w:r>
        <w:rPr>
          <w:rFonts w:ascii="Times New Roman;sans-serif" w:hAnsi="Times New Roman;sans-serif"/>
          <w:b/>
          <w:i/>
          <w:color w:val="000000"/>
          <w:sz w:val="22"/>
          <w:u w:val="single"/>
        </w:rPr>
        <w:t>Necessary Disclosure of Personal Data</w:t>
      </w:r>
      <w:r>
        <w:rPr>
          <w:rFonts w:ascii="Times New Roman;sans-serif" w:hAnsi="Times New Roman;sans-serif"/>
          <w:b/>
          <w:i/>
          <w:color w:val="000000"/>
          <w:sz w:val="22"/>
        </w:rPr>
        <w:t>. Participant understands that providing the Company with Data is necessary for the performance of this Notice and that Participant’s refusal to provide Data would make it impossible for the Company to perform its contractual obligations, grant Restricted Stock Units under the Plan to Participant or administer or maintain the Plan, and may affect Participant’s ability to participate in the Plan.</w:t>
      </w:r>
    </w:p>
    <w:p>
      <w:pPr>
        <w:pStyle w:val="TextBody"/>
        <w:bidi w:val="0"/>
        <w:spacing w:lineRule="auto" w:line="304" w:before="0" w:after="240"/>
        <w:ind w:left="0" w:right="0" w:firstLine="720"/>
        <w:jc w:val="both"/>
        <w:rPr>
          <w:rFonts w:ascii="Times New Roman;sans-serif" w:hAnsi="Times New Roman;sans-serif"/>
          <w:b/>
          <w:color w:val="000000"/>
          <w:sz w:val="22"/>
        </w:rPr>
      </w:pPr>
      <w:r>
        <w:rPr>
          <w:rFonts w:ascii="Times New Roman;sans-serif" w:hAnsi="Times New Roman;sans-serif"/>
          <w:b/>
          <w:color w:val="000000"/>
          <w:sz w:val="22"/>
        </w:rPr>
        <w:t>11.    General.</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(a)    </w:t>
      </w:r>
      <w:r>
        <w:rPr>
          <w:rFonts w:ascii="Times New Roman;sans-serif" w:hAnsi="Times New Roman;sans-serif"/>
          <w:b w:val="false"/>
          <w:color w:val="000000"/>
          <w:sz w:val="22"/>
          <w:u w:val="single"/>
        </w:rPr>
        <w:t>No Waiver; Remedies</w:t>
      </w:r>
      <w:r>
        <w:rPr>
          <w:rFonts w:ascii="Times New Roman;sans-serif" w:hAnsi="Times New Roman;sans-serif"/>
          <w:b w:val="false"/>
          <w:color w:val="000000"/>
          <w:sz w:val="22"/>
        </w:rPr>
        <w:t>. Either party’s failure to enforce any provision of this Notice shall not in any way be construed as a waiver of any such provision, or prevent that party from thereafter enforcing such provision and each and every other provision of this Notice. The rights granted both parties herein are cumulative and shall not constitute a waiver of either party’s right to assert all other legal remedies available to it under the circumstances.</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(b)    </w:t>
      </w:r>
      <w:r>
        <w:rPr>
          <w:rFonts w:ascii="Times New Roman;sans-serif" w:hAnsi="Times New Roman;sans-serif"/>
          <w:b w:val="false"/>
          <w:color w:val="000000"/>
          <w:sz w:val="22"/>
          <w:u w:val="single"/>
        </w:rPr>
        <w:t>Successors and Assigns</w:t>
      </w:r>
      <w:r>
        <w:rPr>
          <w:rFonts w:ascii="Times New Roman;sans-serif" w:hAnsi="Times New Roman;sans-serif"/>
          <w:b w:val="false"/>
          <w:color w:val="000000"/>
          <w:sz w:val="22"/>
        </w:rPr>
        <w:t>. The terms of this Notice shall inure to the benefit of the successors and assigns of the Company. Subject to the restrictions on transfer herein set forth, the terms of this Notice shall be binding upon Participant and Participant’s heirs, executors, administrators, successors and assigns. The rights and obligations of Participant under this Notice may only be assigned with the prior written consent of the Company.</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(c)    </w:t>
      </w:r>
      <w:r>
        <w:rPr>
          <w:rFonts w:ascii="Times New Roman;sans-serif" w:hAnsi="Times New Roman;sans-serif"/>
          <w:b w:val="false"/>
          <w:color w:val="000000"/>
          <w:sz w:val="22"/>
          <w:u w:val="single"/>
        </w:rPr>
        <w:t>Notices</w:t>
      </w:r>
      <w:r>
        <w:rPr>
          <w:rFonts w:ascii="Times New Roman;sans-serif" w:hAnsi="Times New Roman;sans-serif"/>
          <w:b w:val="false"/>
          <w:color w:val="000000"/>
          <w:sz w:val="22"/>
        </w:rPr>
        <w:t xml:space="preserve">. Any notice hereunder shall be in writing (which shall include electronic transmission) and shall be deemed received (i) the business day following electronic verification of receipt if sent electronically, (ii) upon personal delivery to the party to whom the notice is directed, (iii) </w:t>
      </w:r>
    </w:p>
    <w:p>
      <w:pPr>
        <w:pStyle w:val="TextBody"/>
        <w:bidi w:val="0"/>
        <w:spacing w:before="0" w:after="0"/>
        <w:jc w:val="center"/>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175260"/>
                <wp:effectExtent l="0" t="0" r="0" b="0"/>
                <wp:wrapNone/>
                <wp:docPr id="180" name="Frame1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2"/>
                              </w:rPr>
                              <w:t>-9-</w:t>
                            </w:r>
                            <w:r>
                              <w:rPr>
                                <w:color w:val="000000"/>
                              </w:rPr>
                              <w:t xml:space="preserve">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2"/>
                        </w:rPr>
                        <w:t>-9-</w:t>
                      </w:r>
                      <w:r>
                        <w:rPr>
                          <w:color w:val="000000"/>
                        </w:rPr>
                        <w:t xml:space="preserve"> </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business day following deposit with a reputable overnight courier, or (iv) five days after deposit in the U.S. mail, First Class with postage prepaid. Notice shall be addressed to the Company at its principal executive office and to Participant at the address that he or she most recently provided to the Company. Participant agrees that it is Participant’s responsibility to notify the Company of any changes to his or her mailing address so that Participant may receive any shareholder information to be delivered by regular mail.</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(d)    </w:t>
      </w:r>
      <w:r>
        <w:rPr>
          <w:rFonts w:ascii="Times New Roman;sans-serif" w:hAnsi="Times New Roman;sans-serif"/>
          <w:b w:val="false"/>
          <w:color w:val="000000"/>
          <w:sz w:val="22"/>
          <w:u w:val="single"/>
        </w:rPr>
        <w:t>Interpretation</w:t>
      </w:r>
      <w:r>
        <w:rPr>
          <w:rFonts w:ascii="Times New Roman;sans-serif" w:hAnsi="Times New Roman;sans-serif"/>
          <w:b w:val="false"/>
          <w:color w:val="000000"/>
          <w:sz w:val="22"/>
        </w:rPr>
        <w:t xml:space="preserve">. Headings herein are for convenience of reference only, do not constitute a part of this Notice, and will not affect the meaning or interpretation of this Notice. References herein to Sections are references to the referenced Section hereof, unless otherwise specified. The Board or its Committee will have the power to interpret the Plan and this Notice and to adopt such rules for the administration, interpretation and application of the Plan and this Notice as are consistent therewith and to interpret or revoke any such rules (including, but not limited to, the determination of whether or not any Performance Stock Units have vested). All actions taken and all interpretations and determinations made by the Board or its Committee in good faith will be final and binding upon Participant, the Company and all other interested persons. Neither the Board or its Committee nor any person acting on behalf of the Board or its Committee will be personally liable for any action, determination or interpretation made in good faith with respect to the Plan or this Notice.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(e)    </w:t>
      </w:r>
      <w:r>
        <w:rPr>
          <w:rFonts w:ascii="Times New Roman;sans-serif" w:hAnsi="Times New Roman;sans-serif"/>
          <w:b w:val="false"/>
          <w:color w:val="000000"/>
          <w:sz w:val="22"/>
          <w:u w:val="single"/>
        </w:rPr>
        <w:t>Modifications to Notice</w:t>
      </w:r>
      <w:r>
        <w:rPr>
          <w:rFonts w:ascii="Times New Roman;sans-serif" w:hAnsi="Times New Roman;sans-serif"/>
          <w:b w:val="false"/>
          <w:color w:val="000000"/>
          <w:sz w:val="22"/>
        </w:rPr>
        <w:t>. Modifications to this Notice can be made only in an express written contract executed by a duly authorized officer of the Company and shall not require the consent of the Participant unless such modification would materially adversely affect the rights of the Participant hereunder. Notwithstanding anything to the contrary in the Plan or this Notice, the Company reserves the right to revise this Notice as it deems necessary or advisable, in its sole discretion and without the consent of Participant, to comply with Section 409A or to otherwise avoid imposition of any additional tax or income recognition under Section 409A in connection to this award of Performance Stock Units.</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(f)    </w:t>
      </w:r>
      <w:r>
        <w:rPr>
          <w:rFonts w:ascii="Times New Roman;sans-serif" w:hAnsi="Times New Roman;sans-serif"/>
          <w:b w:val="false"/>
          <w:color w:val="000000"/>
          <w:sz w:val="22"/>
          <w:u w:val="single"/>
        </w:rPr>
        <w:t>Governing Law; Severability</w:t>
      </w:r>
      <w:r>
        <w:rPr>
          <w:rFonts w:ascii="Times New Roman;sans-serif" w:hAnsi="Times New Roman;sans-serif"/>
          <w:b w:val="false"/>
          <w:color w:val="000000"/>
          <w:sz w:val="22"/>
        </w:rPr>
        <w:t xml:space="preserve">. This Notice is governed by the internal substantive laws, but not the choice of law rules, of Delaware. If any provision of this Notice becomes or is declared by a court or arbitrator having jurisdiction over a dispute hereunder to be illegal, unenforceable or void, such provision shall be amended to the extent necessary to conform to applicable law so as to be valid and enforceable and to achieve, to the extent possible, the economic, business and other purposes of such illegal, unenforceable, or void provision or, if such provision cannot be so amended without materially altering the intention of the parties, then such provision shall deleted from this Notice and the remainder of this Notice shall continue in full force and effect.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(g)    </w:t>
      </w:r>
      <w:r>
        <w:rPr>
          <w:rFonts w:ascii="Times New Roman;sans-serif" w:hAnsi="Times New Roman;sans-serif"/>
          <w:b w:val="false"/>
          <w:color w:val="000000"/>
          <w:sz w:val="22"/>
          <w:u w:val="single"/>
        </w:rPr>
        <w:t>Entire Agreement</w:t>
      </w:r>
      <w:r>
        <w:rPr>
          <w:rFonts w:ascii="Times New Roman;sans-serif" w:hAnsi="Times New Roman;sans-serif"/>
          <w:b w:val="false"/>
          <w:color w:val="000000"/>
          <w:sz w:val="22"/>
        </w:rPr>
        <w:t>. The Plan and this Notice form a contract and constitute the entire understanding between Participant and the Company with respect to the PSUs and the Shares issuable upon vesting of the PSUs and supersede in their entirety all prior undertakings and agreements of the Company and Participant with respect thereto.</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(h)    </w:t>
      </w:r>
      <w:r>
        <w:rPr>
          <w:rFonts w:ascii="Times New Roman;sans-serif" w:hAnsi="Times New Roman;sans-serif"/>
          <w:b w:val="false"/>
          <w:color w:val="000000"/>
          <w:sz w:val="22"/>
          <w:u w:val="single"/>
        </w:rPr>
        <w:t>Appendix</w:t>
      </w:r>
      <w:r>
        <w:rPr>
          <w:rFonts w:ascii="Times New Roman;sans-serif" w:hAnsi="Times New Roman;sans-serif"/>
          <w:b w:val="false"/>
          <w:color w:val="000000"/>
          <w:sz w:val="22"/>
        </w:rPr>
        <w:t>. The award of PSUs shall be subject to any additional terms and conditions for Non-U.S. Employees set forth in Appendix A attached hereto (“</w:t>
      </w:r>
      <w:r>
        <w:rPr>
          <w:rFonts w:ascii="Times New Roman;sans-serif" w:hAnsi="Times New Roman;sans-serif"/>
          <w:b/>
          <w:color w:val="000000"/>
          <w:sz w:val="22"/>
        </w:rPr>
        <w:t>Appendix A</w:t>
      </w:r>
      <w:r>
        <w:rPr>
          <w:color w:val="000000"/>
        </w:rPr>
        <w:t>”</w:t>
      </w:r>
      <w:r>
        <w:rPr>
          <w:rFonts w:ascii="Times New Roman;sans-serif" w:hAnsi="Times New Roman;sans-serif"/>
          <w:b w:val="false"/>
          <w:color w:val="000000"/>
          <w:sz w:val="22"/>
        </w:rPr>
        <w:t>) and any special terms and conditions for Participant’s country set forth in Appendix B attached hereto (“</w:t>
      </w:r>
      <w:r>
        <w:rPr>
          <w:rFonts w:ascii="Times New Roman;sans-serif" w:hAnsi="Times New Roman;sans-serif"/>
          <w:b/>
          <w:color w:val="000000"/>
          <w:sz w:val="22"/>
        </w:rPr>
        <w:t>Appendix B</w:t>
      </w:r>
      <w:r>
        <w:rPr>
          <w:color w:val="000000"/>
        </w:rPr>
        <w:t>”</w:t>
      </w:r>
      <w:r>
        <w:rPr>
          <w:rFonts w:ascii="Times New Roman;sans-serif" w:hAnsi="Times New Roman;sans-serif"/>
          <w:b w:val="false"/>
          <w:color w:val="000000"/>
          <w:sz w:val="22"/>
        </w:rPr>
        <w:t>). Moreover, if Participant relocates to one of the countries included in Appendix B, the special terms and conditions for such country will apply to Participant to the extent the Company determines that the application of such terms and conditions is necessary or advisable for legal or administrative reasons. Appendix A and Appendix B constitute part of the Notice.</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(i)    </w:t>
      </w:r>
      <w:r>
        <w:rPr>
          <w:rFonts w:ascii="Times New Roman;sans-serif" w:hAnsi="Times New Roman;sans-serif"/>
          <w:b w:val="false"/>
          <w:color w:val="000000"/>
          <w:sz w:val="22"/>
          <w:u w:val="single"/>
        </w:rPr>
        <w:t>Imposition of Other Requirements</w:t>
      </w:r>
      <w:r>
        <w:rPr>
          <w:rFonts w:ascii="Times New Roman;sans-serif" w:hAnsi="Times New Roman;sans-serif"/>
          <w:b w:val="false"/>
          <w:color w:val="000000"/>
          <w:sz w:val="22"/>
        </w:rPr>
        <w:t>. The Company reserves the right to impose other requirements on Participant’s participation in the Plan, on the PSUs and on any Shares acquired under the Plan, to the extent the Company determines it is necessary or advisable for legal or administrative reasons, and to require Participant to sign any additional agreements or undertakings that may be necessary to accomplish the foregoing.</w:t>
      </w:r>
    </w:p>
    <w:p>
      <w:pPr>
        <w:pStyle w:val="TextBody"/>
        <w:bidi w:val="0"/>
        <w:spacing w:before="0" w:after="0"/>
        <w:jc w:val="center"/>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175260"/>
                <wp:effectExtent l="0" t="0" r="0" b="0"/>
                <wp:wrapNone/>
                <wp:docPr id="181" name="Frame1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2"/>
                              </w:rPr>
                              <w:t>-10-</w:t>
                            </w:r>
                            <w:r>
                              <w:rPr>
                                <w:color w:val="000000"/>
                              </w:rPr>
                              <w:t xml:space="preserve">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2"/>
                        </w:rPr>
                        <w:t>-10-</w:t>
                      </w:r>
                      <w:r>
                        <w:rPr>
                          <w:color w:val="000000"/>
                        </w:rPr>
                        <w:t xml:space="preserve"> </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(j)    </w:t>
      </w:r>
      <w:r>
        <w:rPr>
          <w:rFonts w:ascii="Times New Roman;sans-serif" w:hAnsi="Times New Roman;sans-serif"/>
          <w:b w:val="false"/>
          <w:color w:val="000000"/>
          <w:sz w:val="22"/>
          <w:u w:val="single"/>
        </w:rPr>
        <w:t>Insider Trading/Market Abuse</w:t>
      </w:r>
      <w:r>
        <w:rPr>
          <w:rFonts w:ascii="Times New Roman;sans-serif" w:hAnsi="Times New Roman;sans-serif"/>
          <w:b w:val="false"/>
          <w:color w:val="000000"/>
          <w:sz w:val="22"/>
        </w:rPr>
        <w:t xml:space="preserve">. Participant acknowledges that, depending on Participant’s or Participant’s broker’s country or where the Shares are listed, Participant may be subject to insider trading restrictions and/or market abuse laws which may affect Participant’s ability to acquire, sell or otherwise dispose of Shares, rights to Shares or rights linked to the value of shares during such times Participant is considered to have “inside information” regarding the Company (as defined in the laws or regulations in the applicable jurisdictions).  Local insider trading laws and regulations may prohibit the cancellation or amendment of orders Participant placed before Participant possessed inside information.  Furthermore, Participant could be prohibited from (i) disclosing the inside information to any third party and (ii) “tipping” third parties (including fellow employees) or causing them otherwise to buy or sell securities. Any restrictions under these laws or regulations are separate from and in addition to any restrictions that may be imposed under any applicable insider trading policy of the Company.  Participant is responsible for complying with any restrictions and should speak to their personal advisor on this matter. </w:t>
      </w:r>
    </w:p>
    <w:p>
      <w:pPr>
        <w:pStyle w:val="TextBody"/>
        <w:bidi w:val="0"/>
        <w:spacing w:before="0" w:after="240"/>
        <w:ind w:left="0" w:right="0" w:firstLine="1440"/>
        <w:jc w:val="both"/>
        <w:rPr/>
      </w:pPr>
      <w:r>
        <w:rPr/>
      </w:r>
    </w:p>
    <w:p>
      <w:pPr>
        <w:pStyle w:val="TextBody"/>
        <w:bidi w:val="0"/>
        <w:spacing w:before="0" w:after="240"/>
        <w:ind w:left="0" w:right="0" w:firstLine="1440"/>
        <w:jc w:val="both"/>
        <w:rPr/>
      </w:pPr>
      <w:r>
        <w:rPr/>
      </w:r>
    </w:p>
    <w:p>
      <w:pPr>
        <w:pStyle w:val="TextBody"/>
        <w:bidi w:val="0"/>
        <w:spacing w:before="0" w:after="240"/>
        <w:ind w:left="0" w:right="0" w:firstLine="1440"/>
        <w:jc w:val="both"/>
        <w:rPr/>
      </w:pPr>
      <w:r>
        <w:rPr/>
      </w:r>
    </w:p>
    <w:p>
      <w:pPr>
        <w:pStyle w:val="TextBody"/>
        <w:bidi w:val="0"/>
        <w:spacing w:before="0" w:after="240"/>
        <w:ind w:left="0" w:right="0" w:firstLine="1440"/>
        <w:jc w:val="both"/>
        <w:rPr/>
      </w:pPr>
      <w:r>
        <w:rPr/>
      </w:r>
    </w:p>
    <w:tbl>
      <w:tblPr>
        <w:tblW w:w="2234" w:type="dxa"/>
        <w:jc w:val="left"/>
        <w:tblInd w:w="0" w:type="dxa"/>
        <w:tblLayout w:type="fixed"/>
        <w:tblCellMar>
          <w:top w:w="28" w:type="dxa"/>
          <w:left w:w="28" w:type="dxa"/>
          <w:bottom w:w="28" w:type="dxa"/>
          <w:right w:w="28" w:type="dxa"/>
        </w:tblCellMar>
      </w:tblPr>
      <w:tblGrid>
        <w:gridCol w:w="266"/>
        <w:gridCol w:w="234"/>
        <w:gridCol w:w="235"/>
        <w:gridCol w:w="438"/>
        <w:gridCol w:w="438"/>
        <w:gridCol w:w="623"/>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Dated:</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both"/>
              <w:rPr/>
            </w:pPr>
            <w:r>
              <w:rPr>
                <w:rFonts w:ascii="Times New Roman;sans-serif" w:hAnsi="Times New Roman;sans-serif"/>
                <w:b w:val="false"/>
                <w:color w:val="000000"/>
                <w:sz w:val="20"/>
              </w:rPr>
              <w:t>MAGNITE, INC.</w:t>
              <w:br/>
            </w:r>
            <w:r>
              <w:rPr>
                <w:rFonts w:ascii="Times New Roman;sans-serif" w:hAnsi="Times New Roman;sans-serif"/>
                <w:b w:val="false"/>
                <w:sz w:val="20"/>
              </w:rPr>
              <w:br/>
            </w:r>
            <w:r>
              <w:rPr>
                <w:rFonts w:ascii="Times New Roman;sans-serif" w:hAnsi="Times New Roman;sans-serif"/>
                <w:b w:val="false"/>
                <w:color w:val="000000"/>
                <w:sz w:val="20"/>
              </w:rPr>
              <w:t>By:</w:t>
              <w:br/>
            </w:r>
            <w:r>
              <w:rPr>
                <w:rFonts w:ascii="Times New Roman;sans-serif" w:hAnsi="Times New Roman;sans-serif"/>
                <w:b w:val="false"/>
                <w:sz w:val="20"/>
              </w:rPr>
              <w:br/>
              <w:br/>
            </w:r>
            <w:r>
              <w:rPr>
                <w:rFonts w:ascii="Times New Roman;sans-serif" w:hAnsi="Times New Roman;sans-serif"/>
                <w:b w:val="false"/>
                <w:color w:val="000000"/>
                <w:sz w:val="20"/>
              </w:rPr>
              <w:t>Name</w:t>
              <w:br/>
            </w:r>
            <w:r>
              <w:rPr>
                <w:rFonts w:ascii="Times New Roman;sans-serif" w:hAnsi="Times New Roman;sans-serif"/>
                <w:b w:val="false"/>
                <w:sz w:val="20"/>
              </w:rPr>
              <w:br/>
              <w:br/>
            </w:r>
            <w:r>
              <w:rPr>
                <w:rFonts w:ascii="Times New Roman;sans-serif" w:hAnsi="Times New Roman;sans-serif"/>
                <w:b w:val="false"/>
                <w:color w:val="000000"/>
                <w:sz w:val="20"/>
              </w:rPr>
              <w:t>Title</w:t>
            </w:r>
          </w:p>
        </w:tc>
      </w:tr>
    </w:tbl>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83"/>
        <w:jc w:val="left"/>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175260"/>
                <wp:effectExtent l="0" t="0" r="0" b="0"/>
                <wp:wrapNone/>
                <wp:docPr id="182" name="Frame1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2"/>
                              </w:rPr>
                              <w:t>-11-</w:t>
                            </w:r>
                            <w:r>
                              <w:rPr>
                                <w:color w:val="000000"/>
                              </w:rPr>
                              <w:t xml:space="preserve">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2"/>
                        </w:rPr>
                        <w:t>-11-</w:t>
                      </w:r>
                      <w:r>
                        <w:rPr>
                          <w:color w:val="000000"/>
                        </w:rPr>
                        <w:t xml:space="preserve"> </w:t>
                      </w:r>
                    </w:p>
                  </w:txbxContent>
                </v:textbox>
                <w10:wrap type="none"/>
              </v:rect>
            </w:pict>
          </mc:Fallback>
        </mc:AlternateContent>
      </w:r>
    </w:p>
    <w:p>
      <w:pPr>
        <w:pStyle w:val="TextBody"/>
        <w:bidi w:val="0"/>
        <w:spacing w:lineRule="auto" w:line="240"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EXHIBIT A</w:t>
      </w:r>
    </w:p>
    <w:p>
      <w:pPr>
        <w:pStyle w:val="TextBody"/>
        <w:bidi w:val="0"/>
        <w:spacing w:lineRule="auto" w:line="240" w:before="0" w:after="240"/>
        <w:jc w:val="center"/>
        <w:rPr>
          <w:rFonts w:ascii="Times New Roman;sans-serif" w:hAnsi="Times New Roman;sans-serif"/>
          <w:b/>
          <w:color w:val="000000"/>
          <w:sz w:val="22"/>
        </w:rPr>
      </w:pPr>
      <w:r>
        <w:rPr>
          <w:rFonts w:ascii="Times New Roman;sans-serif" w:hAnsi="Times New Roman;sans-serif"/>
          <w:b/>
          <w:color w:val="000000"/>
          <w:sz w:val="22"/>
        </w:rPr>
        <w:t>PERFORMANCE-BASED VESTING</w:t>
      </w:r>
    </w:p>
    <w:p>
      <w:pPr>
        <w:pStyle w:val="TextBody"/>
        <w:bidi w:val="0"/>
        <w:spacing w:lineRule="auto" w:line="240" w:before="0" w:after="0"/>
        <w:ind w:left="0" w:right="0" w:firstLine="720"/>
        <w:jc w:val="left"/>
        <w:rPr/>
      </w:pPr>
      <w:r>
        <w:rPr>
          <w:rFonts w:ascii="Times New Roman;sans-serif" w:hAnsi="Times New Roman;sans-serif"/>
          <w:b w:val="false"/>
          <w:color w:val="000000"/>
          <w:sz w:val="22"/>
        </w:rPr>
        <w:t xml:space="preserve">Subject to </w:t>
      </w:r>
      <w:r>
        <w:rPr>
          <w:rFonts w:ascii="Times New Roman;sans-serif" w:hAnsi="Times New Roman;sans-serif"/>
          <w:b w:val="false"/>
          <w:color w:val="000000"/>
          <w:sz w:val="22"/>
          <w:u w:val="single"/>
        </w:rPr>
        <w:t>Sections 1 and 2</w:t>
      </w:r>
      <w:r>
        <w:rPr>
          <w:color w:val="000000"/>
        </w:rPr>
        <w:t xml:space="preserve"> </w:t>
      </w:r>
      <w:r>
        <w:rPr>
          <w:rFonts w:ascii="Times New Roman;sans-serif" w:hAnsi="Times New Roman;sans-serif"/>
          <w:b w:val="false"/>
          <w:color w:val="000000"/>
          <w:sz w:val="22"/>
        </w:rPr>
        <w:t>of this Notice, the PSUs shall vest and become non-forfeitable with respect to a number of PSUs, calculated as the greater of:</w:t>
      </w:r>
    </w:p>
    <w:p>
      <w:pPr>
        <w:pStyle w:val="TextBody"/>
        <w:bidi w:val="0"/>
        <w:spacing w:before="0" w:after="0"/>
        <w:ind w:left="0" w:right="0" w:firstLine="720"/>
        <w:jc w:val="left"/>
        <w:rPr/>
      </w:pPr>
      <w:r>
        <w:rPr/>
      </w:r>
    </w:p>
    <w:p>
      <w:pPr>
        <w:pStyle w:val="TextBody"/>
        <w:bidi w:val="0"/>
        <w:spacing w:lineRule="auto" w:line="240" w:before="0" w:after="0"/>
        <w:ind w:left="0" w:right="0" w:hanging="360"/>
        <w:jc w:val="left"/>
        <w:rPr/>
      </w:pPr>
      <w:r>
        <w:rPr>
          <w:rFonts w:ascii="Times New Roman;sans-serif" w:hAnsi="Times New Roman;sans-serif"/>
          <w:b w:val="false"/>
          <w:color w:val="000000"/>
          <w:sz w:val="22"/>
        </w:rPr>
        <w:t>(A)</w:t>
      </w:r>
      <w:r>
        <w:rPr>
          <w:color w:val="000000"/>
        </w:rPr>
        <w:t xml:space="preserve"> </w:t>
      </w:r>
      <w:r>
        <w:rPr>
          <w:rFonts w:ascii="Times New Roman;sans-serif" w:hAnsi="Times New Roman;sans-serif"/>
          <w:b w:val="false"/>
          <w:color w:val="000000"/>
          <w:sz w:val="22"/>
        </w:rPr>
        <w:t xml:space="preserve">(i) 25% </w:t>
      </w:r>
      <w:r>
        <w:rPr>
          <w:rFonts w:ascii="Times New Roman;sans-serif" w:hAnsi="Times New Roman;sans-serif"/>
          <w:b w:val="false"/>
          <w:i/>
          <w:color w:val="000000"/>
          <w:sz w:val="22"/>
        </w:rPr>
        <w:t xml:space="preserve">multiplied by the </w:t>
      </w:r>
      <w:r>
        <w:rPr>
          <w:rFonts w:ascii="Times New Roman;sans-serif" w:hAnsi="Times New Roman;sans-serif"/>
          <w:b w:val="false"/>
          <w:color w:val="000000"/>
          <w:sz w:val="22"/>
        </w:rPr>
        <w:t xml:space="preserve">One-Year TSR Amount </w:t>
      </w:r>
      <w:r>
        <w:rPr>
          <w:rFonts w:ascii="Times New Roman;sans-serif" w:hAnsi="Times New Roman;sans-serif"/>
          <w:b w:val="false"/>
          <w:i/>
          <w:color w:val="000000"/>
          <w:sz w:val="22"/>
        </w:rPr>
        <w:t xml:space="preserve">plus </w:t>
      </w:r>
      <w:r>
        <w:rPr>
          <w:rFonts w:ascii="Times New Roman;sans-serif" w:hAnsi="Times New Roman;sans-serif"/>
          <w:b w:val="false"/>
          <w:color w:val="000000"/>
          <w:sz w:val="22"/>
        </w:rPr>
        <w:t xml:space="preserve">(ii) 25% </w:t>
      </w:r>
      <w:r>
        <w:rPr>
          <w:rFonts w:ascii="Times New Roman;sans-serif" w:hAnsi="Times New Roman;sans-serif"/>
          <w:b w:val="false"/>
          <w:i/>
          <w:color w:val="000000"/>
          <w:sz w:val="22"/>
        </w:rPr>
        <w:t xml:space="preserve">multiplied by the </w:t>
      </w:r>
      <w:r>
        <w:rPr>
          <w:rFonts w:ascii="Times New Roman;sans-serif" w:hAnsi="Times New Roman;sans-serif"/>
          <w:b w:val="false"/>
          <w:color w:val="000000"/>
          <w:sz w:val="22"/>
        </w:rPr>
        <w:t xml:space="preserve">Two-Year TSR Amount </w:t>
      </w:r>
      <w:r>
        <w:rPr>
          <w:rFonts w:ascii="Times New Roman;sans-serif" w:hAnsi="Times New Roman;sans-serif"/>
          <w:b w:val="false"/>
          <w:i/>
          <w:color w:val="000000"/>
          <w:sz w:val="22"/>
        </w:rPr>
        <w:t>plus</w:t>
      </w:r>
      <w:r>
        <w:rPr>
          <w:color w:val="000000"/>
        </w:rPr>
        <w:t xml:space="preserve"> </w:t>
      </w:r>
      <w:r>
        <w:rPr>
          <w:rFonts w:ascii="Times New Roman;sans-serif" w:hAnsi="Times New Roman;sans-serif"/>
          <w:b w:val="false"/>
          <w:color w:val="000000"/>
          <w:sz w:val="22"/>
        </w:rPr>
        <w:t xml:space="preserve">(iii) 50% </w:t>
      </w:r>
      <w:r>
        <w:rPr>
          <w:rFonts w:ascii="Times New Roman;sans-serif" w:hAnsi="Times New Roman;sans-serif"/>
          <w:b w:val="false"/>
          <w:i/>
          <w:color w:val="000000"/>
          <w:sz w:val="22"/>
        </w:rPr>
        <w:t xml:space="preserve">multiplied by the </w:t>
      </w:r>
      <w:r>
        <w:rPr>
          <w:rFonts w:ascii="Times New Roman;sans-serif" w:hAnsi="Times New Roman;sans-serif"/>
          <w:b w:val="false"/>
          <w:color w:val="000000"/>
          <w:sz w:val="22"/>
        </w:rPr>
        <w:t>Three-Year TSR Amount; or</w:t>
      </w:r>
    </w:p>
    <w:p>
      <w:pPr>
        <w:pStyle w:val="TextBody"/>
        <w:bidi w:val="0"/>
        <w:spacing w:lineRule="auto" w:line="240" w:before="0" w:after="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(B)the Three-Year TSR Amount</w:t>
      </w:r>
    </w:p>
    <w:p>
      <w:pPr>
        <w:pStyle w:val="TextBody"/>
        <w:bidi w:val="0"/>
        <w:spacing w:lineRule="auto" w:line="240" w:before="0" w:after="0"/>
        <w:jc w:val="left"/>
        <w:rPr>
          <w:color w:val="000000"/>
        </w:rPr>
      </w:pPr>
      <w:r>
        <w:rPr>
          <w:color w:val="000000"/>
        </w:rPr>
        <w:t>    </w:t>
      </w:r>
    </w:p>
    <w:p>
      <w:pPr>
        <w:pStyle w:val="TextBody"/>
        <w:bidi w:val="0"/>
        <w:spacing w:lineRule="auto" w:line="240"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For purposes of this Performance Stock Unit Award, the following definitions shall apply: </w:t>
      </w:r>
    </w:p>
    <w:p>
      <w:pPr>
        <w:pStyle w:val="TextBody"/>
        <w:bidi w:val="0"/>
        <w:spacing w:lineRule="auto" w:line="240" w:before="0" w:after="240"/>
        <w:ind w:left="0" w:right="0" w:hanging="720"/>
        <w:jc w:val="left"/>
        <w:rPr/>
      </w:pPr>
      <w:r>
        <w:rPr>
          <w:color w:val="000000"/>
        </w:rPr>
        <w:t>•“</w:t>
      </w:r>
      <w:r>
        <w:rPr>
          <w:rFonts w:ascii="Times New Roman;sans-serif" w:hAnsi="Times New Roman;sans-serif"/>
          <w:b/>
          <w:color w:val="000000"/>
          <w:sz w:val="22"/>
        </w:rPr>
        <w:t>One-Year TSR Amount</w:t>
      </w:r>
      <w:r>
        <w:rPr>
          <w:color w:val="000000"/>
        </w:rPr>
        <w:t xml:space="preserve">” </w:t>
      </w:r>
      <w:r>
        <w:rPr>
          <w:rFonts w:ascii="Times New Roman;sans-serif" w:hAnsi="Times New Roman;sans-serif"/>
          <w:b w:val="false"/>
          <w:color w:val="000000"/>
          <w:sz w:val="22"/>
        </w:rPr>
        <w:t xml:space="preserve">means the Target Number of PSUs </w:t>
      </w:r>
      <w:r>
        <w:rPr>
          <w:rFonts w:ascii="Times New Roman;sans-serif" w:hAnsi="Times New Roman;sans-serif"/>
          <w:b w:val="false"/>
          <w:i/>
          <w:color w:val="000000"/>
          <w:sz w:val="22"/>
        </w:rPr>
        <w:t xml:space="preserve">multiplied by the </w:t>
      </w:r>
      <w:r>
        <w:rPr>
          <w:rFonts w:ascii="Times New Roman;sans-serif" w:hAnsi="Times New Roman;sans-serif"/>
          <w:b w:val="false"/>
          <w:color w:val="000000"/>
          <w:sz w:val="22"/>
        </w:rPr>
        <w:t xml:space="preserve">Vesting Percentage based on the Company’s Relative TSR Ranking for the One-Year Performance Period. </w:t>
      </w:r>
    </w:p>
    <w:p>
      <w:pPr>
        <w:pStyle w:val="TextBody"/>
        <w:bidi w:val="0"/>
        <w:spacing w:lineRule="auto" w:line="240" w:before="0" w:after="240"/>
        <w:ind w:left="0" w:right="0" w:hanging="720"/>
        <w:jc w:val="left"/>
        <w:rPr/>
      </w:pPr>
      <w:r>
        <w:rPr>
          <w:color w:val="000000"/>
        </w:rPr>
        <w:t>•“</w:t>
      </w:r>
      <w:r>
        <w:rPr>
          <w:rFonts w:ascii="Times New Roman;sans-serif" w:hAnsi="Times New Roman;sans-serif"/>
          <w:b/>
          <w:color w:val="000000"/>
          <w:sz w:val="22"/>
        </w:rPr>
        <w:t>Two-Year TSR Amount</w:t>
      </w:r>
      <w:r>
        <w:rPr>
          <w:color w:val="000000"/>
        </w:rPr>
        <w:t xml:space="preserve">” </w:t>
      </w:r>
      <w:r>
        <w:rPr>
          <w:rFonts w:ascii="Times New Roman;sans-serif" w:hAnsi="Times New Roman;sans-serif"/>
          <w:b w:val="false"/>
          <w:color w:val="000000"/>
          <w:sz w:val="22"/>
        </w:rPr>
        <w:t xml:space="preserve">means the Target Number of PSUs </w:t>
      </w:r>
      <w:r>
        <w:rPr>
          <w:rFonts w:ascii="Times New Roman;sans-serif" w:hAnsi="Times New Roman;sans-serif"/>
          <w:b w:val="false"/>
          <w:i/>
          <w:color w:val="000000"/>
          <w:sz w:val="22"/>
        </w:rPr>
        <w:t xml:space="preserve">multiplied by the </w:t>
      </w:r>
      <w:r>
        <w:rPr>
          <w:rFonts w:ascii="Times New Roman;sans-serif" w:hAnsi="Times New Roman;sans-serif"/>
          <w:b w:val="false"/>
          <w:color w:val="000000"/>
          <w:sz w:val="22"/>
        </w:rPr>
        <w:t xml:space="preserve">Vesting Percentage based on the Company’s Relative TSR Ranking for the Two-Year Performance Period. </w:t>
      </w:r>
    </w:p>
    <w:p>
      <w:pPr>
        <w:pStyle w:val="TextBody"/>
        <w:bidi w:val="0"/>
        <w:spacing w:lineRule="auto" w:line="240" w:before="0" w:after="240"/>
        <w:ind w:left="0" w:right="0" w:hanging="720"/>
        <w:jc w:val="left"/>
        <w:rPr/>
      </w:pPr>
      <w:r>
        <w:rPr>
          <w:color w:val="000000"/>
        </w:rPr>
        <w:t>•“</w:t>
      </w:r>
      <w:r>
        <w:rPr>
          <w:rFonts w:ascii="Times New Roman;sans-serif" w:hAnsi="Times New Roman;sans-serif"/>
          <w:b/>
          <w:color w:val="000000"/>
          <w:sz w:val="22"/>
        </w:rPr>
        <w:t>Three-Year TSR Amount</w:t>
      </w:r>
      <w:r>
        <w:rPr>
          <w:color w:val="000000"/>
        </w:rPr>
        <w:t xml:space="preserve">” </w:t>
      </w:r>
      <w:r>
        <w:rPr>
          <w:rFonts w:ascii="Times New Roman;sans-serif" w:hAnsi="Times New Roman;sans-serif"/>
          <w:b w:val="false"/>
          <w:color w:val="000000"/>
          <w:sz w:val="22"/>
        </w:rPr>
        <w:t xml:space="preserve">means the Target Number of PSUs </w:t>
      </w:r>
      <w:r>
        <w:rPr>
          <w:rFonts w:ascii="Times New Roman;sans-serif" w:hAnsi="Times New Roman;sans-serif"/>
          <w:b w:val="false"/>
          <w:i/>
          <w:color w:val="000000"/>
          <w:sz w:val="22"/>
        </w:rPr>
        <w:t xml:space="preserve">multiplied by the </w:t>
      </w:r>
      <w:r>
        <w:rPr>
          <w:rFonts w:ascii="Times New Roman;sans-serif" w:hAnsi="Times New Roman;sans-serif"/>
          <w:b w:val="false"/>
          <w:color w:val="000000"/>
          <w:sz w:val="22"/>
        </w:rPr>
        <w:t xml:space="preserve">Vesting Percentage based on the Company’s Relative TSR Ranking for the Three-Year Performance Period. </w:t>
      </w:r>
    </w:p>
    <w:p>
      <w:pPr>
        <w:pStyle w:val="TextBody"/>
        <w:bidi w:val="0"/>
        <w:spacing w:lineRule="auto" w:line="240" w:before="0" w:after="240"/>
        <w:ind w:left="0" w:right="0" w:hanging="720"/>
        <w:jc w:val="left"/>
        <w:rPr/>
      </w:pPr>
      <w:r>
        <w:rPr>
          <w:color w:val="000000"/>
        </w:rPr>
        <w:t>•“</w:t>
      </w:r>
      <w:r>
        <w:rPr>
          <w:rFonts w:ascii="Times New Roman;sans-serif" w:hAnsi="Times New Roman;sans-serif"/>
          <w:b/>
          <w:color w:val="000000"/>
          <w:sz w:val="22"/>
        </w:rPr>
        <w:t>TSR</w:t>
      </w:r>
      <w:r>
        <w:rPr>
          <w:color w:val="000000"/>
        </w:rPr>
        <w:t xml:space="preserve">” </w:t>
      </w:r>
      <w:r>
        <w:rPr>
          <w:rFonts w:ascii="Times New Roman;sans-serif" w:hAnsi="Times New Roman;sans-serif"/>
          <w:b w:val="false"/>
          <w:color w:val="000000"/>
          <w:sz w:val="22"/>
        </w:rPr>
        <w:t>means total shareholder return and shall be determined with respect to the Company and any other company in the Russell 2000 Index by dividing (a) the applicable Ending Price by the applicable Beginning Price. For purposes of determining TSR, the value of dividends and other distributions shall be determined by treating them as reinvested in additional shares at the closing market price on the ex-dividend date. Any non-cash distributions shall be valued at fair market value.</w:t>
      </w:r>
    </w:p>
    <w:p>
      <w:pPr>
        <w:pStyle w:val="TextBody"/>
        <w:bidi w:val="0"/>
        <w:spacing w:lineRule="auto" w:line="240" w:before="0" w:after="240"/>
        <w:ind w:left="0" w:right="0" w:hanging="720"/>
        <w:jc w:val="left"/>
        <w:rPr/>
      </w:pPr>
      <w:r>
        <w:rPr>
          <w:color w:val="000000"/>
        </w:rPr>
        <w:t>•“</w:t>
      </w:r>
      <w:r>
        <w:rPr>
          <w:rFonts w:ascii="Times New Roman;sans-serif" w:hAnsi="Times New Roman;sans-serif"/>
          <w:b/>
          <w:color w:val="000000"/>
          <w:sz w:val="22"/>
        </w:rPr>
        <w:t>Performance Period</w:t>
      </w:r>
      <w:r>
        <w:rPr>
          <w:color w:val="000000"/>
        </w:rPr>
        <w:t xml:space="preserve">” </w:t>
      </w:r>
      <w:r>
        <w:rPr>
          <w:rFonts w:ascii="Times New Roman;sans-serif" w:hAnsi="Times New Roman;sans-serif"/>
          <w:b w:val="false"/>
          <w:color w:val="000000"/>
          <w:sz w:val="22"/>
        </w:rPr>
        <w:t>means, as applicable: (i) with respect to the One-Year TSR Amount, the period commencing on the Performance Start Date and ending on the day before the first (1</w:t>
      </w:r>
      <w:r>
        <w:rPr>
          <w:rFonts w:ascii="Times New Roman;sans-serif" w:hAnsi="Times New Roman;sans-serif"/>
          <w:b w:val="false"/>
          <w:color w:val="000000"/>
          <w:sz w:val="14"/>
        </w:rPr>
        <w:t>st</w:t>
      </w:r>
      <w:r>
        <w:rPr>
          <w:rFonts w:ascii="Times New Roman;sans-serif" w:hAnsi="Times New Roman;sans-serif"/>
          <w:b w:val="false"/>
          <w:color w:val="000000"/>
          <w:sz w:val="22"/>
        </w:rPr>
        <w:t>) anniversary of the Performance Start Date (the “</w:t>
      </w:r>
      <w:r>
        <w:rPr>
          <w:rFonts w:ascii="Times New Roman;sans-serif" w:hAnsi="Times New Roman;sans-serif"/>
          <w:b/>
          <w:color w:val="000000"/>
          <w:sz w:val="22"/>
        </w:rPr>
        <w:t>One-Year Performance Period</w:t>
      </w:r>
      <w:r>
        <w:rPr>
          <w:color w:val="000000"/>
        </w:rPr>
        <w:t>”</w:t>
      </w:r>
      <w:r>
        <w:rPr>
          <w:rFonts w:ascii="Times New Roman;sans-serif" w:hAnsi="Times New Roman;sans-serif"/>
          <w:b/>
          <w:color w:val="000000"/>
          <w:sz w:val="22"/>
        </w:rPr>
        <w:t>)</w:t>
      </w:r>
      <w:r>
        <w:rPr>
          <w:rFonts w:ascii="Times New Roman;sans-serif" w:hAnsi="Times New Roman;sans-serif"/>
          <w:b w:val="false"/>
          <w:color w:val="000000"/>
          <w:sz w:val="22"/>
        </w:rPr>
        <w:t>; (ii) with respect to the Two-Year TSR Amount, the period commencing on the Performance Start Date and ending on the day before the second (2</w:t>
      </w:r>
      <w:r>
        <w:rPr>
          <w:rFonts w:ascii="Times New Roman;sans-serif" w:hAnsi="Times New Roman;sans-serif"/>
          <w:b w:val="false"/>
          <w:color w:val="000000"/>
          <w:sz w:val="14"/>
        </w:rPr>
        <w:t>nd</w:t>
      </w:r>
      <w:r>
        <w:rPr>
          <w:rFonts w:ascii="Times New Roman;sans-serif" w:hAnsi="Times New Roman;sans-serif"/>
          <w:b w:val="false"/>
          <w:color w:val="000000"/>
          <w:sz w:val="22"/>
        </w:rPr>
        <w:t>) anniversary of the Performance Start Date (the “</w:t>
      </w:r>
      <w:r>
        <w:rPr>
          <w:rFonts w:ascii="Times New Roman;sans-serif" w:hAnsi="Times New Roman;sans-serif"/>
          <w:b/>
          <w:color w:val="000000"/>
          <w:sz w:val="22"/>
        </w:rPr>
        <w:t>Two-Year Performance Period</w:t>
      </w:r>
      <w:r>
        <w:rPr>
          <w:color w:val="000000"/>
        </w:rPr>
        <w:t>”</w:t>
      </w:r>
      <w:r>
        <w:rPr>
          <w:rFonts w:ascii="Times New Roman;sans-serif" w:hAnsi="Times New Roman;sans-serif"/>
          <w:b/>
          <w:color w:val="000000"/>
          <w:sz w:val="22"/>
        </w:rPr>
        <w:t>)</w:t>
      </w:r>
      <w:r>
        <w:rPr>
          <w:rFonts w:ascii="Times New Roman;sans-serif" w:hAnsi="Times New Roman;sans-serif"/>
          <w:b w:val="false"/>
          <w:color w:val="000000"/>
          <w:sz w:val="22"/>
        </w:rPr>
        <w:t>; or (iii) with respect to the Three-Year TSR Amount, the period commencing on the Performance Start Date and ending on the day before the third (3</w:t>
      </w:r>
      <w:r>
        <w:rPr>
          <w:rFonts w:ascii="Times New Roman;sans-serif" w:hAnsi="Times New Roman;sans-serif"/>
          <w:b w:val="false"/>
          <w:color w:val="000000"/>
          <w:sz w:val="14"/>
        </w:rPr>
        <w:t>rd</w:t>
      </w:r>
      <w:r>
        <w:rPr>
          <w:rFonts w:ascii="Times New Roman;sans-serif" w:hAnsi="Times New Roman;sans-serif"/>
          <w:b w:val="false"/>
          <w:color w:val="000000"/>
          <w:sz w:val="22"/>
        </w:rPr>
        <w:t>) anniversary of the Performance Start Date (the “</w:t>
      </w:r>
      <w:r>
        <w:rPr>
          <w:rFonts w:ascii="Times New Roman;sans-serif" w:hAnsi="Times New Roman;sans-serif"/>
          <w:b/>
          <w:color w:val="000000"/>
          <w:sz w:val="22"/>
        </w:rPr>
        <w:t>Three-Year Performance Period</w:t>
      </w:r>
      <w:r>
        <w:rPr>
          <w:color w:val="000000"/>
        </w:rPr>
        <w:t>”</w:t>
      </w:r>
      <w:r>
        <w:rPr>
          <w:rFonts w:ascii="Times New Roman;sans-serif" w:hAnsi="Times New Roman;sans-serif"/>
          <w:b w:val="false"/>
          <w:color w:val="000000"/>
          <w:sz w:val="22"/>
        </w:rPr>
        <w:t xml:space="preserve">, and such date the </w:t>
      </w:r>
      <w:r>
        <w:rPr>
          <w:color w:val="000000"/>
        </w:rPr>
        <w:t>“</w:t>
      </w:r>
      <w:r>
        <w:rPr>
          <w:rFonts w:ascii="Times New Roman;sans-serif" w:hAnsi="Times New Roman;sans-serif"/>
          <w:b/>
          <w:color w:val="000000"/>
          <w:sz w:val="22"/>
        </w:rPr>
        <w:t>Performance End Date”</w:t>
      </w:r>
      <w:r>
        <w:rPr>
          <w:rFonts w:ascii="Times New Roman;sans-serif" w:hAnsi="Times New Roman;sans-serif"/>
          <w:b w:val="false"/>
          <w:color w:val="000000"/>
          <w:sz w:val="22"/>
        </w:rPr>
        <w:t>). .</w:t>
      </w:r>
    </w:p>
    <w:p>
      <w:pPr>
        <w:pStyle w:val="TextBody"/>
        <w:bidi w:val="0"/>
        <w:spacing w:lineRule="auto" w:line="240" w:before="0" w:after="240"/>
        <w:ind w:left="0" w:right="0" w:hanging="720"/>
        <w:jc w:val="left"/>
        <w:rPr/>
      </w:pPr>
      <w:r>
        <w:rPr>
          <w:color w:val="000000"/>
        </w:rPr>
        <w:t>•“</w:t>
      </w:r>
      <w:r>
        <w:rPr>
          <w:rFonts w:ascii="Times New Roman;sans-serif" w:hAnsi="Times New Roman;sans-serif"/>
          <w:b/>
          <w:color w:val="000000"/>
          <w:sz w:val="22"/>
        </w:rPr>
        <w:t>Beginning Price</w:t>
      </w:r>
      <w:r>
        <w:rPr>
          <w:color w:val="000000"/>
        </w:rPr>
        <w:t xml:space="preserve">” </w:t>
      </w:r>
      <w:r>
        <w:rPr>
          <w:rFonts w:ascii="Times New Roman;sans-serif" w:hAnsi="Times New Roman;sans-serif"/>
          <w:b w:val="false"/>
          <w:color w:val="000000"/>
          <w:sz w:val="22"/>
        </w:rPr>
        <w:t>means, with respect to the Company and any other company in the Russell 2000 Index, the average of the closing market prices of such company’s common stock on the principal exchange on which such stock is traded for the period of twenty (20) consecutive trading days ending with the last trading day immediately prior to the beginning of the applicable Performance Period or, in the case of a company that is not traded on a stock exchange on the first day of the Performance Period, the average of the closing market prices of such company’s common stock on the principal exchange on which such stock is thereafter first admitted to trading for the twenty (20) consecutive trading days commencing with the first day in the Performance Period on which such company’s common stock is so traded. In either case, as to a stock which goes ex-dividend during such 20-day period, the closing market prices as to such stock for the portion of the 20-day period preceding the ex-dividend date shall be equitably adjusted to exclude the amount of the related dividend.</w:t>
      </w:r>
    </w:p>
    <w:p>
      <w:pPr>
        <w:pStyle w:val="TextBody"/>
        <w:bidi w:val="0"/>
        <w:spacing w:before="0" w:after="0"/>
        <w:jc w:val="center"/>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175260"/>
                <wp:effectExtent l="0" t="0" r="0" b="0"/>
                <wp:wrapNone/>
                <wp:docPr id="183" name="Frame1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2"/>
                              </w:rPr>
                              <w:t>-12-</w:t>
                            </w:r>
                            <w:r>
                              <w:rPr>
                                <w:color w:val="000000"/>
                              </w:rPr>
                              <w:t xml:space="preserve">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2"/>
                        </w:rPr>
                        <w:t>-12-</w:t>
                      </w:r>
                      <w:r>
                        <w:rPr>
                          <w:color w:val="000000"/>
                        </w:rPr>
                        <w:t xml:space="preserve"> </w:t>
                      </w:r>
                    </w:p>
                  </w:txbxContent>
                </v:textbox>
                <w10:wrap type="none"/>
              </v:rect>
            </w:pict>
          </mc:Fallback>
        </mc:AlternateContent>
      </w:r>
    </w:p>
    <w:p>
      <w:pPr>
        <w:pStyle w:val="TextBody"/>
        <w:bidi w:val="0"/>
        <w:spacing w:lineRule="auto" w:line="240" w:before="0" w:after="240"/>
        <w:ind w:left="0" w:right="0" w:hanging="720"/>
        <w:jc w:val="left"/>
        <w:rPr/>
      </w:pPr>
      <w:r>
        <w:rPr>
          <w:color w:val="000000"/>
        </w:rPr>
        <w:t>•“</w:t>
      </w:r>
      <w:r>
        <w:rPr>
          <w:rFonts w:ascii="Times New Roman;sans-serif" w:hAnsi="Times New Roman;sans-serif"/>
          <w:b/>
          <w:color w:val="000000"/>
          <w:sz w:val="22"/>
        </w:rPr>
        <w:t>Ending Price</w:t>
      </w:r>
      <w:r>
        <w:rPr>
          <w:color w:val="000000"/>
        </w:rPr>
        <w:t xml:space="preserve">” </w:t>
      </w:r>
      <w:r>
        <w:rPr>
          <w:rFonts w:ascii="Times New Roman;sans-serif" w:hAnsi="Times New Roman;sans-serif"/>
          <w:b w:val="false"/>
          <w:color w:val="000000"/>
          <w:sz w:val="22"/>
        </w:rPr>
        <w:t>means, with respect to the Company and any other company in the Russell 2000 Index, the average of the closing market prices of such company’s common stock on the principal exchange on which such stock is traded for the twenty (20) consecutive trading days ending with the last day of the applicable Performance Period. As to a stock which goes ex-dividend during such 20-day period, the closing market prices as to such stock for the portion of the 20-day period preceding the ex-dividend date shall be equitably adjusted to exclude the amount of the related dividend.</w:t>
      </w:r>
    </w:p>
    <w:p>
      <w:pPr>
        <w:pStyle w:val="TextBody"/>
        <w:bidi w:val="0"/>
        <w:spacing w:lineRule="auto" w:line="240" w:before="0" w:after="240"/>
        <w:ind w:left="0" w:right="0" w:hanging="720"/>
        <w:jc w:val="left"/>
        <w:rPr/>
      </w:pPr>
      <w:r>
        <w:rPr>
          <w:color w:val="000000"/>
        </w:rPr>
        <w:t>•“</w:t>
      </w:r>
      <w:r>
        <w:rPr>
          <w:rFonts w:ascii="Times New Roman;sans-serif" w:hAnsi="Times New Roman;sans-serif"/>
          <w:b/>
          <w:color w:val="000000"/>
          <w:sz w:val="22"/>
        </w:rPr>
        <w:t>Relative TSR Ranking</w:t>
      </w:r>
      <w:r>
        <w:rPr>
          <w:color w:val="000000"/>
        </w:rPr>
        <w:t xml:space="preserve">” </w:t>
      </w:r>
      <w:r>
        <w:rPr>
          <w:rFonts w:ascii="Times New Roman;sans-serif" w:hAnsi="Times New Roman;sans-serif"/>
          <w:b w:val="false"/>
          <w:color w:val="000000"/>
          <w:sz w:val="22"/>
        </w:rPr>
        <w:t>means the percentile ranking of the Company’s TSR among the TSRs for the Russell 2000 Index Companies for the applicable Performance Period. For purposes of clarity, the Company’s TSR shall be ranked against the TSRs for such companies regardless of whether the Company is a member of the Russell 2000 Index throughout the Performance Period.</w:t>
      </w:r>
    </w:p>
    <w:p>
      <w:pPr>
        <w:pStyle w:val="TextBody"/>
        <w:bidi w:val="0"/>
        <w:spacing w:lineRule="auto" w:line="240" w:before="0" w:after="240"/>
        <w:ind w:left="0" w:right="0" w:hanging="720"/>
        <w:jc w:val="left"/>
        <w:rPr/>
      </w:pPr>
      <w:r>
        <w:rPr>
          <w:color w:val="000000"/>
        </w:rPr>
        <w:t>•“</w:t>
      </w:r>
      <w:r>
        <w:rPr>
          <w:rFonts w:ascii="Times New Roman;sans-serif" w:hAnsi="Times New Roman;sans-serif"/>
          <w:b/>
          <w:color w:val="000000"/>
          <w:sz w:val="22"/>
        </w:rPr>
        <w:t>Russell 2000 Index Companies</w:t>
      </w:r>
      <w:r>
        <w:rPr>
          <w:color w:val="000000"/>
        </w:rPr>
        <w:t xml:space="preserve">” </w:t>
      </w:r>
      <w:r>
        <w:rPr>
          <w:rFonts w:ascii="Times New Roman;sans-serif" w:hAnsi="Times New Roman;sans-serif"/>
          <w:b w:val="false"/>
          <w:color w:val="000000"/>
          <w:sz w:val="22"/>
        </w:rPr>
        <w:t xml:space="preserve">means each company that is (a) in the Russell 2000 Index on the first day of the applicable Performance Period and continues trading throughout the entire Performance Period or (b) in the Russell 2000 Index on the first day of the Performance Period and ceases to be in the Russell 2000 Index (or its successor) during the Performance Period due to its bankruptcy or insolvency, provided that the TSR for any company described in this clause (b) shall be deemed for purposes of determining the Company’s Relative TSR Ranking to be equal to the lowest TSR for any company that is in the Russell 2000 Index (or its successor) for the entire Performance Period. </w:t>
      </w:r>
    </w:p>
    <w:p>
      <w:pPr>
        <w:pStyle w:val="TextBody"/>
        <w:bidi w:val="0"/>
        <w:spacing w:lineRule="auto" w:line="240" w:before="0" w:after="240"/>
        <w:ind w:left="0" w:right="0" w:hanging="720"/>
        <w:jc w:val="left"/>
        <w:rPr/>
      </w:pPr>
      <w:r>
        <w:rPr>
          <w:color w:val="000000"/>
        </w:rPr>
        <w:t>•</w:t>
      </w:r>
      <w:r>
        <w:rPr>
          <w:rFonts w:ascii="Times New Roman;sans-serif" w:hAnsi="Times New Roman;sans-serif"/>
          <w:b/>
          <w:color w:val="000000"/>
          <w:sz w:val="22"/>
        </w:rPr>
        <w:t>Vesting Percentage</w:t>
      </w:r>
      <w:r>
        <w:rPr>
          <w:color w:val="000000"/>
        </w:rPr>
        <w:t xml:space="preserve"> </w:t>
      </w:r>
      <w:r>
        <w:rPr>
          <w:rFonts w:ascii="Times New Roman;sans-serif" w:hAnsi="Times New Roman;sans-serif"/>
          <w:b w:val="false"/>
          <w:color w:val="000000"/>
          <w:sz w:val="22"/>
        </w:rPr>
        <w:t>means the percentage set forth in the chart below based on the Company’s Relative TSR Ranking for the applicable Performance Period; provided, however, that in no event shall the Vesting Percentage exceed one hundred fifty percent (150%):</w:t>
      </w:r>
    </w:p>
    <w:p>
      <w:pPr>
        <w:pStyle w:val="TextBody"/>
        <w:bidi w:val="0"/>
        <w:spacing w:before="0" w:after="0"/>
        <w:jc w:val="left"/>
        <w:rPr/>
      </w:pPr>
      <w:r>
        <w:rPr/>
      </w:r>
    </w:p>
    <w:tbl>
      <w:tblPr>
        <w:tblW w:w="7020" w:type="dxa"/>
        <w:jc w:val="left"/>
        <w:tblInd w:w="0" w:type="dxa"/>
        <w:tblLayout w:type="fixed"/>
        <w:tblCellMar>
          <w:top w:w="28" w:type="dxa"/>
          <w:left w:w="28" w:type="dxa"/>
          <w:bottom w:w="28" w:type="dxa"/>
          <w:right w:w="28" w:type="dxa"/>
        </w:tblCellMar>
      </w:tblPr>
      <w:tblGrid>
        <w:gridCol w:w="835"/>
        <w:gridCol w:w="735"/>
        <w:gridCol w:w="740"/>
        <w:gridCol w:w="1380"/>
        <w:gridCol w:w="1380"/>
        <w:gridCol w:w="1950"/>
      </w:tblGrid>
      <w:tr>
        <w:trPr/>
        <w:tc>
          <w:tcPr>
            <w:tcW w:w="83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950"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Relative TSR Ranking</w:t>
            </w:r>
          </w:p>
        </w:tc>
        <w:tc>
          <w:tcPr>
            <w:tcW w:w="47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Vesting Percentage of Target Number of PSUs</w:t>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2"/>
              </w:rPr>
              <w:t>80</w:t>
            </w:r>
            <w:r>
              <w:rPr>
                <w:rFonts w:ascii="Times New Roman;sans-serif" w:hAnsi="Times New Roman;sans-serif"/>
                <w:b w:val="false"/>
                <w:color w:val="000000"/>
                <w:sz w:val="14"/>
              </w:rPr>
              <w:t>th</w:t>
            </w:r>
            <w:r>
              <w:rPr>
                <w:color w:val="000000"/>
              </w:rPr>
              <w:t xml:space="preserve"> </w:t>
            </w:r>
            <w:r>
              <w:rPr>
                <w:rFonts w:ascii="Times New Roman;sans-serif" w:hAnsi="Times New Roman;sans-serif"/>
                <w:b w:val="false"/>
                <w:color w:val="000000"/>
                <w:sz w:val="22"/>
              </w:rPr>
              <w:t>or higher</w:t>
            </w:r>
          </w:p>
        </w:tc>
        <w:tc>
          <w:tcPr>
            <w:tcW w:w="47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150%</w:t>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2"/>
              </w:rPr>
              <w:t>55</w:t>
            </w:r>
            <w:r>
              <w:rPr>
                <w:rFonts w:ascii="Times New Roman;sans-serif" w:hAnsi="Times New Roman;sans-serif"/>
                <w:b w:val="false"/>
                <w:color w:val="000000"/>
                <w:sz w:val="14"/>
              </w:rPr>
              <w:t>th</w:t>
            </w:r>
          </w:p>
        </w:tc>
        <w:tc>
          <w:tcPr>
            <w:tcW w:w="47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100%</w:t>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2"/>
              </w:rPr>
              <w:t>20</w:t>
            </w:r>
            <w:r>
              <w:rPr>
                <w:rFonts w:ascii="Times New Roman;sans-serif" w:hAnsi="Times New Roman;sans-serif"/>
                <w:b w:val="false"/>
                <w:color w:val="000000"/>
                <w:sz w:val="14"/>
              </w:rPr>
              <w:t>th</w:t>
            </w:r>
          </w:p>
        </w:tc>
        <w:tc>
          <w:tcPr>
            <w:tcW w:w="47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25%</w:t>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2"/>
              </w:rPr>
              <w:t>Below 20</w:t>
            </w:r>
            <w:r>
              <w:rPr>
                <w:rFonts w:ascii="Times New Roman;sans-serif" w:hAnsi="Times New Roman;sans-serif"/>
                <w:b w:val="false"/>
                <w:color w:val="000000"/>
                <w:sz w:val="14"/>
              </w:rPr>
              <w:t>th</w:t>
            </w:r>
          </w:p>
        </w:tc>
        <w:tc>
          <w:tcPr>
            <w:tcW w:w="47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0%</w:t>
            </w:r>
          </w:p>
        </w:tc>
      </w:tr>
    </w:tbl>
    <w:p>
      <w:pPr>
        <w:pStyle w:val="TextBody"/>
        <w:bidi w:val="0"/>
        <w:spacing w:before="0" w:after="240"/>
        <w:jc w:val="left"/>
        <w:rPr/>
      </w:pPr>
      <w:r>
        <w:rPr/>
      </w:r>
    </w:p>
    <w:p>
      <w:pPr>
        <w:pStyle w:val="TextBody"/>
        <w:bidi w:val="0"/>
        <w:spacing w:lineRule="auto" w:line="240"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 Vesting Percentage will be interpolated on a linear basis between the levels stated in the chart above. For example, if the Relative TSR Ranking for the Performance Period were the 65th percentile, the Vesting Percentage would be 120%. Notwithstanding the foregoing, in the event the Company’s TSR for the Performance Period is a negative number, the Vesting Percentage shall not exceed one hundred percent (100%). </w:t>
      </w:r>
    </w:p>
    <w:p>
      <w:pPr>
        <w:pStyle w:val="TextBody"/>
        <w:bidi w:val="0"/>
        <w:spacing w:lineRule="auto" w:line="240" w:before="0" w:after="240"/>
        <w:ind w:left="0" w:right="0" w:hanging="720"/>
        <w:jc w:val="left"/>
        <w:rPr/>
      </w:pPr>
      <w:r>
        <w:rPr>
          <w:color w:val="000000"/>
        </w:rPr>
        <w:t>•“</w:t>
      </w:r>
      <w:r>
        <w:rPr>
          <w:rFonts w:ascii="Times New Roman;sans-serif" w:hAnsi="Times New Roman;sans-serif"/>
          <w:b/>
          <w:color w:val="000000"/>
          <w:sz w:val="22"/>
        </w:rPr>
        <w:t>Over-Achieved PSUs</w:t>
      </w:r>
      <w:r>
        <w:rPr>
          <w:color w:val="000000"/>
        </w:rPr>
        <w:t xml:space="preserve">” </w:t>
      </w:r>
      <w:r>
        <w:rPr>
          <w:rFonts w:ascii="Times New Roman;sans-serif" w:hAnsi="Times New Roman;sans-serif"/>
          <w:b w:val="false"/>
          <w:color w:val="000000"/>
          <w:sz w:val="22"/>
        </w:rPr>
        <w:t xml:space="preserve">means (i) in the case of the One-Year Performance Period, (x) the One-Year TSR Amount </w:t>
      </w:r>
      <w:r>
        <w:rPr>
          <w:rFonts w:ascii="Times New Roman;sans-serif" w:hAnsi="Times New Roman;sans-serif"/>
          <w:b w:val="false"/>
          <w:i/>
          <w:color w:val="000000"/>
          <w:sz w:val="22"/>
        </w:rPr>
        <w:t xml:space="preserve">minus </w:t>
      </w:r>
      <w:r>
        <w:rPr>
          <w:rFonts w:ascii="Times New Roman;sans-serif" w:hAnsi="Times New Roman;sans-serif"/>
          <w:b w:val="false"/>
          <w:color w:val="000000"/>
          <w:sz w:val="22"/>
        </w:rPr>
        <w:t xml:space="preserve">the Target Number of PSUs (y) </w:t>
      </w:r>
      <w:r>
        <w:rPr>
          <w:rFonts w:ascii="Times New Roman;sans-serif" w:hAnsi="Times New Roman;sans-serif"/>
          <w:b w:val="false"/>
          <w:i/>
          <w:color w:val="000000"/>
          <w:sz w:val="22"/>
        </w:rPr>
        <w:t xml:space="preserve">multiplied by </w:t>
      </w:r>
      <w:r>
        <w:rPr>
          <w:rFonts w:ascii="Times New Roman;sans-serif" w:hAnsi="Times New Roman;sans-serif"/>
          <w:b w:val="false"/>
          <w:color w:val="000000"/>
          <w:sz w:val="22"/>
        </w:rPr>
        <w:t xml:space="preserve">25%; or (ii) in the case of the Two-Year Performance Period, (x) the Two-Year TSR Amount </w:t>
      </w:r>
      <w:r>
        <w:rPr>
          <w:rFonts w:ascii="Times New Roman;sans-serif" w:hAnsi="Times New Roman;sans-serif"/>
          <w:b w:val="false"/>
          <w:i/>
          <w:color w:val="000000"/>
          <w:sz w:val="22"/>
        </w:rPr>
        <w:t xml:space="preserve">minus </w:t>
      </w:r>
      <w:r>
        <w:rPr>
          <w:rFonts w:ascii="Times New Roman;sans-serif" w:hAnsi="Times New Roman;sans-serif"/>
          <w:b w:val="false"/>
          <w:color w:val="000000"/>
          <w:sz w:val="22"/>
        </w:rPr>
        <w:t xml:space="preserve">the Target Number of PSUs (y) </w:t>
      </w:r>
      <w:r>
        <w:rPr>
          <w:rFonts w:ascii="Times New Roman;sans-serif" w:hAnsi="Times New Roman;sans-serif"/>
          <w:b w:val="false"/>
          <w:i/>
          <w:color w:val="000000"/>
          <w:sz w:val="22"/>
        </w:rPr>
        <w:t>multiplied by</w:t>
      </w:r>
      <w:r>
        <w:rPr>
          <w:color w:val="000000"/>
        </w:rPr>
        <w:t xml:space="preserve"> </w:t>
      </w:r>
      <w:r>
        <w:rPr>
          <w:rFonts w:ascii="Times New Roman;sans-serif" w:hAnsi="Times New Roman;sans-serif"/>
          <w:b w:val="false"/>
          <w:color w:val="000000"/>
          <w:sz w:val="22"/>
        </w:rPr>
        <w:t xml:space="preserve">25%; in each case, provided, in each case, that such calculation would result in a positive number. For example, if the Target Number of PSUs subject to this award were 100 shares, and the Relative TSR Ranking for the One-Year Performance Period were the 65th percentile (120% Vesting Percentage), the number of excess shares would be calculated as follows: (x) One-Year </w:t>
      </w:r>
    </w:p>
    <w:p>
      <w:pPr>
        <w:pStyle w:val="TextBody"/>
        <w:bidi w:val="0"/>
        <w:spacing w:before="0" w:after="0"/>
        <w:jc w:val="center"/>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175260"/>
                <wp:effectExtent l="0" t="0" r="0" b="0"/>
                <wp:wrapNone/>
                <wp:docPr id="184" name="Frame1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2"/>
                              </w:rPr>
                              <w:t>-13-</w:t>
                            </w:r>
                            <w:r>
                              <w:rPr>
                                <w:color w:val="000000"/>
                              </w:rPr>
                              <w:t xml:space="preserve">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2"/>
                        </w:rPr>
                        <w:t>-13-</w:t>
                      </w:r>
                      <w:r>
                        <w:rPr>
                          <w:color w:val="000000"/>
                        </w:rPr>
                        <w:t xml:space="preserve"> </w:t>
                      </w:r>
                    </w:p>
                  </w:txbxContent>
                </v:textbox>
                <w10:wrap type="none"/>
              </v:rect>
            </w:pict>
          </mc:Fallback>
        </mc:AlternateContent>
      </w:r>
    </w:p>
    <w:p>
      <w:pPr>
        <w:pStyle w:val="TextBody"/>
        <w:bidi w:val="0"/>
        <w:spacing w:lineRule="auto" w:line="240" w:before="0" w:after="240"/>
        <w:jc w:val="left"/>
        <w:rPr/>
      </w:pPr>
      <w:r>
        <w:rPr>
          <w:rFonts w:ascii="Times New Roman;sans-serif" w:hAnsi="Times New Roman;sans-serif"/>
          <w:b w:val="false"/>
          <w:color w:val="000000"/>
          <w:sz w:val="22"/>
        </w:rPr>
        <w:t xml:space="preserve">TSR Amount (100*120%= 120) </w:t>
      </w:r>
      <w:r>
        <w:rPr>
          <w:rFonts w:ascii="Times New Roman;sans-serif" w:hAnsi="Times New Roman;sans-serif"/>
          <w:b w:val="false"/>
          <w:i/>
          <w:color w:val="000000"/>
          <w:sz w:val="22"/>
        </w:rPr>
        <w:t xml:space="preserve">minus </w:t>
      </w:r>
      <w:r>
        <w:rPr>
          <w:rFonts w:ascii="Times New Roman;sans-serif" w:hAnsi="Times New Roman;sans-serif"/>
          <w:b w:val="false"/>
          <w:color w:val="000000"/>
          <w:sz w:val="22"/>
        </w:rPr>
        <w:t xml:space="preserve">Target Number of PSUs (100) = 20 (y) </w:t>
      </w:r>
      <w:r>
        <w:rPr>
          <w:rFonts w:ascii="Times New Roman;sans-serif" w:hAnsi="Times New Roman;sans-serif"/>
          <w:b w:val="false"/>
          <w:i/>
          <w:color w:val="000000"/>
          <w:sz w:val="22"/>
        </w:rPr>
        <w:t xml:space="preserve">multiplied by </w:t>
      </w:r>
      <w:r>
        <w:rPr>
          <w:rFonts w:ascii="Times New Roman;sans-serif" w:hAnsi="Times New Roman;sans-serif"/>
          <w:b w:val="false"/>
          <w:color w:val="000000"/>
          <w:sz w:val="22"/>
        </w:rPr>
        <w:t xml:space="preserve">25% = 5. </w:t>
      </w:r>
    </w:p>
    <w:p>
      <w:pPr>
        <w:pStyle w:val="TextBody"/>
        <w:bidi w:val="0"/>
        <w:spacing w:lineRule="auto" w:line="240" w:before="0" w:after="240"/>
        <w:jc w:val="left"/>
        <w:rPr/>
      </w:pPr>
      <w:r>
        <w:rPr>
          <w:rFonts w:ascii="Times New Roman;sans-serif" w:hAnsi="Times New Roman;sans-serif"/>
          <w:b w:val="false"/>
          <w:color w:val="000000"/>
          <w:sz w:val="22"/>
          <w:u w:val="single"/>
        </w:rPr>
        <w:t>Failure to meet Performance Requirements</w:t>
      </w:r>
      <w:r>
        <w:rPr>
          <w:rFonts w:ascii="Times New Roman;sans-serif" w:hAnsi="Times New Roman;sans-serif"/>
          <w:b w:val="false"/>
          <w:color w:val="000000"/>
          <w:sz w:val="22"/>
        </w:rPr>
        <w:t xml:space="preserve">. Any PSUs that do not vest based on the performance requirements set forth in this </w:t>
      </w:r>
      <w:r>
        <w:rPr>
          <w:rFonts w:ascii="Times New Roman;sans-serif" w:hAnsi="Times New Roman;sans-serif"/>
          <w:b w:val="false"/>
          <w:color w:val="000000"/>
          <w:sz w:val="22"/>
          <w:u w:val="single"/>
        </w:rPr>
        <w:t>Exhibit A</w:t>
      </w:r>
      <w:r>
        <w:rPr>
          <w:color w:val="000000"/>
        </w:rPr>
        <w:t xml:space="preserve"> </w:t>
      </w:r>
      <w:r>
        <w:rPr>
          <w:rFonts w:ascii="Times New Roman;sans-serif" w:hAnsi="Times New Roman;sans-serif"/>
          <w:b w:val="false"/>
          <w:color w:val="000000"/>
          <w:sz w:val="22"/>
        </w:rPr>
        <w:t xml:space="preserve">(and which have not previously terminated pursuant to the terms of this Notice) will automatically terminate as of the last day of the Three-Year Performance Period. The number of PSUs that are eligible to vest based on performance as provided in this </w:t>
      </w:r>
      <w:r>
        <w:rPr>
          <w:rFonts w:ascii="Times New Roman;sans-serif" w:hAnsi="Times New Roman;sans-serif"/>
          <w:b w:val="false"/>
          <w:color w:val="000000"/>
          <w:sz w:val="22"/>
          <w:u w:val="single"/>
        </w:rPr>
        <w:t>Exhibit A</w:t>
      </w:r>
      <w:r>
        <w:rPr>
          <w:color w:val="000000"/>
        </w:rPr>
        <w:t xml:space="preserve"> </w:t>
      </w:r>
      <w:r>
        <w:rPr>
          <w:rFonts w:ascii="Times New Roman;sans-serif" w:hAnsi="Times New Roman;sans-serif"/>
          <w:b w:val="false"/>
          <w:color w:val="000000"/>
          <w:sz w:val="22"/>
        </w:rPr>
        <w:t>will be determined by the Board or its Committee following the end of the Performance Period. Any such determination by the Board or Committee shall be final and binding.</w:t>
      </w:r>
    </w:p>
    <w:p>
      <w:pPr>
        <w:pStyle w:val="TextBody"/>
        <w:bidi w:val="0"/>
        <w:spacing w:lineRule="auto" w:line="240" w:before="0" w:after="0"/>
        <w:jc w:val="left"/>
        <w:rPr/>
      </w:pPr>
      <w:r>
        <w:rPr>
          <w:rFonts w:ascii="Times New Roman;sans-serif" w:hAnsi="Times New Roman;sans-serif"/>
          <w:b w:val="false"/>
          <w:color w:val="000000"/>
          <w:sz w:val="22"/>
          <w:u w:val="single"/>
        </w:rPr>
        <w:t>Effect of a Sale Transaction</w:t>
      </w:r>
      <w:r>
        <w:rPr>
          <w:rFonts w:ascii="Times New Roman;sans-serif" w:hAnsi="Times New Roman;sans-serif"/>
          <w:b w:val="false"/>
          <w:color w:val="000000"/>
          <w:sz w:val="22"/>
        </w:rPr>
        <w:t xml:space="preserve">. In the event a Sale Transaction is consummated prior to the Performance End Date, the number of PSUs earned will be based on the Vesting Percentage measured during the Performance Period commencing on the Performance Start Date and ending on the closing date of the Sale Transaction. The Ending Price used for determining the Company’s TSR shall equal the transaction price per share of the Common Stock paid in connection with the Sale Transaction. The Ending Price for the purpose of determining the TSRs for the companies in the Russell 2000 Index shall be determined as otherwise provided above but measured based on the average of the closing market prices of such companies’ shares on the principal exchange on which such shares are traded for the period of twenty (20) consecutive trading days ending with the last trading day immediately prior to the date of the closing of such Sale Transaction. </w:t>
      </w:r>
    </w:p>
    <w:p>
      <w:pPr>
        <w:pStyle w:val="TextBody"/>
        <w:bidi w:val="0"/>
        <w:spacing w:before="0" w:after="0"/>
        <w:jc w:val="left"/>
        <w:rPr/>
      </w:pPr>
      <w:r>
        <w:rPr/>
      </w:r>
    </w:p>
    <w:p>
      <w:pPr>
        <w:pStyle w:val="TextBody"/>
        <w:bidi w:val="0"/>
        <w:spacing w:lineRule="auto" w:line="240" w:before="0" w:after="240"/>
        <w:jc w:val="both"/>
        <w:rPr/>
      </w:pPr>
      <w:r>
        <w:rPr>
          <w:rFonts w:ascii="Times New Roman;sans-serif" w:hAnsi="Times New Roman;sans-serif"/>
          <w:b w:val="false"/>
          <w:color w:val="000000"/>
          <w:sz w:val="22"/>
          <w:u w:val="single"/>
        </w:rPr>
        <w:t>Adjustment</w:t>
      </w:r>
      <w:r>
        <w:rPr>
          <w:rFonts w:ascii="Times New Roman;sans-serif" w:hAnsi="Times New Roman;sans-serif"/>
          <w:b w:val="false"/>
          <w:color w:val="000000"/>
          <w:sz w:val="22"/>
        </w:rPr>
        <w:t>. With respect to the computation of TSR, Beginning Price, and Ending Price, there shall also be an equitable and proportionate adjustment to the extent (if any) necessary to preserve the intended incentives of the awards and mitigate the impact of any stock split, stock dividend or reverse stock split occurring during the Performance Period.</w:t>
      </w:r>
    </w:p>
    <w:p>
      <w:pPr>
        <w:pStyle w:val="TextBody"/>
        <w:bidi w:val="0"/>
        <w:spacing w:lineRule="auto" w:line="240" w:before="0" w:after="240"/>
        <w:jc w:val="left"/>
        <w:rPr/>
      </w:pPr>
      <w:r>
        <w:rPr>
          <w:rFonts w:ascii="Times New Roman;sans-serif" w:hAnsi="Times New Roman;sans-serif"/>
          <w:b w:val="false"/>
          <w:color w:val="000000"/>
          <w:sz w:val="22"/>
          <w:u w:val="single"/>
        </w:rPr>
        <w:t>Determination</w:t>
      </w:r>
      <w:r>
        <w:rPr>
          <w:rFonts w:ascii="Times New Roman;sans-serif" w:hAnsi="Times New Roman;sans-serif"/>
          <w:b w:val="false"/>
          <w:color w:val="000000"/>
          <w:sz w:val="22"/>
        </w:rPr>
        <w:t xml:space="preserve">. The determination of the Board or its Committee as to the Company’s Relative TSR Ranking for the Performance Period shall be final and binding. </w:t>
      </w:r>
    </w:p>
    <w:p>
      <w:pPr>
        <w:pStyle w:val="TextBody"/>
        <w:bidi w:val="0"/>
        <w:spacing w:before="0" w:after="0"/>
        <w:jc w:val="center"/>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175260"/>
                <wp:effectExtent l="0" t="0" r="0" b="0"/>
                <wp:wrapNone/>
                <wp:docPr id="185" name="Frame1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2"/>
                              </w:rPr>
                              <w:t>-14-</w:t>
                            </w:r>
                            <w:r>
                              <w:rPr>
                                <w:color w:val="000000"/>
                              </w:rPr>
                              <w:t xml:space="preserve">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2"/>
                        </w:rPr>
                        <w:t>-14-</w:t>
                      </w:r>
                      <w:r>
                        <w:rPr>
                          <w:color w:val="000000"/>
                        </w:rPr>
                        <w:t xml:space="preserve"> </w:t>
                      </w:r>
                    </w:p>
                  </w:txbxContent>
                </v:textbox>
                <w10:wrap type="none"/>
              </v:rect>
            </w:pict>
          </mc:Fallback>
        </mc:AlternateContent>
      </w:r>
    </w:p>
    <w:p>
      <w:pPr>
        <w:pStyle w:val="TextBody"/>
        <w:bidi w:val="0"/>
        <w:spacing w:lineRule="auto" w:line="240" w:before="0" w:after="0"/>
        <w:jc w:val="center"/>
        <w:rPr>
          <w:rFonts w:ascii="Times New Roman;sans-serif" w:hAnsi="Times New Roman;sans-serif"/>
          <w:b/>
          <w:color w:val="000000"/>
          <w:sz w:val="22"/>
          <w:u w:val="single"/>
        </w:rPr>
      </w:pPr>
      <w:r>
        <w:rPr>
          <w:rFonts w:ascii="Times New Roman;sans-serif" w:hAnsi="Times New Roman;sans-serif"/>
          <w:b/>
          <w:color w:val="000000"/>
          <w:sz w:val="22"/>
          <w:u w:val="single"/>
        </w:rPr>
        <w:t>APPENDIX A</w:t>
      </w:r>
    </w:p>
    <w:p>
      <w:pPr>
        <w:pStyle w:val="TextBody"/>
        <w:bidi w:val="0"/>
        <w:spacing w:before="0" w:after="0"/>
        <w:jc w:val="center"/>
        <w:rPr/>
      </w:pPr>
      <w:r>
        <w:rPr/>
      </w:r>
    </w:p>
    <w:p>
      <w:pPr>
        <w:pStyle w:val="TextBody"/>
        <w:bidi w:val="0"/>
        <w:spacing w:lineRule="auto" w:line="240" w:before="120" w:after="283"/>
        <w:jc w:val="center"/>
        <w:rPr>
          <w:rFonts w:ascii="Times New Roman;sans-serif" w:hAnsi="Times New Roman;sans-serif"/>
          <w:b/>
          <w:color w:val="000000"/>
          <w:sz w:val="22"/>
        </w:rPr>
      </w:pPr>
      <w:r>
        <w:rPr>
          <w:rFonts w:ascii="Times New Roman;sans-serif" w:hAnsi="Times New Roman;sans-serif"/>
          <w:b/>
          <w:color w:val="000000"/>
          <w:sz w:val="22"/>
        </w:rPr>
        <w:t xml:space="preserve">ADDITIONAL TERMS AND CONDITIONS OF PERFORMANCE STOCK UNIT GRANT </w:t>
        <w:br/>
        <w:t>FOR NON-U.S. EMPLOYEES</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1.</w:t>
      </w:r>
      <w:r>
        <w:rPr>
          <w:color w:val="000000"/>
        </w:rPr>
        <w:t>    </w:t>
      </w:r>
      <w:r>
        <w:rPr>
          <w:rFonts w:ascii="Times New Roman;sans-serif" w:hAnsi="Times New Roman;sans-serif"/>
          <w:b w:val="false"/>
          <w:color w:val="000000"/>
          <w:sz w:val="22"/>
          <w:u w:val="single"/>
        </w:rPr>
        <w:t>Terms of Plan Participation for Non-U.S. Participants</w:t>
      </w:r>
      <w:r>
        <w:rPr>
          <w:rFonts w:ascii="Times New Roman;sans-serif" w:hAnsi="Times New Roman;sans-serif"/>
          <w:b w:val="false"/>
          <w:color w:val="000000"/>
          <w:sz w:val="22"/>
        </w:rPr>
        <w:t xml:space="preserve">. Participant understands that this Appendix A contains additional terms and conditions that, together with the Plan and the Notice, govern Participant’s participation in the Plan if Participant is working or resident in a country other than the United States. Participant further understands that Participant’s participation in the Plan also will be subject to any terms and conditions for Participant’s country set forth in Appendix B attached hereto. </w:t>
      </w:r>
      <w:r>
        <w:rPr>
          <w:rFonts w:ascii="Times New Roman;sans-serif" w:hAnsi="Times New Roman;sans-serif"/>
          <w:b w:val="false"/>
          <w:i/>
          <w:color w:val="000000"/>
          <w:sz w:val="22"/>
        </w:rPr>
        <w:t xml:space="preserve">Capitalized terms used but not defined in this Appendix A shall have the same meanings assigned to them in the Plan and/or Notice.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2.</w:t>
      </w:r>
      <w:r>
        <w:rPr>
          <w:color w:val="000000"/>
        </w:rPr>
        <w:t>    </w:t>
      </w:r>
      <w:r>
        <w:rPr>
          <w:rFonts w:ascii="Times New Roman;sans-serif" w:hAnsi="Times New Roman;sans-serif"/>
          <w:b w:val="false"/>
          <w:color w:val="000000"/>
          <w:sz w:val="22"/>
          <w:u w:val="single"/>
        </w:rPr>
        <w:t>Tax Consequences, Withholding, and Liability</w:t>
      </w:r>
      <w:r>
        <w:rPr>
          <w:rFonts w:ascii="Times New Roman;sans-serif" w:hAnsi="Times New Roman;sans-serif"/>
          <w:b w:val="false"/>
          <w:color w:val="000000"/>
          <w:sz w:val="22"/>
        </w:rPr>
        <w:t xml:space="preserve">. The following provision supplements </w:t>
      </w:r>
      <w:r>
        <w:rPr>
          <w:rFonts w:ascii="Times New Roman;sans-serif" w:hAnsi="Times New Roman;sans-serif"/>
          <w:b w:val="false"/>
          <w:color w:val="000000"/>
          <w:sz w:val="22"/>
          <w:u w:val="single"/>
        </w:rPr>
        <w:t>Section 3</w:t>
      </w:r>
      <w:r>
        <w:rPr>
          <w:color w:val="000000"/>
        </w:rPr>
        <w:t xml:space="preserve"> </w:t>
      </w:r>
      <w:r>
        <w:rPr>
          <w:rFonts w:ascii="Times New Roman;sans-serif" w:hAnsi="Times New Roman;sans-serif"/>
          <w:b w:val="false"/>
          <w:color w:val="000000"/>
          <w:sz w:val="22"/>
        </w:rPr>
        <w:t>of the Notice:</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By accepting (through performance) the PSUs and any Shares, Participant authorizes the Company and/or the Subsidiary or Affiliate employing or retaining Participant (the “</w:t>
      </w:r>
      <w:r>
        <w:rPr>
          <w:rFonts w:ascii="Times New Roman;sans-serif" w:hAnsi="Times New Roman;sans-serif"/>
          <w:b/>
          <w:color w:val="000000"/>
          <w:sz w:val="22"/>
        </w:rPr>
        <w:t>Employer</w:t>
      </w:r>
      <w:r>
        <w:rPr>
          <w:color w:val="000000"/>
        </w:rPr>
        <w:t>”</w:t>
      </w:r>
      <w:r>
        <w:rPr>
          <w:rFonts w:ascii="Times New Roman;sans-serif" w:hAnsi="Times New Roman;sans-serif"/>
          <w:b w:val="false"/>
          <w:color w:val="000000"/>
          <w:sz w:val="22"/>
        </w:rPr>
        <w:t>), or their respective agents, at the Company’s discretion, to satisfy the obligations with regard to all Tax Obligations by one or a combination of the methods set forth in Section 9(h) of the Plan. If Participant is or becomes subject to Tax Obligations in more than one jurisdiction, Participant acknowledges that the Company</w:t>
      </w:r>
      <w:r>
        <w:rPr>
          <w:color w:val="000000"/>
        </w:rPr>
        <w:t xml:space="preserve"> </w:t>
      </w:r>
      <w:r>
        <w:rPr>
          <w:rFonts w:ascii="Times New Roman;sans-serif" w:hAnsi="Times New Roman;sans-serif"/>
          <w:b w:val="false"/>
          <w:color w:val="000000"/>
          <w:sz w:val="22"/>
        </w:rPr>
        <w:t>and/or the Employer (or former employer, as applicable) may be required to withhold or account for Tax Obligations in more than one jurisdiction.</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If the Tax Obligations are satisfied by withholding in Shares, for tax purposes, Participant is deemed to have been issued the full number of Shares subject to the vested PSUs, notwithstanding that a number of the Shares are held back solely for the purpose of paying the Tax Obligations.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3.</w:t>
      </w:r>
      <w:r>
        <w:rPr>
          <w:color w:val="000000"/>
        </w:rPr>
        <w:t>    </w:t>
      </w:r>
      <w:r>
        <w:rPr>
          <w:rFonts w:ascii="Times New Roman;sans-serif" w:hAnsi="Times New Roman;sans-serif"/>
          <w:b w:val="false"/>
          <w:color w:val="000000"/>
          <w:sz w:val="22"/>
          <w:u w:val="single"/>
        </w:rPr>
        <w:t>Nature of Grant</w:t>
      </w:r>
      <w:r>
        <w:rPr>
          <w:rFonts w:ascii="Times New Roman;sans-serif" w:hAnsi="Times New Roman;sans-serif"/>
          <w:b w:val="false"/>
          <w:color w:val="000000"/>
          <w:sz w:val="22"/>
        </w:rPr>
        <w:t xml:space="preserve">. By accepting (through performance) the PSUs and any Shares, Participant acknowledges, understands and agrees that: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 xml:space="preserve">the grant of the PSUs is voluntary and occasional and does not create any contractual or other right to receive future grants of PSUs, or benefits in lieu of PSUs, even if PSUs have been granted in the past;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 xml:space="preserve">all decisions with respect to future PSU or other grants, if any, will be at the sole discretion of the Company;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the PSUs and any Shares acquired under the Plan, and the income and value of the same, are not intended to replace any pension rights or compensation;</w:t>
      </w:r>
    </w:p>
    <w:p>
      <w:pPr>
        <w:pStyle w:val="TextBody"/>
        <w:bidi w:val="0"/>
        <w:spacing w:lineRule="auto" w:line="240" w:before="0" w:after="0"/>
        <w:ind w:left="0" w:right="0" w:firstLine="1440"/>
        <w:jc w:val="left"/>
        <w:rPr/>
      </w:pPr>
      <w:r>
        <w:rPr>
          <w:rFonts w:ascii="Times New Roman;sans-serif" w:hAnsi="Times New Roman;sans-serif"/>
          <w:b w:val="false"/>
          <w:color w:val="000000"/>
          <w:sz w:val="22"/>
        </w:rPr>
        <w:t>(d)</w:t>
      </w:r>
      <w:r>
        <w:rPr>
          <w:rFonts w:ascii="Times New Roman;sans-serif" w:hAnsi="Times New Roman;sans-serif"/>
          <w:b w:val="false"/>
          <w:color w:val="000000"/>
          <w:sz w:val="22"/>
        </w:rPr>
        <w:t xml:space="preserve">the PSUs and any Shares acquired under the Plan, and the income and value of the same, are not part of Participant’s normal or expected compensation for any purposes including, but not limited to, calculating any severance, resignation, termination, redundancy, dismissal, end-of-service payments, bonuses, long-service awards, pension or retirement benefits or payments or welfare benefits or similar payments and in no event should be considered as compensation for, or relating in any way to, past services for the Company or the Employer or any Affiliate; </w:t>
      </w:r>
    </w:p>
    <w:p>
      <w:pPr>
        <w:pStyle w:val="TextBody"/>
        <w:bidi w:val="0"/>
        <w:spacing w:before="0" w:after="0"/>
        <w:jc w:val="left"/>
        <w:rPr/>
      </w:pPr>
      <w:r>
        <w:rPr/>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(e)</w:t>
      </w:r>
      <w:r>
        <w:rPr>
          <w:rFonts w:ascii="Times New Roman;sans-serif" w:hAnsi="Times New Roman;sans-serif"/>
          <w:b w:val="false"/>
          <w:color w:val="000000"/>
          <w:sz w:val="22"/>
        </w:rPr>
        <w:t xml:space="preserve">the future value of the Shares underlying the PSUs is unknown, indeterminable, and cannot be predicted with certainty;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(f)</w:t>
      </w:r>
      <w:r>
        <w:rPr>
          <w:rFonts w:ascii="Times New Roman;sans-serif" w:hAnsi="Times New Roman;sans-serif"/>
          <w:b w:val="false"/>
          <w:color w:val="000000"/>
          <w:sz w:val="22"/>
        </w:rPr>
        <w:t xml:space="preserve">if the underlying Shares do not increase in value, the PSUs will have no value; </w:t>
      </w:r>
    </w:p>
    <w:p>
      <w:pPr>
        <w:pStyle w:val="TextBody"/>
        <w:bidi w:val="0"/>
        <w:spacing w:lineRule="auto" w:line="240"/>
        <w:ind w:left="0" w:right="0" w:firstLine="1440"/>
        <w:jc w:val="both"/>
        <w:rPr/>
      </w:pPr>
      <w:r>
        <w:rPr>
          <w:rFonts w:ascii="Times New Roman;sans-serif" w:hAnsi="Times New Roman;sans-serif"/>
          <w:b w:val="false"/>
          <w:color w:val="000000"/>
          <w:sz w:val="22"/>
        </w:rPr>
        <w:t>(g)</w:t>
      </w:r>
      <w:r>
        <w:rPr>
          <w:rFonts w:ascii="Times New Roman;sans-serif" w:hAnsi="Times New Roman;sans-serif"/>
          <w:b w:val="false"/>
          <w:color w:val="000000"/>
          <w:sz w:val="22"/>
        </w:rPr>
        <w:t xml:space="preserve">for purposes of the PSUs, Participant’s Continuous Service will be considered terminated as of the date Participant is no longer actively providing services to the Company or the </w:t>
      </w:r>
    </w:p>
    <w:p>
      <w:pPr>
        <w:pStyle w:val="TextBody"/>
        <w:bidi w:val="0"/>
        <w:spacing w:before="0" w:after="0"/>
        <w:jc w:val="center"/>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175260"/>
                <wp:effectExtent l="0" t="0" r="0" b="0"/>
                <wp:wrapNone/>
                <wp:docPr id="186" name="Frame1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2"/>
                              </w:rPr>
                              <w:t>-15-</w:t>
                            </w:r>
                            <w:r>
                              <w:rPr>
                                <w:color w:val="000000"/>
                              </w:rPr>
                              <w:t xml:space="preserve">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2"/>
                        </w:rPr>
                        <w:t>-15-</w:t>
                      </w:r>
                      <w:r>
                        <w:rPr>
                          <w:color w:val="000000"/>
                        </w:rPr>
                        <w:t xml:space="preserve"> </w:t>
                      </w:r>
                    </w:p>
                  </w:txbxContent>
                </v:textbox>
                <w10:wrap type="none"/>
              </v:rect>
            </w:pict>
          </mc:Fallback>
        </mc:AlternateContent>
      </w:r>
    </w:p>
    <w:p>
      <w:pPr>
        <w:pStyle w:val="TextBody"/>
        <w:bidi w:val="0"/>
        <w:spacing w:lineRule="auto" w:line="240" w:before="0" w:after="0"/>
        <w:jc w:val="both"/>
        <w:rPr/>
      </w:pPr>
      <w:r>
        <w:rPr>
          <w:rFonts w:ascii="Times New Roman;sans-serif" w:hAnsi="Times New Roman;sans-serif"/>
          <w:b w:val="false"/>
          <w:color w:val="000000"/>
          <w:sz w:val="22"/>
        </w:rPr>
        <w:t>Employer (regardless of the reason for such termination and whether or not later found to be invalid or in breach of employment laws in the jurisdiction where Participant is employed or providing services, or the terms of Participant’s employment or service agreement, if any), and unless otherwise expressly provided in this Notice or determined by the Company, (i) Participant’s right to vest in the PSUs under the Plan, if any, will terminate as of such date and will not be extended by any notice period (</w:t>
      </w:r>
      <w:r>
        <w:rPr>
          <w:rFonts w:ascii="Times New Roman;sans-serif" w:hAnsi="Times New Roman;sans-serif"/>
          <w:b w:val="false"/>
          <w:i/>
          <w:color w:val="000000"/>
          <w:sz w:val="22"/>
        </w:rPr>
        <w:t>e.g</w:t>
      </w:r>
      <w:r>
        <w:rPr>
          <w:rFonts w:ascii="Times New Roman;sans-serif" w:hAnsi="Times New Roman;sans-serif"/>
          <w:b w:val="false"/>
          <w:color w:val="000000"/>
          <w:sz w:val="22"/>
        </w:rPr>
        <w:t>., Participant’s period of service would not include any contractual notice period or any period of “garden leave” or similar period mandated under employment laws in the jurisdiction where Participant is employed or the terms of Participant’s employment agreement, if any); the Board or Committee shall have the exclusive discretion to determine when Participant is no longer actively providing services for purposes of the PSUs (including whether Participant may still be considered to be providing services while on a leave of absence);</w:t>
      </w:r>
    </w:p>
    <w:p>
      <w:pPr>
        <w:pStyle w:val="TextBody"/>
        <w:bidi w:val="0"/>
        <w:spacing w:before="0" w:after="0"/>
        <w:jc w:val="both"/>
        <w:rPr/>
      </w:pPr>
      <w:r>
        <w:rPr/>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(h)</w:t>
      </w:r>
      <w:r>
        <w:rPr>
          <w:rFonts w:ascii="Times New Roman;sans-serif" w:hAnsi="Times New Roman;sans-serif"/>
          <w:b w:val="false"/>
          <w:color w:val="000000"/>
          <w:sz w:val="22"/>
        </w:rPr>
        <w:t xml:space="preserve">no claim or entitlement to compensation or damages shall arise from forfeiture of the PSUs resulting from the termination of Participant’s Continuous Service (for any reason whatsoever, whether or not later found to be invalid or in breach of employment laws in the jurisdiction where Participant is employed or providing services, or the terms of Participant’s employment or service agreement, if any), and in consideration of the grant of the PSUs to which Participant is otherwise not entitled, Participant irrevocably agrees never to institute any claim against the Company, the Employer or any Affiliate, waives his or her ability, if any, to bring any such claim, and releases the Company, the Employer and any Affiliate from any such claim; if, notwithstanding the foregoing, any such claim is allowed by a court of competent jurisdiction, then, by participating in the Plan, Participant shall be deemed irrevocably to have agreed not to pursue such claim and agrees to execute any and all documents necessary to request dismissal or withdrawal of such claim;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(i)</w:t>
      </w:r>
      <w:r>
        <w:rPr>
          <w:rFonts w:ascii="Times New Roman;sans-serif" w:hAnsi="Times New Roman;sans-serif"/>
          <w:b w:val="false"/>
          <w:color w:val="000000"/>
          <w:sz w:val="22"/>
        </w:rPr>
        <w:t xml:space="preserve">unless otherwise provided in the Plan or by the Company in its discretion, the PSUs and the benefits evidenced by the Notice do not create any entitlement to have the PSUs or any such benefits transferred to, or assumed by, another company nor to be exchanged, cashed out or substituted for, in connection with any corporate transaction affecting the Shares; and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(j)</w:t>
      </w:r>
      <w:r>
        <w:rPr>
          <w:rFonts w:ascii="Times New Roman;sans-serif" w:hAnsi="Times New Roman;sans-serif"/>
          <w:b w:val="false"/>
          <w:color w:val="000000"/>
          <w:sz w:val="22"/>
        </w:rPr>
        <w:t>neither the Company, the Employer nor any Affiliate shall be liable for any foreign exchange rate fluctuation between Participant’s local currency and the U.S. dollar that may affect the value of the PSUs or of any amounts due to Participant pursuant to the vesting of the PSUs or the subsequent sale of any Shares acquired upon vesting.</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4.    </w:t>
      </w:r>
      <w:r>
        <w:rPr>
          <w:rFonts w:ascii="Times New Roman;sans-serif" w:hAnsi="Times New Roman;sans-serif"/>
          <w:b w:val="false"/>
          <w:color w:val="000000"/>
          <w:sz w:val="22"/>
          <w:u w:val="single"/>
        </w:rPr>
        <w:t>Venue</w:t>
      </w:r>
      <w:r>
        <w:rPr>
          <w:rFonts w:ascii="Times New Roman;sans-serif" w:hAnsi="Times New Roman;sans-serif"/>
          <w:b w:val="false"/>
          <w:color w:val="000000"/>
          <w:sz w:val="22"/>
        </w:rPr>
        <w:t xml:space="preserve">. For purposes of litigating any dispute that arises under the Notice, the parties hereby submit to and consent to the jurisdiction of the State of California, and agree that such litigation will be conducted in the courts of Los Angeles County, California, or the federal courts for the United States for the Central District of California, and no other courts, where this award of PSUs is made and/or to be performed.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5.    </w:t>
      </w:r>
      <w:r>
        <w:rPr>
          <w:rFonts w:ascii="Times New Roman;sans-serif" w:hAnsi="Times New Roman;sans-serif"/>
          <w:b w:val="false"/>
          <w:color w:val="000000"/>
          <w:sz w:val="22"/>
          <w:u w:val="single"/>
        </w:rPr>
        <w:t>Language</w:t>
      </w:r>
      <w:r>
        <w:rPr>
          <w:rFonts w:ascii="Times New Roman;sans-serif" w:hAnsi="Times New Roman;sans-serif"/>
          <w:b w:val="false"/>
          <w:color w:val="000000"/>
          <w:sz w:val="22"/>
        </w:rPr>
        <w:t xml:space="preserve">. If the Notice or any other document related to the Plan has been translated into a language other than English and the meaning of the translated version is different than the English version, the English version will control.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6.    </w:t>
      </w:r>
      <w:r>
        <w:rPr>
          <w:rFonts w:ascii="Times New Roman;sans-serif" w:hAnsi="Times New Roman;sans-serif"/>
          <w:b w:val="false"/>
          <w:color w:val="000000"/>
          <w:sz w:val="22"/>
          <w:u w:val="single"/>
        </w:rPr>
        <w:t>Foreign Asset / Account Reporting Requirements, Exchange Controls and Tax Requirements</w:t>
      </w:r>
      <w:r>
        <w:rPr>
          <w:rFonts w:ascii="Times New Roman;sans-serif" w:hAnsi="Times New Roman;sans-serif"/>
          <w:b w:val="false"/>
          <w:color w:val="000000"/>
          <w:sz w:val="22"/>
        </w:rPr>
        <w:t xml:space="preserve">. Participant acknowledges that Participant’s country may have certain foreign asset and/or account reporting requirements and exchange controls which may affect Participant’s ability to acquire or hold Shares under the Plan or cash received from participating in the Plan (including from any dividends received or sale proceeds arising from the sale of Shares) in a brokerage, legal entity or bank account outside Participant’s country. Participant understands that Participant may be required to report such accounts, assets and balances or transactions to the tax or other authorities in Participant’s country. Participant also may be required to repatriate sale proceeds or other funds received as a result of Participant’s participation in the Plan to their country through a designated bank or broker and/or within a certain time after receipt. In addition, Participant may be subject to tax payment and/or reporting obligations in connection with any income realized under the Plan and/or from the sale of Shares. Participant acknowledges that it is their responsibility to be compliant with all such requirements, and that </w:t>
      </w:r>
    </w:p>
    <w:p>
      <w:pPr>
        <w:pStyle w:val="TextBody"/>
        <w:bidi w:val="0"/>
        <w:spacing w:before="0" w:after="0"/>
        <w:jc w:val="center"/>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175260"/>
                <wp:effectExtent l="0" t="0" r="0" b="0"/>
                <wp:wrapNone/>
                <wp:docPr id="187" name="Frame1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2"/>
                              </w:rPr>
                              <w:t>-16-</w:t>
                            </w:r>
                            <w:r>
                              <w:rPr>
                                <w:color w:val="000000"/>
                              </w:rPr>
                              <w:t xml:space="preserve">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2"/>
                        </w:rPr>
                        <w:t>-16-</w:t>
                      </w:r>
                      <w:r>
                        <w:rPr>
                          <w:color w:val="000000"/>
                        </w:rPr>
                        <w:t xml:space="preserve"> </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Participant should consult their personal legal and tax advisors, as applicable, to ensure compliance with applicable regulations.</w:t>
      </w:r>
    </w:p>
    <w:p>
      <w:pPr>
        <w:pStyle w:val="TextBody"/>
        <w:bidi w:val="0"/>
        <w:spacing w:before="0" w:after="240"/>
        <w:ind w:left="0" w:right="0" w:firstLine="720"/>
        <w:jc w:val="both"/>
        <w:rPr/>
      </w:pPr>
      <w:r>
        <w:rPr/>
      </w:r>
    </w:p>
    <w:p>
      <w:pPr>
        <w:pStyle w:val="TextBody"/>
        <w:bidi w:val="0"/>
        <w:spacing w:before="0" w:after="283"/>
        <w:jc w:val="left"/>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175260"/>
                <wp:effectExtent l="0" t="0" r="0" b="0"/>
                <wp:wrapNone/>
                <wp:docPr id="188" name="Frame1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2"/>
                              </w:rPr>
                              <w:t>-17-</w:t>
                            </w:r>
                            <w:r>
                              <w:rPr>
                                <w:color w:val="000000"/>
                              </w:rPr>
                              <w:t xml:space="preserve">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2"/>
                        </w:rPr>
                        <w:t>-17-</w:t>
                      </w:r>
                      <w:r>
                        <w:rPr>
                          <w:color w:val="000000"/>
                        </w:rPr>
                        <w:t xml:space="preserve"> </w:t>
                      </w:r>
                    </w:p>
                  </w:txbxContent>
                </v:textbox>
                <w10:wrap type="none"/>
              </v:rect>
            </w:pict>
          </mc:Fallback>
        </mc:AlternateContent>
      </w:r>
    </w:p>
    <w:p>
      <w:pPr>
        <w:pStyle w:val="TextBody"/>
        <w:bidi w:val="0"/>
        <w:spacing w:lineRule="auto" w:line="240" w:before="0" w:after="0"/>
        <w:jc w:val="center"/>
        <w:rPr>
          <w:rFonts w:ascii="Times New Roman;sans-serif" w:hAnsi="Times New Roman;sans-serif"/>
          <w:b/>
          <w:color w:val="000000"/>
          <w:sz w:val="22"/>
          <w:u w:val="single"/>
        </w:rPr>
      </w:pPr>
      <w:r>
        <w:rPr>
          <w:rFonts w:ascii="Times New Roman;sans-serif" w:hAnsi="Times New Roman;sans-serif"/>
          <w:b/>
          <w:color w:val="000000"/>
          <w:sz w:val="22"/>
          <w:u w:val="single"/>
        </w:rPr>
        <w:t>APPENDIX B</w:t>
      </w:r>
    </w:p>
    <w:p>
      <w:pPr>
        <w:pStyle w:val="TextBody"/>
        <w:bidi w:val="0"/>
        <w:spacing w:before="0" w:after="0"/>
        <w:jc w:val="center"/>
        <w:rPr/>
      </w:pPr>
      <w:r>
        <w:rPr/>
      </w:r>
    </w:p>
    <w:p>
      <w:pPr>
        <w:pStyle w:val="TextBody"/>
        <w:bidi w:val="0"/>
        <w:spacing w:lineRule="auto" w:line="240" w:before="0" w:after="0"/>
        <w:ind w:left="0" w:right="0" w:firstLine="720"/>
        <w:jc w:val="center"/>
        <w:rPr>
          <w:rFonts w:ascii="Times New Roman;sans-serif" w:hAnsi="Times New Roman;sans-serif"/>
          <w:b/>
          <w:color w:val="000000"/>
          <w:sz w:val="22"/>
        </w:rPr>
      </w:pPr>
      <w:r>
        <w:rPr>
          <w:rFonts w:ascii="Times New Roman;sans-serif" w:hAnsi="Times New Roman;sans-serif"/>
          <w:b/>
          <w:color w:val="000000"/>
          <w:sz w:val="22"/>
        </w:rPr>
        <w:t>COUNTRY-SPECIFIC PROVISIONS FOR NON-U.S. EMPLOYEES</w:t>
      </w:r>
    </w:p>
    <w:p>
      <w:pPr>
        <w:pStyle w:val="TextBody"/>
        <w:bidi w:val="0"/>
        <w:spacing w:before="0" w:after="0"/>
        <w:ind w:left="0" w:right="0" w:firstLine="720"/>
        <w:jc w:val="center"/>
        <w:rPr/>
      </w:pPr>
      <w:r>
        <w:rPr/>
      </w:r>
    </w:p>
    <w:p>
      <w:pPr>
        <w:pStyle w:val="TextBody"/>
        <w:bidi w:val="0"/>
        <w:spacing w:lineRule="auto" w:line="240" w:before="0" w:after="0"/>
        <w:jc w:val="left"/>
        <w:rPr>
          <w:rFonts w:ascii="Times New Roman;sans-serif" w:hAnsi="Times New Roman;sans-serif"/>
          <w:b/>
          <w:i/>
          <w:color w:val="000000"/>
          <w:sz w:val="22"/>
        </w:rPr>
      </w:pPr>
      <w:r>
        <w:rPr>
          <w:rFonts w:ascii="Times New Roman;sans-serif" w:hAnsi="Times New Roman;sans-serif"/>
          <w:b/>
          <w:i/>
          <w:color w:val="000000"/>
          <w:sz w:val="22"/>
        </w:rPr>
        <w:t xml:space="preserve">Terms and Conditions </w:t>
      </w:r>
    </w:p>
    <w:p>
      <w:pPr>
        <w:pStyle w:val="TextBody"/>
        <w:bidi w:val="0"/>
        <w:spacing w:before="0" w:after="0"/>
        <w:jc w:val="left"/>
        <w:rPr/>
      </w:pPr>
      <w:r>
        <w:rPr/>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This Appendix B includes additional terms and conditions that govern the PSUs granted to Participant under the Plan if Participant works or resides in one of the countries listed below. If Participant is a citizen or resident of a country other than the one in which Participant currently is working (or if Participant is considered as such for local law purposes), or if Participant transfers employment or residence to another country after PSUs have been granted to Participant under the Plan, the Company, in its discretion, will determine the extent to which the terms and conditions herein will be applicable to Participant.</w:t>
      </w:r>
    </w:p>
    <w:p>
      <w:pPr>
        <w:pStyle w:val="TextBody"/>
        <w:bidi w:val="0"/>
        <w:spacing w:lineRule="auto" w:line="240" w:before="0" w:after="240"/>
        <w:jc w:val="both"/>
        <w:rPr>
          <w:rFonts w:ascii="Times New Roman;sans-serif" w:hAnsi="Times New Roman;sans-serif"/>
          <w:b w:val="false"/>
          <w:i/>
          <w:color w:val="000000"/>
          <w:sz w:val="22"/>
        </w:rPr>
      </w:pPr>
      <w:r>
        <w:rPr>
          <w:rFonts w:ascii="Times New Roman;sans-serif" w:hAnsi="Times New Roman;sans-serif"/>
          <w:b w:val="false"/>
          <w:i/>
          <w:color w:val="000000"/>
          <w:sz w:val="22"/>
        </w:rPr>
        <w:t xml:space="preserve">Capitalized terms used but not otherwise defined herein shall have the meaning given to such terms in the Plan, the Notice or Appendix A. </w:t>
      </w:r>
    </w:p>
    <w:p>
      <w:pPr>
        <w:pStyle w:val="TextBody"/>
        <w:bidi w:val="0"/>
        <w:spacing w:lineRule="auto" w:line="240" w:before="0" w:after="240"/>
        <w:jc w:val="both"/>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This Appendix B also includes information regarding securities laws, exchange controls and certain other issues of which Participant should be aware with respect to his or her participation in the Plan. The information is based on the securities, exchange control and other laws in effect in the respective countries as of November 2014. Such laws are often complex and change frequently. As a result, the Company recommends that Participant not rely on the information in this Appendix B as the only source of information relating to the consequences of his or her participation in the Plan because the information included herein may be out of date at the time that Participant acquires Shares under the Plan or subsequently sells such Shares. </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In addition, the information contained herein is general in nature and may not apply to Participant’s particular situation and the Company is not in a position to assure Participant of any particular result. Accordingly, Participant is advised to seek appropriate professional advice as to how the relevant laws in Participant’s country may apply to his or her individual situation. </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Finally, if Participant is a citizen or resident of a country other than the one in which Participant currently is working or residing (or if Participant is considered as such for local law purposes), or if Participant transfers employment or residence to another country after PSUs have been granted to Participant under the Plan, the information contained herein may not be applicable to Participant in the same manner. </w:t>
      </w:r>
    </w:p>
    <w:p>
      <w:pPr>
        <w:pStyle w:val="TextBody"/>
        <w:bidi w:val="0"/>
        <w:spacing w:lineRule="auto" w:line="240"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AUSTRALIA</w:t>
      </w:r>
    </w:p>
    <w:p>
      <w:pPr>
        <w:pStyle w:val="TextBody"/>
        <w:bidi w:val="0"/>
        <w:spacing w:lineRule="auto" w:line="240"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40" w:before="0" w:after="240"/>
        <w:jc w:val="both"/>
        <w:rPr/>
      </w:pPr>
      <w:r>
        <w:rPr>
          <w:rFonts w:ascii="Times New Roman;sans-serif" w:hAnsi="Times New Roman;sans-serif"/>
          <w:b/>
          <w:color w:val="000000"/>
          <w:sz w:val="22"/>
        </w:rPr>
        <w:t>Securities Law Information</w:t>
      </w:r>
      <w:r>
        <w:rPr>
          <w:rFonts w:ascii="Times New Roman;sans-serif" w:hAnsi="Times New Roman;sans-serif"/>
          <w:b w:val="false"/>
          <w:color w:val="000000"/>
          <w:sz w:val="22"/>
        </w:rPr>
        <w:t>. If Shares are acquired under the Plan and subsequently offered for sale to a person or entity resident in Australia, such offer may be subject to disclosure requirements under Australian law. Participants should obtain legal advice regarding any applicable disclosure requirements prior to making any such offer.</w:t>
      </w:r>
    </w:p>
    <w:p>
      <w:pPr>
        <w:pStyle w:val="TextBody"/>
        <w:bidi w:val="0"/>
        <w:spacing w:before="0" w:after="0"/>
        <w:jc w:val="center"/>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175260"/>
                <wp:effectExtent l="0" t="0" r="0" b="0"/>
                <wp:wrapNone/>
                <wp:docPr id="189" name="Frame1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2"/>
                              </w:rPr>
                              <w:t>-18-</w:t>
                            </w:r>
                            <w:r>
                              <w:rPr>
                                <w:color w:val="000000"/>
                              </w:rPr>
                              <w:t xml:space="preserve">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2"/>
                        </w:rPr>
                        <w:t>-18-</w:t>
                      </w:r>
                      <w:r>
                        <w:rPr>
                          <w:color w:val="000000"/>
                        </w:rPr>
                        <w:t xml:space="preserve"> </w:t>
                      </w:r>
                    </w:p>
                  </w:txbxContent>
                </v:textbox>
                <w10:wrap type="none"/>
              </v:rect>
            </w:pict>
          </mc:Fallback>
        </mc:AlternateContent>
      </w:r>
    </w:p>
    <w:p>
      <w:pPr>
        <w:pStyle w:val="TextBody"/>
        <w:bidi w:val="0"/>
        <w:spacing w:lineRule="auto" w:line="240"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BRAZIL</w:t>
      </w:r>
    </w:p>
    <w:p>
      <w:pPr>
        <w:pStyle w:val="TextBody"/>
        <w:bidi w:val="0"/>
        <w:spacing w:lineRule="auto" w:line="240" w:before="0" w:after="240"/>
        <w:jc w:val="left"/>
        <w:rPr>
          <w:rFonts w:ascii="Times New Roman;sans-serif" w:hAnsi="Times New Roman;sans-serif"/>
          <w:b/>
          <w:i/>
          <w:color w:val="000000"/>
          <w:sz w:val="22"/>
        </w:rPr>
      </w:pPr>
      <w:r>
        <w:rPr>
          <w:rFonts w:ascii="Times New Roman;sans-serif" w:hAnsi="Times New Roman;sans-serif"/>
          <w:b/>
          <w:i/>
          <w:color w:val="000000"/>
          <w:sz w:val="22"/>
        </w:rPr>
        <w:t xml:space="preserve">Terms and Conditions </w:t>
      </w:r>
    </w:p>
    <w:p>
      <w:pPr>
        <w:pStyle w:val="TextBody"/>
        <w:bidi w:val="0"/>
        <w:spacing w:lineRule="auto" w:line="240" w:before="0" w:after="240"/>
        <w:jc w:val="both"/>
        <w:rPr/>
      </w:pPr>
      <w:r>
        <w:rPr>
          <w:rFonts w:ascii="Times New Roman;sans-serif" w:hAnsi="Times New Roman;sans-serif"/>
          <w:b/>
          <w:color w:val="000000"/>
          <w:sz w:val="22"/>
        </w:rPr>
        <w:t>Compliance with Law</w:t>
      </w:r>
      <w:r>
        <w:rPr>
          <w:rFonts w:ascii="Times New Roman;sans-serif" w:hAnsi="Times New Roman;sans-serif"/>
          <w:b w:val="false"/>
          <w:color w:val="000000"/>
          <w:sz w:val="22"/>
        </w:rPr>
        <w:t>. By participating in the Plan, Participant agrees to comply with all applicable Brazilian laws and to pay any and all applicable taxes associated with the acquisition and sale of Shares acquired under the Plan, or the receipt of any dividends in the future.</w:t>
      </w:r>
    </w:p>
    <w:p>
      <w:pPr>
        <w:pStyle w:val="TextBody"/>
        <w:bidi w:val="0"/>
        <w:spacing w:lineRule="auto" w:line="240"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40" w:before="0" w:after="240"/>
        <w:jc w:val="both"/>
        <w:rPr/>
      </w:pPr>
      <w:r>
        <w:rPr>
          <w:rFonts w:ascii="Times New Roman;sans-serif" w:hAnsi="Times New Roman;sans-serif"/>
          <w:b/>
          <w:color w:val="000000"/>
          <w:sz w:val="22"/>
        </w:rPr>
        <w:t>Exchange Control Information</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color w:val="000000"/>
          <w:sz w:val="22"/>
        </w:rPr>
        <w:t>Participants who are residents or domiciled in Brazil must submit a declaration of assets and rights held outside of Brazil, including Shares acquired under the Plan, to the Central Bank if the aggregate value of such assets and rights is at least US$100,000. Participants should consult their personal legal advisors for further details regarding this requirement.</w:t>
      </w:r>
    </w:p>
    <w:p>
      <w:pPr>
        <w:pStyle w:val="TextBody"/>
        <w:bidi w:val="0"/>
        <w:spacing w:lineRule="auto" w:line="240"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CANADA</w:t>
      </w:r>
    </w:p>
    <w:p>
      <w:pPr>
        <w:pStyle w:val="TextBody"/>
        <w:bidi w:val="0"/>
        <w:spacing w:lineRule="auto" w:line="240" w:before="0" w:after="240"/>
        <w:jc w:val="both"/>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40" w:before="0" w:after="240"/>
        <w:jc w:val="both"/>
        <w:rPr/>
      </w:pPr>
      <w:r>
        <w:rPr>
          <w:rFonts w:ascii="Times New Roman;sans-serif" w:hAnsi="Times New Roman;sans-serif"/>
          <w:b/>
          <w:color w:val="000000"/>
          <w:sz w:val="22"/>
        </w:rPr>
        <w:t>Labor Law Acknowledgement</w:t>
      </w:r>
      <w:r>
        <w:rPr>
          <w:rFonts w:ascii="Times New Roman;sans-serif" w:hAnsi="Times New Roman;sans-serif"/>
          <w:b w:val="false"/>
          <w:color w:val="000000"/>
          <w:sz w:val="22"/>
        </w:rPr>
        <w:t xml:space="preserve">. This provision replaces </w:t>
      </w:r>
      <w:r>
        <w:rPr>
          <w:rFonts w:ascii="Times New Roman;sans-serif" w:hAnsi="Times New Roman;sans-serif"/>
          <w:b w:val="false"/>
          <w:color w:val="000000"/>
          <w:sz w:val="22"/>
          <w:u w:val="single"/>
        </w:rPr>
        <w:t>Section 3(h)</w:t>
      </w:r>
      <w:r>
        <w:rPr>
          <w:color w:val="000000"/>
        </w:rPr>
        <w:t xml:space="preserve"> </w:t>
      </w:r>
      <w:r>
        <w:rPr>
          <w:rFonts w:ascii="Times New Roman;sans-serif" w:hAnsi="Times New Roman;sans-serif"/>
          <w:b w:val="false"/>
          <w:color w:val="000000"/>
          <w:sz w:val="22"/>
        </w:rPr>
        <w:t xml:space="preserve">of Appendix A and supplements </w:t>
      </w:r>
      <w:r>
        <w:rPr>
          <w:rFonts w:ascii="Times New Roman;sans-serif" w:hAnsi="Times New Roman;sans-serif"/>
          <w:b w:val="false"/>
          <w:color w:val="000000"/>
          <w:sz w:val="22"/>
          <w:u w:val="single"/>
        </w:rPr>
        <w:t>Section 2</w:t>
      </w:r>
      <w:r>
        <w:rPr>
          <w:color w:val="000000"/>
        </w:rPr>
        <w:t xml:space="preserve"> </w:t>
      </w:r>
      <w:r>
        <w:rPr>
          <w:rFonts w:ascii="Times New Roman;sans-serif" w:hAnsi="Times New Roman;sans-serif"/>
          <w:b w:val="false"/>
          <w:color w:val="000000"/>
          <w:sz w:val="22"/>
        </w:rPr>
        <w:t>of the Notice:</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for purposes of the PSUs, Participant’s Continuous Service will be considered terminated as of the earlier of: (i) the date on which Participant’s employment with the Company and/or the Employer is terminated; (ii) the date on which Participant receives a written notice of termination of Continuous Service regardless of any notice period or period of pay in lieu of such notice required under any employment laws in Participant’s country (including, without limitation, statutory law, regulatory law, and/or common law), even if such law is otherwise applicable to Participant’s benefits from the Company and/or the Employer; or (iii) the date on which Participant is no longer actively providing services to the Company and/or the Employer (regardless of the reason for such termination and regardless of whether it is later found to be invalid), and unless otherwise expressly provided in this Notice or determined by the Company, Participant’s right to vest in the PSUs under the Plan, if any, will terminate as of such date; the Board or Committee shall have the exclusive discretion to determine when Participant is no longer actively providing services for purposes of the PSUs (including whether Participant may still be considered to be providing services while on a leave of absence);</w:t>
      </w:r>
    </w:p>
    <w:p>
      <w:pPr>
        <w:pStyle w:val="TextBody"/>
        <w:bidi w:val="0"/>
        <w:spacing w:lineRule="auto" w:line="240" w:before="0" w:after="240"/>
        <w:jc w:val="both"/>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40" w:before="0" w:after="240"/>
        <w:jc w:val="both"/>
        <w:rPr/>
      </w:pPr>
      <w:r>
        <w:rPr>
          <w:rFonts w:ascii="Times New Roman;sans-serif" w:hAnsi="Times New Roman;sans-serif"/>
          <w:b/>
          <w:color w:val="000000"/>
          <w:sz w:val="22"/>
        </w:rPr>
        <w:t>Securities Law Information</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color w:val="000000"/>
          <w:sz w:val="22"/>
        </w:rPr>
        <w:t>Shares acquired under the Plan may result in Canadian securities laws issues if such Shares are sold through a broker other than the designated broker or if the sale does not take place through the facilities of a stock exchange outside Canada on which the Shares are listed (</w:t>
      </w:r>
      <w:r>
        <w:rPr>
          <w:rFonts w:ascii="Times New Roman;sans-serif" w:hAnsi="Times New Roman;sans-serif"/>
          <w:b w:val="false"/>
          <w:i/>
          <w:color w:val="000000"/>
          <w:sz w:val="22"/>
        </w:rPr>
        <w:t>i.e.</w:t>
      </w:r>
      <w:r>
        <w:rPr>
          <w:rFonts w:ascii="Times New Roman;sans-serif" w:hAnsi="Times New Roman;sans-serif"/>
          <w:b w:val="false"/>
          <w:color w:val="000000"/>
          <w:sz w:val="22"/>
        </w:rPr>
        <w:t xml:space="preserve">, the Nasdaq). </w:t>
      </w:r>
    </w:p>
    <w:p>
      <w:pPr>
        <w:pStyle w:val="TextBody"/>
        <w:bidi w:val="0"/>
        <w:spacing w:lineRule="auto" w:line="240" w:before="0" w:after="240"/>
        <w:jc w:val="both"/>
        <w:rPr/>
      </w:pPr>
      <w:r>
        <w:rPr>
          <w:rFonts w:ascii="Times New Roman;sans-serif" w:hAnsi="Times New Roman;sans-serif"/>
          <w:b/>
          <w:color w:val="000000"/>
          <w:sz w:val="22"/>
        </w:rPr>
        <w:t>Tax Reporting Obligation</w:t>
      </w:r>
      <w:r>
        <w:rPr>
          <w:rFonts w:ascii="Times New Roman;sans-serif" w:hAnsi="Times New Roman;sans-serif"/>
          <w:b w:val="false"/>
          <w:color w:val="000000"/>
          <w:sz w:val="22"/>
        </w:rPr>
        <w:t>. Foreign property (including Shares acquired under the Plan and possibly the PSUs) must be reported on Form T1135 (Foreign Income Verification Statement) if the total value of foreign property exceeds C$100,000 at any time during the year. Participants should consult their personal tax advisors for further details regarding this requirement.</w:t>
      </w:r>
    </w:p>
    <w:p>
      <w:pPr>
        <w:pStyle w:val="TextBody"/>
        <w:bidi w:val="0"/>
        <w:spacing w:lineRule="auto" w:line="240"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FRANCE</w:t>
      </w:r>
    </w:p>
    <w:p>
      <w:pPr>
        <w:pStyle w:val="TextBody"/>
        <w:bidi w:val="0"/>
        <w:spacing w:lineRule="auto" w:line="240" w:before="0" w:after="0"/>
        <w:jc w:val="both"/>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before="0" w:after="0"/>
        <w:jc w:val="both"/>
        <w:rPr/>
      </w:pPr>
      <w:r>
        <w:rPr/>
      </w:r>
    </w:p>
    <w:p>
      <w:pPr>
        <w:pStyle w:val="TextBody"/>
        <w:bidi w:val="0"/>
        <w:spacing w:lineRule="auto" w:line="240"/>
        <w:jc w:val="both"/>
        <w:rPr/>
      </w:pPr>
      <w:r>
        <w:rPr>
          <w:rFonts w:ascii="Times New Roman;sans-serif" w:hAnsi="Times New Roman;sans-serif"/>
          <w:b/>
          <w:color w:val="000000"/>
          <w:sz w:val="22"/>
        </w:rPr>
        <w:t>Language Consent</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color w:val="000000"/>
          <w:sz w:val="22"/>
        </w:rPr>
        <w:t>By participating in the Plan, Participant confirms having read and understood the documents relating to the PSUs and his or her participation in the Plan (</w:t>
      </w:r>
      <w:r>
        <w:rPr>
          <w:rFonts w:ascii="Times New Roman;sans-serif" w:hAnsi="Times New Roman;sans-serif"/>
          <w:b w:val="false"/>
          <w:i/>
          <w:color w:val="000000"/>
          <w:sz w:val="22"/>
        </w:rPr>
        <w:t xml:space="preserve">i.e., </w:t>
      </w:r>
      <w:r>
        <w:rPr>
          <w:rFonts w:ascii="Times New Roman;sans-serif" w:hAnsi="Times New Roman;sans-serif"/>
          <w:b w:val="false"/>
          <w:color w:val="000000"/>
          <w:sz w:val="22"/>
        </w:rPr>
        <w:t>the Plan and this Notice), which were provided to Participant in the English language. Participant accepts the terms of these documents accordingly.</w:t>
      </w:r>
    </w:p>
    <w:p>
      <w:pPr>
        <w:pStyle w:val="TextBody"/>
        <w:bidi w:val="0"/>
        <w:spacing w:before="0" w:after="0"/>
        <w:jc w:val="center"/>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175260"/>
                <wp:effectExtent l="0" t="0" r="0" b="0"/>
                <wp:wrapNone/>
                <wp:docPr id="190" name="Frame1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2"/>
                              </w:rPr>
                              <w:t>-19-</w:t>
                            </w:r>
                            <w:r>
                              <w:rPr>
                                <w:color w:val="000000"/>
                              </w:rPr>
                              <w:t xml:space="preserve">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2"/>
                        </w:rPr>
                        <w:t>-19-</w:t>
                      </w:r>
                      <w:r>
                        <w:rPr>
                          <w:color w:val="000000"/>
                        </w:rPr>
                        <w:t xml:space="preserve"> </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color w:val="000000"/>
          <w:sz w:val="22"/>
        </w:rPr>
        <w:t>Consentement Relatif à la Langue Utilisée</w:t>
      </w:r>
      <w:r>
        <w:rPr>
          <w:rFonts w:ascii="Times New Roman;sans-serif" w:hAnsi="Times New Roman;sans-serif"/>
          <w:b w:val="false"/>
          <w:color w:val="000000"/>
          <w:sz w:val="22"/>
        </w:rPr>
        <w:t xml:space="preserve">. </w:t>
      </w:r>
      <w:r>
        <w:rPr>
          <w:rFonts w:ascii="Times New Roman;sans-serif" w:hAnsi="Times New Roman;sans-serif"/>
          <w:b w:val="false"/>
          <w:i/>
          <w:color w:val="000000"/>
          <w:sz w:val="22"/>
        </w:rPr>
        <w:t>En participant au Plan, le Participant confirme avoir lu et compris les documents relatifs aux PSUs et à sa participation au Plan (à savoir, le Plan et le présent Avis) qui lui ont été communiqués en langue anglaise. Le Participant accepte les termes de ces documents en connaissance de cause.</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before="0" w:after="0"/>
        <w:jc w:val="both"/>
        <w:rPr/>
      </w:pPr>
      <w:r>
        <w:rPr/>
      </w:r>
    </w:p>
    <w:p>
      <w:pPr>
        <w:pStyle w:val="TextBody"/>
        <w:bidi w:val="0"/>
        <w:spacing w:lineRule="auto" w:line="240" w:before="0" w:after="240"/>
        <w:jc w:val="both"/>
        <w:rPr/>
      </w:pPr>
      <w:r>
        <w:rPr>
          <w:rFonts w:ascii="Times New Roman;sans-serif" w:hAnsi="Times New Roman;sans-serif"/>
          <w:b/>
          <w:color w:val="000000"/>
          <w:sz w:val="22"/>
        </w:rPr>
        <w:t>Foreign Asset/Account Reporting Information</w:t>
      </w:r>
      <w:r>
        <w:rPr>
          <w:rFonts w:ascii="Times New Roman;sans-serif" w:hAnsi="Times New Roman;sans-serif"/>
          <w:b w:val="false"/>
          <w:color w:val="000000"/>
          <w:sz w:val="22"/>
        </w:rPr>
        <w:t>. Participants in France must declare any foreign bank investment, or brokerage account opened, used or closed during the fiscal year to the French tax authorities when filing their annual tax returns. Participants should consult their personal tax advisors for details regarding this requirement.</w:t>
      </w:r>
    </w:p>
    <w:p>
      <w:pPr>
        <w:pStyle w:val="TextBody"/>
        <w:bidi w:val="0"/>
        <w:spacing w:lineRule="auto" w:line="240" w:before="0" w:after="0"/>
        <w:jc w:val="center"/>
        <w:rPr>
          <w:rFonts w:ascii="Times New Roman;sans-serif" w:hAnsi="Times New Roman;sans-serif"/>
          <w:b/>
          <w:color w:val="000000"/>
          <w:sz w:val="22"/>
          <w:u w:val="single"/>
        </w:rPr>
      </w:pPr>
      <w:r>
        <w:rPr>
          <w:rFonts w:ascii="Times New Roman;sans-serif" w:hAnsi="Times New Roman;sans-serif"/>
          <w:b/>
          <w:color w:val="000000"/>
          <w:sz w:val="22"/>
          <w:u w:val="single"/>
        </w:rPr>
        <w:t>GERMANY</w:t>
      </w:r>
    </w:p>
    <w:p>
      <w:pPr>
        <w:pStyle w:val="TextBody"/>
        <w:bidi w:val="0"/>
        <w:spacing w:before="0" w:after="0"/>
        <w:jc w:val="center"/>
        <w:rPr/>
      </w:pPr>
      <w:r>
        <w:rPr/>
      </w:r>
    </w:p>
    <w:p>
      <w:pPr>
        <w:pStyle w:val="TextBody"/>
        <w:bidi w:val="0"/>
        <w:spacing w:lineRule="auto" w:line="240" w:before="0" w:after="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before="0" w:after="0"/>
        <w:jc w:val="left"/>
        <w:rPr/>
      </w:pPr>
      <w:r>
        <w:rPr/>
      </w:r>
    </w:p>
    <w:p>
      <w:pPr>
        <w:pStyle w:val="TextBody"/>
        <w:bidi w:val="0"/>
        <w:spacing w:lineRule="auto" w:line="240" w:before="0" w:after="0"/>
        <w:jc w:val="both"/>
        <w:rPr/>
      </w:pPr>
      <w:r>
        <w:rPr>
          <w:rFonts w:ascii="Times New Roman;sans-serif" w:hAnsi="Times New Roman;sans-serif"/>
          <w:b/>
          <w:color w:val="000000"/>
          <w:sz w:val="22"/>
        </w:rPr>
        <w:t>Exchange Control Information</w:t>
      </w:r>
      <w:r>
        <w:rPr>
          <w:rFonts w:ascii="Times New Roman;sans-serif" w:hAnsi="Times New Roman;sans-serif"/>
          <w:b w:val="false"/>
          <w:color w:val="000000"/>
          <w:sz w:val="22"/>
        </w:rPr>
        <w:t>. Cross-border payments in excess of €12,500 in connection with the acquisition or sale of securities (</w:t>
      </w:r>
      <w:r>
        <w:rPr>
          <w:rFonts w:ascii="Times New Roman;sans-serif" w:hAnsi="Times New Roman;sans-serif"/>
          <w:b w:val="false"/>
          <w:i/>
          <w:color w:val="000000"/>
          <w:sz w:val="22"/>
        </w:rPr>
        <w:t>e.g.</w:t>
      </w:r>
      <w:r>
        <w:rPr>
          <w:rFonts w:ascii="Times New Roman;sans-serif" w:hAnsi="Times New Roman;sans-serif"/>
          <w:b w:val="false"/>
          <w:color w:val="000000"/>
          <w:sz w:val="22"/>
        </w:rPr>
        <w:t>, transfer of proceeds from the sale of Shares into Germany) must be reported electronically to the German Federal Bank. The online filing portal may be accessed at the website of the German Federal Bank. Participants should consult their personal tax advisors for details regarding this requirement.</w:t>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color w:val="000000"/>
          <w:sz w:val="22"/>
          <w:u w:val="single"/>
        </w:rPr>
      </w:pPr>
      <w:r>
        <w:rPr>
          <w:rFonts w:ascii="Times New Roman;sans-serif" w:hAnsi="Times New Roman;sans-serif"/>
          <w:b/>
          <w:color w:val="000000"/>
          <w:sz w:val="22"/>
          <w:u w:val="single"/>
        </w:rPr>
        <w:t>INDIA</w:t>
      </w:r>
    </w:p>
    <w:p>
      <w:pPr>
        <w:pStyle w:val="TextBody"/>
        <w:bidi w:val="0"/>
        <w:spacing w:before="0" w:after="0"/>
        <w:jc w:val="center"/>
        <w:rPr/>
      </w:pPr>
      <w:r>
        <w:rPr/>
      </w:r>
    </w:p>
    <w:p>
      <w:pPr>
        <w:pStyle w:val="TextBody"/>
        <w:bidi w:val="0"/>
        <w:spacing w:lineRule="auto" w:line="240" w:before="0" w:after="0"/>
        <w:jc w:val="both"/>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color w:val="000000"/>
          <w:sz w:val="22"/>
        </w:rPr>
        <w:t>Exchange Control Information</w:t>
      </w:r>
      <w:r>
        <w:rPr>
          <w:rFonts w:ascii="Times New Roman;sans-serif" w:hAnsi="Times New Roman;sans-serif"/>
          <w:b w:val="false"/>
          <w:color w:val="000000"/>
          <w:sz w:val="22"/>
        </w:rPr>
        <w:t>. Participant must repatriate any funds received from participation in the Plan (</w:t>
      </w:r>
      <w:r>
        <w:rPr>
          <w:rFonts w:ascii="Times New Roman;sans-serif" w:hAnsi="Times New Roman;sans-serif"/>
          <w:b w:val="false"/>
          <w:i/>
          <w:color w:val="000000"/>
          <w:sz w:val="22"/>
        </w:rPr>
        <w:t>e.g.</w:t>
      </w:r>
      <w:r>
        <w:rPr>
          <w:rFonts w:ascii="Times New Roman;sans-serif" w:hAnsi="Times New Roman;sans-serif"/>
          <w:b w:val="false"/>
          <w:color w:val="000000"/>
          <w:sz w:val="22"/>
        </w:rPr>
        <w:t>, proceeds from the sale of Shares) within such time as prescribed under applicable Indian exchange control laws, which may be amended from time to time. Participant should obtain a foreign inward remittance certificate (“</w:t>
      </w:r>
      <w:r>
        <w:rPr>
          <w:rFonts w:ascii="Times New Roman;sans-serif" w:hAnsi="Times New Roman;sans-serif"/>
          <w:b/>
          <w:color w:val="000000"/>
          <w:sz w:val="22"/>
        </w:rPr>
        <w:t>FIRC</w:t>
      </w:r>
      <w:r>
        <w:rPr>
          <w:color w:val="000000"/>
        </w:rPr>
        <w:t>”</w:t>
      </w:r>
      <w:r>
        <w:rPr>
          <w:rFonts w:ascii="Times New Roman;sans-serif" w:hAnsi="Times New Roman;sans-serif"/>
          <w:b w:val="false"/>
          <w:color w:val="000000"/>
          <w:sz w:val="22"/>
        </w:rPr>
        <w:t>) from the bank where Participant deposits the foreign currency and maintain the FIRC as evidence of the repatriation of funds in the event the Reserve Bank of India or the Company or the Employer requests proof of repatriation. Participant should consult his or her personal legal advisor to ensure compliance with the applicable requirements.</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color w:val="000000"/>
          <w:sz w:val="22"/>
        </w:rPr>
        <w:t>Foreign Asset/Account Reporting Information</w:t>
      </w:r>
      <w:r>
        <w:rPr>
          <w:rFonts w:ascii="Times New Roman;sans-serif" w:hAnsi="Times New Roman;sans-serif"/>
          <w:b w:val="false"/>
          <w:color w:val="000000"/>
          <w:sz w:val="22"/>
        </w:rPr>
        <w:t>. Participant must declare the following items in his or her annual tax return: (i) any foreign assets held (including Shares acquired under the Plan), and (ii) any foreign bank accounts for which Participant has signing authority. Participant should consult his or her personal tax advisor to ensure compliance with the applicable requirements.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color w:val="000000"/>
          <w:sz w:val="22"/>
          <w:u w:val="single"/>
        </w:rPr>
      </w:pPr>
      <w:r>
        <w:rPr>
          <w:rFonts w:ascii="Times New Roman;sans-serif" w:hAnsi="Times New Roman;sans-serif"/>
          <w:b/>
          <w:color w:val="000000"/>
          <w:sz w:val="22"/>
          <w:u w:val="single"/>
        </w:rPr>
        <w:t>ITALY</w:t>
      </w:r>
    </w:p>
    <w:p>
      <w:pPr>
        <w:pStyle w:val="TextBody"/>
        <w:bidi w:val="0"/>
        <w:spacing w:before="0" w:after="0"/>
        <w:jc w:val="center"/>
        <w:rPr/>
      </w:pPr>
      <w:r>
        <w:rPr/>
      </w:r>
    </w:p>
    <w:p>
      <w:pPr>
        <w:pStyle w:val="TextBody"/>
        <w:bidi w:val="0"/>
        <w:spacing w:lineRule="auto" w:line="240" w:before="0" w:after="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color w:val="000000"/>
          <w:sz w:val="22"/>
        </w:rPr>
        <w:t>Data Privacy</w:t>
      </w:r>
      <w:r>
        <w:rPr>
          <w:rFonts w:ascii="Times New Roman;sans-serif" w:hAnsi="Times New Roman;sans-serif"/>
          <w:b w:val="false"/>
          <w:color w:val="000000"/>
          <w:sz w:val="22"/>
        </w:rPr>
        <w:t xml:space="preserve">. This provision replaces in its entirety </w:t>
      </w:r>
      <w:r>
        <w:rPr>
          <w:rFonts w:ascii="Times New Roman;sans-serif" w:hAnsi="Times New Roman;sans-serif"/>
          <w:b w:val="false"/>
          <w:color w:val="000000"/>
          <w:sz w:val="22"/>
          <w:u w:val="single"/>
        </w:rPr>
        <w:t>Section 10</w:t>
      </w:r>
      <w:r>
        <w:rPr>
          <w:color w:val="000000"/>
        </w:rPr>
        <w:t xml:space="preserve"> </w:t>
      </w:r>
      <w:r>
        <w:rPr>
          <w:rFonts w:ascii="Times New Roman;sans-serif" w:hAnsi="Times New Roman;sans-serif"/>
          <w:b w:val="false"/>
          <w:color w:val="000000"/>
          <w:sz w:val="22"/>
        </w:rPr>
        <w:t>of the Notice:</w:t>
      </w:r>
    </w:p>
    <w:p>
      <w:pPr>
        <w:pStyle w:val="TextBody"/>
        <w:bidi w:val="0"/>
        <w:spacing w:before="0" w:after="0"/>
        <w:jc w:val="left"/>
        <w:rPr/>
      </w:pPr>
      <w:r>
        <w:rPr/>
      </w:r>
    </w:p>
    <w:p>
      <w:pPr>
        <w:pStyle w:val="TextBody"/>
        <w:bidi w:val="0"/>
        <w:spacing w:lineRule="auto" w:line="240" w:before="0" w:after="240"/>
        <w:jc w:val="both"/>
        <w:rPr>
          <w:rFonts w:ascii="Times New Roman;sans-serif" w:hAnsi="Times New Roman;sans-serif"/>
          <w:b/>
          <w:i/>
          <w:color w:val="000000"/>
          <w:sz w:val="22"/>
        </w:rPr>
      </w:pPr>
      <w:r>
        <w:rPr>
          <w:rFonts w:ascii="Times New Roman;sans-serif" w:hAnsi="Times New Roman;sans-serif"/>
          <w:b/>
          <w:i/>
          <w:color w:val="000000"/>
          <w:sz w:val="22"/>
        </w:rPr>
        <w:t xml:space="preserve">Participant understands that the Company may hold certain personal information about Participant, including Participant’s name, home address and telephone number, date of birth, social insurance number or other identification number, salary, nationality, job title, any shares of stock or directorships Participant holds in the Company, details of the Plan or any other entitlement to shares of stock awarded, canceled, exercised, vested, unvested or outstanding in Participant’s favor (“Data”), for the exclusive purpose of implementing, administering and managing Participant’s participation in the Plan. </w:t>
      </w:r>
    </w:p>
    <w:p>
      <w:pPr>
        <w:pStyle w:val="TextBody"/>
        <w:bidi w:val="0"/>
        <w:spacing w:before="0" w:after="0"/>
        <w:jc w:val="center"/>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175260"/>
                <wp:effectExtent l="0" t="0" r="0" b="0"/>
                <wp:wrapNone/>
                <wp:docPr id="191" name="Frame1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2"/>
                              </w:rPr>
                              <w:t>-20-</w:t>
                            </w:r>
                            <w:r>
                              <w:rPr>
                                <w:color w:val="000000"/>
                              </w:rPr>
                              <w:t xml:space="preserve">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2"/>
                        </w:rPr>
                        <w:t>-20-</w:t>
                      </w:r>
                      <w:r>
                        <w:rPr>
                          <w:color w:val="000000"/>
                        </w:rPr>
                        <w:t xml:space="preserve"> </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i/>
          <w:color w:val="000000"/>
          <w:sz w:val="22"/>
        </w:rPr>
        <w:t>Participant also understands that providing the Company with the Data is necessary for the performance of the Plan and that Participant’s refusal to provide such Data would make it impossible for the Company to perform its contractual obligations and may affect Participant’s ability to participate in the Plan. The Controller of personal data processing is Magnite, Inc., with registered offices at 1250 Broadway, 15</w:t>
      </w:r>
      <w:r>
        <w:rPr>
          <w:rFonts w:ascii="Times New Roman;sans-serif" w:hAnsi="Times New Roman;sans-serif"/>
          <w:b/>
          <w:i/>
          <w:color w:val="000000"/>
          <w:sz w:val="14"/>
        </w:rPr>
        <w:t>th</w:t>
      </w:r>
      <w:r>
        <w:rPr>
          <w:color w:val="000000"/>
        </w:rPr>
        <w:t xml:space="preserve"> </w:t>
      </w:r>
      <w:r>
        <w:rPr>
          <w:rFonts w:ascii="Times New Roman;sans-serif" w:hAnsi="Times New Roman;sans-serif"/>
          <w:b/>
          <w:i/>
          <w:color w:val="000000"/>
          <w:sz w:val="22"/>
        </w:rPr>
        <w:t>Floor, New York, NY 10001, U.S.A., and, pursuant to D.lgs 196/2003, its representative in Italy is Magnite S.r.l. with registered offices at Corsa Giaccomo Matteotti 7, CAP 20121 Milano, Italy.</w:t>
      </w:r>
    </w:p>
    <w:p>
      <w:pPr>
        <w:pStyle w:val="TextBody"/>
        <w:bidi w:val="0"/>
        <w:spacing w:lineRule="auto" w:line="240" w:before="0" w:after="240"/>
        <w:jc w:val="both"/>
        <w:rPr>
          <w:rFonts w:ascii="Times New Roman;sans-serif" w:hAnsi="Times New Roman;sans-serif"/>
          <w:b/>
          <w:i/>
          <w:color w:val="000000"/>
          <w:sz w:val="22"/>
        </w:rPr>
      </w:pPr>
      <w:r>
        <w:rPr>
          <w:rFonts w:ascii="Times New Roman;sans-serif" w:hAnsi="Times New Roman;sans-serif"/>
          <w:b/>
          <w:i/>
          <w:color w:val="000000"/>
          <w:sz w:val="22"/>
        </w:rPr>
        <w:t>Participant understands that Participant’s Data will not be publicized, but it may be transferred to Morgan Stanley Smith Barney, Equity Administration Solutions, Inc., their respective affiliates and other financial institutions or brokers involved in the management and administration of the Plan. Participant further understands that the Company and/or its Affiliates will transfer Data amongst themselves as necessary for the purpose of implementation, administration and management of Participant’s participation in the Plan, and that the Affiliates may each further transfer Data to third parties assisting the Company in the implementation, administration and management of the Plan, including any requisite transfer to Morgan Stanley Smith Barney, Equity Administration Solutions, Inc., their respective affiliates, or another third party with whom Participant may elect to deposit any Shares acquired under the Plan. Such recipients may receive, possess, use, retain and transfer the Data in electronic or other form, for the purposes of implementing, administering and managing Participant’s participation in the Plan. Participant understands that these recipients may be located in the European Economic Area, or elsewhere, such as the U.S. Should the Company exercise its discretion in suspending all necessary legal obligations connected with the management and administration of the Plan, it will delete Participant’s Data as soon as it has accomplished all the necessary legal obligations connected with the management and administration of the Plan.</w:t>
      </w:r>
    </w:p>
    <w:p>
      <w:pPr>
        <w:pStyle w:val="TextBody"/>
        <w:bidi w:val="0"/>
        <w:spacing w:lineRule="auto" w:line="240" w:before="0" w:after="240"/>
        <w:jc w:val="both"/>
        <w:rPr>
          <w:rFonts w:ascii="Times New Roman;sans-serif" w:hAnsi="Times New Roman;sans-serif"/>
          <w:b/>
          <w:i/>
          <w:color w:val="000000"/>
          <w:sz w:val="22"/>
        </w:rPr>
      </w:pPr>
      <w:r>
        <w:rPr>
          <w:rFonts w:ascii="Times New Roman;sans-serif" w:hAnsi="Times New Roman;sans-serif"/>
          <w:b/>
          <w:i/>
          <w:color w:val="000000"/>
          <w:sz w:val="22"/>
        </w:rPr>
        <w:t>Participant understands that Data processing related to the purposes specified above shall take place under automated or non-automated conditions, anonymously when possible, that comply with the purposes for which Data are collected and with such confidentiality and security provisions as set forth by applicable Italian data privacy laws and regulations, with specific reference to Legislative Decree no. 196/2003.</w:t>
      </w:r>
    </w:p>
    <w:p>
      <w:pPr>
        <w:pStyle w:val="TextBody"/>
        <w:bidi w:val="0"/>
        <w:spacing w:lineRule="auto" w:line="240" w:before="0" w:after="240"/>
        <w:jc w:val="both"/>
        <w:rPr>
          <w:rFonts w:ascii="Times New Roman;sans-serif" w:hAnsi="Times New Roman;sans-serif"/>
          <w:b/>
          <w:i/>
          <w:color w:val="000000"/>
          <w:sz w:val="22"/>
        </w:rPr>
      </w:pPr>
      <w:r>
        <w:rPr>
          <w:rFonts w:ascii="Times New Roman;sans-serif" w:hAnsi="Times New Roman;sans-serif"/>
          <w:b/>
          <w:i/>
          <w:color w:val="000000"/>
          <w:sz w:val="22"/>
        </w:rPr>
        <w:t>The processing activity, including communication, the transfer of Participant’s Data abroad, including outside of the European Economic Area, as herein specified and pursuant to applicable Italian data privacy laws and regulations, does not require Participant’s consent thereto as the processing is necessary to performance of contractual obligations related to implementation, administration and management of the Plan. Participant understands that, pursuant to Section 7 of the Legislative Decree no. 196/2003, Participant has the right to, including but not limited to, access, delete, update, ask for rectification of Participant’s Data and cease, for legitimate reason, the Data processing. Furthermore, Participant is aware that Participant’s Data will not be used for direct marketing purposes. In addition, the Data provided can be reviewed and questions or complaints can be addressed by contacting the Company.</w:t>
      </w:r>
    </w:p>
    <w:p>
      <w:pPr>
        <w:pStyle w:val="TextBody"/>
        <w:bidi w:val="0"/>
        <w:spacing w:lineRule="auto" w:line="240" w:before="0" w:after="240"/>
        <w:jc w:val="both"/>
        <w:rPr/>
      </w:pPr>
      <w:r>
        <w:rPr>
          <w:rFonts w:ascii="Times New Roman;sans-serif" w:hAnsi="Times New Roman;sans-serif"/>
          <w:b/>
          <w:color w:val="000000"/>
          <w:sz w:val="22"/>
        </w:rPr>
        <w:t>Plan Document Acknowledgment</w:t>
      </w:r>
      <w:r>
        <w:rPr>
          <w:rFonts w:ascii="Times New Roman;sans-serif" w:hAnsi="Times New Roman;sans-serif"/>
          <w:b w:val="false"/>
          <w:color w:val="000000"/>
          <w:sz w:val="22"/>
        </w:rPr>
        <w:t>. In participating in the Plan, Participant acknowledges that he or she has received a copy of the Plan and this Notice and has reviewed the Plan and this Notice in their entirety and fully understands and accepts all provisions of the Plan and this Notice. Participant further acknowledges that Participant has read and specifically and expressly approves the sections of the Notice and Appendix A addressing (i) Forfeiture Upon Termination of Continuous Service (</w:t>
      </w:r>
      <w:r>
        <w:rPr>
          <w:rFonts w:ascii="Times New Roman;sans-serif" w:hAnsi="Times New Roman;sans-serif"/>
          <w:b w:val="false"/>
          <w:color w:val="000000"/>
          <w:sz w:val="22"/>
          <w:u w:val="single"/>
        </w:rPr>
        <w:t>Section 2 of the Notice</w:t>
      </w:r>
      <w:r>
        <w:rPr>
          <w:rFonts w:ascii="Times New Roman;sans-serif" w:hAnsi="Times New Roman;sans-serif"/>
          <w:b w:val="false"/>
          <w:color w:val="000000"/>
          <w:sz w:val="22"/>
        </w:rPr>
        <w:t>), (ii) Tax Consequences, Withholding, and Liability (</w:t>
      </w:r>
      <w:r>
        <w:rPr>
          <w:rFonts w:ascii="Times New Roman;sans-serif" w:hAnsi="Times New Roman;sans-serif"/>
          <w:b w:val="false"/>
          <w:color w:val="000000"/>
          <w:sz w:val="22"/>
          <w:u w:val="single"/>
        </w:rPr>
        <w:t>Section 3 of the Notice</w:t>
      </w:r>
      <w:r>
        <w:rPr>
          <w:rFonts w:ascii="Times New Roman;sans-serif" w:hAnsi="Times New Roman;sans-serif"/>
          <w:b w:val="false"/>
          <w:color w:val="000000"/>
          <w:sz w:val="22"/>
        </w:rPr>
        <w:t>), (iii) Data Privacy (</w:t>
      </w:r>
      <w:r>
        <w:rPr>
          <w:rFonts w:ascii="Times New Roman;sans-serif" w:hAnsi="Times New Roman;sans-serif"/>
          <w:b w:val="false"/>
          <w:color w:val="000000"/>
          <w:sz w:val="22"/>
          <w:u w:val="single"/>
        </w:rPr>
        <w:t>Section 10 of the Notice</w:t>
      </w:r>
      <w:r>
        <w:rPr>
          <w:rFonts w:ascii="Times New Roman;sans-serif" w:hAnsi="Times New Roman;sans-serif"/>
          <w:b w:val="false"/>
          <w:color w:val="000000"/>
          <w:sz w:val="22"/>
        </w:rPr>
        <w:t>); (iv) Governing Law; Severability (</w:t>
      </w:r>
      <w:r>
        <w:rPr>
          <w:rFonts w:ascii="Times New Roman;sans-serif" w:hAnsi="Times New Roman;sans-serif"/>
          <w:b w:val="false"/>
          <w:color w:val="000000"/>
          <w:sz w:val="22"/>
          <w:u w:val="single"/>
        </w:rPr>
        <w:t>Section 11(f) of the Notice</w:t>
      </w:r>
      <w:r>
        <w:rPr>
          <w:rFonts w:ascii="Times New Roman;sans-serif" w:hAnsi="Times New Roman;sans-serif"/>
          <w:b w:val="false"/>
          <w:color w:val="000000"/>
          <w:sz w:val="22"/>
        </w:rPr>
        <w:t>), (v) Imposition of Other Requirements (</w:t>
      </w:r>
      <w:r>
        <w:rPr>
          <w:rFonts w:ascii="Times New Roman;sans-serif" w:hAnsi="Times New Roman;sans-serif"/>
          <w:b w:val="false"/>
          <w:color w:val="000000"/>
          <w:sz w:val="22"/>
          <w:u w:val="single"/>
        </w:rPr>
        <w:t>Section 11(i) of the Notice</w:t>
      </w:r>
      <w:r>
        <w:rPr>
          <w:rFonts w:ascii="Times New Roman;sans-serif" w:hAnsi="Times New Roman;sans-serif"/>
          <w:b w:val="false"/>
          <w:color w:val="000000"/>
          <w:sz w:val="22"/>
        </w:rPr>
        <w:t>); (vi) Nature of Grant (</w:t>
      </w:r>
      <w:r>
        <w:rPr>
          <w:rFonts w:ascii="Times New Roman;sans-serif" w:hAnsi="Times New Roman;sans-serif"/>
          <w:b w:val="false"/>
          <w:color w:val="000000"/>
          <w:sz w:val="22"/>
          <w:u w:val="single"/>
        </w:rPr>
        <w:t>Section 3 of Appendix A</w:t>
      </w:r>
      <w:r>
        <w:rPr>
          <w:rFonts w:ascii="Times New Roman;sans-serif" w:hAnsi="Times New Roman;sans-serif"/>
          <w:b w:val="false"/>
          <w:color w:val="000000"/>
          <w:sz w:val="22"/>
        </w:rPr>
        <w:t>), (vii) Venue (</w:t>
      </w:r>
      <w:r>
        <w:rPr>
          <w:rFonts w:ascii="Times New Roman;sans-serif" w:hAnsi="Times New Roman;sans-serif"/>
          <w:b w:val="false"/>
          <w:color w:val="000000"/>
          <w:sz w:val="22"/>
          <w:u w:val="single"/>
        </w:rPr>
        <w:t>Section 4 of Appendix A</w:t>
      </w:r>
      <w:r>
        <w:rPr>
          <w:rFonts w:ascii="Times New Roman;sans-serif" w:hAnsi="Times New Roman;sans-serif"/>
          <w:b w:val="false"/>
          <w:color w:val="000000"/>
          <w:sz w:val="22"/>
        </w:rPr>
        <w:t>), and (viii) Language (</w:t>
      </w:r>
      <w:r>
        <w:rPr>
          <w:rFonts w:ascii="Times New Roman;sans-serif" w:hAnsi="Times New Roman;sans-serif"/>
          <w:b w:val="false"/>
          <w:color w:val="000000"/>
          <w:sz w:val="22"/>
          <w:u w:val="single"/>
        </w:rPr>
        <w:t>Section 5 of Appendix A</w:t>
      </w:r>
      <w:r>
        <w:rPr>
          <w:rFonts w:ascii="Times New Roman;sans-serif" w:hAnsi="Times New Roman;sans-serif"/>
          <w:b w:val="false"/>
          <w:color w:val="000000"/>
          <w:sz w:val="22"/>
        </w:rPr>
        <w:t xml:space="preserve">). </w:t>
      </w:r>
    </w:p>
    <w:p>
      <w:pPr>
        <w:pStyle w:val="TextBody"/>
        <w:bidi w:val="0"/>
        <w:spacing w:before="0" w:after="240"/>
        <w:jc w:val="both"/>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175260"/>
                <wp:effectExtent l="0" t="0" r="0" b="0"/>
                <wp:wrapNone/>
                <wp:docPr id="192" name="Frame1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2"/>
                              </w:rPr>
                              <w:t>-21-</w:t>
                            </w:r>
                            <w:r>
                              <w:rPr>
                                <w:color w:val="000000"/>
                              </w:rPr>
                              <w:t xml:space="preserve">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2"/>
                        </w:rPr>
                        <w:t>-21-</w:t>
                      </w:r>
                      <w:r>
                        <w:rPr>
                          <w:color w:val="000000"/>
                        </w:rPr>
                        <w:t xml:space="preserve"> </w:t>
                      </w:r>
                    </w:p>
                  </w:txbxContent>
                </v:textbox>
                <w10:wrap type="none"/>
              </v:rect>
            </w:pict>
          </mc:Fallback>
        </mc:AlternateContent>
      </w:r>
    </w:p>
    <w:p>
      <w:pPr>
        <w:pStyle w:val="TextBody"/>
        <w:bidi w:val="0"/>
        <w:spacing w:lineRule="auto" w:line="240"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40" w:before="0" w:after="0"/>
        <w:jc w:val="both"/>
        <w:rPr/>
      </w:pPr>
      <w:r>
        <w:rPr>
          <w:rFonts w:ascii="Times New Roman;sans-serif" w:hAnsi="Times New Roman;sans-serif"/>
          <w:b/>
          <w:color w:val="000000"/>
          <w:sz w:val="22"/>
        </w:rPr>
        <w:t>Exchange Control Information</w:t>
      </w:r>
      <w:r>
        <w:rPr>
          <w:rFonts w:ascii="Times New Roman;sans-serif" w:hAnsi="Times New Roman;sans-serif"/>
          <w:b w:val="false"/>
          <w:color w:val="000000"/>
          <w:sz w:val="22"/>
        </w:rPr>
        <w:t>. Participants are required to report investments held abroad or foreign financial assets (</w:t>
      </w:r>
      <w:r>
        <w:rPr>
          <w:rFonts w:ascii="Times New Roman;sans-serif" w:hAnsi="Times New Roman;sans-serif"/>
          <w:b w:val="false"/>
          <w:i/>
          <w:color w:val="000000"/>
          <w:sz w:val="22"/>
        </w:rPr>
        <w:t>e.g.</w:t>
      </w:r>
      <w:r>
        <w:rPr>
          <w:rFonts w:ascii="Times New Roman;sans-serif" w:hAnsi="Times New Roman;sans-serif"/>
          <w:b w:val="false"/>
          <w:color w:val="000000"/>
          <w:sz w:val="22"/>
        </w:rPr>
        <w:t>, cash, Shares) that may generate income taxable in Italy on an annual tax return (UNICO Form, RW Schedule) or on a special form if no tax return is due, irrespective of their value. The same reporting duties apply to Italian residents who are beneficial owners of the investments, even if they do not directly hold investments abroad or foreign assets.</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color w:val="000000"/>
          <w:sz w:val="22"/>
        </w:rPr>
        <w:t>Foreign Asset/Account Reporting Information</w:t>
      </w:r>
      <w:r>
        <w:rPr>
          <w:rFonts w:ascii="Times New Roman;sans-serif" w:hAnsi="Times New Roman;sans-serif"/>
          <w:b w:val="false"/>
          <w:color w:val="000000"/>
          <w:sz w:val="22"/>
        </w:rPr>
        <w:t>. A tax on the value of any financial assets held outside of Italy by Italian residents will apply at an annual rate of 0.2% for fiscal year 2014. The taxable amount will be the fair market value of the financial assets, assessed at the end of the calendar year in the place where the financial assets are held, using the documentation issued by the local broker. Participants should consult their personal tax advisors for details regarding this requirement.</w:t>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color w:val="000000"/>
          <w:sz w:val="22"/>
          <w:u w:val="single"/>
        </w:rPr>
      </w:pPr>
      <w:r>
        <w:rPr>
          <w:rFonts w:ascii="Times New Roman;sans-serif" w:hAnsi="Times New Roman;sans-serif"/>
          <w:b/>
          <w:color w:val="000000"/>
          <w:sz w:val="22"/>
          <w:u w:val="single"/>
        </w:rPr>
        <w:t>JAPAN</w:t>
      </w:r>
    </w:p>
    <w:p>
      <w:pPr>
        <w:pStyle w:val="TextBody"/>
        <w:bidi w:val="0"/>
        <w:spacing w:before="0" w:after="0"/>
        <w:jc w:val="center"/>
        <w:rPr/>
      </w:pPr>
      <w:r>
        <w:rPr/>
      </w:r>
    </w:p>
    <w:p>
      <w:pPr>
        <w:pStyle w:val="TextBody"/>
        <w:bidi w:val="0"/>
        <w:spacing w:lineRule="auto" w:line="240" w:before="0" w:after="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before="0" w:after="0"/>
        <w:jc w:val="left"/>
        <w:rPr/>
      </w:pPr>
      <w:r>
        <w:rPr/>
      </w:r>
    </w:p>
    <w:p>
      <w:pPr>
        <w:pStyle w:val="TextBody"/>
        <w:bidi w:val="0"/>
        <w:spacing w:lineRule="auto" w:line="240" w:before="0" w:after="0"/>
        <w:jc w:val="both"/>
        <w:rPr/>
      </w:pPr>
      <w:r>
        <w:rPr>
          <w:rFonts w:ascii="Times New Roman;sans-serif" w:hAnsi="Times New Roman;sans-serif"/>
          <w:b/>
          <w:color w:val="000000"/>
          <w:sz w:val="22"/>
        </w:rPr>
        <w:t>Foreign Asset/Account Reporting Information</w:t>
      </w:r>
      <w:r>
        <w:rPr>
          <w:rFonts w:ascii="Times New Roman;sans-serif" w:hAnsi="Times New Roman;sans-serif"/>
          <w:b w:val="false"/>
          <w:color w:val="000000"/>
          <w:sz w:val="22"/>
        </w:rPr>
        <w:t>.  Participants holding assets outside of Japan (</w:t>
      </w:r>
      <w:r>
        <w:rPr>
          <w:rFonts w:ascii="Times New Roman;sans-serif" w:hAnsi="Times New Roman;sans-serif"/>
          <w:b w:val="false"/>
          <w:i/>
          <w:color w:val="000000"/>
          <w:sz w:val="22"/>
        </w:rPr>
        <w:t>e.g.</w:t>
      </w:r>
      <w:r>
        <w:rPr>
          <w:rFonts w:ascii="Times New Roman;sans-serif" w:hAnsi="Times New Roman;sans-serif"/>
          <w:b w:val="false"/>
          <w:color w:val="000000"/>
          <w:sz w:val="22"/>
        </w:rPr>
        <w:t>, Shares acquired under the Plan) with a value exceeding ¥50,000,000 (as of December 31 each year) are required to comply with annual tax reporting obligations with respect to such assets. Participants should consult their personal tax advisors for details regarding this requirement.</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center"/>
        <w:rPr>
          <w:rFonts w:ascii="Times New Roman;sans-serif" w:hAnsi="Times New Roman;sans-serif"/>
          <w:b/>
          <w:color w:val="000000"/>
          <w:sz w:val="22"/>
          <w:u w:val="single"/>
        </w:rPr>
      </w:pPr>
      <w:r>
        <w:rPr>
          <w:rFonts w:ascii="Times New Roman;sans-serif" w:hAnsi="Times New Roman;sans-serif"/>
          <w:b/>
          <w:color w:val="000000"/>
          <w:sz w:val="22"/>
          <w:u w:val="single"/>
        </w:rPr>
        <w:t>SINGAPORE</w:t>
      </w:r>
    </w:p>
    <w:p>
      <w:pPr>
        <w:pStyle w:val="TextBody"/>
        <w:bidi w:val="0"/>
        <w:spacing w:before="0" w:after="0"/>
        <w:jc w:val="center"/>
        <w:rPr/>
      </w:pPr>
      <w:r>
        <w:rPr/>
      </w:r>
    </w:p>
    <w:p>
      <w:pPr>
        <w:pStyle w:val="TextBody"/>
        <w:bidi w:val="0"/>
        <w:spacing w:lineRule="auto" w:line="240" w:before="0" w:after="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before="0" w:after="0"/>
        <w:jc w:val="left"/>
        <w:rPr/>
      </w:pPr>
      <w:r>
        <w:rPr/>
      </w:r>
    </w:p>
    <w:p>
      <w:pPr>
        <w:pStyle w:val="TextBody"/>
        <w:bidi w:val="0"/>
        <w:spacing w:lineRule="auto" w:line="240" w:before="0" w:after="0"/>
        <w:jc w:val="both"/>
        <w:rPr/>
      </w:pPr>
      <w:r>
        <w:rPr>
          <w:rFonts w:ascii="Times New Roman;sans-serif" w:hAnsi="Times New Roman;sans-serif"/>
          <w:b/>
          <w:color w:val="000000"/>
          <w:sz w:val="22"/>
        </w:rPr>
        <w:t>Securities Law Information</w:t>
      </w:r>
      <w:r>
        <w:rPr>
          <w:rFonts w:ascii="Times New Roman;sans-serif" w:hAnsi="Times New Roman;sans-serif"/>
          <w:b w:val="false"/>
          <w:color w:val="000000"/>
          <w:sz w:val="22"/>
        </w:rPr>
        <w:t>. The grant of PSUs under the Plan is being made pursuant to the “Qualifying Person” exemption under section 273(1)(f) of the Singapore Securities and Futures Act (Chapter 289, 2006 Ed.) (“</w:t>
      </w:r>
      <w:r>
        <w:rPr>
          <w:rFonts w:ascii="Times New Roman;sans-serif" w:hAnsi="Times New Roman;sans-serif"/>
          <w:b/>
          <w:color w:val="000000"/>
          <w:sz w:val="22"/>
        </w:rPr>
        <w:t>SFA</w:t>
      </w:r>
      <w:r>
        <w:rPr>
          <w:color w:val="000000"/>
        </w:rPr>
        <w:t>”</w:t>
      </w:r>
      <w:r>
        <w:rPr>
          <w:rFonts w:ascii="Times New Roman;sans-serif" w:hAnsi="Times New Roman;sans-serif"/>
          <w:b w:val="false"/>
          <w:color w:val="000000"/>
          <w:sz w:val="22"/>
        </w:rPr>
        <w:t>). The Plan has not been lodged or registered as a prospectus with the Monetary Authority of Singapore. Further, the PSUs granted under the Plan are subject to section 257 of the SFA and Participant is not permitted to sell, or offer to sell, any Shares in Singapore unless such sale or offer is made pursuant to the exemptions under Part XIII Division (1) Subdivision (4) (other than section 280) of the SFA.</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color w:val="000000"/>
          <w:sz w:val="22"/>
        </w:rPr>
        <w:t>Director Notification Obligation</w:t>
      </w:r>
      <w:r>
        <w:rPr>
          <w:rFonts w:ascii="Times New Roman;sans-serif" w:hAnsi="Times New Roman;sans-serif"/>
          <w:b w:val="false"/>
          <w:color w:val="000000"/>
          <w:sz w:val="22"/>
        </w:rPr>
        <w:t>. Directors, associate directors or shadow directors of a Singapore Subsidiary or Affiliate are subject to certain notification requirements under the Singapore Companies Act. Among these requirements is an obligation to notify such entity in writing within two business days of any of the following events: (i) the acquisition or disposal of an interest (</w:t>
      </w:r>
      <w:r>
        <w:rPr>
          <w:rFonts w:ascii="Times New Roman;sans-serif" w:hAnsi="Times New Roman;sans-serif"/>
          <w:b w:val="false"/>
          <w:i/>
          <w:color w:val="000000"/>
          <w:sz w:val="22"/>
        </w:rPr>
        <w:t>e.g.</w:t>
      </w:r>
      <w:r>
        <w:rPr>
          <w:rFonts w:ascii="Times New Roman;sans-serif" w:hAnsi="Times New Roman;sans-serif"/>
          <w:b w:val="false"/>
          <w:color w:val="000000"/>
          <w:sz w:val="22"/>
        </w:rPr>
        <w:t>, PSUs granted under the Plan or Shares) in the Company or any Subsidiary or Affiliate, (ii) any change in previously-disclosed interests (</w:t>
      </w:r>
      <w:r>
        <w:rPr>
          <w:rFonts w:ascii="Times New Roman;sans-serif" w:hAnsi="Times New Roman;sans-serif"/>
          <w:b w:val="false"/>
          <w:i/>
          <w:color w:val="000000"/>
          <w:sz w:val="22"/>
        </w:rPr>
        <w:t>e.g.</w:t>
      </w:r>
      <w:r>
        <w:rPr>
          <w:rFonts w:ascii="Times New Roman;sans-serif" w:hAnsi="Times New Roman;sans-serif"/>
          <w:b w:val="false"/>
          <w:color w:val="000000"/>
          <w:sz w:val="22"/>
        </w:rPr>
        <w:t xml:space="preserve">, sale of Shares), or (iii) becoming a director, associate director or shadow director of a Subsidiary or Affiliate in Singapore, if the individual holds such an interest at that time. </w:t>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color w:val="000000"/>
          <w:sz w:val="22"/>
          <w:u w:val="single"/>
        </w:rPr>
      </w:pPr>
      <w:r>
        <w:rPr>
          <w:rFonts w:ascii="Times New Roman;sans-serif" w:hAnsi="Times New Roman;sans-serif"/>
          <w:b/>
          <w:color w:val="000000"/>
          <w:sz w:val="22"/>
          <w:u w:val="single"/>
        </w:rPr>
        <w:t>SWEDEN</w:t>
      </w:r>
    </w:p>
    <w:p>
      <w:pPr>
        <w:pStyle w:val="TextBody"/>
        <w:bidi w:val="0"/>
        <w:spacing w:before="0" w:after="0"/>
        <w:jc w:val="center"/>
        <w:rPr/>
      </w:pPr>
      <w:r>
        <w:rPr/>
      </w:r>
    </w:p>
    <w:p>
      <w:pPr>
        <w:pStyle w:val="TextBody"/>
        <w:bidi w:val="0"/>
        <w:spacing w:lineRule="auto" w:line="240" w:before="0" w:after="0"/>
        <w:jc w:val="both"/>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color w:val="000000"/>
          <w:sz w:val="22"/>
        </w:rPr>
        <w:t>Authorization to Withhold</w:t>
      </w:r>
      <w:r>
        <w:rPr>
          <w:rFonts w:ascii="Times New Roman;sans-serif" w:hAnsi="Times New Roman;sans-serif"/>
          <w:b w:val="false"/>
          <w:color w:val="000000"/>
          <w:sz w:val="22"/>
        </w:rPr>
        <w:t xml:space="preserve">. The following provision supplements </w:t>
      </w:r>
      <w:r>
        <w:rPr>
          <w:rFonts w:ascii="Times New Roman;sans-serif" w:hAnsi="Times New Roman;sans-serif"/>
          <w:b w:val="false"/>
          <w:color w:val="000000"/>
          <w:sz w:val="22"/>
          <w:u w:val="single"/>
        </w:rPr>
        <w:t>Section 3 of the Notice</w:t>
      </w:r>
      <w:r>
        <w:rPr>
          <w:color w:val="000000"/>
        </w:rPr>
        <w:t xml:space="preserve"> </w:t>
      </w:r>
      <w:r>
        <w:rPr>
          <w:rFonts w:ascii="Times New Roman;sans-serif" w:hAnsi="Times New Roman;sans-serif"/>
          <w:b w:val="false"/>
          <w:color w:val="000000"/>
          <w:sz w:val="22"/>
        </w:rPr>
        <w:t xml:space="preserve">as supplemented by </w:t>
      </w:r>
      <w:r>
        <w:rPr>
          <w:rFonts w:ascii="Times New Roman;sans-serif" w:hAnsi="Times New Roman;sans-serif"/>
          <w:b w:val="false"/>
          <w:color w:val="000000"/>
          <w:sz w:val="22"/>
          <w:u w:val="single"/>
        </w:rPr>
        <w:t>Section 2 of Appendix A</w:t>
      </w:r>
      <w:r>
        <w:rPr>
          <w:color w:val="000000"/>
        </w:rPr>
        <w:t xml:space="preserve"> </w:t>
      </w:r>
      <w:r>
        <w:rPr>
          <w:rFonts w:ascii="Times New Roman;sans-serif" w:hAnsi="Times New Roman;sans-serif"/>
          <w:b w:val="false"/>
          <w:color w:val="000000"/>
          <w:sz w:val="22"/>
        </w:rPr>
        <w:t>(Tax Consequences, Withholding, and Liability):</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Without limiting the Company’s and the Employer’s authority to satisfy their withholding obligations for Tax Obligations as set forth in this Notice, by accepting the grant of the PSUs, Participant authorizes the Company and/or the Employer to withhold Shares or to sell Shares otherwise deliverable to Participant upon vesting or settlement to satisfy Tax Obligations, regardless of whether the Company and/or Employer have an obligation to withhold such Tax Obligations.</w:t>
      </w:r>
    </w:p>
    <w:p>
      <w:pPr>
        <w:pStyle w:val="TextBody"/>
        <w:bidi w:val="0"/>
        <w:spacing w:before="0" w:after="283"/>
        <w:jc w:val="left"/>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175260"/>
                <wp:effectExtent l="0" t="0" r="0" b="0"/>
                <wp:wrapNone/>
                <wp:docPr id="193" name="Frame1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2"/>
                              </w:rPr>
                              <w:t>-22-</w:t>
                            </w:r>
                            <w:r>
                              <w:rPr>
                                <w:color w:val="000000"/>
                              </w:rPr>
                              <w:t xml:space="preserve">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2"/>
                        </w:rPr>
                        <w:t>-22-</w:t>
                      </w:r>
                      <w:r>
                        <w:rPr>
                          <w:color w:val="000000"/>
                        </w:rPr>
                        <w:t xml:space="preserve"> </w:t>
                      </w:r>
                    </w:p>
                  </w:txbxContent>
                </v:textbox>
                <w10:wrap type="none"/>
              </v:rect>
            </w:pict>
          </mc:Fallback>
        </mc:AlternateContent>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color w:val="000000"/>
          <w:sz w:val="22"/>
          <w:u w:val="single"/>
        </w:rPr>
      </w:pPr>
      <w:r>
        <w:rPr>
          <w:rFonts w:ascii="Times New Roman;sans-serif" w:hAnsi="Times New Roman;sans-serif"/>
          <w:b/>
          <w:color w:val="000000"/>
          <w:sz w:val="22"/>
          <w:u w:val="single"/>
        </w:rPr>
        <w:t>UNITED KINGDOM</w:t>
      </w:r>
    </w:p>
    <w:p>
      <w:pPr>
        <w:pStyle w:val="TextBody"/>
        <w:bidi w:val="0"/>
        <w:spacing w:before="0" w:after="0"/>
        <w:jc w:val="center"/>
        <w:rPr/>
      </w:pPr>
      <w:r>
        <w:rPr/>
      </w:r>
    </w:p>
    <w:p>
      <w:pPr>
        <w:pStyle w:val="TextBody"/>
        <w:bidi w:val="0"/>
        <w:spacing w:lineRule="auto" w:line="240" w:before="0" w:after="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before="0" w:after="0"/>
        <w:jc w:val="left"/>
        <w:rPr/>
      </w:pPr>
      <w:r>
        <w:rPr/>
      </w:r>
    </w:p>
    <w:p>
      <w:pPr>
        <w:pStyle w:val="TextBody"/>
        <w:bidi w:val="0"/>
        <w:spacing w:lineRule="auto" w:line="240" w:before="0" w:after="240"/>
        <w:jc w:val="both"/>
        <w:rPr/>
      </w:pPr>
      <w:r>
        <w:rPr>
          <w:rFonts w:ascii="Times New Roman;sans-serif" w:hAnsi="Times New Roman;sans-serif"/>
          <w:b/>
          <w:color w:val="000000"/>
          <w:sz w:val="22"/>
        </w:rPr>
        <w:t>Tax Obligations.</w:t>
      </w:r>
      <w:r>
        <w:rPr>
          <w:color w:val="000000"/>
        </w:rPr>
        <w:t xml:space="preserve"> </w:t>
      </w:r>
      <w:r>
        <w:rPr>
          <w:rFonts w:ascii="Times New Roman;sans-serif" w:hAnsi="Times New Roman;sans-serif"/>
          <w:b w:val="false"/>
          <w:color w:val="000000"/>
          <w:sz w:val="22"/>
        </w:rPr>
        <w:t xml:space="preserve">The following provision supplements </w:t>
      </w:r>
      <w:r>
        <w:rPr>
          <w:rFonts w:ascii="Times New Roman;sans-serif" w:hAnsi="Times New Roman;sans-serif"/>
          <w:b w:val="false"/>
          <w:color w:val="000000"/>
          <w:sz w:val="22"/>
          <w:u w:val="single"/>
        </w:rPr>
        <w:t>Section 3 of the Notice</w:t>
      </w:r>
      <w:r>
        <w:rPr>
          <w:color w:val="000000"/>
        </w:rPr>
        <w:t xml:space="preserve"> </w:t>
      </w:r>
      <w:r>
        <w:rPr>
          <w:rFonts w:ascii="Times New Roman;sans-serif" w:hAnsi="Times New Roman;sans-serif"/>
          <w:b w:val="false"/>
          <w:color w:val="000000"/>
          <w:sz w:val="22"/>
        </w:rPr>
        <w:t xml:space="preserve">as supplemented by </w:t>
      </w:r>
      <w:r>
        <w:rPr>
          <w:rFonts w:ascii="Times New Roman;sans-serif" w:hAnsi="Times New Roman;sans-serif"/>
          <w:b w:val="false"/>
          <w:color w:val="000000"/>
          <w:sz w:val="22"/>
          <w:u w:val="single"/>
        </w:rPr>
        <w:t>Section 2 of Appendix A</w:t>
      </w:r>
      <w:r>
        <w:rPr>
          <w:color w:val="000000"/>
        </w:rPr>
        <w:t xml:space="preserve"> </w:t>
      </w:r>
      <w:r>
        <w:rPr>
          <w:rFonts w:ascii="Times New Roman;sans-serif" w:hAnsi="Times New Roman;sans-serif"/>
          <w:b w:val="false"/>
          <w:color w:val="000000"/>
          <w:sz w:val="22"/>
        </w:rPr>
        <w:t>(Tax Consequences, Withholding, and Liability):</w:t>
      </w:r>
    </w:p>
    <w:p>
      <w:pPr>
        <w:pStyle w:val="TextBody"/>
        <w:bidi w:val="0"/>
        <w:spacing w:lineRule="auto" w:line="240" w:before="0" w:after="0"/>
        <w:jc w:val="both"/>
        <w:rPr/>
      </w:pPr>
      <w:r>
        <w:rPr>
          <w:rFonts w:ascii="Times New Roman;sans-serif" w:hAnsi="Times New Roman;sans-serif"/>
          <w:b w:val="false"/>
          <w:color w:val="000000"/>
          <w:sz w:val="22"/>
        </w:rPr>
        <w:t>If payment or withholding of any income tax liability arising in connection with Participant’s participation in the Plan is not made by Participant to the Employer within ninety (90) days of the end of the U.K. tax year during which the event giving rise to the income tax liability occurs or such other period specified in Section 222(1)(c) of the U.K. Income Tax (Earnings and Pensions) Act 2003 (the “</w:t>
      </w:r>
      <w:r>
        <w:rPr>
          <w:rFonts w:ascii="Times New Roman;sans-serif" w:hAnsi="Times New Roman;sans-serif"/>
          <w:b/>
          <w:color w:val="000000"/>
          <w:sz w:val="22"/>
        </w:rPr>
        <w:t>Due Date</w:t>
      </w:r>
      <w:r>
        <w:rPr>
          <w:color w:val="000000"/>
        </w:rPr>
        <w:t>”</w:t>
      </w:r>
      <w:r>
        <w:rPr>
          <w:rFonts w:ascii="Times New Roman;sans-serif" w:hAnsi="Times New Roman;sans-serif"/>
          <w:b w:val="false"/>
          <w:color w:val="000000"/>
          <w:sz w:val="22"/>
        </w:rPr>
        <w:t>), Participant understands and agrees that the amount of any uncollected income tax will constitute a loan owed by Participant to the Company and/or the Employer, effective on the Due Date. Participant further understands and agrees that the loan will bear interest at the then-current official rate of Her Majesty’s Revenue and Customs (“</w:t>
      </w:r>
      <w:r>
        <w:rPr>
          <w:rFonts w:ascii="Times New Roman;sans-serif" w:hAnsi="Times New Roman;sans-serif"/>
          <w:b/>
          <w:color w:val="000000"/>
          <w:sz w:val="22"/>
        </w:rPr>
        <w:t>HMRC</w:t>
      </w:r>
      <w:r>
        <w:rPr>
          <w:color w:val="000000"/>
        </w:rPr>
        <w:t>”</w:t>
      </w:r>
      <w:r>
        <w:rPr>
          <w:rFonts w:ascii="Times New Roman;sans-serif" w:hAnsi="Times New Roman;sans-serif"/>
          <w:b w:val="false"/>
          <w:color w:val="000000"/>
          <w:sz w:val="22"/>
        </w:rPr>
        <w:t>), it will be immediately due and repayable by Participant, and the Company and/or the Employer may recover it at any time thereafter by any of the means referred to in the Plan or this Notice.</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2"/>
        </w:rPr>
        <w:t>Notwithstanding the foregoing, if Participant is a director or an executive officer of the Company (within the meaning of such terms for purposes of Section 13(k) of the Exchange Act), Participant will not be eligible for such a loan to cover the income tax liability. In the event that Participant is a director or executive officer and the income tax is not collected from or paid by Participant by the Due Date, Participant understands that the amount of any uncollected income tax may constitute an additional benefit to Participant on which additional income tax and National Insurance Contributions will be payable. Participant understands and agrees that Participant will be responsible for reporting and paying any income tax due on this additional benefit directly to HMRC under the self-assessment regime and for reimbursing the Company or the Employer (as appropriate) for the value of any employee National Insurance Contributions (“</w:t>
      </w:r>
      <w:r>
        <w:rPr>
          <w:rFonts w:ascii="Times New Roman;sans-serif" w:hAnsi="Times New Roman;sans-serif"/>
          <w:b/>
          <w:color w:val="000000"/>
          <w:sz w:val="22"/>
        </w:rPr>
        <w:t>NICs</w:t>
      </w:r>
      <w:r>
        <w:rPr>
          <w:color w:val="000000"/>
        </w:rPr>
        <w:t>”</w:t>
      </w:r>
      <w:r>
        <w:rPr>
          <w:rFonts w:ascii="Times New Roman;sans-serif" w:hAnsi="Times New Roman;sans-serif"/>
          <w:b w:val="false"/>
          <w:color w:val="000000"/>
          <w:sz w:val="22"/>
        </w:rPr>
        <w:t>) due on this additional benefit which the Company or the Employer may recover from Participant by any of the means referred to in the Plan or this Notice.</w:t>
      </w:r>
    </w:p>
    <w:p>
      <w:pPr>
        <w:pStyle w:val="TextBody"/>
        <w:bidi w:val="0"/>
        <w:spacing w:lineRule="auto" w:line="240" w:before="240" w:after="240"/>
        <w:jc w:val="both"/>
        <w:rPr/>
      </w:pPr>
      <w:r>
        <w:rPr>
          <w:rFonts w:ascii="Times New Roman;sans-serif" w:hAnsi="Times New Roman;sans-serif"/>
          <w:b/>
          <w:color w:val="000000"/>
          <w:sz w:val="22"/>
        </w:rPr>
        <w:t>Joint Election for Transfer of Liability for Employer National Insurance Contributions.</w:t>
      </w:r>
      <w:r>
        <w:rPr>
          <w:color w:val="000000"/>
        </w:rPr>
        <w:t xml:space="preserve"> </w:t>
      </w:r>
      <w:r>
        <w:rPr>
          <w:rFonts w:ascii="Times New Roman;sans-serif" w:hAnsi="Times New Roman;sans-serif"/>
          <w:b w:val="false"/>
          <w:color w:val="000000"/>
          <w:sz w:val="22"/>
        </w:rPr>
        <w:t xml:space="preserve">The following provision supplements </w:t>
      </w:r>
      <w:r>
        <w:rPr>
          <w:rFonts w:ascii="Times New Roman;sans-serif" w:hAnsi="Times New Roman;sans-serif"/>
          <w:b w:val="false"/>
          <w:color w:val="000000"/>
          <w:sz w:val="22"/>
          <w:u w:val="single"/>
        </w:rPr>
        <w:t>Section 3 of the Notice</w:t>
      </w:r>
      <w:r>
        <w:rPr>
          <w:color w:val="000000"/>
        </w:rPr>
        <w:t xml:space="preserve"> </w:t>
      </w:r>
      <w:r>
        <w:rPr>
          <w:rFonts w:ascii="Times New Roman;sans-serif" w:hAnsi="Times New Roman;sans-serif"/>
          <w:b w:val="false"/>
          <w:color w:val="000000"/>
          <w:sz w:val="22"/>
        </w:rPr>
        <w:t xml:space="preserve">as supplemented by </w:t>
      </w:r>
      <w:r>
        <w:rPr>
          <w:rFonts w:ascii="Times New Roman;sans-serif" w:hAnsi="Times New Roman;sans-serif"/>
          <w:b w:val="false"/>
          <w:color w:val="000000"/>
          <w:sz w:val="22"/>
          <w:u w:val="single"/>
        </w:rPr>
        <w:t>Section 2 of Appendix A</w:t>
      </w:r>
      <w:r>
        <w:rPr>
          <w:color w:val="000000"/>
        </w:rPr>
        <w:t xml:space="preserve"> </w:t>
      </w:r>
      <w:r>
        <w:rPr>
          <w:rFonts w:ascii="Times New Roman;sans-serif" w:hAnsi="Times New Roman;sans-serif"/>
          <w:b w:val="false"/>
          <w:color w:val="000000"/>
          <w:sz w:val="22"/>
        </w:rPr>
        <w:t xml:space="preserve">(Tax Consequences, Withholding, and Liability): </w:t>
      </w:r>
    </w:p>
    <w:p>
      <w:pPr>
        <w:pStyle w:val="TextBody"/>
        <w:bidi w:val="0"/>
        <w:spacing w:lineRule="auto" w:line="240" w:before="0" w:after="240"/>
        <w:jc w:val="both"/>
        <w:rPr/>
      </w:pPr>
      <w:r>
        <w:rPr>
          <w:rFonts w:ascii="Times New Roman;sans-serif" w:hAnsi="Times New Roman;sans-serif"/>
          <w:b w:val="false"/>
          <w:color w:val="000000"/>
          <w:sz w:val="22"/>
        </w:rPr>
        <w:t>As a condition of participation in the Plan and the issuance of Shares upon vesting of the PSUs, Participant agrees to accept any liability for secondary Class 1 NICs that may be payable by the Company or the Employer in connection with the PSUs and any event giving rise to Tax Obligations (the “</w:t>
      </w:r>
      <w:r>
        <w:rPr>
          <w:rFonts w:ascii="Times New Roman;sans-serif" w:hAnsi="Times New Roman;sans-serif"/>
          <w:b/>
          <w:color w:val="000000"/>
          <w:sz w:val="22"/>
        </w:rPr>
        <w:t>Employer NICs</w:t>
      </w:r>
      <w:r>
        <w:rPr>
          <w:color w:val="000000"/>
        </w:rPr>
        <w:t>”</w:t>
      </w:r>
      <w:r>
        <w:rPr>
          <w:rFonts w:ascii="Times New Roman;sans-serif" w:hAnsi="Times New Roman;sans-serif"/>
          <w:b w:val="false"/>
          <w:color w:val="000000"/>
          <w:sz w:val="22"/>
        </w:rPr>
        <w:t xml:space="preserve">). The Employer NICs may be collected by the Company or the Employer using any of the methods described in the Plan or this Notice. </w:t>
      </w:r>
    </w:p>
    <w:p>
      <w:pPr>
        <w:pStyle w:val="TextBody"/>
        <w:bidi w:val="0"/>
        <w:spacing w:lineRule="auto" w:line="240" w:before="0" w:after="240"/>
        <w:jc w:val="both"/>
        <w:rPr/>
      </w:pPr>
      <w:r>
        <w:rPr>
          <w:rFonts w:ascii="Times New Roman;sans-serif" w:hAnsi="Times New Roman;sans-serif"/>
          <w:b w:val="false"/>
          <w:color w:val="000000"/>
          <w:sz w:val="22"/>
        </w:rPr>
        <w:t>Without prejudice to the foregoing, Participant agrees to execute a joint election with the Company and/or the Employer (a “</w:t>
      </w:r>
      <w:r>
        <w:rPr>
          <w:rFonts w:ascii="Times New Roman;sans-serif" w:hAnsi="Times New Roman;sans-serif"/>
          <w:b/>
          <w:color w:val="000000"/>
          <w:sz w:val="22"/>
        </w:rPr>
        <w:t>Joint Election</w:t>
      </w:r>
      <w:r>
        <w:rPr>
          <w:color w:val="000000"/>
        </w:rPr>
        <w:t>”</w:t>
      </w:r>
      <w:r>
        <w:rPr>
          <w:rFonts w:ascii="Times New Roman;sans-serif" w:hAnsi="Times New Roman;sans-serif"/>
          <w:b w:val="false"/>
          <w:color w:val="000000"/>
          <w:sz w:val="22"/>
        </w:rPr>
        <w:t>), the form of such Joint Election being formally approved by HMRC, and any other consent or elections required to accomplish the transfer of the Employer NICs liability to Participant. Participant further agrees to execute such other elections as may be required by any successor to the Company and/or the Employer for the purpose of continuing the effectiveness of Participant’s Joint Election. If Participant does not complete the Joint Election prior to vesting of the PSUs, or if approval of the Joint Election is withdrawn by HMRC and a new Joint Election is not entered into, the PSUs shall become null and void and will not vest, without any liability to the Company, the Employer or any Affiliate.</w:t>
      </w:r>
    </w:p>
    <w:p>
      <w:pPr>
        <w:pStyle w:val="TextBody"/>
        <w:bidi w:val="0"/>
        <w:spacing w:before="0" w:after="24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175260"/>
                <wp:effectExtent l="0" t="0" r="0" b="0"/>
                <wp:wrapNone/>
                <wp:docPr id="194" name="Frame1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2"/>
                              </w:rPr>
                              <w:t>-23-</w:t>
                            </w:r>
                            <w:r>
                              <w:rPr>
                                <w:color w:val="000000"/>
                              </w:rPr>
                              <w:t xml:space="preserve">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2"/>
                        </w:rPr>
                        <w:t>-23-</w:t>
                      </w:r>
                      <w:r>
                        <w:rPr>
                          <w:color w:val="000000"/>
                        </w:rPr>
                        <w:t xml:space="preserve"> </w:t>
                      </w:r>
                    </w:p>
                  </w:txbxContent>
                </v:textbox>
                <w10:wrap type="none"/>
              </v:rect>
            </w:pict>
          </mc:Fallback>
        </mc:AlternateContent>
      </w:r>
    </w:p>
    <w:p>
      <w:pPr>
        <w:pStyle w:val="TextBody"/>
        <w:bidi w:val="0"/>
        <w:spacing w:lineRule="auto" w:line="240" w:before="120" w:after="283"/>
        <w:jc w:val="right"/>
        <w:rPr>
          <w:rFonts w:ascii="Times New Roman;sans-serif" w:hAnsi="Times New Roman;sans-serif"/>
          <w:b/>
          <w:color w:val="000000"/>
          <w:sz w:val="22"/>
        </w:rPr>
      </w:pPr>
      <w:r>
        <w:rPr>
          <w:rFonts w:ascii="Times New Roman;sans-serif" w:hAnsi="Times New Roman;sans-serif"/>
          <w:b/>
          <w:color w:val="000000"/>
          <w:sz w:val="22"/>
        </w:rPr>
        <w:t>Exhibit 10.14</w:t>
      </w:r>
    </w:p>
    <w:p>
      <w:pPr>
        <w:pStyle w:val="TextBody"/>
        <w:bidi w:val="0"/>
        <w:spacing w:lineRule="auto" w:line="240" w:before="240" w:after="283"/>
        <w:jc w:val="center"/>
        <w:rPr>
          <w:rFonts w:ascii="Times New Roman;sans-serif" w:hAnsi="Times New Roman;sans-serif"/>
          <w:b/>
          <w:color w:val="000000"/>
          <w:sz w:val="22"/>
        </w:rPr>
      </w:pPr>
      <w:r>
        <w:rPr>
          <w:rFonts w:ascii="Times New Roman;sans-serif" w:hAnsi="Times New Roman;sans-serif"/>
          <w:b/>
          <w:color w:val="000000"/>
          <w:sz w:val="22"/>
        </w:rPr>
        <w:t>MAGNITE, INC.</w:t>
      </w:r>
    </w:p>
    <w:p>
      <w:pPr>
        <w:pStyle w:val="TextBody"/>
        <w:bidi w:val="0"/>
        <w:spacing w:lineRule="auto" w:line="240" w:before="120" w:after="283"/>
        <w:jc w:val="center"/>
        <w:rPr>
          <w:rFonts w:ascii="Times New Roman;sans-serif" w:hAnsi="Times New Roman;sans-serif"/>
          <w:b/>
          <w:color w:val="000000"/>
          <w:sz w:val="22"/>
        </w:rPr>
      </w:pPr>
      <w:r>
        <w:rPr>
          <w:rFonts w:ascii="Times New Roman;sans-serif" w:hAnsi="Times New Roman;sans-serif"/>
          <w:b/>
          <w:color w:val="000000"/>
          <w:sz w:val="22"/>
        </w:rPr>
        <w:t>AMENDED AND RESTATED 2014 EQUITY INCENTIVE PLAN</w:t>
      </w:r>
    </w:p>
    <w:p>
      <w:pPr>
        <w:pStyle w:val="TextBody"/>
        <w:bidi w:val="0"/>
        <w:spacing w:lineRule="auto" w:line="240" w:before="120" w:after="283"/>
        <w:jc w:val="center"/>
        <w:rPr>
          <w:rFonts w:ascii="Times New Roman;sans-serif" w:hAnsi="Times New Roman;sans-serif"/>
          <w:b/>
          <w:color w:val="000000"/>
          <w:sz w:val="22"/>
        </w:rPr>
      </w:pPr>
      <w:r>
        <w:rPr>
          <w:rFonts w:ascii="Times New Roman;sans-serif" w:hAnsi="Times New Roman;sans-serif"/>
          <w:b/>
          <w:color w:val="000000"/>
          <w:sz w:val="22"/>
        </w:rPr>
        <w:t>RESTRICTED STOCK UNIT GRANT NOTICE</w:t>
      </w:r>
    </w:p>
    <w:p>
      <w:pPr>
        <w:pStyle w:val="TextBody"/>
        <w:bidi w:val="0"/>
        <w:spacing w:lineRule="auto" w:line="240" w:before="120" w:after="283"/>
        <w:jc w:val="center"/>
        <w:rPr>
          <w:rFonts w:ascii="Times New Roman;sans-serif" w:hAnsi="Times New Roman;sans-serif"/>
          <w:b/>
          <w:color w:val="000000"/>
          <w:sz w:val="22"/>
        </w:rPr>
      </w:pPr>
      <w:r>
        <w:rPr>
          <w:rFonts w:ascii="Times New Roman;sans-serif" w:hAnsi="Times New Roman;sans-serif"/>
          <w:b/>
          <w:color w:val="000000"/>
          <w:sz w:val="22"/>
        </w:rPr>
        <w:t xml:space="preserve">FOR NON-EMPLOYEE DIRECTORS </w:t>
      </w:r>
    </w:p>
    <w:p>
      <w:pPr>
        <w:pStyle w:val="TextBody"/>
        <w:bidi w:val="0"/>
        <w:spacing w:lineRule="auto" w:line="240" w:before="360" w:after="283"/>
        <w:jc w:val="both"/>
        <w:rPr/>
      </w:pPr>
      <w:r>
        <w:rPr>
          <w:color w:val="000000"/>
        </w:rPr>
        <w:t>    </w:t>
      </w:r>
      <w:r>
        <w:rPr>
          <w:rFonts w:ascii="Times New Roman;sans-serif" w:hAnsi="Times New Roman;sans-serif"/>
          <w:b w:val="false"/>
          <w:color w:val="000000"/>
          <w:sz w:val="22"/>
        </w:rPr>
        <w:t>Notice is hereby given of the grant by Magnite, Inc. (the “</w:t>
      </w:r>
      <w:r>
        <w:rPr>
          <w:rFonts w:ascii="Times New Roman;sans-serif" w:hAnsi="Times New Roman;sans-serif"/>
          <w:b/>
          <w:color w:val="000000"/>
          <w:sz w:val="22"/>
        </w:rPr>
        <w:t>Company</w:t>
      </w:r>
      <w:r>
        <w:rPr>
          <w:color w:val="000000"/>
        </w:rPr>
        <w:t>”</w:t>
      </w:r>
      <w:r>
        <w:rPr>
          <w:rFonts w:ascii="Times New Roman;sans-serif" w:hAnsi="Times New Roman;sans-serif"/>
          <w:b w:val="false"/>
          <w:color w:val="000000"/>
          <w:sz w:val="22"/>
        </w:rPr>
        <w:t>) to the Participant named below (the “</w:t>
      </w:r>
      <w:r>
        <w:rPr>
          <w:rFonts w:ascii="Times New Roman;sans-serif" w:hAnsi="Times New Roman;sans-serif"/>
          <w:b/>
          <w:color w:val="000000"/>
          <w:sz w:val="22"/>
        </w:rPr>
        <w:t>Participant</w:t>
      </w:r>
      <w:r>
        <w:rPr>
          <w:color w:val="000000"/>
        </w:rPr>
        <w:t>”</w:t>
      </w:r>
      <w:r>
        <w:rPr>
          <w:rFonts w:ascii="Times New Roman;sans-serif" w:hAnsi="Times New Roman;sans-serif"/>
          <w:b w:val="false"/>
          <w:color w:val="000000"/>
          <w:sz w:val="22"/>
        </w:rPr>
        <w:t>) of a Restricted Stock Unit Award under the Company’s Amended and Restated 2014 Equity Incentive Plan (the “</w:t>
      </w:r>
      <w:r>
        <w:rPr>
          <w:rFonts w:ascii="Times New Roman;sans-serif" w:hAnsi="Times New Roman;sans-serif"/>
          <w:b/>
          <w:color w:val="000000"/>
          <w:sz w:val="22"/>
        </w:rPr>
        <w:t>Plan</w:t>
      </w:r>
      <w:r>
        <w:rPr>
          <w:color w:val="000000"/>
        </w:rPr>
        <w:t>”</w:t>
      </w:r>
      <w:r>
        <w:rPr>
          <w:rFonts w:ascii="Times New Roman;sans-serif" w:hAnsi="Times New Roman;sans-serif"/>
          <w:b w:val="false"/>
          <w:color w:val="000000"/>
          <w:sz w:val="22"/>
        </w:rPr>
        <w:t>), which is enclosed hereto as Annex I and incorporated herein by reference. This Restricted Stock Unit Award is governed by this Restricted Stock Unit Grant Notice (including any special terms and conditions set forth in any appendices attached hereto) (the “</w:t>
      </w:r>
      <w:r>
        <w:rPr>
          <w:rFonts w:ascii="Times New Roman;sans-serif" w:hAnsi="Times New Roman;sans-serif"/>
          <w:b/>
          <w:color w:val="000000"/>
          <w:sz w:val="22"/>
        </w:rPr>
        <w:t>Notice</w:t>
      </w:r>
      <w:r>
        <w:rPr>
          <w:color w:val="000000"/>
        </w:rPr>
        <w:t>”</w:t>
      </w:r>
      <w:r>
        <w:rPr>
          <w:rFonts w:ascii="Times New Roman;sans-serif" w:hAnsi="Times New Roman;sans-serif"/>
          <w:b w:val="false"/>
          <w:color w:val="000000"/>
          <w:sz w:val="22"/>
        </w:rPr>
        <w:t xml:space="preserve">), and the Plan, and in the event of a conflict between the terms of this Notice and the Plan, the terms of the Plan shall control. By acknowledgement of and agreement with the terms of the Restricted Stock Unit Award, and also by acceptance through performance of the vesting requirements and the Shares issuable upon vesting, Participant agrees to the terms and conditions set forth in this Notice (including any special terms and conditions set forth in any appendices attached hereto) and the Plan. Capitalized terms used but not defined in this Notice shall have the meanings given to them in the Plan. </w:t>
      </w:r>
    </w:p>
    <w:p>
      <w:pPr>
        <w:pStyle w:val="TextBody"/>
        <w:bidi w:val="0"/>
        <w:spacing w:lineRule="auto" w:line="240" w:before="360" w:after="283"/>
        <w:jc w:val="both"/>
        <w:rPr/>
      </w:pPr>
      <w:r>
        <w:rPr>
          <w:color w:val="000000"/>
        </w:rPr>
        <w:t>    </w:t>
      </w:r>
      <w:r>
        <w:rPr>
          <w:rFonts w:ascii="Times New Roman;sans-serif" w:hAnsi="Times New Roman;sans-serif"/>
          <w:b w:val="false"/>
          <w:color w:val="000000"/>
          <w:sz w:val="22"/>
        </w:rPr>
        <w:t>The Restricted Stock Unit Award consists of the number of Restricted Stock Units set forth below (the “</w:t>
      </w:r>
      <w:r>
        <w:rPr>
          <w:rFonts w:ascii="Times New Roman;sans-serif" w:hAnsi="Times New Roman;sans-serif"/>
          <w:b/>
          <w:color w:val="000000"/>
          <w:sz w:val="22"/>
        </w:rPr>
        <w:t>Restricted Stock Units</w:t>
      </w:r>
      <w:r>
        <w:rPr>
          <w:color w:val="000000"/>
        </w:rPr>
        <w:t xml:space="preserve">” </w:t>
      </w:r>
      <w:r>
        <w:rPr>
          <w:rFonts w:ascii="Times New Roman;sans-serif" w:hAnsi="Times New Roman;sans-serif"/>
          <w:b w:val="false"/>
          <w:color w:val="000000"/>
          <w:sz w:val="22"/>
        </w:rPr>
        <w:t>or</w:t>
      </w:r>
      <w:r>
        <w:rPr>
          <w:color w:val="000000"/>
        </w:rPr>
        <w:t xml:space="preserve"> “</w:t>
      </w:r>
      <w:r>
        <w:rPr>
          <w:rFonts w:ascii="Times New Roman;sans-serif" w:hAnsi="Times New Roman;sans-serif"/>
          <w:b/>
          <w:color w:val="000000"/>
          <w:sz w:val="22"/>
        </w:rPr>
        <w:t>RSUs</w:t>
      </w:r>
      <w:r>
        <w:rPr>
          <w:color w:val="000000"/>
        </w:rPr>
        <w:t>”</w:t>
      </w:r>
      <w:r>
        <w:rPr>
          <w:rFonts w:ascii="Times New Roman;sans-serif" w:hAnsi="Times New Roman;sans-serif"/>
          <w:b w:val="false"/>
          <w:color w:val="000000"/>
          <w:sz w:val="22"/>
        </w:rPr>
        <w:t>). Each RSU represents the right to receive one share (a “</w:t>
      </w:r>
      <w:r>
        <w:rPr>
          <w:rFonts w:ascii="Times New Roman;sans-serif" w:hAnsi="Times New Roman;sans-serif"/>
          <w:b/>
          <w:color w:val="000000"/>
          <w:sz w:val="22"/>
        </w:rPr>
        <w:t>Share</w:t>
      </w:r>
      <w:r>
        <w:rPr>
          <w:color w:val="000000"/>
        </w:rPr>
        <w:t>”</w:t>
      </w:r>
      <w:r>
        <w:rPr>
          <w:rFonts w:ascii="Times New Roman;sans-serif" w:hAnsi="Times New Roman;sans-serif"/>
          <w:b w:val="false"/>
          <w:color w:val="000000"/>
          <w:sz w:val="22"/>
        </w:rPr>
        <w:t>) of the Company’s Common Stock, par value $0.00001 (the “</w:t>
      </w:r>
      <w:r>
        <w:rPr>
          <w:rFonts w:ascii="Times New Roman;sans-serif" w:hAnsi="Times New Roman;sans-serif"/>
          <w:b/>
          <w:color w:val="000000"/>
          <w:sz w:val="22"/>
        </w:rPr>
        <w:t>Common Stock</w:t>
      </w:r>
      <w:r>
        <w:rPr>
          <w:color w:val="000000"/>
        </w:rPr>
        <w:t>”</w:t>
      </w:r>
      <w:r>
        <w:rPr>
          <w:rFonts w:ascii="Times New Roman;sans-serif" w:hAnsi="Times New Roman;sans-serif"/>
          <w:b w:val="false"/>
          <w:color w:val="000000"/>
          <w:sz w:val="22"/>
        </w:rPr>
        <w:t>), subject to vesting as set forth below and to the terms and conditions of the Plan and this Notice, as follows:</w:t>
      </w:r>
    </w:p>
    <w:p>
      <w:pPr>
        <w:pStyle w:val="TextBody"/>
        <w:bidi w:val="0"/>
        <w:spacing w:before="0" w:after="0"/>
        <w:jc w:val="left"/>
        <w:rPr/>
      </w:pPr>
      <w:r>
        <w:rPr/>
      </w:r>
    </w:p>
    <w:tbl>
      <w:tblPr>
        <w:tblW w:w="5729" w:type="dxa"/>
        <w:jc w:val="left"/>
        <w:tblInd w:w="0" w:type="dxa"/>
        <w:tblLayout w:type="fixed"/>
        <w:tblCellMar>
          <w:top w:w="28" w:type="dxa"/>
          <w:left w:w="28" w:type="dxa"/>
          <w:bottom w:w="28" w:type="dxa"/>
          <w:right w:w="28" w:type="dxa"/>
        </w:tblCellMar>
      </w:tblPr>
      <w:tblGrid>
        <w:gridCol w:w="1194"/>
        <w:gridCol w:w="1050"/>
        <w:gridCol w:w="1055"/>
        <w:gridCol w:w="712"/>
        <w:gridCol w:w="712"/>
        <w:gridCol w:w="1006"/>
      </w:tblGrid>
      <w:tr>
        <w:trPr/>
        <w:tc>
          <w:tcPr>
            <w:tcW w:w="1194"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417" w:before="0" w:after="0"/>
              <w:ind w:left="0" w:right="0" w:hanging="0"/>
              <w:jc w:val="left"/>
              <w:rPr/>
            </w:pPr>
            <w:r>
              <w:rPr>
                <w:rFonts w:ascii="Times New Roman;sans-serif" w:hAnsi="Times New Roman;sans-serif"/>
                <w:b/>
                <w:color w:val="000000"/>
                <w:sz w:val="22"/>
              </w:rPr>
              <w:t>Participant Name</w:t>
            </w:r>
            <w:r>
              <w:rPr>
                <w:rFonts w:ascii="Times New Roman;sans-serif" w:hAnsi="Times New Roman;sans-serif"/>
                <w:b w:val="false"/>
                <w:color w:val="000000"/>
                <w:sz w:val="22"/>
              </w:rPr>
              <w:t>:</w:t>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___________________</w:t>
            </w:r>
          </w:p>
        </w:tc>
      </w:tr>
      <w:tr>
        <w:trPr/>
        <w:tc>
          <w:tcPr>
            <w:tcW w:w="3299" w:type="dxa"/>
            <w:gridSpan w:val="3"/>
            <w:tcBorders/>
            <w:tcMar>
              <w:top w:w="0" w:type="dxa"/>
              <w:left w:w="0" w:type="dxa"/>
              <w:bottom w:w="0" w:type="dxa"/>
              <w:right w:w="0" w:type="dxa"/>
            </w:tcMar>
            <w:vAlign w:val="center"/>
          </w:tcPr>
          <w:p>
            <w:pPr>
              <w:pStyle w:val="TableContents"/>
              <w:bidi w:val="0"/>
              <w:spacing w:lineRule="auto" w:line="417" w:before="0" w:after="0"/>
              <w:ind w:left="0" w:right="0" w:hanging="0"/>
              <w:jc w:val="left"/>
              <w:rPr/>
            </w:pPr>
            <w:r>
              <w:rPr>
                <w:rFonts w:ascii="Times New Roman;sans-serif" w:hAnsi="Times New Roman;sans-serif"/>
                <w:b/>
                <w:color w:val="000000"/>
                <w:sz w:val="20"/>
              </w:rPr>
              <w:t>Number of Restricted Stock Units</w:t>
            </w:r>
            <w:r>
              <w:rPr>
                <w:rFonts w:ascii="Times New Roman;sans-serif" w:hAnsi="Times New Roman;sans-serif"/>
                <w:b w:val="false"/>
                <w:color w:val="000000"/>
                <w:sz w:val="20"/>
              </w:rPr>
              <w:t>:</w:t>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___________________</w:t>
            </w:r>
          </w:p>
        </w:tc>
      </w:tr>
      <w:tr>
        <w:trPr/>
        <w:tc>
          <w:tcPr>
            <w:tcW w:w="3299" w:type="dxa"/>
            <w:gridSpan w:val="3"/>
            <w:tcBorders/>
            <w:tcMar>
              <w:top w:w="0" w:type="dxa"/>
              <w:left w:w="0" w:type="dxa"/>
              <w:bottom w:w="0" w:type="dxa"/>
              <w:right w:w="0" w:type="dxa"/>
            </w:tcMar>
            <w:vAlign w:val="center"/>
          </w:tcPr>
          <w:p>
            <w:pPr>
              <w:pStyle w:val="TableContents"/>
              <w:bidi w:val="0"/>
              <w:spacing w:lineRule="auto" w:line="417" w:before="0" w:after="0"/>
              <w:ind w:left="0" w:right="0" w:hanging="0"/>
              <w:jc w:val="left"/>
              <w:rPr/>
            </w:pPr>
            <w:r>
              <w:rPr>
                <w:rFonts w:ascii="Times New Roman;sans-serif" w:hAnsi="Times New Roman;sans-serif"/>
                <w:b/>
                <w:color w:val="000000"/>
                <w:sz w:val="22"/>
              </w:rPr>
              <w:t>Grant Date</w:t>
            </w:r>
            <w:r>
              <w:rPr>
                <w:rFonts w:ascii="Times New Roman;sans-serif" w:hAnsi="Times New Roman;sans-serif"/>
                <w:b w:val="false"/>
                <w:color w:val="000000"/>
                <w:sz w:val="22"/>
              </w:rPr>
              <w:t>:    </w:t>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___________________</w:t>
            </w:r>
          </w:p>
        </w:tc>
      </w:tr>
      <w:tr>
        <w:trPr/>
        <w:tc>
          <w:tcPr>
            <w:tcW w:w="3299" w:type="dxa"/>
            <w:gridSpan w:val="3"/>
            <w:tcBorders/>
            <w:tcMar>
              <w:top w:w="0" w:type="dxa"/>
              <w:left w:w="0" w:type="dxa"/>
              <w:bottom w:w="0" w:type="dxa"/>
              <w:right w:w="0" w:type="dxa"/>
            </w:tcMar>
            <w:vAlign w:val="center"/>
          </w:tcPr>
          <w:p>
            <w:pPr>
              <w:pStyle w:val="TableContents"/>
              <w:bidi w:val="0"/>
              <w:spacing w:lineRule="auto" w:line="417" w:before="0" w:after="0"/>
              <w:ind w:left="0" w:right="0" w:hanging="0"/>
              <w:jc w:val="left"/>
              <w:rPr/>
            </w:pPr>
            <w:r>
              <w:rPr>
                <w:rFonts w:ascii="Times New Roman;sans-serif" w:hAnsi="Times New Roman;sans-serif"/>
                <w:b/>
                <w:color w:val="000000"/>
                <w:sz w:val="22"/>
              </w:rPr>
              <w:t>Vesting Commencement Date</w:t>
            </w:r>
            <w:r>
              <w:rPr>
                <w:rFonts w:ascii="Times New Roman;sans-serif" w:hAnsi="Times New Roman;sans-serif"/>
                <w:b w:val="false"/>
                <w:color w:val="000000"/>
                <w:sz w:val="22"/>
              </w:rPr>
              <w:t>:    </w:t>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___________________</w:t>
            </w:r>
          </w:p>
        </w:tc>
      </w:tr>
    </w:tbl>
    <w:p>
      <w:pPr>
        <w:pStyle w:val="TextBody"/>
        <w:bidi w:val="0"/>
        <w:spacing w:lineRule="auto" w:line="240" w:before="240" w:after="283"/>
        <w:ind w:left="0" w:right="0" w:firstLine="720"/>
        <w:jc w:val="both"/>
        <w:rPr/>
      </w:pPr>
      <w:r>
        <w:rPr>
          <w:rFonts w:ascii="Times New Roman;sans-serif" w:hAnsi="Times New Roman;sans-serif"/>
          <w:b/>
          <w:color w:val="000000"/>
          <w:sz w:val="22"/>
        </w:rPr>
        <w:t>Vesting Schedule</w:t>
      </w:r>
      <w:r>
        <w:rPr>
          <w:rFonts w:ascii="Times New Roman;sans-serif" w:hAnsi="Times New Roman;sans-serif"/>
          <w:b w:val="false"/>
          <w:color w:val="000000"/>
          <w:sz w:val="22"/>
        </w:rPr>
        <w:t>:</w:t>
      </w:r>
      <w:r>
        <w:rPr>
          <w:color w:val="000000"/>
        </w:rPr>
        <w:t xml:space="preserve"> </w:t>
      </w:r>
    </w:p>
    <w:p>
      <w:pPr>
        <w:pStyle w:val="TextBody"/>
        <w:bidi w:val="0"/>
        <w:spacing w:lineRule="auto" w:line="240" w:before="240"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This award shall, subject to Continuous Service on the Board, vest on the earlier of (i) immediately prior to the first Annual Meeting following the Grant Date or (ii) the one year anniversary of the grant date. Notwithstanding the foregoing, if Participant is serving on the Board at the time of a Change in Control, the RSUs shall become fully vested upon (but effective immediately prior to) the occurrence of the Change in Control. Furthermore, if Participant ceases service on the Board for any reason other than removal for cause, any unvested RSUs shall become vested with respect to a number of underlying Shares (up to but not exceeding the number of unvested Shares remaining subject to this award) equal to the product of the total number of RSUs and a fraction, the numerator of which is the number of full 30-day periods beginning on the Grant Date and ending on the date of cessation of Board service, and the denominator of which is the number of 30-day periods used to calculate the number of RSUs subject to this award. In the event that Participant is removed from the Board for cause, vesting will cease and any and all unvested RSUs shall automatically terminate.</w:t>
      </w:r>
    </w:p>
    <w:p>
      <w:pPr>
        <w:pStyle w:val="TextBody"/>
        <w:bidi w:val="0"/>
        <w:spacing w:lineRule="auto" w:line="240" w:before="240" w:after="283"/>
        <w:jc w:val="left"/>
        <w:rPr/>
      </w:pPr>
      <w:r>
        <w:rPr>
          <w:color w:val="000000"/>
        </w:rPr>
        <w:t>    </w:t>
      </w:r>
      <w:r>
        <w:rPr>
          <w:rFonts w:ascii="Times New Roman;sans-serif" w:hAnsi="Times New Roman;sans-serif"/>
          <w:b w:val="false"/>
          <w:color w:val="000000"/>
          <w:sz w:val="22"/>
        </w:rPr>
        <w:t>The Restricted Stock Unit Award is subject to the terms and conditions, and the representations of Participant, set forth below.</w:t>
      </w:r>
    </w:p>
    <w:p>
      <w:pPr>
        <w:pStyle w:val="TextBody"/>
        <w:bidi w:val="0"/>
        <w:spacing w:before="0" w:after="0"/>
        <w:jc w:val="left"/>
        <w:rPr/>
      </w:pPr>
      <w:r>
        <w:rPr/>
      </w:r>
    </w:p>
    <w:p>
      <w:pPr>
        <w:pStyle w:val="TextBody"/>
        <w:bidi w:val="0"/>
        <w:spacing w:lineRule="auto" w:line="304" w:before="0" w:after="240"/>
        <w:ind w:left="0" w:right="0" w:firstLine="720"/>
        <w:jc w:val="both"/>
        <w:rPr/>
      </w:pPr>
      <w:r>
        <w:rPr>
          <w:rFonts w:ascii="Times New Roman;sans-serif" w:hAnsi="Times New Roman;sans-serif"/>
          <w:b/>
          <w:color w:val="000000"/>
          <w:sz w:val="22"/>
        </w:rPr>
        <w:t>1.    Vesting of RSUs and Payment of Shares</w:t>
      </w:r>
      <w:r>
        <w:rPr>
          <w:rFonts w:ascii="Times New Roman;sans-serif" w:hAnsi="Times New Roman;sans-serif"/>
          <w:b w:val="false"/>
          <w:color w:val="000000"/>
          <w:sz w:val="22"/>
        </w:rPr>
        <w:t xml:space="preserve">.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(a) </w:t>
      </w:r>
      <w:r>
        <w:rPr>
          <w:rFonts w:ascii="Times New Roman;sans-serif" w:hAnsi="Times New Roman;sans-serif"/>
          <w:b w:val="false"/>
          <w:color w:val="000000"/>
          <w:sz w:val="22"/>
          <w:u w:val="single"/>
        </w:rPr>
        <w:t>Prior to Vesting</w:t>
      </w:r>
      <w:r>
        <w:rPr>
          <w:rFonts w:ascii="Times New Roman;sans-serif" w:hAnsi="Times New Roman;sans-serif"/>
          <w:b w:val="false"/>
          <w:color w:val="000000"/>
          <w:sz w:val="22"/>
        </w:rPr>
        <w:t xml:space="preserve">. Prior to vesting the Restricted Stock Units represent only an unsecured obligation of the Company, for which there is no trust and no obligation other than to make payment as contemplated by this Notice and the Plan. Neither Participant nor any person claiming under or through Participant will have any of the rights or privileges of a stockholder of the Company in respect of any Restricted Stock Units, or any Shares deliverable hereunder unless and until such RSUs have vested in the </w:t>
      </w:r>
    </w:p>
    <w:p>
      <w:pPr>
        <w:pStyle w:val="TextBody"/>
        <w:bidi w:val="0"/>
        <w:spacing w:before="0" w:after="0"/>
        <w:jc w:val="center"/>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175260"/>
                <wp:effectExtent l="0" t="0" r="0" b="0"/>
                <wp:wrapNone/>
                <wp:docPr id="195" name="Frame1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2"/>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2"/>
                        </w:rPr>
                        <w:t>-1-</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manner set forth in the Vesting Schedule above and the underlying Shares have been issued and recorded on the records of the Company or its transfer agents or registrars. No adjustment shall be made for any dividends (ordinary or extraordinary, whether cash, securities, or other property) or distributions or other rights for which the record date is prior to the date Shares are issued, except as provided in Section 10 of the Plan.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(b) </w:t>
      </w:r>
      <w:r>
        <w:rPr>
          <w:rFonts w:ascii="Times New Roman;sans-serif" w:hAnsi="Times New Roman;sans-serif"/>
          <w:b w:val="false"/>
          <w:color w:val="000000"/>
          <w:sz w:val="22"/>
          <w:u w:val="single"/>
        </w:rPr>
        <w:t>Vesting and Payment</w:t>
      </w:r>
      <w:r>
        <w:rPr>
          <w:rFonts w:ascii="Times New Roman;sans-serif" w:hAnsi="Times New Roman;sans-serif"/>
          <w:b w:val="false"/>
          <w:color w:val="000000"/>
          <w:sz w:val="22"/>
        </w:rPr>
        <w:t xml:space="preserve">. Each Restricted Stock Unit represents the right to receive payment in the form of one Share, subject to the vesting requirements set forth herein. Subject to any deferral election made by Participant, Shares shall be issued to Participant upon or following vesting of the RSUs to which they relate in accordance with the terms of this Notice. In the event that Participant elects to defer the issuance of Shares after the time of vesting, the timing of issuance shall be determined by the terms of such deferral election and applicable law. Any restrictions that lapse with respect to Restricted Stock Units upon vesting will lapse with respect to whole Shares. Any distribution or delivery of Shares to be made to Participant will, if Participant is then deceased, be made to Participant’s designated beneficiary, or if no beneficiary survives Participant, the administrator or executor of Participant’s estate. Any such transferee must furnish the Company with written notice of his or her status as transferee and evidence satisfactory to the Company to establish the validity of the transfer and compliance with any laws or regulations pertaining to said transfer. After RSUs have vested in the manner set forth in the Vesting Schedule above and the underlying Shares have been issued and recorded on the records of the Company or its transfer agents or registrars, Participant will have all the rights of a stockholder of the Company with respect to voting such Shares and receipt of dividends and distributions on such Shares.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(c) </w:t>
      </w:r>
      <w:r>
        <w:rPr>
          <w:rFonts w:ascii="Times New Roman;sans-serif" w:hAnsi="Times New Roman;sans-serif"/>
          <w:b w:val="false"/>
          <w:color w:val="000000"/>
          <w:sz w:val="22"/>
          <w:u w:val="single"/>
        </w:rPr>
        <w:t>409A</w:t>
      </w:r>
      <w:r>
        <w:rPr>
          <w:rFonts w:ascii="Times New Roman;sans-serif" w:hAnsi="Times New Roman;sans-serif"/>
          <w:b w:val="false"/>
          <w:color w:val="000000"/>
          <w:sz w:val="22"/>
        </w:rPr>
        <w:t>. Notwithstanding anything in the Plan, this Notice, or any Separate Agreement to the contrary, if the vesting of the balance, or some lesser portion of the balance, of the Restricted Stock Units is accelerated in connection with the termination of Participant’s Continuous Service (provided that such termination is a “separation from service” within the meaning of Section 409A, as determined by the Company), other than due to death, and if (x) Participant is a “specified employee” within the meaning of Section 409A at the time of the termination of Participant’s Service and (y) the payment of such accelerated Restricted Stock Units will result in the imposition of additional tax under Section 409A if paid to Participant on or within the six (6) month period following the termination of Participant’s Service, then the payment of such accelerated Restricted Stock Units will not be made until the date that is six (6) months and one (1) day following the date of termination of Participant’s Continuous Service, unless Participant dies following the date his or her Continuous Service terminates, in which case, the RSUs will be paid in Shares to Participant’s estate as soon as practicable following his or her death. It is the intent of this Notice that the grant of Restricted Stock Units and any Shares issuable upon vesting of the Restricted Stock Units be exempt from the requirements of Section 409A to the greatest extent provided under the regulations promulgated so that none of the Restricted Stock Units or Shares issuable upon vesting of RSUs will be subject to the additional tax imposed under Section 409A, and any ambiguities herein will be interpreted to so comply. To the extent that any Restricted Stock Units or any Shares issuable under the terms of any Restricted Stock Units are determined to be subject to the requirements of Section 409A, it is the intent of this Notice that the award comply with Section 409A, and any ambiguities will be interpreted to so comply. For purposes of this Notice, “</w:t>
      </w:r>
      <w:r>
        <w:rPr>
          <w:rFonts w:ascii="Times New Roman;sans-serif" w:hAnsi="Times New Roman;sans-serif"/>
          <w:b/>
          <w:color w:val="000000"/>
          <w:sz w:val="22"/>
        </w:rPr>
        <w:t>Section 409A</w:t>
      </w:r>
      <w:r>
        <w:rPr>
          <w:color w:val="000000"/>
        </w:rPr>
        <w:t xml:space="preserve">” </w:t>
      </w:r>
      <w:r>
        <w:rPr>
          <w:rFonts w:ascii="Times New Roman;sans-serif" w:hAnsi="Times New Roman;sans-serif"/>
          <w:b w:val="false"/>
          <w:color w:val="000000"/>
          <w:sz w:val="22"/>
        </w:rPr>
        <w:t>means Section 409A of the Code, and any proposed, temporary or final Treasury Regulations and Internal Revenue Service guidance thereunder, as each may be amended from time to time.</w:t>
      </w:r>
    </w:p>
    <w:p>
      <w:pPr>
        <w:pStyle w:val="TextBody"/>
        <w:bidi w:val="0"/>
        <w:spacing w:lineRule="auto" w:line="240" w:before="0" w:after="240"/>
        <w:ind w:left="0" w:right="0" w:firstLine="720"/>
        <w:jc w:val="both"/>
        <w:rPr/>
      </w:pPr>
      <w:r>
        <w:rPr>
          <w:rFonts w:ascii="Times New Roman;sans-serif" w:hAnsi="Times New Roman;sans-serif"/>
          <w:b/>
          <w:color w:val="000000"/>
          <w:sz w:val="22"/>
        </w:rPr>
        <w:t>2.    Forfeiture Upon Termination of Continuous Service</w:t>
      </w:r>
      <w:r>
        <w:rPr>
          <w:rFonts w:ascii="Times New Roman;sans-serif" w:hAnsi="Times New Roman;sans-serif"/>
          <w:b w:val="false"/>
          <w:color w:val="000000"/>
          <w:sz w:val="22"/>
        </w:rPr>
        <w:t xml:space="preserve">. Except as otherwise provided in the vesting schedule set forth above in this Notice, if Participant ceases to remain in Continuous Service at any time for any reason, the then-unvested Restricted Stock Units will thereupon terminate and be forfeited at no cost to the Company and Participant will have no further rights with respect to such forfeited Restricted Stock Units or any underlying Shares. </w:t>
      </w:r>
    </w:p>
    <w:p>
      <w:pPr>
        <w:pStyle w:val="TextBody"/>
        <w:bidi w:val="0"/>
        <w:spacing w:lineRule="auto" w:line="240" w:before="0" w:after="240"/>
        <w:ind w:left="0" w:right="0" w:firstLine="720"/>
        <w:jc w:val="both"/>
        <w:rPr/>
      </w:pPr>
      <w:r>
        <w:rPr>
          <w:rFonts w:ascii="Times New Roman;sans-serif" w:hAnsi="Times New Roman;sans-serif"/>
          <w:b/>
          <w:color w:val="000000"/>
          <w:sz w:val="22"/>
        </w:rPr>
        <w:t>3.    Tax Consequences, Withholding, and Liability</w:t>
      </w:r>
      <w:r>
        <w:rPr>
          <w:rFonts w:ascii="Times New Roman;sans-serif" w:hAnsi="Times New Roman;sans-serif"/>
          <w:b w:val="false"/>
          <w:color w:val="000000"/>
          <w:sz w:val="22"/>
        </w:rPr>
        <w:t xml:space="preserve">. </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 Participant understands that Participant may suffer adverse tax consequences as a result of the grant or vesting of the Restricted Stock Units and issuance and/or disposition of the Shares. Participant understands that the actual tax consequences associated with the Restricted Stock Units and Shares are complicated and depend, in part, on Participant’s specific situation and may also depend on the resolution of currently uncertain tax law and other variables not within the control of the Company. THEREFORE, PARTICIPANT SHOULD SEEK INDEPENDENT ADVICE REGARDING THE APPLICABLE PROVISIONS OF THE FEDERAL TAX LAW AND THE TAX LAWS OF ANY </w:t>
      </w:r>
    </w:p>
    <w:p>
      <w:pPr>
        <w:pStyle w:val="TextBody"/>
        <w:bidi w:val="0"/>
        <w:spacing w:before="0" w:after="0"/>
        <w:jc w:val="center"/>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175260"/>
                <wp:effectExtent l="0" t="0" r="0" b="0"/>
                <wp:wrapNone/>
                <wp:docPr id="196" name="Frame1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2"/>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2"/>
                        </w:rPr>
                        <w:t>-2-</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MUNICIPALITY, STATE OR NON-U.S. JURISDICTION TO WHICH PARTICIPANT IS SUBJECT. By accepting (through performance) the Restricted Stock Units and any Shares, Participant acknowledges and agrees that Participant has either consulted with a competent tax advisor independent of the Company to obtain tax advice concerning the RSUs and Shares in light of Participant’s specific situation or has had the opportunity to consult with such a tax advisor and has chosen not to do so. Neither the Company nor any of its employees, counsel, or agents has provided to Participant, and Participant has not relied upon from the Company or any of its employees, counsel, or agents, any written or oral advice or representation regarding the U.S. federal, state, local or non-U.S. tax consequences of the receipt, ownership and vesting of the Restricted Stock Units, the issuance of Shares in connection with vesting of the Restricted Stock Units, the other transactions contemplated by this Notice, or the value of the Company or the RSUs or Shares at any time. With respect to such matters, Participant relies solely on Participant’s own advisors. </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(b) Participant (and not the Company) shall be responsible for determining and paying Participant’s own tax liability that may arise as a result of the receipt, ownership and vesting of the Restricted Stock Units, the issuance of Shares pursuant to the Restricted Stock Units, or the other transactions contemplated by this Notice. </w:t>
      </w:r>
    </w:p>
    <w:p>
      <w:pPr>
        <w:pStyle w:val="TextBody"/>
        <w:bidi w:val="0"/>
        <w:spacing w:lineRule="auto" w:line="240" w:before="0" w:after="240"/>
        <w:ind w:left="0" w:right="0" w:firstLine="720"/>
        <w:jc w:val="both"/>
        <w:rPr/>
      </w:pPr>
      <w:r>
        <w:rPr>
          <w:rFonts w:ascii="Times New Roman;sans-serif" w:hAnsi="Times New Roman;sans-serif"/>
          <w:b/>
          <w:color w:val="000000"/>
          <w:sz w:val="22"/>
        </w:rPr>
        <w:t>4.    No Guarantee of Continued Service</w:t>
      </w:r>
      <w:r>
        <w:rPr>
          <w:rFonts w:ascii="Times New Roman;sans-serif" w:hAnsi="Times New Roman;sans-serif"/>
          <w:b w:val="false"/>
          <w:color w:val="000000"/>
          <w:sz w:val="22"/>
        </w:rPr>
        <w:t xml:space="preserve">. THE VESTING OF THE RESTRICTED STOCK UNITS PURSUANT TO THE VESTING SCHEDULE APPLICABLE THERETO IS EARNED ONLY BY CONTINUOUS SERVICE AND NOT THROUGH THE ACT OF BEING RETAINED, BEING GRANTED A RESTRICTED STOCK UNIT AWARD OR ACQUIRING SHARES UPON VESTING OF RESTRICTED STOCK UNITS. THIS NOTICE, THE TRANSACTIONS CONTEMPLATED HEREUNDER AND THE VESTING SCHEDULE APPLICABLE TO RESTRICTED STOCK UNITS DO NOT CONSTITUTE AN EXPRESS OR IMPLIED PROMISE OF CONTINUED ENGAGEMENT TO PROVIDE SERVICE FOR THE VESTING PERIOD, FOR ANY PERIOD, OR AT ALL, AND SHALL NOT RESTRICT OR INTERFERE IN ANY WAY WITH PARTICIPANT’S RIGHT TO CEASE SERVICE ON THE BOARD AT ANY TIME FOR ANY REASON OR NO REASON OR THE RIGHT OF THE COMPANY TO REMOVE PARTICIPANT FROM THE BOARD IN ACCORDANCE WITH THE COMPANY’S CHARTER, BYLAWS AND GOVERNING LAW </w:t>
      </w:r>
    </w:p>
    <w:p>
      <w:pPr>
        <w:pStyle w:val="TextBody"/>
        <w:bidi w:val="0"/>
        <w:spacing w:lineRule="auto" w:line="304" w:before="0" w:after="240"/>
        <w:ind w:left="0" w:right="0" w:firstLine="720"/>
        <w:jc w:val="both"/>
        <w:rPr>
          <w:rFonts w:ascii="Times New Roman;sans-serif" w:hAnsi="Times New Roman;sans-serif"/>
          <w:b/>
          <w:color w:val="000000"/>
          <w:sz w:val="22"/>
        </w:rPr>
      </w:pPr>
      <w:r>
        <w:rPr>
          <w:rFonts w:ascii="Times New Roman;sans-serif" w:hAnsi="Times New Roman;sans-serif"/>
          <w:b/>
          <w:color w:val="000000"/>
          <w:sz w:val="22"/>
        </w:rPr>
        <w:t xml:space="preserve">5.    Participant Representations. </w:t>
      </w:r>
    </w:p>
    <w:p>
      <w:pPr>
        <w:pStyle w:val="TextBody"/>
        <w:bidi w:val="0"/>
        <w:spacing w:lineRule="auto" w:line="240" w:before="0" w:after="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(a) Participant acknowledges that (i) Participant was and is free to use professional advisors of Participant’s choice in connection with this Notice and grant of the Restricted Stock Units, that Participant understands this Notice and the meaning and consequences of receiving grants of RSUs and Shares issued upon vesting of RSUs; (ii) Participant has reviewed and understands this Notice and the Plan; (iii) receipt of the RSUs and any Shares issued upon vesting of the RSUs is voluntary and Participant is accepting (through performance) the RSUs and any Shares issued freely and without coercion or duress; and (iv) Participant has not received and is not relying, and will not rely, upon any advice, representations or assurances made by or on behalf of the Company or any of its Affiliates or any employee of or counsel to the Company or any of its Affiliates regarding any tax or other effects or implications of the RSUs or Shares or other matters contemplated by this award of Restricted Stock Units.</w:t>
      </w:r>
    </w:p>
    <w:p>
      <w:pPr>
        <w:pStyle w:val="TextBody"/>
        <w:bidi w:val="0"/>
        <w:spacing w:before="0" w:after="0"/>
        <w:jc w:val="both"/>
        <w:rPr/>
      </w:pPr>
      <w:r>
        <w:rPr/>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(b) Participant is aware of the Company’s business affairs and financial condition and understands that an investment in the Shares involves a high degree of risk. Participant has not received and is not relying, and will not rely, upon any advice, representations or assurances made by or on behalf of the Company or any of its Affiliates or any employee of or counsel to the Company or any of its Affiliates regarding the Company’s prospects or the value of the RSUs or Shares. </w:t>
      </w:r>
    </w:p>
    <w:p>
      <w:pPr>
        <w:pStyle w:val="TextBody"/>
        <w:bidi w:val="0"/>
        <w:spacing w:lineRule="auto" w:line="240" w:before="0" w:after="0"/>
        <w:ind w:left="0" w:right="0" w:firstLine="720"/>
        <w:jc w:val="both"/>
        <w:rPr/>
      </w:pPr>
      <w:r>
        <w:rPr>
          <w:rFonts w:ascii="Times New Roman;sans-serif" w:hAnsi="Times New Roman;sans-serif"/>
          <w:b/>
          <w:color w:val="000000"/>
          <w:sz w:val="22"/>
        </w:rPr>
        <w:t>6.    Additional Conditions to Issuance of Stock.</w:t>
      </w:r>
      <w:r>
        <w:rPr>
          <w:color w:val="000000"/>
        </w:rPr>
        <w:t xml:space="preserve"> </w:t>
      </w:r>
    </w:p>
    <w:p>
      <w:pPr>
        <w:pStyle w:val="TextBody"/>
        <w:bidi w:val="0"/>
        <w:spacing w:before="0" w:after="0"/>
        <w:ind w:left="0" w:right="0" w:firstLine="1440"/>
        <w:jc w:val="both"/>
        <w:rPr/>
      </w:pPr>
      <w:r>
        <w:rPr/>
      </w:r>
    </w:p>
    <w:p>
      <w:pPr>
        <w:pStyle w:val="TextBody"/>
        <w:bidi w:val="0"/>
        <w:spacing w:lineRule="auto" w:line="240"/>
        <w:ind w:left="0" w:right="0" w:firstLine="1440"/>
        <w:jc w:val="both"/>
        <w:rPr/>
      </w:pPr>
      <w:r>
        <w:rPr>
          <w:rFonts w:ascii="Times New Roman;sans-serif" w:hAnsi="Times New Roman;sans-serif"/>
          <w:b w:val="false"/>
          <w:color w:val="000000"/>
          <w:sz w:val="22"/>
        </w:rPr>
        <w:t>(a)    </w:t>
      </w:r>
      <w:r>
        <w:rPr>
          <w:rFonts w:ascii="Times New Roman;sans-serif" w:hAnsi="Times New Roman;sans-serif"/>
          <w:b w:val="false"/>
          <w:color w:val="000000"/>
          <w:sz w:val="22"/>
          <w:u w:val="single"/>
        </w:rPr>
        <w:t>Legal and Regulatory Compliance</w:t>
      </w:r>
      <w:r>
        <w:rPr>
          <w:rFonts w:ascii="Times New Roman;sans-serif" w:hAnsi="Times New Roman;sans-serif"/>
          <w:b w:val="false"/>
          <w:color w:val="000000"/>
          <w:sz w:val="22"/>
        </w:rPr>
        <w:t xml:space="preserve">. The issuance of Shares upon or after vesting of the Restricted Stock Units shall be subject to compliance with all applicable requirements of federal, state or foreign law with respect to such securities. If at any time the Company determines, in its discretion, that the listing, registration or qualification of the Shares upon any securities exchange or under any state or federal law, or the consent or approval of any governmental regulatory authority is necessary as a condition to the issuance of Shares to Participant (or his or her estate), such issuance will not occur unless and until such listing, registration, qualification, consent or approval will have been effected or obtained free of any conditions not acceptable to the Company. If the Company determines that the issuance of any Shares will </w:t>
      </w:r>
    </w:p>
    <w:p>
      <w:pPr>
        <w:pStyle w:val="TextBody"/>
        <w:bidi w:val="0"/>
        <w:spacing w:before="0" w:after="0"/>
        <w:jc w:val="center"/>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175260"/>
                <wp:effectExtent l="0" t="0" r="0" b="0"/>
                <wp:wrapNone/>
                <wp:docPr id="197" name="Frame1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2"/>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2"/>
                        </w:rPr>
                        <w:t>-3-</w:t>
                      </w:r>
                    </w:p>
                  </w:txbxContent>
                </v:textbox>
                <w10:wrap type="none"/>
              </v:rect>
            </w:pict>
          </mc:Fallback>
        </mc:AlternateContent>
      </w:r>
    </w:p>
    <w:p>
      <w:pPr>
        <w:pStyle w:val="TextBody"/>
        <w:bidi w:val="0"/>
        <w:spacing w:lineRule="auto" w:line="240" w:before="0" w:after="0"/>
        <w:jc w:val="both"/>
        <w:rPr/>
      </w:pPr>
      <w:r>
        <w:rPr>
          <w:rFonts w:ascii="Times New Roman;sans-serif" w:hAnsi="Times New Roman;sans-serif"/>
          <w:b w:val="false"/>
          <w:color w:val="000000"/>
          <w:sz w:val="22"/>
        </w:rPr>
        <w:t>violate federal securities laws or other applicable laws or regulations or the requirements of any exchange or market system upon which the Shares are listed, the Company may defer issuance until the earliest date at which the Company reasonably anticipates that the issuance of Shares will no longer cause such violation. Accordingly, Participant may not be able to receive Shares when desired even though the Restricted Stock Units have vested. The Company will make all reasonable efforts to meet the requirements of any such state or federal law or securities exchange and to obtain any such consent or approval of any such governmental authority, but the inability of the Company to obtain from any regulatory body having jurisdiction the authority, if any, deemed by the Company’s legal counsel to be necessary to the lawful issuance of any Shares shall relieve the Company of any liability in respect of the failure to issue such Shares as to which such requisite authority shall not have been obtained. As a condition to the issuance of Shares, the Company may require Participant to satisfy any qualifications that may be necessary or appropriate, to evidence compliance with any applicable law or regulation and to make any representation or warranty with respect thereto as may be requested by the Company. Without limiting the foregoing, if at the time of vesting of any Restricted Stock Units, there is not in effect under the Securities Act of 1933, as amended (the “</w:t>
      </w:r>
      <w:r>
        <w:rPr>
          <w:rFonts w:ascii="Times New Roman;sans-serif" w:hAnsi="Times New Roman;sans-serif"/>
          <w:b/>
          <w:color w:val="000000"/>
          <w:sz w:val="22"/>
        </w:rPr>
        <w:t>Securities Act</w:t>
      </w:r>
      <w:r>
        <w:rPr>
          <w:color w:val="000000"/>
        </w:rPr>
        <w:t>”</w:t>
      </w:r>
      <w:r>
        <w:rPr>
          <w:rFonts w:ascii="Times New Roman;sans-serif" w:hAnsi="Times New Roman;sans-serif"/>
          <w:b w:val="false"/>
          <w:color w:val="000000"/>
          <w:sz w:val="22"/>
        </w:rPr>
        <w:t>), a registration statement covering the Shares to be issued, and available for delivery a prospectus meeting the requirements of Section 10(a)(3) of the Securities Act, Participant shall, if required by the Company, as a condition to vesting and issuance of the Shares, make appropriate representations in a form satisfactory to the Company to support issuance of the Shares in compliance with applicable laws and regulations, including to the effect that such Shares will not be sold other than (A) pursuant to an effective registration statement under the Securities Act, or an applicable exemption from the registration requirements of such Act; (B) in compliance with all applicable state securities laws and regulations; and (C) in compliance with all terms and conditions of the Plan, this Notice, and any other written agreement between Participant and the Company or any of its Affiliates.</w:t>
      </w:r>
    </w:p>
    <w:p>
      <w:pPr>
        <w:pStyle w:val="TextBody"/>
        <w:bidi w:val="0"/>
        <w:spacing w:before="0" w:after="0"/>
        <w:ind w:left="0" w:right="0" w:firstLine="1440"/>
        <w:jc w:val="both"/>
        <w:rPr/>
      </w:pPr>
      <w:r>
        <w:rPr/>
      </w:r>
    </w:p>
    <w:p>
      <w:pPr>
        <w:pStyle w:val="TextBody"/>
        <w:bidi w:val="0"/>
        <w:spacing w:lineRule="auto" w:line="240" w:before="0" w:after="0"/>
        <w:ind w:left="0" w:right="0" w:firstLine="1440"/>
        <w:jc w:val="both"/>
        <w:rPr/>
      </w:pPr>
      <w:r>
        <w:rPr>
          <w:rFonts w:ascii="Times New Roman;sans-serif" w:hAnsi="Times New Roman;sans-serif"/>
          <w:b w:val="false"/>
          <w:color w:val="000000"/>
          <w:sz w:val="22"/>
        </w:rPr>
        <w:t>(b)    </w:t>
      </w:r>
      <w:r>
        <w:rPr>
          <w:rFonts w:ascii="Times New Roman;sans-serif" w:hAnsi="Times New Roman;sans-serif"/>
          <w:b w:val="false"/>
          <w:color w:val="000000"/>
          <w:sz w:val="22"/>
          <w:u w:val="single"/>
        </w:rPr>
        <w:t>Obligations to the Company</w:t>
      </w:r>
      <w:r>
        <w:rPr>
          <w:rFonts w:ascii="Times New Roman;sans-serif" w:hAnsi="Times New Roman;sans-serif"/>
          <w:b w:val="false"/>
          <w:color w:val="000000"/>
          <w:sz w:val="22"/>
        </w:rPr>
        <w:t>. As a condition to receipt and vesting of any Restricted Stock Units and issuance of Shares as a result of vesting, Participant must enter into the Company’s Intellectual Property Assignment and Confidential Information Agreement, or a similar or successor agreement for the protection of the Company’s intellectual property and confidential information, in form specified by the Company (the “</w:t>
      </w:r>
      <w:r>
        <w:rPr>
          <w:rFonts w:ascii="Times New Roman;sans-serif" w:hAnsi="Times New Roman;sans-serif"/>
          <w:b/>
          <w:color w:val="000000"/>
          <w:sz w:val="22"/>
        </w:rPr>
        <w:t>Proprietary Interests Agreement</w:t>
      </w:r>
      <w:r>
        <w:rPr>
          <w:color w:val="000000"/>
        </w:rPr>
        <w:t>”</w:t>
      </w:r>
      <w:r>
        <w:rPr>
          <w:rFonts w:ascii="Times New Roman;sans-serif" w:hAnsi="Times New Roman;sans-serif"/>
          <w:b w:val="false"/>
          <w:color w:val="000000"/>
          <w:sz w:val="22"/>
        </w:rPr>
        <w:t xml:space="preserve">), if Participant has not already done so, and Participant’s acceptance (through performance) of Restricted Stock Units and any Shares will constitute Participant’s agreement to the Proprietary Interests Agreement. If Participant breaches in any material respect the Proprietary Interests Agreement or any other contract between Participant and the Company, or Participant’s common law duty of confidentiality or trade secret protection, or any Company policy prohibiting misappropriation of property or any illegal or fraudulent acts, the Company may suspend any vesting of any Restricted Stock Units or issuance of any Shares pending Participant’s cure of such breach, and if such breach cannot be cured or is not cured to the Company’s reasonable satisfaction within such time not less than twenty (20) days as the Company may specify, the Company may terminate any Restricted Stock Units for which Shares have not been issued and will have no obligation to issue any Shares in respect of any such terminated Restricted Stock Units or to provide any consideration to Participant in respect thereof. </w:t>
      </w:r>
    </w:p>
    <w:p>
      <w:pPr>
        <w:pStyle w:val="TextBody"/>
        <w:bidi w:val="0"/>
        <w:spacing w:before="0" w:after="0"/>
        <w:ind w:left="0" w:right="0" w:firstLine="1440"/>
        <w:jc w:val="both"/>
        <w:rPr/>
      </w:pPr>
      <w:r>
        <w:rPr/>
      </w:r>
    </w:p>
    <w:p>
      <w:pPr>
        <w:pStyle w:val="TextBody"/>
        <w:bidi w:val="0"/>
        <w:spacing w:lineRule="auto" w:line="304" w:before="0" w:after="240"/>
        <w:ind w:left="0" w:right="0" w:firstLine="720"/>
        <w:jc w:val="both"/>
        <w:rPr>
          <w:rFonts w:ascii="Times New Roman;sans-serif" w:hAnsi="Times New Roman;sans-serif"/>
          <w:b/>
          <w:color w:val="000000"/>
          <w:sz w:val="22"/>
        </w:rPr>
      </w:pPr>
      <w:r>
        <w:rPr>
          <w:rFonts w:ascii="Times New Roman;sans-serif" w:hAnsi="Times New Roman;sans-serif"/>
          <w:b/>
          <w:color w:val="000000"/>
          <w:sz w:val="22"/>
        </w:rPr>
        <w:t>7.    Handling of Shares; Restrictive Legends and Stop-Transfer Orders.</w:t>
      </w:r>
    </w:p>
    <w:p>
      <w:pPr>
        <w:pStyle w:val="TextBody"/>
        <w:bidi w:val="0"/>
        <w:spacing w:lineRule="auto" w:line="240" w:before="240" w:after="283"/>
        <w:ind w:left="0" w:right="0" w:firstLine="1440"/>
        <w:jc w:val="both"/>
        <w:rPr/>
      </w:pPr>
      <w:r>
        <w:rPr>
          <w:rFonts w:ascii="Times New Roman;sans-serif" w:hAnsi="Times New Roman;sans-serif"/>
          <w:b w:val="false"/>
          <w:color w:val="000000"/>
          <w:sz w:val="22"/>
        </w:rPr>
        <w:t>(a)    </w:t>
      </w:r>
      <w:r>
        <w:rPr>
          <w:rFonts w:ascii="Times New Roman;sans-serif" w:hAnsi="Times New Roman;sans-serif"/>
          <w:b w:val="false"/>
          <w:color w:val="000000"/>
          <w:sz w:val="22"/>
          <w:u w:val="single"/>
        </w:rPr>
        <w:t>Book Entries</w:t>
      </w:r>
      <w:r>
        <w:rPr>
          <w:rFonts w:ascii="Times New Roman;sans-serif" w:hAnsi="Times New Roman;sans-serif"/>
          <w:b w:val="false"/>
          <w:color w:val="000000"/>
          <w:sz w:val="22"/>
        </w:rPr>
        <w:t xml:space="preserve">. The Company will cause the Shares to be recorded in book entry or other electronic form and reflected in records maintained by or for the Company. </w:t>
      </w:r>
    </w:p>
    <w:p>
      <w:pPr>
        <w:pStyle w:val="TextBody"/>
        <w:bidi w:val="0"/>
        <w:spacing w:before="0" w:after="0"/>
        <w:jc w:val="both"/>
        <w:rPr/>
      </w:pPr>
      <w:r>
        <w:rPr/>
      </w:r>
    </w:p>
    <w:p>
      <w:pPr>
        <w:pStyle w:val="TextBody"/>
        <w:bidi w:val="0"/>
        <w:spacing w:lineRule="auto" w:line="240" w:before="0" w:after="0"/>
        <w:ind w:left="0" w:right="0" w:firstLine="1440"/>
        <w:jc w:val="both"/>
        <w:rPr/>
      </w:pPr>
      <w:r>
        <w:rPr>
          <w:rFonts w:ascii="Times New Roman;sans-serif" w:hAnsi="Times New Roman;sans-serif"/>
          <w:b w:val="false"/>
          <w:color w:val="000000"/>
          <w:sz w:val="22"/>
        </w:rPr>
        <w:t>(b)    </w:t>
      </w:r>
      <w:r>
        <w:rPr>
          <w:rFonts w:ascii="Times New Roman;sans-serif" w:hAnsi="Times New Roman;sans-serif"/>
          <w:b w:val="false"/>
          <w:color w:val="000000"/>
          <w:sz w:val="22"/>
          <w:u w:val="single"/>
        </w:rPr>
        <w:t>Stop-Transfer Notices</w:t>
      </w:r>
      <w:r>
        <w:rPr>
          <w:rFonts w:ascii="Times New Roman;sans-serif" w:hAnsi="Times New Roman;sans-serif"/>
          <w:b w:val="false"/>
          <w:color w:val="000000"/>
          <w:sz w:val="22"/>
        </w:rPr>
        <w:t>. In order to ensure compliance with the restrictions referred to herein and Company policies, the Company may issue appropriate “stop transfer” instructions to its transfer agent, if any, and that, if the Company transfers its own securities, it may make appropriate notations to the same effect in its own records.</w:t>
      </w:r>
    </w:p>
    <w:p>
      <w:pPr>
        <w:pStyle w:val="TextBody"/>
        <w:bidi w:val="0"/>
        <w:spacing w:before="0" w:after="0"/>
        <w:jc w:val="both"/>
        <w:rPr/>
      </w:pPr>
      <w:r>
        <w:rPr/>
      </w:r>
    </w:p>
    <w:p>
      <w:pPr>
        <w:pStyle w:val="TextBody"/>
        <w:bidi w:val="0"/>
        <w:spacing w:lineRule="auto" w:line="240" w:before="0" w:after="0"/>
        <w:ind w:left="0" w:right="0" w:firstLine="1440"/>
        <w:jc w:val="both"/>
        <w:rPr/>
      </w:pPr>
      <w:r>
        <w:rPr>
          <w:rFonts w:ascii="Times New Roman;sans-serif" w:hAnsi="Times New Roman;sans-serif"/>
          <w:b w:val="false"/>
          <w:color w:val="000000"/>
          <w:sz w:val="22"/>
        </w:rPr>
        <w:t>(c)    </w:t>
      </w:r>
      <w:r>
        <w:rPr>
          <w:rFonts w:ascii="Times New Roman;sans-serif" w:hAnsi="Times New Roman;sans-serif"/>
          <w:b w:val="false"/>
          <w:color w:val="000000"/>
          <w:sz w:val="22"/>
          <w:u w:val="single"/>
        </w:rPr>
        <w:t>Refusal to Transfer</w:t>
      </w:r>
      <w:r>
        <w:rPr>
          <w:rFonts w:ascii="Times New Roman;sans-serif" w:hAnsi="Times New Roman;sans-serif"/>
          <w:b w:val="false"/>
          <w:color w:val="000000"/>
          <w:sz w:val="22"/>
        </w:rPr>
        <w:t>. The Company shall not be required (i) to transfer on its books any Shares that have been sold or otherwise transferred in violation of any of the provisions of this Notice or any other agreement to which the Shares are subject or any laws governing the Shares or (ii) to treat as owner of such Shares or to accord the right to vote or pay dividends to any purchaser or other transferee to whom such Shares shall have been so transferred.</w:t>
      </w:r>
    </w:p>
    <w:p>
      <w:pPr>
        <w:pStyle w:val="TextBody"/>
        <w:bidi w:val="0"/>
        <w:spacing w:before="0" w:after="0"/>
        <w:ind w:left="0" w:right="0" w:firstLine="1440"/>
        <w:jc w:val="both"/>
        <w:rPr/>
      </w:pPr>
      <w:r>
        <w:rPr/>
      </w:r>
    </w:p>
    <w:p>
      <w:pPr>
        <w:pStyle w:val="TextBody"/>
        <w:bidi w:val="0"/>
        <w:spacing w:lineRule="auto" w:line="240" w:before="0" w:after="240"/>
        <w:ind w:left="0" w:right="0" w:firstLine="720"/>
        <w:jc w:val="both"/>
        <w:rPr/>
      </w:pPr>
      <w:r>
        <w:rPr>
          <w:rFonts w:ascii="Times New Roman;sans-serif" w:hAnsi="Times New Roman;sans-serif"/>
          <w:b/>
          <w:color w:val="000000"/>
          <w:sz w:val="22"/>
        </w:rPr>
        <w:t xml:space="preserve">8.    Restrictions on Transfer. </w:t>
      </w:r>
      <w:r>
        <w:rPr>
          <w:rFonts w:ascii="Times New Roman;sans-serif" w:hAnsi="Times New Roman;sans-serif"/>
          <w:b w:val="false"/>
          <w:color w:val="000000"/>
          <w:sz w:val="22"/>
        </w:rPr>
        <w:t xml:space="preserve">Except as otherwise expressly provided in this Notice, the Restricted Stock Units will not be transferred, assigned, pledged or hypothecated in any way (whether by </w:t>
      </w:r>
    </w:p>
    <w:p>
      <w:pPr>
        <w:pStyle w:val="TextBody"/>
        <w:bidi w:val="0"/>
        <w:spacing w:before="0" w:after="0"/>
        <w:jc w:val="center"/>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175260"/>
                <wp:effectExtent l="0" t="0" r="0" b="0"/>
                <wp:wrapNone/>
                <wp:docPr id="198" name="Frame1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2"/>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2"/>
                        </w:rPr>
                        <w:t>-4-</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operation of law or otherwise) and will not be subject to sale under execution, attachment or similar process. Upon any attempt to transfer, assign, pledge, hypothecate or otherwise dispose of the Restricted Stock Units, or upon any attempted sale under any execution, attachment or similar process, the affected RSUs will become null and void. The Company may impose such restrictions, conditions or limitations as it determines appropriate as to the timing and manner of any resales by the Participant or other subsequent transfers by the Participant of any vested Shares, including without limitation (a) restrictions under an insider trading policy, (b) restrictions designed to delay and/or coordinate the timing and manner of sales by Participant and other holders, and (c) restrictions as to the use of a specified brokerage firm for such resales or other transfers.</w:t>
      </w:r>
    </w:p>
    <w:p>
      <w:pPr>
        <w:pStyle w:val="TextBody"/>
        <w:bidi w:val="0"/>
        <w:spacing w:lineRule="auto" w:line="240" w:before="0" w:after="240"/>
        <w:ind w:left="0" w:right="0" w:firstLine="720"/>
        <w:jc w:val="both"/>
        <w:rPr>
          <w:rFonts w:ascii="Times New Roman;sans-serif" w:hAnsi="Times New Roman;sans-serif"/>
          <w:b/>
          <w:color w:val="000000"/>
          <w:sz w:val="22"/>
        </w:rPr>
      </w:pPr>
      <w:r>
        <w:rPr>
          <w:rFonts w:ascii="Times New Roman;sans-serif" w:hAnsi="Times New Roman;sans-serif"/>
          <w:b/>
          <w:color w:val="000000"/>
          <w:sz w:val="22"/>
        </w:rPr>
        <w:t xml:space="preserve">9.    Additional Agreements.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(a) </w:t>
      </w:r>
      <w:r>
        <w:rPr>
          <w:rFonts w:ascii="Times New Roman;sans-serif" w:hAnsi="Times New Roman;sans-serif"/>
          <w:b w:val="false"/>
          <w:color w:val="000000"/>
          <w:sz w:val="22"/>
          <w:u w:val="single"/>
        </w:rPr>
        <w:t>Electronic Delivery</w:t>
      </w:r>
      <w:r>
        <w:rPr>
          <w:rFonts w:ascii="Times New Roman;sans-serif" w:hAnsi="Times New Roman;sans-serif"/>
          <w:b w:val="false"/>
          <w:color w:val="000000"/>
          <w:sz w:val="22"/>
        </w:rPr>
        <w:t>. The Company may, in its sole discretion, decide to deliver any documents related to Restricted Stock Units or Shares by electronic means or request Participant’s consent to participate in the Plan by electronic means. Participant hereby consents to receive such documents by electronic delivery and agrees to administration of this Notice, the RSUs and the Shares through any on-line or electronic system established and maintained by the Company or another third party designated by the Company.</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(b) </w:t>
      </w:r>
      <w:r>
        <w:rPr>
          <w:rFonts w:ascii="Times New Roman;sans-serif" w:hAnsi="Times New Roman;sans-serif"/>
          <w:b w:val="false"/>
          <w:color w:val="000000"/>
          <w:sz w:val="22"/>
          <w:u w:val="single"/>
        </w:rPr>
        <w:t>Proprietary Information</w:t>
      </w:r>
      <w:r>
        <w:rPr>
          <w:rFonts w:ascii="Times New Roman;sans-serif" w:hAnsi="Times New Roman;sans-serif"/>
          <w:b/>
          <w:color w:val="000000"/>
          <w:sz w:val="22"/>
        </w:rPr>
        <w:t xml:space="preserve">. </w:t>
      </w:r>
      <w:r>
        <w:rPr>
          <w:rFonts w:ascii="Times New Roman;sans-serif" w:hAnsi="Times New Roman;sans-serif"/>
          <w:b w:val="false"/>
          <w:color w:val="000000"/>
          <w:sz w:val="22"/>
        </w:rPr>
        <w:t>Participant agrees that all financial and other information relating to the Company furnished to Participant constitutes “Proprietary Information” that is the property of the Company. Participant shall hold in confidence and not disclose or, except within the scope of Participant’s Continuous Service, use any Proprietary Information. Participant shall not be obligated under this paragraph with respect to information Participant can document is or becomes readily publicly available without restriction through no fault of Participant. Upon termination of Participant’s Continuous Service, Participant shall promptly return to Company all items containing or embodying Proprietary Information (including all copies). This paragraph supplements, but does not limit, any other agreement between Participant and the Company, or any applicable law, related to protection, ownership, or use of the Company’s information or property.</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(c) </w:t>
      </w:r>
      <w:r>
        <w:rPr>
          <w:rFonts w:ascii="Times New Roman;sans-serif" w:hAnsi="Times New Roman;sans-serif"/>
          <w:b w:val="false"/>
          <w:color w:val="000000"/>
          <w:sz w:val="22"/>
          <w:u w:val="single"/>
        </w:rPr>
        <w:t>Consideration</w:t>
      </w:r>
      <w:r>
        <w:rPr>
          <w:rFonts w:ascii="Times New Roman;sans-serif" w:hAnsi="Times New Roman;sans-serif"/>
          <w:b w:val="false"/>
          <w:color w:val="000000"/>
          <w:sz w:val="22"/>
        </w:rPr>
        <w:t>. The Restricted Stock Units and Shares are issued in consideration of services provided by Participant and/or other benefit to the corporation within the meaning of Section 152 of the General Corporation Law of the State of Delaware; Participant is not required to make any cash payment to the Company in respect of issuance of Restricted Stock Units or Shares.</w:t>
      </w:r>
    </w:p>
    <w:p>
      <w:pPr>
        <w:pStyle w:val="TextBody"/>
        <w:bidi w:val="0"/>
        <w:spacing w:lineRule="auto" w:line="240" w:before="240" w:after="240"/>
        <w:ind w:left="0" w:right="0" w:firstLine="720"/>
        <w:jc w:val="both"/>
        <w:rPr/>
      </w:pPr>
      <w:r>
        <w:rPr>
          <w:rFonts w:ascii="Times New Roman;sans-serif" w:hAnsi="Times New Roman;sans-serif"/>
          <w:b/>
          <w:color w:val="000000"/>
          <w:sz w:val="22"/>
        </w:rPr>
        <w:t>10.</w:t>
      </w:r>
      <w:r>
        <w:rPr>
          <w:rFonts w:ascii="Times New Roman;sans-serif" w:hAnsi="Times New Roman;sans-serif"/>
          <w:b/>
          <w:i/>
          <w:color w:val="000000"/>
          <w:sz w:val="22"/>
        </w:rPr>
        <w:t>Data Privacy</w:t>
      </w:r>
      <w:r>
        <w:rPr>
          <w:rFonts w:ascii="Times New Roman;sans-serif" w:hAnsi="Times New Roman;sans-serif"/>
          <w:b/>
          <w:color w:val="000000"/>
          <w:sz w:val="22"/>
        </w:rPr>
        <w:t xml:space="preserve">. </w:t>
      </w:r>
      <w:r>
        <w:rPr>
          <w:rFonts w:ascii="Times New Roman;sans-serif" w:hAnsi="Times New Roman;sans-serif"/>
          <w:b/>
          <w:i/>
          <w:color w:val="000000"/>
          <w:sz w:val="22"/>
        </w:rPr>
        <w:t>If Participant would like to participate in the Plan, Participant understands Participant will need to review and acknowledge the information provided in this Section 10, which describes the processing and/or transfer of personal data as described below.</w:t>
      </w:r>
    </w:p>
    <w:p>
      <w:pPr>
        <w:pStyle w:val="TextBody"/>
        <w:bidi w:val="0"/>
        <w:spacing w:lineRule="auto" w:line="240" w:before="0" w:after="240"/>
        <w:ind w:left="0" w:right="0" w:firstLine="1440"/>
        <w:jc w:val="both"/>
        <w:rPr/>
      </w:pPr>
      <w:r>
        <w:rPr>
          <w:rFonts w:ascii="Times New Roman;sans-serif" w:hAnsi="Times New Roman;sans-serif"/>
          <w:b/>
          <w:i/>
          <w:color w:val="000000"/>
          <w:sz w:val="22"/>
        </w:rPr>
        <w:t>(a)</w:t>
      </w:r>
      <w:r>
        <w:rPr>
          <w:rFonts w:ascii="Times New Roman;sans-serif" w:hAnsi="Times New Roman;sans-serif"/>
          <w:b/>
          <w:i/>
          <w:color w:val="000000"/>
          <w:sz w:val="22"/>
          <w:u w:val="single"/>
        </w:rPr>
        <w:t>EEA+ Controller</w:t>
      </w:r>
      <w:r>
        <w:rPr>
          <w:rFonts w:ascii="Times New Roman;sans-serif" w:hAnsi="Times New Roman;sans-serif"/>
          <w:b/>
          <w:i/>
          <w:color w:val="000000"/>
          <w:sz w:val="22"/>
        </w:rPr>
        <w:t>. If Participant is based in the European Union (“EU”), the European Economic Area or the United Kingdom (collectively “EEA+”), Participant should note that the Company, with its registered address at 1250 Broadway, 15</w:t>
      </w:r>
      <w:r>
        <w:rPr>
          <w:rFonts w:ascii="Times New Roman;sans-serif" w:hAnsi="Times New Roman;sans-serif"/>
          <w:b/>
          <w:i/>
          <w:color w:val="000000"/>
          <w:sz w:val="14"/>
        </w:rPr>
        <w:t>th</w:t>
      </w:r>
      <w:r>
        <w:rPr>
          <w:color w:val="000000"/>
        </w:rPr>
        <w:t xml:space="preserve"> </w:t>
      </w:r>
      <w:r>
        <w:rPr>
          <w:rFonts w:ascii="Times New Roman;sans-serif" w:hAnsi="Times New Roman;sans-serif"/>
          <w:b/>
          <w:i/>
          <w:color w:val="000000"/>
          <w:sz w:val="22"/>
        </w:rPr>
        <w:t>Floor, New York, New York, 10001 United States of America, is the controller responsible for the processing of Participant’s personal data in connection with this Notice and the Plan.</w:t>
      </w:r>
    </w:p>
    <w:p>
      <w:pPr>
        <w:pStyle w:val="TextBody"/>
        <w:bidi w:val="0"/>
        <w:spacing w:lineRule="auto" w:line="240" w:before="0" w:after="0"/>
        <w:ind w:left="0" w:right="0" w:firstLine="1440"/>
        <w:jc w:val="both"/>
        <w:rPr/>
      </w:pPr>
      <w:r>
        <w:rPr>
          <w:rFonts w:ascii="Times New Roman;sans-serif" w:hAnsi="Times New Roman;sans-serif"/>
          <w:b/>
          <w:i/>
          <w:color w:val="000000"/>
          <w:sz w:val="22"/>
        </w:rPr>
        <w:t>(b)</w:t>
      </w:r>
      <w:r>
        <w:rPr>
          <w:rFonts w:ascii="Times New Roman;sans-serif" w:hAnsi="Times New Roman;sans-serif"/>
          <w:b/>
          <w:i/>
          <w:color w:val="000000"/>
          <w:sz w:val="22"/>
          <w:u w:val="single"/>
        </w:rPr>
        <w:t>Data Collection and Usage</w:t>
      </w:r>
      <w:r>
        <w:rPr>
          <w:rFonts w:ascii="Times New Roman;sans-serif" w:hAnsi="Times New Roman;sans-serif"/>
          <w:b/>
          <w:i/>
          <w:color w:val="000000"/>
          <w:sz w:val="22"/>
        </w:rPr>
        <w:t>. The Company collects, uses and otherwise processes certain personal data about Participant, including, but not limited to, Participant’s name, home address and telephone number, email address, date of birth, social insurance number, passport or other identification number (e.g., resident registration number), salary, nationality, job title, any shares of stock or directorships held in the Company, details of all RSUs granted under the Plan or any other entitlement to shares of stock or equivalent benefits awarded, canceled, exercised, vested, unvested or outstanding in Participant’s favor, which the Company receives from Participant, the Subsidiary or Affiliate retaining Participant (the “Employer”) or otherwise in connection with this Notice or the Plan (“Data”), for the purposes of implementing, administering and managing the Plan and allocating Shares pursuant to the Plan.</w:t>
      </w:r>
    </w:p>
    <w:p>
      <w:pPr>
        <w:pStyle w:val="TextBody"/>
        <w:bidi w:val="0"/>
        <w:spacing w:before="0" w:after="0"/>
        <w:ind w:left="0" w:right="0" w:firstLine="1440"/>
        <w:jc w:val="both"/>
        <w:rPr/>
      </w:pPr>
      <w:r>
        <w:rPr/>
      </w:r>
    </w:p>
    <w:p>
      <w:pPr>
        <w:pStyle w:val="TextBody"/>
        <w:bidi w:val="0"/>
        <w:spacing w:lineRule="auto" w:line="240" w:before="0" w:after="240"/>
        <w:ind w:left="0" w:right="0" w:firstLine="1440"/>
        <w:jc w:val="both"/>
        <w:rPr/>
      </w:pPr>
      <w:r>
        <w:rPr>
          <w:rFonts w:ascii="Times New Roman;sans-serif" w:hAnsi="Times New Roman;sans-serif"/>
          <w:b/>
          <w:i/>
          <w:color w:val="000000"/>
          <w:sz w:val="22"/>
        </w:rPr>
        <w:t>(c)</w:t>
      </w:r>
      <w:r>
        <w:rPr>
          <w:rFonts w:ascii="Times New Roman;sans-serif" w:hAnsi="Times New Roman;sans-serif"/>
          <w:b/>
          <w:i/>
          <w:color w:val="000000"/>
          <w:sz w:val="22"/>
          <w:u w:val="single"/>
        </w:rPr>
        <w:t>Stock Plan Administration Service Providers</w:t>
      </w:r>
      <w:r>
        <w:rPr>
          <w:rFonts w:ascii="Times New Roman;sans-serif" w:hAnsi="Times New Roman;sans-serif"/>
          <w:b/>
          <w:i/>
          <w:color w:val="000000"/>
          <w:sz w:val="22"/>
        </w:rPr>
        <w:t xml:space="preserve">. Participant understands that the Company transfers Participant’s Data to ETRADE or another independent service provider, which is assisting the Company with the implementation, administration and management of the Plan. In the future, the Company may select a different service provider and share Data with such other provider </w:t>
      </w:r>
    </w:p>
    <w:p>
      <w:pPr>
        <w:pStyle w:val="TextBody"/>
        <w:bidi w:val="0"/>
        <w:spacing w:before="0" w:after="0"/>
        <w:jc w:val="center"/>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175260"/>
                <wp:effectExtent l="0" t="0" r="0" b="0"/>
                <wp:wrapNone/>
                <wp:docPr id="199" name="Frame1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2"/>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2"/>
                        </w:rPr>
                        <w:t>-5-</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i/>
          <w:color w:val="000000"/>
          <w:sz w:val="22"/>
        </w:rPr>
      </w:pPr>
      <w:r>
        <w:rPr>
          <w:rFonts w:ascii="Times New Roman;sans-serif" w:hAnsi="Times New Roman;sans-serif"/>
          <w:b/>
          <w:i/>
          <w:color w:val="000000"/>
          <w:sz w:val="22"/>
        </w:rPr>
        <w:t>serving in a similar manner. Such service provider will open an account for Participant to receive and trade Shares acquired under the Plan. Participant may be asked to agree on separate terms and data processing practices with any such service provider, with such agreement being a condition to the ability to participate in the Plan.</w:t>
      </w:r>
    </w:p>
    <w:p>
      <w:pPr>
        <w:pStyle w:val="TextBody"/>
        <w:bidi w:val="0"/>
        <w:spacing w:lineRule="auto" w:line="240" w:before="0" w:after="240"/>
        <w:ind w:left="0" w:right="0" w:firstLine="1440"/>
        <w:jc w:val="both"/>
        <w:rPr/>
      </w:pPr>
      <w:r>
        <w:rPr>
          <w:rFonts w:ascii="Times New Roman;sans-serif" w:hAnsi="Times New Roman;sans-serif"/>
          <w:b/>
          <w:i/>
          <w:color w:val="000000"/>
          <w:sz w:val="22"/>
        </w:rPr>
        <w:t>(d)</w:t>
      </w:r>
      <w:r>
        <w:rPr>
          <w:rFonts w:ascii="Times New Roman;sans-serif" w:hAnsi="Times New Roman;sans-serif"/>
          <w:b/>
          <w:i/>
          <w:color w:val="000000"/>
          <w:sz w:val="22"/>
          <w:u w:val="single"/>
        </w:rPr>
        <w:t>International Data Transfers.</w:t>
      </w:r>
      <w:r>
        <w:rPr>
          <w:color w:val="000000"/>
        </w:rPr>
        <w:t xml:space="preserve"> </w:t>
      </w:r>
      <w:r>
        <w:rPr>
          <w:rFonts w:ascii="Times New Roman;sans-serif" w:hAnsi="Times New Roman;sans-serif"/>
          <w:b/>
          <w:i/>
          <w:color w:val="000000"/>
          <w:sz w:val="22"/>
        </w:rPr>
        <w:t xml:space="preserve">Participant understands that the Company and, as of the date hereof, any third parties assisting in the implementation, administration and management of the Plan are based in the United States. If Participant is located outside the United States, Participant understands and acknowledges that Participant’s country may have enacted data privacy laws that are different from the laws of the United States. </w:t>
      </w:r>
    </w:p>
    <w:p>
      <w:pPr>
        <w:pStyle w:val="TextBody"/>
        <w:bidi w:val="0"/>
        <w:spacing w:lineRule="auto" w:line="240" w:before="0" w:after="240"/>
        <w:ind w:left="0" w:right="0" w:firstLine="1440"/>
        <w:jc w:val="both"/>
        <w:rPr/>
      </w:pPr>
      <w:r>
        <w:rPr>
          <w:rFonts w:ascii="Times New Roman;sans-serif" w:hAnsi="Times New Roman;sans-serif"/>
          <w:b/>
          <w:i/>
          <w:color w:val="000000"/>
          <w:sz w:val="22"/>
        </w:rPr>
        <w:t>(e)</w:t>
      </w:r>
      <w:r>
        <w:rPr>
          <w:rFonts w:ascii="Times New Roman;sans-serif" w:hAnsi="Times New Roman;sans-serif"/>
          <w:b/>
          <w:i/>
          <w:color w:val="000000"/>
          <w:sz w:val="22"/>
          <w:u w:val="single"/>
        </w:rPr>
        <w:t>Data Retention</w:t>
      </w:r>
      <w:r>
        <w:rPr>
          <w:rFonts w:ascii="Times New Roman;sans-serif" w:hAnsi="Times New Roman;sans-serif"/>
          <w:b/>
          <w:i/>
          <w:color w:val="000000"/>
          <w:sz w:val="22"/>
        </w:rPr>
        <w:t>. The Company will hold and use the Data only as long as is necessary to implement, administer and manage Participant’s participation in the Plan, or as required to comply with legal or regulatory obligations, including under tax and securities laws.</w:t>
      </w:r>
    </w:p>
    <w:p>
      <w:pPr>
        <w:pStyle w:val="TextBody"/>
        <w:bidi w:val="0"/>
        <w:spacing w:lineRule="auto" w:line="240" w:before="0" w:after="240"/>
        <w:ind w:left="0" w:right="0" w:firstLine="1440"/>
        <w:jc w:val="both"/>
        <w:rPr/>
      </w:pPr>
      <w:r>
        <w:rPr>
          <w:rFonts w:ascii="Times New Roman;sans-serif" w:hAnsi="Times New Roman;sans-serif"/>
          <w:b/>
          <w:i/>
          <w:color w:val="000000"/>
          <w:sz w:val="22"/>
          <w:u w:val="single"/>
        </w:rPr>
        <w:t>Necessary Disclosure of Personal Data</w:t>
      </w:r>
      <w:r>
        <w:rPr>
          <w:rFonts w:ascii="Times New Roman;sans-serif" w:hAnsi="Times New Roman;sans-serif"/>
          <w:b/>
          <w:i/>
          <w:color w:val="000000"/>
          <w:sz w:val="22"/>
        </w:rPr>
        <w:t>. Participant understands that providing the Company with Data is necessary for the performance of this Notice and that Participant’s refusal to provide Data would make it impossible for the Company to perform its contractual obligations, grant Restricted Stock Units under the Plan to Participant or administer or maintain the Plan, and may affect Participant’s ability to participate in the Plan.</w:t>
      </w:r>
    </w:p>
    <w:p>
      <w:pPr>
        <w:pStyle w:val="TextBody"/>
        <w:bidi w:val="0"/>
        <w:spacing w:lineRule="auto" w:line="304" w:before="0" w:after="240"/>
        <w:ind w:left="0" w:right="0" w:firstLine="720"/>
        <w:jc w:val="both"/>
        <w:rPr>
          <w:rFonts w:ascii="Times New Roman;sans-serif" w:hAnsi="Times New Roman;sans-serif"/>
          <w:b/>
          <w:color w:val="000000"/>
          <w:sz w:val="22"/>
        </w:rPr>
      </w:pPr>
      <w:r>
        <w:rPr>
          <w:rFonts w:ascii="Times New Roman;sans-serif" w:hAnsi="Times New Roman;sans-serif"/>
          <w:b/>
          <w:color w:val="000000"/>
          <w:sz w:val="22"/>
        </w:rPr>
        <w:t>11.    General.</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(a) </w:t>
      </w:r>
      <w:r>
        <w:rPr>
          <w:rFonts w:ascii="Times New Roman;sans-serif" w:hAnsi="Times New Roman;sans-serif"/>
          <w:b w:val="false"/>
          <w:color w:val="000000"/>
          <w:sz w:val="22"/>
          <w:u w:val="single"/>
        </w:rPr>
        <w:t>No Waiver; Remedies</w:t>
      </w:r>
      <w:r>
        <w:rPr>
          <w:rFonts w:ascii="Times New Roman;sans-serif" w:hAnsi="Times New Roman;sans-serif"/>
          <w:b w:val="false"/>
          <w:color w:val="000000"/>
          <w:sz w:val="22"/>
        </w:rPr>
        <w:t>. Either party’s failure to enforce any provision of this Notice shall not in any way be construed as a waiver of any such provision, or prevent that party from thereafter enforcing such provision and each and every other provision of this Notice. The rights granted both parties herein are cumulative and shall not constitute a waiver of either party’s right to assert all other legal remedies available to it under the circumstances.</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(b) </w:t>
      </w:r>
      <w:r>
        <w:rPr>
          <w:rFonts w:ascii="Times New Roman;sans-serif" w:hAnsi="Times New Roman;sans-serif"/>
          <w:b w:val="false"/>
          <w:color w:val="000000"/>
          <w:sz w:val="22"/>
          <w:u w:val="single"/>
        </w:rPr>
        <w:t>Successors and Assigns</w:t>
      </w:r>
      <w:r>
        <w:rPr>
          <w:rFonts w:ascii="Times New Roman;sans-serif" w:hAnsi="Times New Roman;sans-serif"/>
          <w:b w:val="false"/>
          <w:color w:val="000000"/>
          <w:sz w:val="22"/>
        </w:rPr>
        <w:t>. The terms of this Notice shall inure to the benefit of the successors and assigns of the Company. Subject to the restrictions on transfer herein set forth, the terms of this Notice shall be binding upon Participant and Participant’s heirs, executors, administrators, successors and assigns. The rights and obligations of Participant under this Notice may only be assigned with the prior written consent of the Company.</w:t>
      </w:r>
    </w:p>
    <w:p>
      <w:pPr>
        <w:pStyle w:val="TextBody"/>
        <w:bidi w:val="0"/>
        <w:spacing w:lineRule="auto" w:line="240" w:before="0" w:after="0"/>
        <w:ind w:left="0" w:right="0" w:firstLine="1440"/>
        <w:jc w:val="both"/>
        <w:rPr/>
      </w:pPr>
      <w:r>
        <w:rPr>
          <w:rFonts w:ascii="Times New Roman;sans-serif" w:hAnsi="Times New Roman;sans-serif"/>
          <w:b w:val="false"/>
          <w:color w:val="000000"/>
          <w:sz w:val="22"/>
        </w:rPr>
        <w:t xml:space="preserve">(c) </w:t>
      </w:r>
      <w:r>
        <w:rPr>
          <w:rFonts w:ascii="Times New Roman;sans-serif" w:hAnsi="Times New Roman;sans-serif"/>
          <w:b w:val="false"/>
          <w:color w:val="000000"/>
          <w:sz w:val="22"/>
          <w:u w:val="single"/>
        </w:rPr>
        <w:t>Notices</w:t>
      </w:r>
      <w:r>
        <w:rPr>
          <w:rFonts w:ascii="Times New Roman;sans-serif" w:hAnsi="Times New Roman;sans-serif"/>
          <w:b w:val="false"/>
          <w:color w:val="000000"/>
          <w:sz w:val="22"/>
        </w:rPr>
        <w:t>. Any notice hereunder shall be in writing (which shall include electronic transmission) and shall be deemed received (i) the business day following electronic verification of receipt if sent electronically, (ii) upon personal delivery to the party to whom the notice is directed, (iii) the business day following deposit with a reputable overnight courier, or (iv) five days after deposit in the U.S. mail, First Class with postage prepaid. Notice shall be addressed to the Company at its principal executive office and to Participant at the address that he or she most recently provided to the Company. Participant agrees that it is Participant’s responsibility to notify the Company of any changes to his or her mailing address so that Participant may receive any shareholder information to be delivered by regular mail.</w:t>
      </w:r>
    </w:p>
    <w:p>
      <w:pPr>
        <w:pStyle w:val="TextBody"/>
        <w:bidi w:val="0"/>
        <w:spacing w:before="0" w:after="0"/>
        <w:ind w:left="0" w:right="0" w:firstLine="1440"/>
        <w:jc w:val="both"/>
        <w:rPr/>
      </w:pPr>
      <w:r>
        <w:rPr/>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(d) </w:t>
      </w:r>
      <w:r>
        <w:rPr>
          <w:rFonts w:ascii="Times New Roman;sans-serif" w:hAnsi="Times New Roman;sans-serif"/>
          <w:b w:val="false"/>
          <w:color w:val="000000"/>
          <w:sz w:val="22"/>
          <w:u w:val="single"/>
        </w:rPr>
        <w:t>Interpretation</w:t>
      </w:r>
      <w:r>
        <w:rPr>
          <w:rFonts w:ascii="Times New Roman;sans-serif" w:hAnsi="Times New Roman;sans-serif"/>
          <w:b w:val="false"/>
          <w:color w:val="000000"/>
          <w:sz w:val="22"/>
        </w:rPr>
        <w:t xml:space="preserve">. Headings herein are for convenience of reference only, do not constitute a part of this Notice, and will not affect the meaning or interpretation of this Notice. References herein to Sections are references to the referenced Section hereof, unless otherwise specified. The Board or its Committee will have the power to interpret the Plan and this Notice and to adopt such rules for the administration, interpretation and application of the Plan and this Notice as are consistent therewith and to interpret or revoke any such rules (including, but not limited to, the determination of whether or not any Restricted Stock Units have vested). All actions taken and all interpretations and determinations made by the Board or its Committee in good faith will be final and binding upon Participant, the Company and all other interested persons. Neither the Board or its Committee nor any person acting on behalf of the Board or its Committee will be personally liable for any action, determination or interpretation made in good faith with respect to the Plan or this Notice.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(e) </w:t>
      </w:r>
      <w:r>
        <w:rPr>
          <w:rFonts w:ascii="Times New Roman;sans-serif" w:hAnsi="Times New Roman;sans-serif"/>
          <w:b w:val="false"/>
          <w:color w:val="000000"/>
          <w:sz w:val="22"/>
          <w:u w:val="single"/>
        </w:rPr>
        <w:t>Modifications to Notice</w:t>
      </w:r>
      <w:r>
        <w:rPr>
          <w:rFonts w:ascii="Times New Roman;sans-serif" w:hAnsi="Times New Roman;sans-serif"/>
          <w:b w:val="false"/>
          <w:color w:val="000000"/>
          <w:sz w:val="22"/>
        </w:rPr>
        <w:t xml:space="preserve">. Modifications to this Notice can be made only in an express written contract executed by a duly authorized officer of the Company and shall not require the consent of the Participant unless such modification would materially adversely affect the rights of the Participant </w:t>
      </w:r>
    </w:p>
    <w:p>
      <w:pPr>
        <w:pStyle w:val="TextBody"/>
        <w:bidi w:val="0"/>
        <w:spacing w:before="0" w:after="0"/>
        <w:jc w:val="center"/>
        <w:rPr/>
      </w:pPr>
      <w:r>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175260"/>
                <wp:effectExtent l="0" t="0" r="0" b="0"/>
                <wp:wrapNone/>
                <wp:docPr id="200" name="Frame1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2"/>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2"/>
                        </w:rPr>
                        <w:t>-6-</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hereunder. Notwithstanding anything to the contrary in the Plan or this Notice, the Company reserves the right to revise this Notice as it deems necessary or advisable, in its sole discretion and without the consent of Participant, to comply with Section 409A or to otherwise avoid imposition of any additional tax or income recognition under Section 409A in connection to this award of Restricted Stock Units.</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(f) </w:t>
      </w:r>
      <w:r>
        <w:rPr>
          <w:rFonts w:ascii="Times New Roman;sans-serif" w:hAnsi="Times New Roman;sans-serif"/>
          <w:b w:val="false"/>
          <w:color w:val="000000"/>
          <w:sz w:val="22"/>
          <w:u w:val="single"/>
        </w:rPr>
        <w:t>Governing Law; Severability</w:t>
      </w:r>
      <w:r>
        <w:rPr>
          <w:rFonts w:ascii="Times New Roman;sans-serif" w:hAnsi="Times New Roman;sans-serif"/>
          <w:b w:val="false"/>
          <w:color w:val="000000"/>
          <w:sz w:val="22"/>
        </w:rPr>
        <w:t xml:space="preserve">. This Notice is governed by the internal substantive laws, but not the choice of law rules, of Delaware. If any provision of this Notice becomes or is declared by a court or arbitrator having jurisdiction over a dispute hereunder to be illegal, unenforceable or void, such provision shall be amended to the extent necessary to conform to applicable law so as to be valid and enforceable and to achieve, to the extent possible, the economic, business and other purposes of such illegal, unenforceable, or void provision or, if such provision cannot be so amended without materially altering the intention of the parties, then such provision shall deleted from this Notice and the remainder of this Notice shall continue in full force and effect. </w:t>
      </w:r>
    </w:p>
    <w:p>
      <w:pPr>
        <w:pStyle w:val="TextBody"/>
        <w:bidi w:val="0"/>
        <w:spacing w:before="0" w:after="240"/>
        <w:ind w:left="0" w:right="0" w:firstLine="1440"/>
        <w:jc w:val="both"/>
        <w:rPr/>
      </w:pPr>
      <w:r>
        <w:rPr/>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(f)</w:t>
      </w:r>
      <w:r>
        <w:rPr>
          <w:rFonts w:ascii="Times New Roman;sans-serif" w:hAnsi="Times New Roman;sans-serif"/>
          <w:b w:val="false"/>
          <w:color w:val="000000"/>
          <w:sz w:val="22"/>
          <w:u w:val="single"/>
        </w:rPr>
        <w:t>Entire Agreement</w:t>
      </w:r>
      <w:r>
        <w:rPr>
          <w:rFonts w:ascii="Times New Roman;sans-serif" w:hAnsi="Times New Roman;sans-serif"/>
          <w:b w:val="false"/>
          <w:color w:val="000000"/>
          <w:sz w:val="22"/>
        </w:rPr>
        <w:t>. The Plan and this Notice form a contract and constitute the entire understanding between Participant and the Company with respect to the RSUs and the Shares issuable upon vesting of the RSUs and supersede in their entirety all prior undertakings and agreements of the Company and Participant with respect thereto.</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(g)</w:t>
      </w:r>
      <w:r>
        <w:rPr>
          <w:rFonts w:ascii="Times New Roman;sans-serif" w:hAnsi="Times New Roman;sans-serif"/>
          <w:b w:val="false"/>
          <w:color w:val="000000"/>
          <w:sz w:val="22"/>
          <w:u w:val="single"/>
        </w:rPr>
        <w:t>Imposition of Other Requirements</w:t>
      </w:r>
      <w:r>
        <w:rPr>
          <w:rFonts w:ascii="Times New Roman;sans-serif" w:hAnsi="Times New Roman;sans-serif"/>
          <w:b w:val="false"/>
          <w:color w:val="000000"/>
          <w:sz w:val="22"/>
        </w:rPr>
        <w:t>. The Company reserves the right to impose other requirements on Participant’s participation in the Plan, on the RSUs and on any Shares acquired under the Plan, to the extent the Company determines it is necessary or advisable for legal or administrative reasons, and to require Participant to sign any additional agreements or undertakings that may be necessary to accomplish the foregoing.</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(h)</w:t>
      </w:r>
      <w:r>
        <w:rPr>
          <w:rFonts w:ascii="Times New Roman;sans-serif" w:hAnsi="Times New Roman;sans-serif"/>
          <w:b w:val="false"/>
          <w:color w:val="000000"/>
          <w:sz w:val="22"/>
          <w:u w:val="single"/>
        </w:rPr>
        <w:t>Insider Trading/Market Abuse</w:t>
      </w:r>
      <w:r>
        <w:rPr>
          <w:rFonts w:ascii="Times New Roman;sans-serif" w:hAnsi="Times New Roman;sans-serif"/>
          <w:b w:val="false"/>
          <w:color w:val="000000"/>
          <w:sz w:val="22"/>
        </w:rPr>
        <w:t>. Participant acknowledges that, depending on Participant’s or Participant’s broker’s country or where the Shares are listed, Participant may be subject to insider trading restrictions and/or market abuse laws which may affect Participant’s ability to acquire, sell or otherwise dispose of Shares, rights to Shares (</w:t>
      </w:r>
      <w:r>
        <w:rPr>
          <w:rFonts w:ascii="Times New Roman;sans-serif" w:hAnsi="Times New Roman;sans-serif"/>
          <w:b w:val="false"/>
          <w:i/>
          <w:color w:val="000000"/>
          <w:sz w:val="22"/>
        </w:rPr>
        <w:t>e.g</w:t>
      </w:r>
      <w:r>
        <w:rPr>
          <w:rFonts w:ascii="Times New Roman;sans-serif" w:hAnsi="Times New Roman;sans-serif"/>
          <w:b w:val="false"/>
          <w:color w:val="000000"/>
          <w:sz w:val="22"/>
        </w:rPr>
        <w:t xml:space="preserve">., RSUs) or rights linked to the value of shares during such times Participant is considered to have “inside information” regarding the Company (as defined in the laws or regulations in the applicable jurisdictions).  Local insider trading laws and regulations may prohibit the cancellation or amendment of orders Participant placed before Participant possessed inside information.  Furthermore, Participant could be prohibited from (i) disclosing the inside information to any third party and (ii) “tipping” third parties (including fellow employees) or causing them otherwise to buy or sell securities. Any restrictions under these laws or regulations are separate from and in addition to any restrictions that may be imposed under any applicable insider trading policy of the Company.  Participant is responsible for complying with any restrictions and should speak to their personal advisor on this matter. </w:t>
      </w:r>
    </w:p>
    <w:tbl>
      <w:tblPr>
        <w:tblW w:w="2294" w:type="dxa"/>
        <w:jc w:val="left"/>
        <w:tblInd w:w="0" w:type="dxa"/>
        <w:tblLayout w:type="fixed"/>
        <w:tblCellMar>
          <w:top w:w="28" w:type="dxa"/>
          <w:left w:w="28" w:type="dxa"/>
          <w:bottom w:w="28" w:type="dxa"/>
          <w:right w:w="28" w:type="dxa"/>
        </w:tblCellMar>
      </w:tblPr>
      <w:tblGrid>
        <w:gridCol w:w="288"/>
        <w:gridCol w:w="253"/>
        <w:gridCol w:w="254"/>
        <w:gridCol w:w="438"/>
        <w:gridCol w:w="438"/>
        <w:gridCol w:w="623"/>
      </w:tblGrid>
      <w:tr>
        <w:trPr/>
        <w:tc>
          <w:tcPr>
            <w:tcW w:w="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Dated: </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both"/>
              <w:rPr/>
            </w:pPr>
            <w:r>
              <w:rPr>
                <w:rFonts w:ascii="Times New Roman;sans-serif" w:hAnsi="Times New Roman;sans-serif"/>
                <w:b w:val="false"/>
                <w:color w:val="000000"/>
                <w:sz w:val="20"/>
              </w:rPr>
              <w:t>MAGNITE, INC.</w:t>
              <w:br/>
            </w:r>
            <w:r>
              <w:rPr>
                <w:rFonts w:ascii="Times New Roman;sans-serif" w:hAnsi="Times New Roman;sans-serif"/>
                <w:b w:val="false"/>
                <w:sz w:val="20"/>
              </w:rPr>
              <w:br/>
            </w:r>
            <w:r>
              <w:rPr>
                <w:rFonts w:ascii="Times New Roman;sans-serif" w:hAnsi="Times New Roman;sans-serif"/>
                <w:b w:val="false"/>
                <w:color w:val="000000"/>
                <w:sz w:val="20"/>
              </w:rPr>
              <w:t>By:</w:t>
              <w:br/>
            </w:r>
            <w:r>
              <w:rPr>
                <w:rFonts w:ascii="Times New Roman;sans-serif" w:hAnsi="Times New Roman;sans-serif"/>
                <w:b w:val="false"/>
                <w:sz w:val="20"/>
              </w:rPr>
              <w:br/>
              <w:br/>
            </w:r>
            <w:r>
              <w:rPr>
                <w:rFonts w:ascii="Times New Roman;sans-serif" w:hAnsi="Times New Roman;sans-serif"/>
                <w:b w:val="false"/>
                <w:color w:val="000000"/>
                <w:sz w:val="20"/>
              </w:rPr>
              <w:t>Name</w:t>
              <w:br/>
            </w:r>
            <w:r>
              <w:rPr>
                <w:rFonts w:ascii="Times New Roman;sans-serif" w:hAnsi="Times New Roman;sans-serif"/>
                <w:b w:val="false"/>
                <w:sz w:val="20"/>
              </w:rPr>
              <w:br/>
              <w:br/>
            </w:r>
            <w:r>
              <w:rPr>
                <w:rFonts w:ascii="Times New Roman;sans-serif" w:hAnsi="Times New Roman;sans-serif"/>
                <w:b w:val="false"/>
                <w:color w:val="000000"/>
                <w:sz w:val="20"/>
              </w:rPr>
              <w:t>Title</w:t>
            </w:r>
          </w:p>
        </w:tc>
      </w:tr>
    </w:tbl>
    <w:p>
      <w:pPr>
        <w:pStyle w:val="TextBody"/>
        <w:bidi w:val="0"/>
        <w:spacing w:before="0" w:after="240"/>
        <w:jc w:val="both"/>
        <w:rPr/>
      </w:pPr>
      <w:r>
        <w:rPr/>
      </w:r>
    </w:p>
    <w:p>
      <w:pPr>
        <w:pStyle w:val="TextBody"/>
        <w:bidi w:val="0"/>
        <w:spacing w:before="0" w:after="283"/>
        <w:jc w:val="left"/>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175260"/>
                <wp:effectExtent l="0" t="0" r="0" b="0"/>
                <wp:wrapNone/>
                <wp:docPr id="201" name="Frame2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2"/>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2"/>
                        </w:rPr>
                        <w:t>-7-</w:t>
                      </w:r>
                    </w:p>
                  </w:txbxContent>
                </v:textbox>
                <w10:wrap type="none"/>
              </v:rect>
            </w:pict>
          </mc:Fallback>
        </mc:AlternateContent>
      </w:r>
    </w:p>
    <w:p>
      <w:pPr>
        <w:pStyle w:val="TextBody"/>
        <w:bidi w:val="0"/>
        <w:spacing w:lineRule="auto" w:line="240" w:before="0" w:after="0"/>
        <w:jc w:val="center"/>
        <w:rPr>
          <w:rFonts w:ascii="Times New Roman;sans-serif" w:hAnsi="Times New Roman;sans-serif"/>
          <w:b/>
          <w:color w:val="000000"/>
          <w:sz w:val="22"/>
          <w:u w:val="single"/>
        </w:rPr>
      </w:pPr>
      <w:r>
        <w:rPr>
          <w:rFonts w:ascii="Times New Roman;sans-serif" w:hAnsi="Times New Roman;sans-serif"/>
          <w:b/>
          <w:color w:val="000000"/>
          <w:sz w:val="22"/>
          <w:u w:val="single"/>
        </w:rPr>
        <w:t>Annex I</w:t>
      </w:r>
    </w:p>
    <w:p>
      <w:pPr>
        <w:pStyle w:val="TextBody"/>
        <w:bidi w:val="0"/>
        <w:spacing w:before="0" w:after="0"/>
        <w:jc w:val="center"/>
        <w:rPr/>
      </w:pPr>
      <w:r>
        <w:rPr/>
      </w:r>
    </w:p>
    <w:p>
      <w:pPr>
        <w:pStyle w:val="TextBody"/>
        <w:bidi w:val="0"/>
        <w:spacing w:lineRule="auto" w:line="240"/>
        <w:jc w:val="center"/>
        <w:rPr>
          <w:rFonts w:ascii="Times New Roman;sans-serif" w:hAnsi="Times New Roman;sans-serif"/>
          <w:b/>
          <w:color w:val="000000"/>
          <w:sz w:val="22"/>
        </w:rPr>
      </w:pPr>
      <w:r>
        <w:rPr>
          <w:rFonts w:ascii="Times New Roman;sans-serif" w:hAnsi="Times New Roman;sans-serif"/>
          <w:b/>
          <w:color w:val="000000"/>
          <w:sz w:val="22"/>
        </w:rPr>
        <w:t>The Magnite, Inc. Amended and Restated 2014 Equity Incentive Plan</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175260"/>
                <wp:effectExtent l="0" t="0" r="0" b="0"/>
                <wp:wrapNone/>
                <wp:docPr id="202" name="Frame2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2"/>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2"/>
                        </w:rPr>
                        <w:t>-8-</w:t>
                      </w:r>
                    </w:p>
                  </w:txbxContent>
                </v:textbox>
                <w10:wrap type="none"/>
              </v:rect>
            </w:pict>
          </mc:Fallback>
        </mc:AlternateContent>
      </w:r>
    </w:p>
    <w:p>
      <w:pPr>
        <w:pStyle w:val="TextBody"/>
        <w:bidi w:val="0"/>
        <w:spacing w:lineRule="auto" w:line="240" w:before="60" w:after="283"/>
        <w:jc w:val="right"/>
        <w:rPr>
          <w:rFonts w:ascii="Times New Roman;sans-serif" w:hAnsi="Times New Roman;sans-serif"/>
          <w:b/>
          <w:color w:val="000000"/>
          <w:sz w:val="22"/>
        </w:rPr>
      </w:pPr>
      <w:r>
        <w:rPr>
          <w:rFonts w:ascii="Times New Roman;sans-serif" w:hAnsi="Times New Roman;sans-serif"/>
          <w:b/>
          <w:color w:val="000000"/>
          <w:sz w:val="22"/>
        </w:rPr>
        <w:t>Exhibit 10.28</w:t>
      </w:r>
    </w:p>
    <w:p>
      <w:pPr>
        <w:pStyle w:val="TextBody"/>
        <w:bidi w:val="0"/>
        <w:spacing w:before="0" w:after="0"/>
        <w:jc w:val="right"/>
        <w:rPr/>
      </w:pPr>
      <w:r>
        <w:rPr/>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EXECUTION VERSION</w:t>
      </w:r>
    </w:p>
    <w:p>
      <w:pPr>
        <w:pStyle w:val="TextBody"/>
        <w:bidi w:val="0"/>
        <w:spacing w:lineRule="auto" w:line="240" w:before="240" w:after="283"/>
        <w:jc w:val="center"/>
        <w:rPr>
          <w:rFonts w:ascii="Times New Roman;sans-serif" w:hAnsi="Times New Roman;sans-serif"/>
          <w:b/>
          <w:color w:val="000000"/>
          <w:sz w:val="24"/>
        </w:rPr>
      </w:pPr>
      <w:r>
        <w:rPr>
          <w:rFonts w:ascii="Times New Roman;sans-serif" w:hAnsi="Times New Roman;sans-serif"/>
          <w:b/>
          <w:color w:val="000000"/>
          <w:sz w:val="24"/>
        </w:rPr>
        <w:t>CREDIT AGREEMENT</w:t>
      </w:r>
    </w:p>
    <w:p>
      <w:pPr>
        <w:pStyle w:val="TextBody"/>
        <w:bidi w:val="0"/>
        <w:spacing w:lineRule="auto" w:line="240" w:before="24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dated as of February 6, 2024 among</w:t>
      </w:r>
    </w:p>
    <w:p>
      <w:pPr>
        <w:pStyle w:val="TextBody"/>
        <w:bidi w:val="0"/>
        <w:spacing w:lineRule="auto" w:line="240" w:before="24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MAGNITE, INC.</w:t>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as the Borrower,</w:t>
      </w:r>
    </w:p>
    <w:p>
      <w:pPr>
        <w:pStyle w:val="TextBody"/>
        <w:bidi w:val="0"/>
        <w:spacing w:lineRule="auto" w:line="240" w:before="24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THE LENDERS PARTY HERETO,</w:t>
      </w:r>
    </w:p>
    <w:p>
      <w:pPr>
        <w:pStyle w:val="TextBody"/>
        <w:bidi w:val="0"/>
        <w:spacing w:lineRule="auto" w:line="240" w:before="24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MORGAN STANLEY SENIOR FUNDING, INC.</w:t>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as Term Facility Administrative Agent</w:t>
      </w:r>
    </w:p>
    <w:p>
      <w:pPr>
        <w:pStyle w:val="TextBody"/>
        <w:bidi w:val="0"/>
        <w:spacing w:lineRule="auto" w:line="240" w:before="24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CITIBANK, N.A.,</w:t>
      </w:r>
    </w:p>
    <w:p>
      <w:pPr>
        <w:pStyle w:val="TextBody"/>
        <w:bidi w:val="0"/>
        <w:spacing w:lineRule="auto" w:line="52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as Revolving Facility Administrative Agent and Collateral Agent, MORGAN STANLEY SENIOR FUNDING, INC.,</w:t>
      </w:r>
    </w:p>
    <w:p>
      <w:pPr>
        <w:pStyle w:val="TextBody"/>
        <w:bidi w:val="0"/>
        <w:spacing w:lineRule="auto" w:line="52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CITIGROUP GLOBAL MARKETS INC., BARCLAYS BANK PLC,</w:t>
      </w:r>
    </w:p>
    <w:p>
      <w:pPr>
        <w:pStyle w:val="TextBody"/>
        <w:bidi w:val="0"/>
        <w:spacing w:lineRule="auto" w:line="520" w:before="0" w:after="0"/>
        <w:ind w:left="0" w:right="0" w:firstLine="622"/>
        <w:jc w:val="left"/>
        <w:rPr>
          <w:rFonts w:ascii="Times New Roman;sans-serif" w:hAnsi="Times New Roman;sans-serif"/>
          <w:b w:val="false"/>
          <w:color w:val="000000"/>
          <w:sz w:val="24"/>
        </w:rPr>
      </w:pPr>
      <w:r>
        <w:rPr>
          <w:rFonts w:ascii="Times New Roman;sans-serif" w:hAnsi="Times New Roman;sans-serif"/>
          <w:b w:val="false"/>
          <w:color w:val="000000"/>
          <w:sz w:val="24"/>
        </w:rPr>
        <w:t>GOLDMAN SACHS BANK USA, CAPITAL ONE, NATIONAL ASSOCIATION,</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MUFG BANK, LTD.,</w:t>
      </w:r>
    </w:p>
    <w:p>
      <w:pPr>
        <w:pStyle w:val="TextBody"/>
        <w:bidi w:val="0"/>
        <w:spacing w:lineRule="auto" w:line="240" w:before="24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SILICON VALLEY BANK, A DIVISION OF FIRST-CITIZENS BANK &amp; TRUST COMPANY,</w:t>
      </w:r>
    </w:p>
    <w:p>
      <w:pPr>
        <w:pStyle w:val="TextBody"/>
        <w:bidi w:val="0"/>
        <w:spacing w:lineRule="auto" w:line="240" w:before="24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and</w:t>
      </w:r>
    </w:p>
    <w:p>
      <w:pPr>
        <w:pStyle w:val="TextBody"/>
        <w:bidi w:val="0"/>
        <w:spacing w:lineRule="auto" w:line="240" w:before="24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TRUIST SECURITIES, INC.</w:t>
      </w:r>
    </w:p>
    <w:p>
      <w:pPr>
        <w:pStyle w:val="TextBody"/>
        <w:bidi w:val="0"/>
        <w:spacing w:lineRule="auto" w:line="240" w:before="24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as Joint Lead Arrangers and Joint Bookrunners for the Facilities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175260"/>
                <wp:effectExtent l="0" t="0" r="0" b="0"/>
                <wp:wrapNone/>
                <wp:docPr id="203" name="Frame2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6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TABLE OF CONTENTS</w:t>
      </w:r>
    </w:p>
    <w:p>
      <w:pPr>
        <w:pStyle w:val="TextBody"/>
        <w:bidi w:val="0"/>
        <w:spacing w:lineRule="auto" w:line="240" w:before="24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ARTICLE I Definitions    7</w:t>
      </w:r>
    </w:p>
    <w:p>
      <w:pPr>
        <w:pStyle w:val="TextBody"/>
        <w:bidi w:val="0"/>
        <w:spacing w:lineRule="auto" w:line="240" w:before="24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1.01. Defined Terms    7</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1.02. Terms Generally; GAAP    82</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1.03. Effectuation of Transactions.    83</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1.04. Timing of Payment or Performance    84</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1.05. Times of Day    84</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1.06. Classification of Loans and Borrowings    84</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1.07. Letter of Credit Amounts.    84</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1.08. Cashless Rollovers.    84</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1.09. Certain Calculations    84</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1.10. Limited Condition Transactions    85</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1.11. Divisions    86</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1.12. Exchange Rates; Currency Equivalents.    86</w:t>
      </w:r>
    </w:p>
    <w:p>
      <w:pPr>
        <w:pStyle w:val="TextBody"/>
        <w:bidi w:val="0"/>
        <w:spacing w:lineRule="auto" w:line="240" w:before="24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ARTICLE II The Credits    86</w:t>
      </w:r>
    </w:p>
    <w:p>
      <w:pPr>
        <w:pStyle w:val="TextBody"/>
        <w:bidi w:val="0"/>
        <w:spacing w:lineRule="auto" w:line="240" w:before="24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2.01. Commitments    86</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2.02. Loans and Borrowings    87</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2.03. Requests for Borrowings    88</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2.04. Swingline Loans    89</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2.05. Letters of Credit    90</w:t>
      </w:r>
    </w:p>
    <w:p>
      <w:pPr>
        <w:pStyle w:val="TextBody"/>
        <w:bidi w:val="0"/>
        <w:spacing w:lineRule="auto" w:line="240"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2.06. Funding of Borrowings.    100</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2.07. Interest Elections    101</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2.08. Termination and Reduction of Commitments    102</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2.09. Repayment of Loans; Evidence of Debt    103</w:t>
      </w:r>
    </w:p>
    <w:p>
      <w:pPr>
        <w:pStyle w:val="TextBody"/>
        <w:bidi w:val="0"/>
        <w:spacing w:lineRule="auto" w:line="276"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2.10. Repayment of Term Loans and Revolving Facility Loans and</w:t>
      </w:r>
    </w:p>
    <w:p>
      <w:pPr>
        <w:pStyle w:val="TextBody"/>
        <w:bidi w:val="0"/>
        <w:spacing w:lineRule="auto" w:line="276"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Prepayment Procedures    104</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2.11. Prepayment of Loans    106</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2.12. Fees    108</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2.13. Interest    110</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2.14. Effect of Benchmark Transition Event    110</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2.15. Increased Costs    116</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2.16. Break Funding Payments    117</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2.17. Taxes    117</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2.18. Payments Generally; Pro Rata Treatment; Sharing of Set-offs    122</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2.19. Mitigation Obligations; Replacement of Lenders    123</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2.20. Illegality    125</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2.21. Incremental Commitments    126</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2.22. Extensions of Loans and Commitments    129</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2.23. Refinancing Amendments    131</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2.24. Defaulting Lenders    135</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2.25. Loan Repurchases    138</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781050"/>
                <wp:effectExtent l="0" t="0" r="0" b="0"/>
                <wp:wrapNone/>
                <wp:docPr id="204" name="Frame203"/>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6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ARTICLE III Representations and Warranties    140</w:t>
      </w:r>
    </w:p>
    <w:p>
      <w:pPr>
        <w:pStyle w:val="TextBody"/>
        <w:bidi w:val="0"/>
        <w:spacing w:lineRule="auto" w:line="240" w:before="24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3.01. Organization; Powers    140</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3.02. Authorization    140</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3.03. Enforceability    141</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3.04. Governmental Approvals    141</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3.05. Financial Statements    141</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3.06. No Material Adverse Effect.    141</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3.07. Title to Properties    141</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3.08. Subsidiaries    142</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3.09. Litigation; Compliance with Laws    142</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3.10. Federal Reserve Regulations    142</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3.11. Investment Company Act    142</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3.12. Use of Proceeds    142</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3.13. Tax Returns    143</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3.14. No Material Misstatements.    143</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3.15. EEA Financial Institutions    144</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3.16. Environmental Matters    144</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3.17. Security Documents.    144</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3.18. Solvency    145</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3.19. ERISA    145</w:t>
      </w:r>
    </w:p>
    <w:p>
      <w:pPr>
        <w:pStyle w:val="TextBody"/>
        <w:bidi w:val="0"/>
        <w:spacing w:lineRule="auto" w:line="240"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3.20. Labor Matters    145</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3.21. Insurance.    146</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3.22. Intellectual Property; Licenses, Etc.    146</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3.23. USA PATRIOT Act    146</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3.24. Anti-Corruption Laws and Sanctions    146</w:t>
      </w:r>
    </w:p>
    <w:p>
      <w:pPr>
        <w:pStyle w:val="TextBody"/>
        <w:bidi w:val="0"/>
        <w:spacing w:lineRule="auto" w:line="240" w:before="24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ARTICLE IV Conditions of Lending    146</w:t>
      </w:r>
    </w:p>
    <w:p>
      <w:pPr>
        <w:pStyle w:val="TextBody"/>
        <w:bidi w:val="0"/>
        <w:spacing w:lineRule="auto" w:line="240" w:before="238"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4.01. Closing Date    146</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4.02. Subsequent Credit Events    149</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4.03. Determinations Under Section 4.01    149</w:t>
      </w:r>
    </w:p>
    <w:p>
      <w:pPr>
        <w:pStyle w:val="TextBody"/>
        <w:bidi w:val="0"/>
        <w:spacing w:lineRule="auto" w:line="240" w:before="241" w:after="283"/>
        <w:jc w:val="left"/>
        <w:rPr>
          <w:rFonts w:ascii="Times New Roman;sans-serif" w:hAnsi="Times New Roman;sans-serif"/>
          <w:b w:val="false"/>
          <w:color w:val="000000"/>
          <w:sz w:val="24"/>
        </w:rPr>
      </w:pPr>
      <w:r>
        <w:rPr>
          <w:rFonts w:ascii="Times New Roman;sans-serif" w:hAnsi="Times New Roman;sans-serif"/>
          <w:b w:val="false"/>
          <w:color w:val="000000"/>
          <w:sz w:val="24"/>
        </w:rPr>
        <w:t>ARTICLE V Affirmative Covenants    150</w:t>
      </w:r>
    </w:p>
    <w:p>
      <w:pPr>
        <w:pStyle w:val="TextBody"/>
        <w:bidi w:val="0"/>
        <w:spacing w:lineRule="auto" w:line="240" w:before="24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5.01. Existence; Business and Properties    150</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5.02. Insurance.    151</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5.03. Taxes    151</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5.04. Financial Statements, Reports, Etc.    151</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5.05. Litigation and Other Notices    153</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5.06. Compliance with Laws    154</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5.07. Maintaining Records; Access to Properties and Inspections    154</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5.08. Use of Proceeds    155</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5.09. Compliance with Environmental Laws    155</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5.10. Further Assurances; Additional Security    155</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5.11. Ratings    158</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5.12. Restricted and Unrestricted Subsidiaries    158</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781050"/>
                <wp:effectExtent l="0" t="0" r="0" b="0"/>
                <wp:wrapNone/>
                <wp:docPr id="205" name="Frame204"/>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6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5.13. Post-Closing    158</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5.14. Quarterly Lender Calls    158</w:t>
      </w:r>
    </w:p>
    <w:p>
      <w:pPr>
        <w:pStyle w:val="TextBody"/>
        <w:bidi w:val="0"/>
        <w:spacing w:lineRule="auto" w:line="240" w:before="24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ARTICLE VI Negative Covenants    158</w:t>
      </w:r>
    </w:p>
    <w:p>
      <w:pPr>
        <w:pStyle w:val="TextBody"/>
        <w:bidi w:val="0"/>
        <w:spacing w:lineRule="auto" w:line="240" w:before="24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6.01. Indebtedness    159</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6.02. Liens    165</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6.03. Restricted Payments; Restricted Debt Payments    170</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6.04. Investments, Loans and Advances    174</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6.05. Mergers, Consolidations; Asset Sales    178</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6.06. Transactions with Affiliates    182</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6.07. Business of the Borrower and the Subsidiaries; Etc.    184</w:t>
      </w:r>
    </w:p>
    <w:p>
      <w:pPr>
        <w:pStyle w:val="TextBody"/>
        <w:bidi w:val="0"/>
        <w:spacing w:lineRule="auto" w:line="240" w:before="0" w:after="0"/>
        <w:ind w:left="0" w:right="0" w:hanging="1408"/>
        <w:jc w:val="left"/>
        <w:rPr>
          <w:rFonts w:ascii="Times New Roman;sans-serif" w:hAnsi="Times New Roman;sans-serif"/>
          <w:b w:val="false"/>
          <w:color w:val="000000"/>
          <w:sz w:val="24"/>
        </w:rPr>
      </w:pPr>
      <w:r>
        <w:rPr>
          <w:rFonts w:ascii="Times New Roman;sans-serif" w:hAnsi="Times New Roman;sans-serif"/>
          <w:b w:val="false"/>
          <w:color w:val="000000"/>
          <w:sz w:val="24"/>
        </w:rPr>
        <w:t>Section 6.08. Restrictions on Subsidiary Distributions and Negative Pledge Clauses    184</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6.09. Amendments to Junior Financing    186</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6.10. Financial Covenant    186</w:t>
      </w:r>
    </w:p>
    <w:p>
      <w:pPr>
        <w:pStyle w:val="TextBody"/>
        <w:bidi w:val="0"/>
        <w:spacing w:lineRule="auto" w:line="240" w:before="24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ARTICLE VII Events of Default    187</w:t>
      </w:r>
    </w:p>
    <w:p>
      <w:pPr>
        <w:pStyle w:val="TextBody"/>
        <w:bidi w:val="0"/>
        <w:spacing w:lineRule="auto" w:line="240" w:before="24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7.01. Events of Default    187</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7.02. [Reserved].    190</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7.03. Application of Funds    190</w:t>
      </w:r>
    </w:p>
    <w:p>
      <w:pPr>
        <w:pStyle w:val="TextBody"/>
        <w:bidi w:val="0"/>
        <w:spacing w:lineRule="auto" w:line="240" w:before="24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ARTICLE VIII The Agents    191</w:t>
      </w:r>
    </w:p>
    <w:p>
      <w:pPr>
        <w:pStyle w:val="TextBody"/>
        <w:bidi w:val="0"/>
        <w:spacing w:lineRule="auto" w:line="240" w:before="24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8.01. Appointment    191</w:t>
      </w:r>
    </w:p>
    <w:p>
      <w:pPr>
        <w:pStyle w:val="TextBody"/>
        <w:bidi w:val="0"/>
        <w:spacing w:lineRule="auto" w:line="240"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8.02. Delegation of Duties    192</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8.03. Exculpatory Provisions    192</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8.04. Reliance by Agents    193</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8.05. Notice of Default    194</w:t>
      </w:r>
    </w:p>
    <w:p>
      <w:pPr>
        <w:pStyle w:val="TextBody"/>
        <w:bidi w:val="0"/>
        <w:spacing w:lineRule="auto" w:line="276"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8.06. Non-Reliance on Agents and Other Lenders    194</w:t>
      </w:r>
    </w:p>
    <w:p>
      <w:pPr>
        <w:pStyle w:val="TextBody"/>
        <w:bidi w:val="0"/>
        <w:spacing w:lineRule="auto" w:line="276"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8.07. Indemnification    195</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8.08. Agent in Its Individual Capacity    196</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8.09. Successor Administrative Agent    196</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8.10. Arrangers, Etc.    197</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8.11. Security Documents and Collateral Agent    197</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8.12. Right to Realize on Collateral, Enforce Guarantees, and Credit</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Bidding    197</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8.13. Withholding Tax    199</w:t>
      </w:r>
    </w:p>
    <w:p>
      <w:pPr>
        <w:pStyle w:val="TextBody"/>
        <w:bidi w:val="0"/>
        <w:spacing w:lineRule="auto" w:line="240" w:before="0" w:after="0"/>
        <w:ind w:left="0" w:right="0" w:hanging="1408"/>
        <w:jc w:val="left"/>
        <w:rPr>
          <w:rFonts w:ascii="Times New Roman;sans-serif" w:hAnsi="Times New Roman;sans-serif"/>
          <w:b w:val="false"/>
          <w:color w:val="000000"/>
          <w:sz w:val="24"/>
        </w:rPr>
      </w:pPr>
      <w:r>
        <w:rPr>
          <w:rFonts w:ascii="Times New Roman;sans-serif" w:hAnsi="Times New Roman;sans-serif"/>
          <w:b w:val="false"/>
          <w:color w:val="000000"/>
          <w:sz w:val="24"/>
        </w:rPr>
        <w:t>Section 8.14. Secured Cash Management Agreements and Secured Hedge Agreements    200</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8.15. Certain ERISA Matters    200</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8.16. Erroneous Payments    201</w:t>
      </w:r>
    </w:p>
    <w:p>
      <w:pPr>
        <w:pStyle w:val="TextBody"/>
        <w:bidi w:val="0"/>
        <w:spacing w:lineRule="auto" w:line="240" w:before="24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ARTICLE IX Miscellaneous    202</w:t>
      </w:r>
    </w:p>
    <w:p>
      <w:pPr>
        <w:pStyle w:val="TextBody"/>
        <w:bidi w:val="0"/>
        <w:spacing w:lineRule="auto" w:line="240" w:before="24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9.01. Notices; Communications    202</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9.02. Survival of Agreement    203</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781050"/>
                <wp:effectExtent l="0" t="0" r="0" b="0"/>
                <wp:wrapNone/>
                <wp:docPr id="206" name="Frame205"/>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4</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6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9.03. Binding Effect    204</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9.04. Successors and Assigns    204</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9.05. Expenses; Indemnity; Limitation of Liability    210</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9.06. Right of Set-off    213</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9.07. Applicable Law    213</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9.08. Waivers; Amendment    213</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9.09. Interest Rate Limitation    218</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9.10. Entire Agreement.    218</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9.11. WAIVER OF JURY TRIAL    219</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9.12. Severability    219</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9.13. Counterparts    219</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9.14. Headings    219</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9.15. Jurisdiction; Consent to Service of Process    219</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9.16. Confidentiality    220</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9.17. Platform; Borrower Materials.    221</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9.18. Release of Liens and Guarantees    222</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9.19. USA PATRIOT Act and Beneficial Ownership Regulation Notice    224</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9.20. Agency of the Borrower for the Loan Parties    224</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9.21. No Advisory or Fiduciary Responsibility.    224</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9.22. Payments Set Aside    225</w:t>
      </w:r>
    </w:p>
    <w:p>
      <w:pPr>
        <w:pStyle w:val="TextBody"/>
        <w:bidi w:val="0"/>
        <w:spacing w:lineRule="auto" w:line="240" w:before="1" w:after="283"/>
        <w:ind w:left="0" w:right="0" w:hanging="1408"/>
        <w:jc w:val="left"/>
        <w:rPr>
          <w:rFonts w:ascii="Times New Roman;sans-serif" w:hAnsi="Times New Roman;sans-serif"/>
          <w:b w:val="false"/>
          <w:color w:val="000000"/>
          <w:sz w:val="24"/>
        </w:rPr>
      </w:pPr>
      <w:r>
        <w:rPr>
          <w:rFonts w:ascii="Times New Roman;sans-serif" w:hAnsi="Times New Roman;sans-serif"/>
          <w:b w:val="false"/>
          <w:color w:val="000000"/>
          <w:sz w:val="24"/>
        </w:rPr>
        <w:t>Section 9.23. Acknowledgement and Consent to Bail-In of Affected Financial Institutions    225</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9.24. Acknowledgement Regarding Any Supported QFCs.    226</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9.25. Electronic Execution of Assignments and Certain Other Documents.    227</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9.26. Net Short Lenders    227</w:t>
      </w:r>
    </w:p>
    <w:p>
      <w:pPr>
        <w:pStyle w:val="TextBody"/>
        <w:bidi w:val="0"/>
        <w:spacing w:lineRule="auto" w:line="240" w:before="274" w:after="283"/>
        <w:jc w:val="left"/>
        <w:rPr>
          <w:rFonts w:ascii="Times New Roman;sans-serif" w:hAnsi="Times New Roman;sans-serif"/>
          <w:b w:val="false"/>
          <w:color w:val="000000"/>
          <w:sz w:val="24"/>
        </w:rPr>
      </w:pPr>
      <w:r>
        <w:rPr>
          <w:rFonts w:ascii="Times New Roman;sans-serif" w:hAnsi="Times New Roman;sans-serif"/>
          <w:b w:val="false"/>
          <w:color w:val="000000"/>
          <w:sz w:val="24"/>
        </w:rPr>
        <w:t>Exhibits and Schedules</w:t>
      </w:r>
    </w:p>
    <w:p>
      <w:pPr>
        <w:pStyle w:val="TextBody"/>
        <w:bidi w:val="0"/>
        <w:spacing w:lineRule="auto" w:line="240" w:before="24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Exhibit A    Form of Assignment and Acceptance</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Exhibit B    [Reserved]</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Exhibit C    Form of Solvency Certificate</w:t>
      </w:r>
    </w:p>
    <w:p>
      <w:pPr>
        <w:pStyle w:val="TextBody"/>
        <w:bidi w:val="0"/>
        <w:spacing w:lineRule="auto" w:line="240"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Exhibit D-1    Form of Borrowing Request</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Exhibit D-2    Form of Swingline Borrowing Request</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Exhibit D-3    Form of Letter of Credit Request</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Exhibit E    Form of Interest Election Request</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Exhibit F    Auction Procedures</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Exhibit G    Form of Intercompany Note</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Exhibit H    Form of Promissory Note</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Exhibit I    Form of Perfection Certificate</w:t>
      </w:r>
    </w:p>
    <w:p>
      <w:pPr>
        <w:pStyle w:val="TextBody"/>
        <w:bidi w:val="0"/>
        <w:spacing w:lineRule="auto" w:line="240" w:before="0" w:after="0"/>
        <w:ind w:left="0" w:right="0" w:hanging="2501"/>
        <w:jc w:val="left"/>
        <w:rPr>
          <w:rFonts w:ascii="Times New Roman;sans-serif" w:hAnsi="Times New Roman;sans-serif"/>
          <w:b w:val="false"/>
          <w:color w:val="000000"/>
          <w:sz w:val="24"/>
        </w:rPr>
      </w:pPr>
      <w:r>
        <w:rPr>
          <w:rFonts w:ascii="Times New Roman;sans-serif" w:hAnsi="Times New Roman;sans-serif"/>
          <w:b w:val="false"/>
          <w:color w:val="000000"/>
          <w:sz w:val="24"/>
        </w:rPr>
        <w:t>Exhibit J-1    U.S. Tax Certificate (For Non-U.S. Lenders that are not Partnerships for U.S. Federal Income Tax Purposes)</w:t>
      </w:r>
    </w:p>
    <w:p>
      <w:pPr>
        <w:pStyle w:val="TextBody"/>
        <w:bidi w:val="0"/>
        <w:spacing w:lineRule="auto" w:line="240" w:before="0" w:after="0"/>
        <w:ind w:left="0" w:right="0" w:hanging="2501"/>
        <w:jc w:val="left"/>
        <w:rPr>
          <w:rFonts w:ascii="Times New Roman;sans-serif" w:hAnsi="Times New Roman;sans-serif"/>
          <w:b w:val="false"/>
          <w:color w:val="000000"/>
          <w:sz w:val="24"/>
        </w:rPr>
      </w:pPr>
      <w:r>
        <w:rPr>
          <w:rFonts w:ascii="Times New Roman;sans-serif" w:hAnsi="Times New Roman;sans-serif"/>
          <w:b w:val="false"/>
          <w:color w:val="000000"/>
          <w:sz w:val="24"/>
        </w:rPr>
        <w:t>Exhibit J-2    U.S. Tax Certificate (For Non-U.S. Lenders that are Partnerships for U.S. Federal Income Tax Purposes)</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Exhibit J-3    U.S. Tax Certificate (For Non-U.S. Participants that are not</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Partnerships for U.S. Federal Income Tax Purposes)</w:t>
      </w:r>
    </w:p>
    <w:p>
      <w:pPr>
        <w:pStyle w:val="TextBody"/>
        <w:bidi w:val="0"/>
        <w:spacing w:lineRule="auto" w:line="240" w:before="0" w:after="0"/>
        <w:ind w:left="0" w:right="0" w:hanging="2501"/>
        <w:jc w:val="left"/>
        <w:rPr>
          <w:rFonts w:ascii="Times New Roman;sans-serif" w:hAnsi="Times New Roman;sans-serif"/>
          <w:b w:val="false"/>
          <w:color w:val="000000"/>
          <w:sz w:val="24"/>
        </w:rPr>
      </w:pPr>
      <w:r>
        <w:rPr>
          <w:rFonts w:ascii="Times New Roman;sans-serif" w:hAnsi="Times New Roman;sans-serif"/>
          <w:b w:val="false"/>
          <w:color w:val="000000"/>
          <w:sz w:val="24"/>
        </w:rPr>
        <w:t>Exhibit J-4    U.S. Tax Certificate (For Non-U.S. Participants that are Partnerships for U.S. Federal Income Tax Purposes)</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781050"/>
                <wp:effectExtent l="0" t="0" r="0" b="0"/>
                <wp:wrapNone/>
                <wp:docPr id="207" name="Frame206"/>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5</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6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Exhibit K    [Reserved]</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Exhibit L    Form of Collateral Agreement</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Exhibit M    Form of Guarantee Agreement</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Schedule 1.01A    Excluded Subsidiaries</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Schedule 2.01    Commitments</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Schedule 2.05    Existing Letters of Credit</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Schedule 3.04    Governmental Approvals</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Schedule 3.08    Subsidiaries</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Schedule 3.09    Litigation</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Schedule 3.21    Insurance</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Schedule 3.22    Intellectual Property</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Schedule 5.13    Post-Closing Obligations</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Schedule 6.01    Indebtedness</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Schedule 6.02(a)    Liens</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Schedule 6.04    Investments</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Schedule 6.06    Transactions with Affiliates</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Schedule 9.01    Notice Information</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781050"/>
                <wp:effectExtent l="0" t="0" r="0" b="0"/>
                <wp:wrapNone/>
                <wp:docPr id="208" name="Frame207"/>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6</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60" w:after="283"/>
        <w:ind w:left="0" w:right="0" w:firstLine="720"/>
        <w:jc w:val="both"/>
        <w:rPr/>
      </w:pPr>
      <w:r>
        <w:rPr>
          <w:rFonts w:ascii="Times New Roman;sans-serif" w:hAnsi="Times New Roman;sans-serif"/>
          <w:b w:val="false"/>
          <w:color w:val="000000"/>
          <w:sz w:val="24"/>
        </w:rPr>
        <w:t>CREDIT AGREEMENT, dated as of February 6, 2024 (as amended, supplemented, restated, amended and restated, or otherwise modified from time to time, this “</w:t>
      </w:r>
      <w:r>
        <w:rPr>
          <w:rFonts w:ascii="Times New Roman;sans-serif" w:hAnsi="Times New Roman;sans-serif"/>
          <w:b w:val="false"/>
          <w:color w:val="000000"/>
          <w:sz w:val="24"/>
          <w:u w:val="single"/>
        </w:rPr>
        <w:t>Agreement</w:t>
      </w:r>
      <w:r>
        <w:rPr>
          <w:color w:val="000000"/>
        </w:rPr>
        <w:t>”</w:t>
      </w:r>
      <w:r>
        <w:rPr>
          <w:rFonts w:ascii="Times New Roman;sans-serif" w:hAnsi="Times New Roman;sans-serif"/>
          <w:b w:val="false"/>
          <w:color w:val="000000"/>
          <w:sz w:val="24"/>
        </w:rPr>
        <w:t>), by and among MAGNITE, INC., a Delaware corporation (the “</w:t>
      </w:r>
      <w:r>
        <w:rPr>
          <w:rFonts w:ascii="Times New Roman;sans-serif" w:hAnsi="Times New Roman;sans-serif"/>
          <w:b w:val="false"/>
          <w:color w:val="000000"/>
          <w:sz w:val="24"/>
          <w:u w:val="single"/>
        </w:rPr>
        <w:t>Borrower</w:t>
      </w:r>
      <w:r>
        <w:rPr>
          <w:color w:val="000000"/>
        </w:rPr>
        <w:t>”</w:t>
      </w:r>
      <w:r>
        <w:rPr>
          <w:rFonts w:ascii="Times New Roman;sans-serif" w:hAnsi="Times New Roman;sans-serif"/>
          <w:b w:val="false"/>
          <w:color w:val="000000"/>
          <w:sz w:val="24"/>
        </w:rPr>
        <w:t>), MORGAN STANLEY SENIOR FUNDING, INC., as administrative agent for the Term Facility (in such capacity, the “</w:t>
      </w:r>
      <w:r>
        <w:rPr>
          <w:rFonts w:ascii="Times New Roman;sans-serif" w:hAnsi="Times New Roman;sans-serif"/>
          <w:b w:val="false"/>
          <w:color w:val="000000"/>
          <w:sz w:val="24"/>
          <w:u w:val="single"/>
        </w:rPr>
        <w:t>Term Facility Administrative Agent</w:t>
      </w:r>
      <w:r>
        <w:rPr>
          <w:color w:val="000000"/>
        </w:rPr>
        <w:t>”</w:t>
      </w:r>
      <w:r>
        <w:rPr>
          <w:rFonts w:ascii="Times New Roman;sans-serif" w:hAnsi="Times New Roman;sans-serif"/>
          <w:b w:val="false"/>
          <w:color w:val="000000"/>
          <w:sz w:val="24"/>
        </w:rPr>
        <w:t>), CITIBANK, N.A. (“</w:t>
      </w:r>
      <w:r>
        <w:rPr>
          <w:rFonts w:ascii="Times New Roman;sans-serif" w:hAnsi="Times New Roman;sans-serif"/>
          <w:b w:val="false"/>
          <w:color w:val="000000"/>
          <w:sz w:val="24"/>
          <w:u w:val="single"/>
        </w:rPr>
        <w:t>Citibank</w:t>
      </w:r>
      <w:r>
        <w:rPr>
          <w:color w:val="000000"/>
        </w:rPr>
        <w:t>”</w:t>
      </w:r>
      <w:r>
        <w:rPr>
          <w:rFonts w:ascii="Times New Roman;sans-serif" w:hAnsi="Times New Roman;sans-serif"/>
          <w:b w:val="false"/>
          <w:color w:val="000000"/>
          <w:sz w:val="24"/>
        </w:rPr>
        <w:t>), as administrative agent for the Revolving Facility (in such capacity, the “</w:t>
      </w:r>
      <w:r>
        <w:rPr>
          <w:rFonts w:ascii="Times New Roman;sans-serif" w:hAnsi="Times New Roman;sans-serif"/>
          <w:b w:val="false"/>
          <w:color w:val="000000"/>
          <w:sz w:val="24"/>
          <w:u w:val="single"/>
        </w:rPr>
        <w:t>Revolving Facility Administrative Agent</w:t>
      </w:r>
      <w:r>
        <w:rPr>
          <w:color w:val="000000"/>
        </w:rPr>
        <w:t>”</w:t>
      </w:r>
      <w:r>
        <w:rPr>
          <w:rFonts w:ascii="Times New Roman;sans-serif" w:hAnsi="Times New Roman;sans-serif"/>
          <w:b w:val="false"/>
          <w:color w:val="000000"/>
          <w:sz w:val="24"/>
        </w:rPr>
        <w:t>), Collateral Agent and Swingline Lender, and each Issuing Bank and Lender (each as defined below) party hereto from time to time.</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WHEREAS, in connection with the consummation of the transactions contemplated by this Agreement, the Borrower has requested the Lenders to extend credit as set forth herein;</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NOW, THEREFORE, the Lenders and the Issuing Banks are willing to extend such credit to the Borrower on the terms and subject to the conditions set forth herein.</w:t>
      </w:r>
    </w:p>
    <w:p>
      <w:pPr>
        <w:pStyle w:val="TextBody"/>
        <w:bidi w:val="0"/>
        <w:spacing w:lineRule="auto" w:line="240" w:before="24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Accordingly, the parties hereto agree as follows:</w:t>
      </w:r>
    </w:p>
    <w:p>
      <w:pPr>
        <w:pStyle w:val="TextBody"/>
        <w:bidi w:val="0"/>
        <w:spacing w:lineRule="auto" w:line="240" w:before="24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ARTICLE I</w:t>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Definitions</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 xml:space="preserve">Section 1.01. </w:t>
      </w:r>
      <w:r>
        <w:rPr>
          <w:rFonts w:ascii="Times New Roman;sans-serif" w:hAnsi="Times New Roman;sans-serif"/>
          <w:b w:val="false"/>
          <w:color w:val="000000"/>
          <w:sz w:val="24"/>
          <w:u w:val="single"/>
        </w:rPr>
        <w:t>Defined Terms</w:t>
      </w:r>
      <w:r>
        <w:rPr>
          <w:rFonts w:ascii="Times New Roman;sans-serif" w:hAnsi="Times New Roman;sans-serif"/>
          <w:b w:val="false"/>
          <w:color w:val="000000"/>
          <w:sz w:val="24"/>
        </w:rPr>
        <w:t>. As used in this Agreement, the following terms shall have the meanings specified below:</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val="false"/>
          <w:color w:val="000000"/>
          <w:sz w:val="24"/>
          <w:u w:val="single"/>
        </w:rPr>
        <w:t>ABR</w:t>
      </w:r>
      <w:r>
        <w:rPr>
          <w:color w:val="000000"/>
        </w:rPr>
        <w:t xml:space="preserve">” </w:t>
      </w:r>
      <w:r>
        <w:rPr>
          <w:rFonts w:ascii="Times New Roman;sans-serif" w:hAnsi="Times New Roman;sans-serif"/>
          <w:b w:val="false"/>
          <w:color w:val="000000"/>
          <w:sz w:val="24"/>
        </w:rPr>
        <w:t xml:space="preserve">shall mean for any day a fluctuating rate per annum equal to the highest of (a) the Federal Funds Rate plus 1/2 of 1.00%, (b) the “U.S. Prime Lending Rate” published by the Wall Street Journal and (c) Term SOFR for a one month interest period (and with the Term SOFR component thereof determined in accordance with clause (b) of the definition of “Term SOFR”) plus 1.00%;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(x) with respect to the Initial Term Loans, if the rate described in preceding clause (a) shall be less than 0.00%, such rate shall be deemed to be 0.00% and (y) with respect to the Initial Revolving Loans, if the rate described in preceding clause (a) shall be less than 0.00% such rate shall be deemed to be 0.00%. “</w:t>
      </w:r>
      <w:r>
        <w:rPr>
          <w:rFonts w:ascii="Times New Roman;sans-serif" w:hAnsi="Times New Roman;sans-serif"/>
          <w:b w:val="false"/>
          <w:color w:val="000000"/>
          <w:sz w:val="24"/>
          <w:u w:val="single"/>
        </w:rPr>
        <w:t>ABR</w:t>
      </w:r>
      <w:r>
        <w:rPr>
          <w:color w:val="000000"/>
        </w:rPr>
        <w:t xml:space="preserve">” </w:t>
      </w:r>
      <w:r>
        <w:rPr>
          <w:rFonts w:ascii="Times New Roman;sans-serif" w:hAnsi="Times New Roman;sans-serif"/>
          <w:b w:val="false"/>
          <w:color w:val="000000"/>
          <w:sz w:val="24"/>
        </w:rPr>
        <w:t>when used with respect to any Loan or Borrowing, refers to whether such Loan, or the Loans included in such Borrowing, bear interest by reference to the ABR.</w:t>
      </w:r>
    </w:p>
    <w:p>
      <w:pPr>
        <w:pStyle w:val="TextBody"/>
        <w:bidi w:val="0"/>
        <w:spacing w:lineRule="auto" w:line="240" w:before="239" w:after="283"/>
        <w:jc w:val="left"/>
        <w:rPr/>
      </w:pPr>
      <w:r>
        <w:rPr>
          <w:color w:val="000000"/>
        </w:rPr>
        <w:t>“</w:t>
      </w:r>
      <w:r>
        <w:rPr>
          <w:rFonts w:ascii="Times New Roman;sans-serif" w:hAnsi="Times New Roman;sans-serif"/>
          <w:b w:val="false"/>
          <w:color w:val="000000"/>
          <w:sz w:val="24"/>
          <w:u w:val="single"/>
        </w:rPr>
        <w:t>ABR Borrowing</w:t>
      </w:r>
      <w:r>
        <w:rPr>
          <w:color w:val="000000"/>
        </w:rPr>
        <w:t xml:space="preserve">” </w:t>
      </w:r>
      <w:r>
        <w:rPr>
          <w:rFonts w:ascii="Times New Roman;sans-serif" w:hAnsi="Times New Roman;sans-serif"/>
          <w:b w:val="false"/>
          <w:color w:val="000000"/>
          <w:sz w:val="24"/>
        </w:rPr>
        <w:t>shall mean a Borrowing comprised of ABR Loans.</w:t>
      </w:r>
    </w:p>
    <w:p>
      <w:pPr>
        <w:pStyle w:val="TextBody"/>
        <w:bidi w:val="0"/>
        <w:spacing w:lineRule="auto" w:line="240" w:before="241" w:after="283"/>
        <w:jc w:val="left"/>
        <w:rPr/>
      </w:pPr>
      <w:r>
        <w:rPr>
          <w:color w:val="000000"/>
        </w:rPr>
        <w:t>“</w:t>
      </w:r>
      <w:r>
        <w:rPr>
          <w:rFonts w:ascii="Times New Roman;sans-serif" w:hAnsi="Times New Roman;sans-serif"/>
          <w:b w:val="false"/>
          <w:color w:val="000000"/>
          <w:sz w:val="24"/>
          <w:u w:val="single"/>
        </w:rPr>
        <w:t>ABR Loan</w:t>
      </w:r>
      <w:r>
        <w:rPr>
          <w:color w:val="000000"/>
        </w:rPr>
        <w:t xml:space="preserve">” </w:t>
      </w:r>
      <w:r>
        <w:rPr>
          <w:rFonts w:ascii="Times New Roman;sans-serif" w:hAnsi="Times New Roman;sans-serif"/>
          <w:b w:val="false"/>
          <w:color w:val="000000"/>
          <w:sz w:val="24"/>
        </w:rPr>
        <w:t>shall mean any ABR Term Loan, ABR Revolving Facility Loan or Swingline</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Loan.</w:t>
      </w:r>
    </w:p>
    <w:p>
      <w:pPr>
        <w:pStyle w:val="TextBody"/>
        <w:bidi w:val="0"/>
        <w:spacing w:lineRule="auto" w:line="240" w:before="240" w:after="283"/>
        <w:jc w:val="left"/>
        <w:rPr/>
      </w:pPr>
      <w:r>
        <w:rPr>
          <w:color w:val="000000"/>
        </w:rPr>
        <w:t>“</w:t>
      </w:r>
      <w:r>
        <w:rPr>
          <w:rFonts w:ascii="Times New Roman;sans-serif" w:hAnsi="Times New Roman;sans-serif"/>
          <w:b w:val="false"/>
          <w:color w:val="000000"/>
          <w:sz w:val="24"/>
          <w:u w:val="single"/>
        </w:rPr>
        <w:t>ABR Revolving Facility Borrowing</w:t>
      </w:r>
      <w:r>
        <w:rPr>
          <w:color w:val="000000"/>
        </w:rPr>
        <w:t xml:space="preserve">” </w:t>
      </w:r>
      <w:r>
        <w:rPr>
          <w:rFonts w:ascii="Times New Roman;sans-serif" w:hAnsi="Times New Roman;sans-serif"/>
          <w:b w:val="false"/>
          <w:color w:val="000000"/>
          <w:sz w:val="24"/>
        </w:rPr>
        <w:t>shall mean a Borrowing comprised of ABR</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Revolving Facility Loans.</w:t>
      </w:r>
    </w:p>
    <w:p>
      <w:pPr>
        <w:pStyle w:val="TextBody"/>
        <w:bidi w:val="0"/>
        <w:spacing w:lineRule="auto" w:line="240" w:before="240" w:after="283"/>
        <w:ind w:left="0" w:right="0" w:firstLine="720"/>
        <w:jc w:val="left"/>
        <w:rPr/>
      </w:pPr>
      <w:r>
        <w:rPr>
          <w:color w:val="000000"/>
        </w:rPr>
        <w:t>“</w:t>
      </w:r>
      <w:r>
        <w:rPr>
          <w:rFonts w:ascii="Times New Roman;sans-serif" w:hAnsi="Times New Roman;sans-serif"/>
          <w:b w:val="false"/>
          <w:color w:val="000000"/>
          <w:sz w:val="24"/>
          <w:u w:val="single"/>
        </w:rPr>
        <w:t>ABR Revolving Facility Loan</w:t>
      </w:r>
      <w:r>
        <w:rPr>
          <w:color w:val="000000"/>
        </w:rPr>
        <w:t xml:space="preserve">” </w:t>
      </w:r>
      <w:r>
        <w:rPr>
          <w:rFonts w:ascii="Times New Roman;sans-serif" w:hAnsi="Times New Roman;sans-serif"/>
          <w:b w:val="false"/>
          <w:color w:val="000000"/>
          <w:sz w:val="24"/>
        </w:rPr>
        <w:t>shall mean any Revolving Facility Loan bearing interest at a rate determined by reference to the ABR in accordance with the provisions of Article II.</w:t>
      </w:r>
    </w:p>
    <w:p>
      <w:pPr>
        <w:pStyle w:val="TextBody"/>
        <w:bidi w:val="0"/>
        <w:spacing w:lineRule="auto" w:line="240" w:before="240" w:after="283"/>
        <w:ind w:left="0" w:right="0" w:firstLine="720"/>
        <w:jc w:val="left"/>
        <w:rPr/>
      </w:pPr>
      <w:r>
        <w:rPr>
          <w:color w:val="000000"/>
        </w:rPr>
        <w:t>“</w:t>
      </w:r>
      <w:r>
        <w:rPr>
          <w:rFonts w:ascii="Times New Roman;sans-serif" w:hAnsi="Times New Roman;sans-serif"/>
          <w:b w:val="false"/>
          <w:color w:val="000000"/>
          <w:sz w:val="24"/>
          <w:u w:val="single"/>
        </w:rPr>
        <w:t>ABR Term Loan</w:t>
      </w:r>
      <w:r>
        <w:rPr>
          <w:color w:val="000000"/>
        </w:rPr>
        <w:t xml:space="preserve">” </w:t>
      </w:r>
      <w:r>
        <w:rPr>
          <w:rFonts w:ascii="Times New Roman;sans-serif" w:hAnsi="Times New Roman;sans-serif"/>
          <w:b w:val="false"/>
          <w:color w:val="000000"/>
          <w:sz w:val="24"/>
        </w:rPr>
        <w:t>shall mean any Term Loan bearing interest at a rate determined by reference to the ABR in accordance with the provisions of Article II.</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781050"/>
                <wp:effectExtent l="0" t="0" r="0" b="0"/>
                <wp:wrapNone/>
                <wp:docPr id="209" name="Frame208"/>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7</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60" w:after="283"/>
        <w:ind w:left="0" w:right="0" w:firstLine="720"/>
        <w:jc w:val="left"/>
        <w:rPr/>
      </w:pPr>
      <w:r>
        <w:rPr>
          <w:color w:val="000000"/>
        </w:rPr>
        <w:t>“</w:t>
      </w:r>
      <w:r>
        <w:rPr>
          <w:rFonts w:ascii="Times New Roman;sans-serif" w:hAnsi="Times New Roman;sans-serif"/>
          <w:b w:val="false"/>
          <w:color w:val="000000"/>
          <w:sz w:val="24"/>
          <w:u w:val="single"/>
        </w:rPr>
        <w:t>ABR Term SOFR Determination Day</w:t>
      </w:r>
      <w:r>
        <w:rPr>
          <w:color w:val="000000"/>
        </w:rPr>
        <w:t xml:space="preserve">” </w:t>
      </w:r>
      <w:r>
        <w:rPr>
          <w:rFonts w:ascii="Times New Roman;sans-serif" w:hAnsi="Times New Roman;sans-serif"/>
          <w:b w:val="false"/>
          <w:color w:val="000000"/>
          <w:sz w:val="24"/>
        </w:rPr>
        <w:t>has the meaning specified in the definition of “Term SOFR”.</w:t>
      </w:r>
    </w:p>
    <w:p>
      <w:pPr>
        <w:pStyle w:val="TextBody"/>
        <w:bidi w:val="0"/>
        <w:spacing w:lineRule="auto" w:line="520" w:before="240" w:after="283"/>
        <w:jc w:val="both"/>
        <w:rPr/>
      </w:pPr>
      <w:r>
        <w:rPr>
          <w:color w:val="000000"/>
        </w:rPr>
        <w:t>“</w:t>
      </w:r>
      <w:r>
        <w:rPr>
          <w:rFonts w:ascii="Times New Roman;sans-serif" w:hAnsi="Times New Roman;sans-serif"/>
          <w:b w:val="false"/>
          <w:color w:val="000000"/>
          <w:sz w:val="24"/>
          <w:u w:val="single"/>
        </w:rPr>
        <w:t>Administration Fee</w:t>
      </w:r>
      <w:r>
        <w:rPr>
          <w:color w:val="000000"/>
        </w:rPr>
        <w:t xml:space="preserve">” </w:t>
      </w:r>
      <w:r>
        <w:rPr>
          <w:rFonts w:ascii="Times New Roman;sans-serif" w:hAnsi="Times New Roman;sans-serif"/>
          <w:b w:val="false"/>
          <w:color w:val="000000"/>
          <w:sz w:val="24"/>
        </w:rPr>
        <w:t>shall have the meaning assigned to such term in Section 2.12(c). “</w:t>
      </w:r>
      <w:r>
        <w:rPr>
          <w:rFonts w:ascii="Times New Roman;sans-serif" w:hAnsi="Times New Roman;sans-serif"/>
          <w:b w:val="false"/>
          <w:color w:val="000000"/>
          <w:sz w:val="24"/>
          <w:u w:val="single"/>
        </w:rPr>
        <w:t>Administrative Agent</w:t>
      </w:r>
      <w:r>
        <w:rPr>
          <w:color w:val="000000"/>
        </w:rPr>
        <w:t xml:space="preserve">” </w:t>
      </w:r>
      <w:r>
        <w:rPr>
          <w:rFonts w:ascii="Times New Roman;sans-serif" w:hAnsi="Times New Roman;sans-serif"/>
          <w:b w:val="false"/>
          <w:color w:val="000000"/>
          <w:sz w:val="24"/>
        </w:rPr>
        <w:t>means</w:t>
      </w:r>
    </w:p>
    <w:p>
      <w:pPr>
        <w:pStyle w:val="TextBody"/>
        <w:bidi w:val="0"/>
        <w:spacing w:lineRule="auto" w:line="240"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(a)with respect to any (x) Borrowing, advance, prepayment, repayment, reimbursement and other payment, including any Erroneous Payment (and including any related bank accounts) of, with respect to or in connection with, or (y) any fee payable with respect to or in connection with, in the case of each of (x) and (y), any Term Facility, the Term Facility Administrative Agent;</w:t>
      </w:r>
    </w:p>
    <w:p>
      <w:pPr>
        <w:pStyle w:val="TextBody"/>
        <w:bidi w:val="0"/>
        <w:spacing w:lineRule="auto" w:line="240" w:before="240"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(b)with respect to any (x) Borrowing, advance, prepayment, repayment, reimbursement and other payment, including any Erroneous Payment (and including any related bank accounts) of, with respect to or in connection with, or (y) any fee payable with respect to or in connection with, in the case of each of (x) and (y), any Revolving Facility, the Revolving Facility Administrative Agent;</w:t>
      </w:r>
    </w:p>
    <w:p>
      <w:pPr>
        <w:pStyle w:val="TextBody"/>
        <w:bidi w:val="0"/>
        <w:spacing w:lineRule="auto" w:line="240" w:before="240"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(c)with respect to any matters related to determination, calculation, replacement or approval of an interest rate (or any component thereof) under a Term Facility, the Term Facility Administrative Agent;</w:t>
      </w:r>
    </w:p>
    <w:p>
      <w:pPr>
        <w:pStyle w:val="TextBody"/>
        <w:bidi w:val="0"/>
        <w:spacing w:lineRule="auto" w:line="240" w:before="240"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(d)with respect to any matters related to determination, calculation, replacement or approval of an interest rate (or any component thereof) or Permitted Foreign Currency under any Revolving Facility, the Revolving Facility Administrative Agent;</w:t>
      </w:r>
    </w:p>
    <w:p>
      <w:pPr>
        <w:pStyle w:val="TextBody"/>
        <w:bidi w:val="0"/>
        <w:spacing w:lineRule="auto" w:line="240" w:before="240"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(e)with respect to any notices, certificates, questionnaires, documents, reports, communications and any other information and documentation to be delivered to the Administrative Agent by (x) any Loan Party that are exclusively related to any Term Facility or any Term Lender (including borrowing and prepayment notices and excluding, for the avoidance of doubt, any reports, notices, documents, communications and information (A) delivered by any of the Loan Parties under Article V or (B) related to Collateral and security interests therein) or</w:t>
      </w:r>
    </w:p>
    <w:p>
      <w:pPr>
        <w:pStyle w:val="TextBody"/>
        <w:bidi w:val="0"/>
        <w:spacing w:lineRule="auto" w:line="276"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(y) any Term Lender, the Term Facility Administrative Agent;</w:t>
      </w:r>
    </w:p>
    <w:p>
      <w:pPr>
        <w:pStyle w:val="TextBody"/>
        <w:bidi w:val="0"/>
        <w:spacing w:lineRule="auto" w:line="240" w:before="240"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(f)with respect to any notices, certificates, questionnaires, documents, reports, communications and any other information and documentation to be delivered to the Administrative Agent by (x) any Loan Party that are exclusively related to the Revolving Facility or any Revolving Facility Lender (including borrowing, prepayment, commitment termination and cancellation notices and excluding, for the avoidance of doubt, any reports, notices, documents, communications and information (A) delivered by any of the Loan Parties under Article V or (B) related to Collateral and security interests therein) or (y) any Revolving Facility Lender, the Revolving Facility Administrative Agent;</w:t>
      </w:r>
    </w:p>
    <w:p>
      <w:pPr>
        <w:pStyle w:val="TextBody"/>
        <w:bidi w:val="0"/>
        <w:spacing w:lineRule="auto" w:line="240" w:before="241"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(g)with respect to any notices, certificates, documents, reports, communications and any other information and documentation to be delivered, made or posted by the Administrative Agent to (x) any Loan Party that are exclusively related to any Term Facility</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0175" cy="781050"/>
                <wp:effectExtent l="0" t="0" r="0" b="0"/>
                <wp:wrapNone/>
                <wp:docPr id="210" name="Frame209"/>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8</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jc w:val="left"/>
        <w:rPr>
          <w:rFonts w:ascii="Times New Roman;sans-serif" w:hAnsi="Times New Roman;sans-serif"/>
          <w:b w:val="false"/>
          <w:color w:val="000000"/>
          <w:sz w:val="24"/>
        </w:rPr>
      </w:pPr>
      <w:r>
        <w:rPr>
          <w:rFonts w:ascii="Times New Roman;sans-serif" w:hAnsi="Times New Roman;sans-serif"/>
          <w:b w:val="false"/>
          <w:color w:val="000000"/>
          <w:sz w:val="24"/>
        </w:rPr>
        <w:t>or any Term Lender (excluding any notices described in clause (t) below) or (y) any Term Lender, the Term Facility Administrative Agent;</w:t>
      </w:r>
    </w:p>
    <w:p>
      <w:pPr>
        <w:pStyle w:val="TextBody"/>
        <w:bidi w:val="0"/>
        <w:spacing w:lineRule="auto" w:line="240" w:before="240"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(h)with respect to any notices, certificates, documents, reports, communications and any other information and documentation to be delivered, made or posted by the Administrative Agent to (x) any Loan Party that are exclusively related to any of the Revolving Facility or any Revolving Facility Lender (excluding any notices described in clause (s) below) or</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(y) any Revolving Facility Lender, the Revolving Facility Administrative Agent;</w:t>
      </w:r>
    </w:p>
    <w:p>
      <w:pPr>
        <w:pStyle w:val="TextBody"/>
        <w:bidi w:val="0"/>
        <w:spacing w:lineRule="auto" w:line="240" w:before="240"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(i)with respect to any demands and requests that the Administrative Agent is required to, or has the right or option to, make (excluding any demands and requests described in clause (t) below) with respect to (x) any Loan Party that are exclusively related to any Term Facility or (y) any Term Lender, the Term Facility Administrative Agent;</w:t>
      </w:r>
    </w:p>
    <w:p>
      <w:pPr>
        <w:pStyle w:val="TextBody"/>
        <w:bidi w:val="0"/>
        <w:spacing w:lineRule="auto" w:line="240" w:before="240"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(j)with respect to any demands and requests that the Administrative Agent is required to, or has the right or option to, make (excluding any demands and requests described in clause (s) below) with respect to (x) any Loan Party that are exclusively related to the Revolving Facility or (y) any Revolving Facility Lender, the Revolving Facility Administrative Agent;</w:t>
      </w:r>
    </w:p>
    <w:p>
      <w:pPr>
        <w:pStyle w:val="TextBody"/>
        <w:bidi w:val="0"/>
        <w:spacing w:lineRule="auto" w:line="240" w:before="240"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(k)with respect to any matter related to conditions precedent to any Term Borrowing and any determination whether such conditions are satisfied, the Term Facility Administrative Agent;</w:t>
      </w:r>
    </w:p>
    <w:p>
      <w:pPr>
        <w:pStyle w:val="TextBody"/>
        <w:bidi w:val="0"/>
        <w:spacing w:lineRule="auto" w:line="240" w:before="240"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(l)with respect to any matter related to conditions precedent to any Revolving Facility Borrowing, Swingline Borrowing or any L/C Borrowing and any determination whether such conditions are satisfied, the Revolving Facility Administrative Agent;</w:t>
      </w:r>
    </w:p>
    <w:p>
      <w:pPr>
        <w:pStyle w:val="TextBody"/>
        <w:bidi w:val="0"/>
        <w:spacing w:lineRule="auto" w:line="240" w:before="241"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(m)with respect to any matter related to any assignments of, or participations in, any Term Facility (including the maintenance of the Register of Term Lenders), the Term Facility Administrative Agent;</w:t>
      </w:r>
    </w:p>
    <w:p>
      <w:pPr>
        <w:pStyle w:val="TextBody"/>
        <w:bidi w:val="0"/>
        <w:spacing w:lineRule="auto" w:line="240" w:before="240"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(n)with respect to any matter related to any assignments of, or participations in, any of the Revolving Facility (including the maintenance of the Register of Revolving Facility Lenders), the Revolving Facility Administrative Agent;</w:t>
      </w:r>
    </w:p>
    <w:p>
      <w:pPr>
        <w:pStyle w:val="TextBody"/>
        <w:bidi w:val="0"/>
        <w:spacing w:lineRule="auto" w:line="240" w:before="238"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(o)with respect to any matter related to the designation of any Term Lender as a Defaulting Lender, the Term Facility Administrative Agent;</w:t>
      </w:r>
    </w:p>
    <w:p>
      <w:pPr>
        <w:pStyle w:val="TextBody"/>
        <w:bidi w:val="0"/>
        <w:spacing w:lineRule="auto" w:line="240" w:before="241"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(p)with respect to any matter related to the designation of any Revolving Facility Lender as a Defaulting Lender, the Revolving Facility Administrative Agent;</w:t>
      </w:r>
    </w:p>
    <w:p>
      <w:pPr>
        <w:pStyle w:val="TextBody"/>
        <w:bidi w:val="0"/>
        <w:spacing w:lineRule="auto" w:line="240" w:before="240"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(q)with respect to any amendments or other modifications of the Loan Documents in connection with the establishment of an Incremental Term Loan, a Refinancing Term Loan or Extended Term Loan, the Term Facility Administrative Agent;</w:t>
      </w:r>
    </w:p>
    <w:p>
      <w:pPr>
        <w:pStyle w:val="TextBody"/>
        <w:bidi w:val="0"/>
        <w:spacing w:lineRule="auto" w:line="240" w:before="240"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(r)with respect to any amendments or other modifications of the Loan Documents in connection with the establishment of an Incremental Revolving Loan, a new</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0175" cy="781050"/>
                <wp:effectExtent l="0" t="0" r="0" b="0"/>
                <wp:wrapNone/>
                <wp:docPr id="211" name="Frame210"/>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jc w:val="left"/>
        <w:rPr>
          <w:rFonts w:ascii="Times New Roman;sans-serif" w:hAnsi="Times New Roman;sans-serif"/>
          <w:b w:val="false"/>
          <w:color w:val="000000"/>
          <w:sz w:val="24"/>
        </w:rPr>
      </w:pPr>
      <w:r>
        <w:rPr>
          <w:rFonts w:ascii="Times New Roman;sans-serif" w:hAnsi="Times New Roman;sans-serif"/>
          <w:b w:val="false"/>
          <w:color w:val="000000"/>
          <w:sz w:val="24"/>
        </w:rPr>
        <w:t>revolving credit facility with respect to Replacement Revolving Facility Commitments or Extended Revolving Facility Commitments, the Revolving Facility Administrative Agent;</w:t>
      </w:r>
    </w:p>
    <w:p>
      <w:pPr>
        <w:pStyle w:val="TextBody"/>
        <w:bidi w:val="0"/>
        <w:spacing w:lineRule="auto" w:line="240" w:before="240"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(s)with respect to any action to be taken (including any request or demand to be made, notice to be delivered or any approval, consent or acceptance to be granted) by the Administrative Agent at the instruction or direction of the Required Lenders constituting solely Term Lenders, the Term Facility Administrative Agent;</w:t>
      </w:r>
    </w:p>
    <w:p>
      <w:pPr>
        <w:pStyle w:val="TextBody"/>
        <w:bidi w:val="0"/>
        <w:spacing w:lineRule="auto" w:line="240" w:before="240"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(t)with respect to any action to be taken (including any request or demand to be made, notice to be delivered or any approval, consent or acceptance to be granted) by the Administrative Agent at the instruction or direction of the Required Lenders or Required Revolving Facility Lenders, the Revolving Facility Administrative Agent;</w:t>
      </w:r>
    </w:p>
    <w:p>
      <w:pPr>
        <w:pStyle w:val="TextBody"/>
        <w:bidi w:val="0"/>
        <w:spacing w:lineRule="auto" w:line="240" w:before="240"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(u)with respect to any notices that the Administrative Agent is authorized or required to deliver to any Loan Party (including notices of occurrence of any Default pursuant to Section 7.01 but excluding any notices described in clause (g), (h), (s) or (t)), the Revolving Facility Administrative Agent, the Term Facility Administrative Agent or either of them;</w:t>
      </w:r>
    </w:p>
    <w:p>
      <w:pPr>
        <w:pStyle w:val="TextBody"/>
        <w:bidi w:val="0"/>
        <w:spacing w:lineRule="auto" w:line="240" w:before="240"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(v)with respect to any demands, requests and any other action that the Administrative Agent is required to, or has the right or option to, provide, make or take (excluding any demands and requests set forth in clause (i), (j), (s) or (t)), the Revolving Facility Administrative Agent, the Term Facility Administrative Agent or either of them;</w:t>
      </w:r>
    </w:p>
    <w:p>
      <w:pPr>
        <w:pStyle w:val="TextBody"/>
        <w:bidi w:val="0"/>
        <w:spacing w:lineRule="auto" w:line="240" w:before="240"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(w)with respect to any matters related to Cash Collateral, the Revolving Facility Administrative Agent; and</w:t>
      </w:r>
    </w:p>
    <w:p>
      <w:pPr>
        <w:pStyle w:val="TextBody"/>
        <w:bidi w:val="0"/>
        <w:spacing w:lineRule="auto" w:line="240" w:before="241"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(x)with respect to any other matters (including, for the avoidance of doubt, any reference to the Administrative Agent in connection with (A) the delivery of any reports, notices, documents, communications and information by the Loan Parties under Article V, (B) any amendments, waivers or modifications of the Loan Documents, (C) any matter requiring approval, consent, acceptance or agreement of the Administrative Agent, (D) the description of the powers and authority of the Administrative Agent and (E) any indemnity, exculpation and reimbursement provisions), solely to the extent not otherwise described in any of clauses (a) through (w) above, both the Revolving Facility Administrative Agent and the Term Facility Administrative Agent.</w:t>
      </w:r>
    </w:p>
    <w:p>
      <w:pPr>
        <w:pStyle w:val="TextBody"/>
        <w:bidi w:val="0"/>
        <w:spacing w:lineRule="auto" w:line="240" w:before="238" w:after="283"/>
        <w:ind w:left="0" w:right="0" w:firstLine="720"/>
        <w:jc w:val="both"/>
        <w:rPr/>
      </w:pPr>
      <w:r>
        <w:rPr>
          <w:color w:val="000000"/>
        </w:rPr>
        <w:t>“</w:t>
      </w:r>
      <w:r>
        <w:rPr>
          <w:rFonts w:ascii="Times New Roman;sans-serif" w:hAnsi="Times New Roman;sans-serif"/>
          <w:b w:val="false"/>
          <w:color w:val="000000"/>
          <w:sz w:val="24"/>
          <w:u w:val="single"/>
        </w:rPr>
        <w:t>Administrative Agent Fees</w:t>
      </w:r>
      <w:r>
        <w:rPr>
          <w:color w:val="000000"/>
        </w:rPr>
        <w:t xml:space="preserve">” </w:t>
      </w:r>
      <w:r>
        <w:rPr>
          <w:rFonts w:ascii="Times New Roman;sans-serif" w:hAnsi="Times New Roman;sans-serif"/>
          <w:b w:val="false"/>
          <w:color w:val="000000"/>
          <w:sz w:val="24"/>
        </w:rPr>
        <w:t>shall have the meaning assigned to such term in Section 2.12(c).</w:t>
      </w:r>
    </w:p>
    <w:p>
      <w:pPr>
        <w:pStyle w:val="TextBody"/>
        <w:bidi w:val="0"/>
        <w:spacing w:lineRule="auto" w:line="240" w:before="241" w:after="283"/>
        <w:ind w:left="0" w:right="0" w:firstLine="720"/>
        <w:jc w:val="both"/>
        <w:rPr/>
      </w:pPr>
      <w:r>
        <w:rPr>
          <w:color w:val="000000"/>
        </w:rPr>
        <w:t>“</w:t>
      </w:r>
      <w:r>
        <w:rPr>
          <w:rFonts w:ascii="Times New Roman;sans-serif" w:hAnsi="Times New Roman;sans-serif"/>
          <w:b w:val="false"/>
          <w:color w:val="000000"/>
          <w:sz w:val="24"/>
          <w:u w:val="single"/>
        </w:rPr>
        <w:t>Administrative Questionnaire</w:t>
      </w:r>
      <w:r>
        <w:rPr>
          <w:color w:val="000000"/>
        </w:rPr>
        <w:t xml:space="preserve">” </w:t>
      </w:r>
      <w:r>
        <w:rPr>
          <w:rFonts w:ascii="Times New Roman;sans-serif" w:hAnsi="Times New Roman;sans-serif"/>
          <w:b w:val="false"/>
          <w:color w:val="000000"/>
          <w:sz w:val="24"/>
        </w:rPr>
        <w:t>shall mean an Administrative Questionnaire in the form supplied by the Administrative Agent.</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val="false"/>
          <w:color w:val="000000"/>
          <w:sz w:val="24"/>
          <w:u w:val="single"/>
        </w:rPr>
        <w:t>Affected Financial Institution</w:t>
      </w:r>
      <w:r>
        <w:rPr>
          <w:color w:val="000000"/>
        </w:rPr>
        <w:t xml:space="preserve">” </w:t>
      </w:r>
      <w:r>
        <w:rPr>
          <w:rFonts w:ascii="Times New Roman;sans-serif" w:hAnsi="Times New Roman;sans-serif"/>
          <w:b w:val="false"/>
          <w:color w:val="000000"/>
          <w:sz w:val="24"/>
        </w:rPr>
        <w:t>means (a) any EEA Financial Institution or (b) any UK Financial Institution.</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val="false"/>
          <w:color w:val="000000"/>
          <w:sz w:val="24"/>
          <w:u w:val="single"/>
        </w:rPr>
        <w:t>Affiliate</w:t>
      </w:r>
      <w:r>
        <w:rPr>
          <w:color w:val="000000"/>
        </w:rPr>
        <w:t xml:space="preserve">” </w:t>
      </w:r>
      <w:r>
        <w:rPr>
          <w:rFonts w:ascii="Times New Roman;sans-serif" w:hAnsi="Times New Roman;sans-serif"/>
          <w:b w:val="false"/>
          <w:color w:val="000000"/>
          <w:sz w:val="24"/>
        </w:rPr>
        <w:t>shall mean, when used with respect to a specified person, another person that directly, or indirectly through one or more intermediaries, Controls or is Controlled by or is under common Control with the person specified.</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480175" cy="781050"/>
                <wp:effectExtent l="0" t="0" r="0" b="0"/>
                <wp:wrapNone/>
                <wp:docPr id="212" name="Frame211"/>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10</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ind w:left="0" w:right="0" w:firstLine="720"/>
        <w:jc w:val="both"/>
        <w:rPr/>
      </w:pPr>
      <w:r>
        <w:rPr>
          <w:color w:val="000000"/>
        </w:rPr>
        <w:t>“</w:t>
      </w:r>
      <w:r>
        <w:rPr>
          <w:rFonts w:ascii="Times New Roman;sans-serif" w:hAnsi="Times New Roman;sans-serif"/>
          <w:b w:val="false"/>
          <w:color w:val="000000"/>
          <w:sz w:val="24"/>
          <w:u w:val="single"/>
        </w:rPr>
        <w:t>Agent Fee Letters</w:t>
      </w:r>
      <w:r>
        <w:rPr>
          <w:color w:val="000000"/>
        </w:rPr>
        <w:t xml:space="preserve">” </w:t>
      </w:r>
      <w:r>
        <w:rPr>
          <w:rFonts w:ascii="Times New Roman;sans-serif" w:hAnsi="Times New Roman;sans-serif"/>
          <w:b w:val="false"/>
          <w:color w:val="000000"/>
          <w:sz w:val="24"/>
        </w:rPr>
        <w:t>shall mean (a) that certain New Facilities Fee Letter dated as of January 8, 2024, by and between the Borrower and Citibank (as such New Facilities Fee Letter may be amended, restated, supplemented or otherwise modified) and (b) that certain New Facilities Fee Letter dated as of January 8, 2024, by and between the Borrower and Morgan Stanley (as such New Facilities Fee Letter may be amended, restated, supplemented or otherwise modified).</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val="false"/>
          <w:color w:val="000000"/>
          <w:sz w:val="24"/>
          <w:u w:val="single"/>
        </w:rPr>
        <w:t>Agents</w:t>
      </w:r>
      <w:r>
        <w:rPr>
          <w:color w:val="000000"/>
        </w:rPr>
        <w:t xml:space="preserve">” </w:t>
      </w:r>
      <w:r>
        <w:rPr>
          <w:rFonts w:ascii="Times New Roman;sans-serif" w:hAnsi="Times New Roman;sans-serif"/>
          <w:b w:val="false"/>
          <w:color w:val="000000"/>
          <w:sz w:val="24"/>
        </w:rPr>
        <w:t>shall mean the Term Facility Administrative Agent, the Revolving Facility Administrative Agent, the Collateral Agent and any sub-agent or co-agent of either of the foregoing pursuant to the Loan Documents.</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val="false"/>
          <w:color w:val="000000"/>
          <w:sz w:val="24"/>
          <w:u w:val="single"/>
        </w:rPr>
        <w:t>Agreement</w:t>
      </w:r>
      <w:r>
        <w:rPr>
          <w:color w:val="000000"/>
        </w:rPr>
        <w:t xml:space="preserve">” </w:t>
      </w:r>
      <w:r>
        <w:rPr>
          <w:rFonts w:ascii="Times New Roman;sans-serif" w:hAnsi="Times New Roman;sans-serif"/>
          <w:b w:val="false"/>
          <w:color w:val="000000"/>
          <w:sz w:val="24"/>
        </w:rPr>
        <w:t>shall have the meaning assigned to such term in the introductory paragraph of this Agreement.</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val="false"/>
          <w:color w:val="000000"/>
          <w:sz w:val="24"/>
          <w:u w:val="single"/>
        </w:rPr>
        <w:t>All-in Yield</w:t>
      </w:r>
      <w:r>
        <w:rPr>
          <w:color w:val="000000"/>
        </w:rPr>
        <w:t xml:space="preserve">” </w:t>
      </w:r>
      <w:r>
        <w:rPr>
          <w:rFonts w:ascii="Times New Roman;sans-serif" w:hAnsi="Times New Roman;sans-serif"/>
          <w:b w:val="false"/>
          <w:color w:val="000000"/>
          <w:sz w:val="24"/>
        </w:rPr>
        <w:t>shall mean, as to any Loans (or other Indebtedness, if applicable), the yield thereon to Lenders (or other lenders, as applicable) providing such Loans (or other Indebtedness, if applicable) in the primary syndication thereof, as reasonably determined by the Administrative Agent in consultation with the Borrower, taking into account (a) interest rate margins, (b) interest rate floors (subject to the proviso set forth below), (c) any amendment to the relevant interest rate margins and interest rate floors prior to the applicable date of determination and (d) original issue discount and upfront or similar fees (based on an assumed four-year average life to maturity), but excluding (i) any arrangement, commitment, structuring, underwriting and/or amendment fees (regardless of whether any such fees are paid to or shared in whole or in part with any lender) and</w:t>
      </w:r>
    </w:p>
    <w:p>
      <w:pPr>
        <w:pStyle w:val="TextBody"/>
        <w:bidi w:val="0"/>
        <w:spacing w:lineRule="auto" w:line="240" w:before="0" w:after="0"/>
        <w:jc w:val="both"/>
        <w:rPr/>
      </w:pPr>
      <w:r>
        <w:rPr>
          <w:rFonts w:ascii="Times New Roman;sans-serif" w:hAnsi="Times New Roman;sans-serif"/>
          <w:b w:val="false"/>
          <w:color w:val="000000"/>
          <w:sz w:val="24"/>
        </w:rPr>
        <w:t xml:space="preserve">(ii) any other fees that, in each case, are not payable to all relevant lenders generally;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(A) to the extent that Term SOFR (for a period of three months) or ABR (without giving effect to any floor specified in the definition thereof) is less than any floor applicable to the loans in respect of which the All-in Yield is being calculated on the date on which the All-in Yield is determined, the amount of the resulting difference will be deemed added to the interest rate margin applicable to the relevant Indebtedness for purposes of calculating the All-in Yield and (B) to the extent that Term SOFR (for a period of three months) or ABR (without giving effect to any floor specified in the definition thereof) is greater than any applicable floor on the date on which the All-in Yield is determined, the floor will be disregarded in calculating the All-in Yield.</w:t>
      </w:r>
    </w:p>
    <w:p>
      <w:pPr>
        <w:pStyle w:val="TextBody"/>
        <w:bidi w:val="0"/>
        <w:spacing w:lineRule="auto" w:line="240" w:before="239" w:after="283"/>
        <w:ind w:left="0" w:right="0" w:firstLine="720"/>
        <w:jc w:val="both"/>
        <w:rPr/>
      </w:pPr>
      <w:r>
        <w:rPr>
          <w:color w:val="000000"/>
        </w:rPr>
        <w:t>“</w:t>
      </w:r>
      <w:r>
        <w:rPr>
          <w:rFonts w:ascii="Times New Roman;sans-serif" w:hAnsi="Times New Roman;sans-serif"/>
          <w:b w:val="false"/>
          <w:color w:val="000000"/>
          <w:sz w:val="24"/>
          <w:u w:val="single"/>
        </w:rPr>
        <w:t>Anti-Corruption Laws</w:t>
      </w:r>
      <w:r>
        <w:rPr>
          <w:color w:val="000000"/>
        </w:rPr>
        <w:t xml:space="preserve">” </w:t>
      </w:r>
      <w:r>
        <w:rPr>
          <w:rFonts w:ascii="Times New Roman;sans-serif" w:hAnsi="Times New Roman;sans-serif"/>
          <w:b w:val="false"/>
          <w:color w:val="000000"/>
          <w:sz w:val="24"/>
        </w:rPr>
        <w:t>shall mean all laws or rules related to bribery or anti-corruption, including the United States Foreign Corrupt Practices Act of 1977, as amended, and the UK Bribery Act 2010, as amended.</w:t>
      </w:r>
    </w:p>
    <w:p>
      <w:pPr>
        <w:pStyle w:val="TextBody"/>
        <w:bidi w:val="0"/>
        <w:spacing w:lineRule="auto" w:line="240" w:before="241" w:after="283"/>
        <w:jc w:val="left"/>
        <w:rPr/>
      </w:pPr>
      <w:r>
        <w:rPr>
          <w:color w:val="000000"/>
        </w:rPr>
        <w:t>“</w:t>
      </w:r>
      <w:r>
        <w:rPr>
          <w:rFonts w:ascii="Times New Roman;sans-serif" w:hAnsi="Times New Roman;sans-serif"/>
          <w:b w:val="false"/>
          <w:color w:val="000000"/>
          <w:sz w:val="24"/>
          <w:u w:val="single"/>
        </w:rPr>
        <w:t>Applicable Commitment Fee</w:t>
      </w:r>
      <w:r>
        <w:rPr>
          <w:color w:val="000000"/>
        </w:rPr>
        <w:t xml:space="preserve">” </w:t>
      </w:r>
      <w:r>
        <w:rPr>
          <w:rFonts w:ascii="Times New Roman;sans-serif" w:hAnsi="Times New Roman;sans-serif"/>
          <w:b w:val="false"/>
          <w:color w:val="000000"/>
          <w:sz w:val="24"/>
        </w:rPr>
        <w:t>shall mean for any day:</w:t>
      </w:r>
    </w:p>
    <w:p>
      <w:pPr>
        <w:pStyle w:val="TextBody"/>
        <w:bidi w:val="0"/>
        <w:spacing w:lineRule="auto" w:line="240" w:before="240"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(a)with respect to any Revolving Facility Commitments in effect on the Closing Date (A) from the Closing Date to the date on which the Administrative Agent receives a certificate pursuant to Section 5.04(c) for the first full fiscal quarter ending after the Closing Date, 0.375% per annum, and (B) thereafter, the following percentages per annum set forth below under the caption “Applicable Commitment Fee”, based upon the First Lien Net Leverage Ratio as set forth in the most recent certificate received by the Administrative Agent pursuant to Section 5.04(c);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480175" cy="781050"/>
                <wp:effectExtent l="0" t="0" r="0" b="0"/>
                <wp:wrapNone/>
                <wp:docPr id="213" name="Frame212"/>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11</w:t>
                            </w:r>
                          </w:p>
                        </w:tc>
                      </w:tr>
                    </w:tbl>
                    <w:p>
                      <w:pPr>
                        <w:pStyle w:val="TextBody"/>
                        <w:bidi w:val="0"/>
                        <w:spacing w:before="0" w:after="283"/>
                        <w:jc w:val="left"/>
                        <w:rPr/>
                      </w:pPr>
                      <w:r>
                        <w:rPr/>
                      </w:r>
                    </w:p>
                  </w:txbxContent>
                </v:textbox>
                <w10:wrap type="none"/>
              </v:rect>
            </w:pict>
          </mc:Fallback>
        </mc:AlternateContent>
      </w:r>
    </w:p>
    <w:tbl>
      <w:tblPr>
        <w:tblW w:w="6780" w:type="dxa"/>
        <w:jc w:val="left"/>
        <w:tblInd w:w="0" w:type="dxa"/>
        <w:tblLayout w:type="fixed"/>
        <w:tblCellMar>
          <w:top w:w="28" w:type="dxa"/>
          <w:left w:w="28" w:type="dxa"/>
          <w:bottom w:w="28" w:type="dxa"/>
          <w:right w:w="28" w:type="dxa"/>
        </w:tblCellMar>
      </w:tblPr>
      <w:tblGrid>
        <w:gridCol w:w="239"/>
        <w:gridCol w:w="210"/>
        <w:gridCol w:w="212"/>
        <w:gridCol w:w="1079"/>
        <w:gridCol w:w="1079"/>
        <w:gridCol w:w="1082"/>
        <w:gridCol w:w="842"/>
        <w:gridCol w:w="842"/>
        <w:gridCol w:w="1195"/>
      </w:tblGrid>
      <w:tr>
        <w:trPr/>
        <w:tc>
          <w:tcPr>
            <w:tcW w:w="23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r>
      <w:tr>
        <w:trPr/>
        <w:tc>
          <w:tcPr>
            <w:tcW w:w="661" w:type="dxa"/>
            <w:gridSpan w:val="3"/>
            <w:tcBorders>
              <w:top w:val="single" w:sz="4" w:space="0" w:color="000000"/>
              <w:left w:val="single" w:sz="4" w:space="0" w:color="000000"/>
            </w:tcBorders>
            <w:tcMar>
              <w:top w:w="30" w:type="dxa"/>
              <w:left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Level</w:t>
            </w:r>
          </w:p>
        </w:tc>
        <w:tc>
          <w:tcPr>
            <w:tcW w:w="324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54"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First Lien Net Leverage Ratio</w:t>
            </w:r>
          </w:p>
        </w:tc>
        <w:tc>
          <w:tcPr>
            <w:tcW w:w="287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54"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Applicable Commitment Fee</w:t>
            </w:r>
          </w:p>
        </w:tc>
      </w:tr>
      <w:tr>
        <w:trPr/>
        <w:tc>
          <w:tcPr>
            <w:tcW w:w="661" w:type="dxa"/>
            <w:gridSpan w:val="3"/>
            <w:tcBorders>
              <w:top w:val="single" w:sz="4" w:space="0" w:color="000000"/>
              <w:left w:val="single" w:sz="4" w:space="0" w:color="000000"/>
            </w:tcBorders>
            <w:tcMar>
              <w:top w:w="30" w:type="dxa"/>
              <w:left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w:t>
            </w:r>
          </w:p>
        </w:tc>
        <w:tc>
          <w:tcPr>
            <w:tcW w:w="324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 w:after="283"/>
              <w:jc w:val="left"/>
              <w:rPr>
                <w:color w:val="000000"/>
              </w:rPr>
            </w:pPr>
            <w:r>
              <w:rPr>
                <w:color w:val="000000"/>
              </w:rPr>
              <w:t xml:space="preserve">≤ </w:t>
            </w:r>
            <w:r>
              <w:rPr>
                <w:rFonts w:ascii="Times New Roman;sans-serif" w:hAnsi="Times New Roman;sans-serif"/>
                <w:b w:val="false"/>
                <w:color w:val="000000"/>
                <w:sz w:val="24"/>
              </w:rPr>
              <w:t>0.50 to 1.00</w:t>
            </w:r>
          </w:p>
        </w:tc>
        <w:tc>
          <w:tcPr>
            <w:tcW w:w="2879" w:type="dxa"/>
            <w:gridSpan w:val="3"/>
            <w:tcBorders>
              <w:top w:val="single" w:sz="4" w:space="0" w:color="000000"/>
              <w:left w:val="single" w:sz="4" w:space="0" w:color="000000"/>
              <w:right w:val="single" w:sz="4" w:space="0" w:color="000000"/>
            </w:tcBorders>
            <w:tcMar>
              <w:top w:w="30" w:type="dxa"/>
              <w:left w:w="29"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0.25%</w:t>
            </w:r>
          </w:p>
        </w:tc>
      </w:tr>
      <w:tr>
        <w:trPr/>
        <w:tc>
          <w:tcPr>
            <w:tcW w:w="661" w:type="dxa"/>
            <w:gridSpan w:val="3"/>
            <w:tcBorders>
              <w:top w:val="single" w:sz="4" w:space="0" w:color="000000"/>
              <w:left w:val="single" w:sz="4" w:space="0" w:color="000000"/>
            </w:tcBorders>
            <w:tcMar>
              <w:top w:w="30" w:type="dxa"/>
              <w:left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II</w:t>
            </w:r>
          </w:p>
        </w:tc>
        <w:tc>
          <w:tcPr>
            <w:tcW w:w="324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&gt; 0.50 to 1.00 and ≤ 1.00 to 1.00</w:t>
            </w:r>
          </w:p>
        </w:tc>
        <w:tc>
          <w:tcPr>
            <w:tcW w:w="2879" w:type="dxa"/>
            <w:gridSpan w:val="3"/>
            <w:tcBorders>
              <w:top w:val="single" w:sz="4" w:space="0" w:color="000000"/>
              <w:left w:val="single" w:sz="4" w:space="0" w:color="000000"/>
              <w:right w:val="single" w:sz="4" w:space="0" w:color="000000"/>
            </w:tcBorders>
            <w:tcMar>
              <w:top w:w="30" w:type="dxa"/>
              <w:left w:w="29"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0.375%</w:t>
            </w:r>
          </w:p>
        </w:tc>
      </w:tr>
      <w:tr>
        <w:trPr/>
        <w:tc>
          <w:tcPr>
            <w:tcW w:w="661" w:type="dxa"/>
            <w:gridSpan w:val="3"/>
            <w:tcBorders>
              <w:top w:val="single" w:sz="4" w:space="0" w:color="000000"/>
              <w:left w:val="single" w:sz="4" w:space="0" w:color="000000"/>
              <w:bottom w:val="single" w:sz="4" w:space="0" w:color="000000"/>
            </w:tcBorders>
            <w:tcMar>
              <w:top w:w="30" w:type="dxa"/>
              <w:left w:w="3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III</w:t>
            </w:r>
          </w:p>
        </w:tc>
        <w:tc>
          <w:tcPr>
            <w:tcW w:w="324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&gt; 1.00 to 1.00</w:t>
            </w:r>
          </w:p>
        </w:tc>
        <w:tc>
          <w:tcPr>
            <w:tcW w:w="2879" w:type="dxa"/>
            <w:gridSpan w:val="3"/>
            <w:tcBorders>
              <w:top w:val="single" w:sz="4" w:space="0" w:color="000000"/>
              <w:left w:val="single" w:sz="4" w:space="0" w:color="000000"/>
              <w:bottom w:val="single" w:sz="4" w:space="0" w:color="000000"/>
              <w:right w:val="single" w:sz="4" w:space="0" w:color="000000"/>
            </w:tcBorders>
            <w:tcMar>
              <w:top w:w="30" w:type="dxa"/>
              <w:left w:w="29" w:type="dxa"/>
              <w:bottom w:w="3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0.50%</w:t>
            </w:r>
          </w:p>
        </w:tc>
      </w:tr>
    </w:tbl>
    <w:p>
      <w:pPr>
        <w:pStyle w:val="TextBody"/>
        <w:bidi w:val="0"/>
        <w:spacing w:before="22" w:after="283"/>
        <w:jc w:val="left"/>
        <w:rPr/>
      </w:pPr>
      <w:r>
        <w:rPr/>
      </w:r>
    </w:p>
    <w:p>
      <w:pPr>
        <w:pStyle w:val="TextBody"/>
        <w:bidi w:val="0"/>
        <w:spacing w:lineRule="auto" w:line="240" w:before="0" w:after="0"/>
        <w:jc w:val="both"/>
        <w:rPr/>
      </w:pPr>
      <w:r>
        <w:rPr>
          <w:rFonts w:ascii="Times New Roman;sans-serif" w:hAnsi="Times New Roman;sans-serif"/>
          <w:b w:val="false"/>
          <w:color w:val="000000"/>
          <w:sz w:val="24"/>
        </w:rPr>
        <w:t xml:space="preserve">With respect to subclause (a) above, any increase or decrease in the Applicable Commitment Fee resulting from a change in the First Lien Net Leverage Ratio shall become effective as of the first Business Day immediately following the date a certificate is delivered pursuant to Section 5.04(c);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if such certificate is not delivered when due in accordance with such Section, then, upon the request of the Required Revolving Facility Lenders, pricing Level III shall apply as of the first Business Day after the date on which such certificate was required to have been delivered and in each case shall remain in effect until the date on which such certificate is delivered. In the event that the Borrower or the Administrative Agent determines that any financial statement or certificate delivered pursuant to Section 5.04(c) is inaccurate, and such inaccuracy, if corrected, would have led to the application of a different Applicable Commitment Fee for any period (an “</w:t>
      </w:r>
      <w:r>
        <w:rPr>
          <w:rFonts w:ascii="Times New Roman;sans-serif" w:hAnsi="Times New Roman;sans-serif"/>
          <w:b w:val="false"/>
          <w:color w:val="000000"/>
          <w:sz w:val="24"/>
          <w:u w:val="single"/>
        </w:rPr>
        <w:t>Applicable Period</w:t>
      </w:r>
      <w:r>
        <w:rPr>
          <w:color w:val="000000"/>
        </w:rPr>
        <w:t>”</w:t>
      </w:r>
      <w:r>
        <w:rPr>
          <w:rFonts w:ascii="Times New Roman;sans-serif" w:hAnsi="Times New Roman;sans-serif"/>
          <w:b w:val="false"/>
          <w:color w:val="000000"/>
          <w:sz w:val="24"/>
        </w:rPr>
        <w:t>) than the Applicable Margin applied for such Applicable Period, then (a) the Borrower shall promptly following such determination deliver to the Administrative Agent correct financial statements and certificates required by Section 5.04(c) for such Applicable Period, (b) the Applicable Commitment Fee for such Applicable Period shall be determined as if the First Lien Net Leverage Ratio were determined based on the amounts set forth in such correct financial statements and certificates and (c) if the correct Applicable Commitment Fee for the Applicable Period is higher than the Applicable Commitment Fee that was paid for such period, the Borrower shall promptly (and in any event within ten (10) Business Days) following delivery of such corrected financial statements and certificates pay to the Administrative Agent the accrued additional interest and fees owing as a result of such increased Applicable Commitment Fee for such Applicable Period; and</w:t>
      </w:r>
    </w:p>
    <w:p>
      <w:pPr>
        <w:pStyle w:val="TextBody"/>
        <w:bidi w:val="0"/>
        <w:spacing w:lineRule="auto" w:line="240" w:before="240"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(b)with respect to any Other Revolving Facility Commitments, the “Applicable Commitment Fee” set forth in the applicable Extension Amendment or Refinancing Amendment (as applicable).</w:t>
      </w:r>
    </w:p>
    <w:p>
      <w:pPr>
        <w:pStyle w:val="TextBody"/>
        <w:bidi w:val="0"/>
        <w:spacing w:lineRule="auto" w:line="520" w:before="240" w:after="283"/>
        <w:jc w:val="both"/>
        <w:rPr/>
      </w:pPr>
      <w:r>
        <w:rPr>
          <w:color w:val="000000"/>
        </w:rPr>
        <w:t>“</w:t>
      </w:r>
      <w:r>
        <w:rPr>
          <w:rFonts w:ascii="Times New Roman;sans-serif" w:hAnsi="Times New Roman;sans-serif"/>
          <w:b w:val="false"/>
          <w:color w:val="000000"/>
          <w:sz w:val="24"/>
          <w:u w:val="single"/>
        </w:rPr>
        <w:t>Applicable Date</w:t>
      </w:r>
      <w:r>
        <w:rPr>
          <w:color w:val="000000"/>
        </w:rPr>
        <w:t xml:space="preserve">” </w:t>
      </w:r>
      <w:r>
        <w:rPr>
          <w:rFonts w:ascii="Times New Roman;sans-serif" w:hAnsi="Times New Roman;sans-serif"/>
          <w:b w:val="false"/>
          <w:color w:val="000000"/>
          <w:sz w:val="24"/>
        </w:rPr>
        <w:t>shall have the meaning assigned to such term in Section 9.08(f). “</w:t>
      </w:r>
      <w:r>
        <w:rPr>
          <w:rFonts w:ascii="Times New Roman;sans-serif" w:hAnsi="Times New Roman;sans-serif"/>
          <w:b w:val="false"/>
          <w:color w:val="000000"/>
          <w:sz w:val="24"/>
          <w:u w:val="single"/>
        </w:rPr>
        <w:t>Applicable Margin</w:t>
      </w:r>
      <w:r>
        <w:rPr>
          <w:color w:val="000000"/>
        </w:rPr>
        <w:t xml:space="preserve">” </w:t>
      </w:r>
      <w:r>
        <w:rPr>
          <w:rFonts w:ascii="Times New Roman;sans-serif" w:hAnsi="Times New Roman;sans-serif"/>
          <w:b w:val="false"/>
          <w:color w:val="000000"/>
          <w:sz w:val="24"/>
        </w:rPr>
        <w:t>shall mean for any day:</w:t>
      </w:r>
    </w:p>
    <w:p>
      <w:pPr>
        <w:pStyle w:val="TextBody"/>
        <w:bidi w:val="0"/>
        <w:spacing w:lineRule="auto" w:line="240"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(a)with respect to any Initial Term Loan, 4.50% per annum in the case of any Term SOFR Loan and 3.50% per annum in the case of any ABR Loan, and</w:t>
      </w:r>
    </w:p>
    <w:p>
      <w:pPr>
        <w:pStyle w:val="TextBody"/>
        <w:bidi w:val="0"/>
        <w:spacing w:lineRule="auto" w:line="240" w:before="240"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(b)with respect to any Revolving Facility Loan and any Swingline Loan under the Revolving Facility in effect on the Closing Date (A) from the Closing Date to the date on which the Administrative Agent receives a certificate pursuant to Section 5.04(c) for the first full fiscal quarter ending after the Closing Date, 3.75% per annum in the case of any Term SOFR Loan and 2.75% per annum in the case of any ABR Loan, and (B) thereafter, the following percentages per annum set forth below under the caption “ABR Loans” or “Term SOFR Loans,” as the case may be, based upon the First Lien Net Leverage Ratio as set forth in the most recent certificate received by the Administrative Agent pursuant to Section 5.04(c);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480175" cy="781050"/>
                <wp:effectExtent l="0" t="0" r="0" b="0"/>
                <wp:wrapNone/>
                <wp:docPr id="214" name="Frame213"/>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12</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60" w:after="283"/>
        <w:jc w:val="lef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Revolving Facility Loans</w:t>
      </w:r>
    </w:p>
    <w:p>
      <w:pPr>
        <w:pStyle w:val="TextBody"/>
        <w:bidi w:val="0"/>
        <w:spacing w:before="10" w:after="283"/>
        <w:jc w:val="left"/>
        <w:rPr/>
      </w:pPr>
      <w:r>
        <w:rPr/>
      </w:r>
    </w:p>
    <w:tbl>
      <w:tblPr>
        <w:tblW w:w="7140" w:type="dxa"/>
        <w:jc w:val="left"/>
        <w:tblInd w:w="0" w:type="dxa"/>
        <w:tblLayout w:type="fixed"/>
        <w:tblCellMar>
          <w:top w:w="28" w:type="dxa"/>
          <w:left w:w="28" w:type="dxa"/>
          <w:bottom w:w="28" w:type="dxa"/>
          <w:right w:w="28" w:type="dxa"/>
        </w:tblCellMar>
      </w:tblPr>
      <w:tblGrid>
        <w:gridCol w:w="239"/>
        <w:gridCol w:w="210"/>
        <w:gridCol w:w="212"/>
        <w:gridCol w:w="1079"/>
        <w:gridCol w:w="1079"/>
        <w:gridCol w:w="1082"/>
        <w:gridCol w:w="644"/>
        <w:gridCol w:w="644"/>
        <w:gridCol w:w="647"/>
        <w:gridCol w:w="381"/>
        <w:gridCol w:w="381"/>
        <w:gridCol w:w="542"/>
      </w:tblGrid>
      <w:tr>
        <w:trPr/>
        <w:tc>
          <w:tcPr>
            <w:tcW w:w="23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66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before="0" w:after="0"/>
              <w:jc w:val="left"/>
              <w:rPr/>
            </w:pPr>
            <w:r>
              <w:rPr/>
            </w:r>
          </w:p>
          <w:p>
            <w:pPr>
              <w:pStyle w:val="TableContents"/>
              <w:bidi w:val="0"/>
              <w:spacing w:lineRule="auto" w:line="254"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Level</w:t>
            </w:r>
          </w:p>
        </w:tc>
        <w:tc>
          <w:tcPr>
            <w:tcW w:w="324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before="0" w:after="0"/>
              <w:jc w:val="left"/>
              <w:rPr/>
            </w:pPr>
            <w:r>
              <w:rPr/>
            </w:r>
          </w:p>
          <w:p>
            <w:pPr>
              <w:pStyle w:val="TableContents"/>
              <w:bidi w:val="0"/>
              <w:spacing w:lineRule="auto" w:line="254"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First Lien Net Leverage Ratio</w:t>
            </w:r>
          </w:p>
        </w:tc>
        <w:tc>
          <w:tcPr>
            <w:tcW w:w="193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14"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Term SOFR Loans</w:t>
            </w:r>
          </w:p>
        </w:tc>
        <w:tc>
          <w:tcPr>
            <w:tcW w:w="130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before="0" w:after="0"/>
              <w:jc w:val="left"/>
              <w:rPr/>
            </w:pPr>
            <w:r>
              <w:rPr/>
            </w:r>
          </w:p>
          <w:p>
            <w:pPr>
              <w:pStyle w:val="TableContents"/>
              <w:bidi w:val="0"/>
              <w:spacing w:lineRule="auto" w:line="254"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ABR Loans</w:t>
            </w:r>
          </w:p>
        </w:tc>
      </w:tr>
      <w:tr>
        <w:trPr/>
        <w:tc>
          <w:tcPr>
            <w:tcW w:w="661" w:type="dxa"/>
            <w:gridSpan w:val="3"/>
            <w:tcBorders>
              <w:top w:val="single" w:sz="4" w:space="0" w:color="000000"/>
              <w:left w:val="single" w:sz="4" w:space="0" w:color="000000"/>
            </w:tcBorders>
            <w:tcMar>
              <w:top w:w="30" w:type="dxa"/>
              <w:left w:w="174"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w:t>
            </w:r>
          </w:p>
        </w:tc>
        <w:tc>
          <w:tcPr>
            <w:tcW w:w="324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 w:after="283"/>
              <w:jc w:val="left"/>
              <w:rPr>
                <w:color w:val="000000"/>
              </w:rPr>
            </w:pPr>
            <w:r>
              <w:rPr>
                <w:color w:val="000000"/>
              </w:rPr>
              <w:t xml:space="preserve">≤ </w:t>
            </w:r>
            <w:r>
              <w:rPr>
                <w:rFonts w:ascii="Times New Roman;sans-serif" w:hAnsi="Times New Roman;sans-serif"/>
                <w:b w:val="false"/>
                <w:color w:val="000000"/>
                <w:sz w:val="24"/>
              </w:rPr>
              <w:t>0.50 to 1.00</w:t>
            </w:r>
          </w:p>
        </w:tc>
        <w:tc>
          <w:tcPr>
            <w:tcW w:w="1935" w:type="dxa"/>
            <w:gridSpan w:val="3"/>
            <w:tcBorders>
              <w:top w:val="single" w:sz="4" w:space="0" w:color="000000"/>
              <w:left w:val="single" w:sz="4" w:space="0" w:color="000000"/>
            </w:tcBorders>
            <w:tcMar>
              <w:top w:w="30" w:type="dxa"/>
              <w:left w:w="17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3.50%</w:t>
            </w:r>
          </w:p>
        </w:tc>
        <w:tc>
          <w:tcPr>
            <w:tcW w:w="1304" w:type="dxa"/>
            <w:gridSpan w:val="3"/>
            <w:tcBorders>
              <w:top w:val="single" w:sz="4" w:space="0" w:color="000000"/>
              <w:left w:val="single" w:sz="4" w:space="0" w:color="000000"/>
              <w:right w:val="single" w:sz="4" w:space="0" w:color="000000"/>
            </w:tcBorders>
            <w:tcMar>
              <w:top w:w="30" w:type="dxa"/>
              <w:left w:w="17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2.50%</w:t>
            </w:r>
          </w:p>
        </w:tc>
      </w:tr>
      <w:tr>
        <w:trPr/>
        <w:tc>
          <w:tcPr>
            <w:tcW w:w="661" w:type="dxa"/>
            <w:gridSpan w:val="3"/>
            <w:tcBorders>
              <w:top w:val="single" w:sz="4" w:space="0" w:color="000000"/>
              <w:left w:val="single" w:sz="4" w:space="0" w:color="000000"/>
            </w:tcBorders>
            <w:tcMar>
              <w:top w:w="30" w:type="dxa"/>
              <w:left w:w="174"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II</w:t>
            </w:r>
          </w:p>
        </w:tc>
        <w:tc>
          <w:tcPr>
            <w:tcW w:w="324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&gt; 0.50 to 1.00 and ≤ 1.00 to 1.00</w:t>
            </w:r>
          </w:p>
        </w:tc>
        <w:tc>
          <w:tcPr>
            <w:tcW w:w="1935" w:type="dxa"/>
            <w:gridSpan w:val="3"/>
            <w:tcBorders>
              <w:top w:val="single" w:sz="4" w:space="0" w:color="000000"/>
              <w:left w:val="single" w:sz="4" w:space="0" w:color="000000"/>
            </w:tcBorders>
            <w:tcMar>
              <w:top w:w="30" w:type="dxa"/>
              <w:left w:w="17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3.75%</w:t>
            </w:r>
          </w:p>
        </w:tc>
        <w:tc>
          <w:tcPr>
            <w:tcW w:w="1304" w:type="dxa"/>
            <w:gridSpan w:val="3"/>
            <w:tcBorders>
              <w:top w:val="single" w:sz="4" w:space="0" w:color="000000"/>
              <w:left w:val="single" w:sz="4" w:space="0" w:color="000000"/>
              <w:right w:val="single" w:sz="4" w:space="0" w:color="000000"/>
            </w:tcBorders>
            <w:tcMar>
              <w:top w:w="30" w:type="dxa"/>
              <w:left w:w="17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2.75%</w:t>
            </w:r>
          </w:p>
        </w:tc>
      </w:tr>
      <w:tr>
        <w:trPr/>
        <w:tc>
          <w:tcPr>
            <w:tcW w:w="661" w:type="dxa"/>
            <w:gridSpan w:val="3"/>
            <w:tcBorders>
              <w:top w:val="single" w:sz="4" w:space="0" w:color="000000"/>
              <w:left w:val="single" w:sz="4" w:space="0" w:color="000000"/>
              <w:bottom w:val="single" w:sz="4" w:space="0" w:color="000000"/>
            </w:tcBorders>
            <w:tcMar>
              <w:top w:w="30" w:type="dxa"/>
              <w:left w:w="174"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III</w:t>
            </w:r>
          </w:p>
        </w:tc>
        <w:tc>
          <w:tcPr>
            <w:tcW w:w="324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&gt; 1.00 to 1.00</w:t>
            </w:r>
          </w:p>
        </w:tc>
        <w:tc>
          <w:tcPr>
            <w:tcW w:w="1935" w:type="dxa"/>
            <w:gridSpan w:val="3"/>
            <w:tcBorders>
              <w:top w:val="single" w:sz="4" w:space="0" w:color="000000"/>
              <w:left w:val="single" w:sz="4" w:space="0" w:color="000000"/>
              <w:bottom w:val="single" w:sz="4" w:space="0" w:color="000000"/>
            </w:tcBorders>
            <w:tcMar>
              <w:top w:w="30" w:type="dxa"/>
              <w:left w:w="173"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4.00%</w:t>
            </w:r>
          </w:p>
        </w:tc>
        <w:tc>
          <w:tcPr>
            <w:tcW w:w="1304" w:type="dxa"/>
            <w:gridSpan w:val="3"/>
            <w:tcBorders>
              <w:top w:val="single" w:sz="4" w:space="0" w:color="000000"/>
              <w:left w:val="single" w:sz="4" w:space="0" w:color="000000"/>
              <w:bottom w:val="single" w:sz="4" w:space="0" w:color="000000"/>
              <w:right w:val="single" w:sz="4" w:space="0" w:color="000000"/>
            </w:tcBorders>
            <w:tcMar>
              <w:top w:w="30" w:type="dxa"/>
              <w:left w:w="174" w:type="dxa"/>
              <w:bottom w:w="3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3.00%</w:t>
            </w:r>
          </w:p>
        </w:tc>
      </w:tr>
    </w:tbl>
    <w:p>
      <w:pPr>
        <w:pStyle w:val="TextBody"/>
        <w:bidi w:val="0"/>
        <w:spacing w:before="2" w:after="283"/>
        <w:jc w:val="left"/>
        <w:rPr/>
      </w:pPr>
      <w:r>
        <w:rPr/>
      </w:r>
    </w:p>
    <w:p>
      <w:pPr>
        <w:pStyle w:val="TextBody"/>
        <w:bidi w:val="0"/>
        <w:spacing w:lineRule="auto" w:line="240" w:before="0" w:after="0"/>
        <w:jc w:val="both"/>
        <w:rPr/>
      </w:pPr>
      <w:r>
        <w:rPr>
          <w:rFonts w:ascii="Times New Roman;sans-serif" w:hAnsi="Times New Roman;sans-serif"/>
          <w:b w:val="false"/>
          <w:color w:val="000000"/>
          <w:sz w:val="24"/>
        </w:rPr>
        <w:t xml:space="preserve">With respect to subclause (b) above, any increase or decrease in the Applicable Margin resulting from a change in the First Lien Net Leverage Ratio shall become effective as of the first Business Day immediately following the date a certificate is delivered pursuant to Section 5.04(c);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if such certificate is not delivered when due in accordance with such Section, then, upon the request of the Required Revolving Facility Lenders, with respect to the Revolving Facility Loans and Swingline Loans, pricing Level III shall apply as of the first Business Day after the date on which such certificate was required to have been delivered and in each case shall remain in effect until the date on which such certificate is delivered. In the event that the Borrower or the Administrative Agent determines that any financial statement or certificate delivered pursuant to Section 5.04(c) is inaccurate, and such inaccuracy, if corrected, would have led to the application of a different Applicable Margin for such Applicable Period than the Applicable Margin applied for such Applicable Period, then (a) the Borrower shall promptly following such determination deliver to the Administrative Agent correct financial statements and certificates required by Section 5.04(c) for such Applicable Period, (b) the Applicable Margin for such Applicable Period shall be determined as if the First Lien Net Leverage Ratio were determined based on the amounts set forth in such correct financial statements and certificates and (c) if the correct Applicable Margin for the Applicable Period is higher than the Applicable Margin that was paid for such period, the Borrower shall promptly (and in any event within ten (10) Business Days) following delivery of such corrected financial statements and certificates pay to the Administrative Agent the accrued additional interest and fees owing as a result of such increased Applicable Margin for such Applicable Period; and</w:t>
      </w:r>
    </w:p>
    <w:p>
      <w:pPr>
        <w:pStyle w:val="TextBody"/>
        <w:bidi w:val="0"/>
        <w:spacing w:lineRule="auto" w:line="240" w:before="240"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(c)with respect to any Other Term Loan or Other Revolving Loan, the “Applicable Margin” set forth in the Incremental Assumption Agreement, Extension Amendment or Refinancing Amendment (as applicable) relating thereto.</w:t>
      </w:r>
    </w:p>
    <w:p>
      <w:pPr>
        <w:pStyle w:val="TextBody"/>
        <w:bidi w:val="0"/>
        <w:spacing w:lineRule="auto" w:line="240" w:before="240" w:after="283"/>
        <w:ind w:left="0" w:right="0" w:firstLine="720"/>
        <w:jc w:val="left"/>
        <w:rPr/>
      </w:pPr>
      <w:r>
        <w:rPr>
          <w:color w:val="000000"/>
        </w:rPr>
        <w:t>“</w:t>
      </w:r>
      <w:r>
        <w:rPr>
          <w:rFonts w:ascii="Times New Roman;sans-serif" w:hAnsi="Times New Roman;sans-serif"/>
          <w:b w:val="false"/>
          <w:color w:val="000000"/>
          <w:sz w:val="24"/>
          <w:u w:val="single"/>
        </w:rPr>
        <w:t>Applicable Period</w:t>
      </w:r>
      <w:r>
        <w:rPr>
          <w:color w:val="000000"/>
        </w:rPr>
        <w:t xml:space="preserve">” </w:t>
      </w:r>
      <w:r>
        <w:rPr>
          <w:rFonts w:ascii="Times New Roman;sans-serif" w:hAnsi="Times New Roman;sans-serif"/>
          <w:b w:val="false"/>
          <w:color w:val="000000"/>
          <w:sz w:val="24"/>
        </w:rPr>
        <w:t>shall have the meaning assigned to such term in the definition of the term “Applicable Commitment Fee.”</w:t>
      </w:r>
    </w:p>
    <w:p>
      <w:pPr>
        <w:pStyle w:val="TextBody"/>
        <w:bidi w:val="0"/>
        <w:spacing w:lineRule="auto" w:line="240" w:before="240" w:after="283"/>
        <w:ind w:left="0" w:right="0" w:firstLine="720"/>
        <w:jc w:val="left"/>
        <w:rPr/>
      </w:pPr>
      <w:r>
        <w:rPr>
          <w:color w:val="000000"/>
        </w:rPr>
        <w:t>“</w:t>
      </w:r>
      <w:r>
        <w:rPr>
          <w:rFonts w:ascii="Times New Roman;sans-serif" w:hAnsi="Times New Roman;sans-serif"/>
          <w:b w:val="false"/>
          <w:color w:val="000000"/>
          <w:sz w:val="24"/>
          <w:u w:val="single"/>
        </w:rPr>
        <w:t>Approved Bank</w:t>
      </w:r>
      <w:r>
        <w:rPr>
          <w:color w:val="000000"/>
        </w:rPr>
        <w:t xml:space="preserve">” </w:t>
      </w:r>
      <w:r>
        <w:rPr>
          <w:rFonts w:ascii="Times New Roman;sans-serif" w:hAnsi="Times New Roman;sans-serif"/>
          <w:b w:val="false"/>
          <w:color w:val="000000"/>
          <w:sz w:val="24"/>
        </w:rPr>
        <w:t>has the meaning assigned to such term in subclause (e) of the definition of the term “Cash Equivalents.”</w:t>
      </w:r>
    </w:p>
    <w:p>
      <w:pPr>
        <w:pStyle w:val="TextBody"/>
        <w:bidi w:val="0"/>
        <w:spacing w:lineRule="auto" w:line="592" w:before="6" w:after="283"/>
        <w:jc w:val="left"/>
        <w:rPr/>
      </w:pPr>
      <w:r>
        <w:rPr>
          <w:color w:val="000000"/>
        </w:rPr>
        <w:t>“</w:t>
      </w:r>
      <w:r>
        <w:rPr>
          <w:rFonts w:ascii="Times New Roman;sans-serif" w:hAnsi="Times New Roman;sans-serif"/>
          <w:b w:val="false"/>
          <w:color w:val="000000"/>
          <w:sz w:val="24"/>
          <w:u w:val="single"/>
        </w:rPr>
        <w:t>Approved Fund</w:t>
      </w:r>
      <w:r>
        <w:rPr>
          <w:color w:val="000000"/>
        </w:rPr>
        <w:t xml:space="preserve">” </w:t>
      </w:r>
      <w:r>
        <w:rPr>
          <w:rFonts w:ascii="Times New Roman;sans-serif" w:hAnsi="Times New Roman;sans-serif"/>
          <w:b w:val="false"/>
          <w:color w:val="000000"/>
          <w:sz w:val="24"/>
        </w:rPr>
        <w:t>shall have the meaning assigned to such term in Section 9.04(b)(ii). “</w:t>
      </w:r>
      <w:r>
        <w:rPr>
          <w:rFonts w:ascii="Times New Roman;sans-serif" w:hAnsi="Times New Roman;sans-serif"/>
          <w:b w:val="false"/>
          <w:color w:val="000000"/>
          <w:sz w:val="24"/>
          <w:u w:val="single"/>
        </w:rPr>
        <w:t>Arrangers</w:t>
      </w:r>
      <w:r>
        <w:rPr>
          <w:color w:val="000000"/>
        </w:rPr>
        <w:t xml:space="preserve">” </w:t>
      </w:r>
      <w:r>
        <w:rPr>
          <w:rFonts w:ascii="Times New Roman;sans-serif" w:hAnsi="Times New Roman;sans-serif"/>
          <w:b w:val="false"/>
          <w:color w:val="000000"/>
          <w:sz w:val="24"/>
        </w:rPr>
        <w:t>shall mean, collectively, Morgan Stanley, Citigroup Global Markets Inc.,</w:t>
      </w:r>
    </w:p>
    <w:p>
      <w:pPr>
        <w:pStyle w:val="TextBody"/>
        <w:bidi w:val="0"/>
        <w:spacing w:lineRule="auto" w:line="240" w:before="6" w:after="283"/>
        <w:jc w:val="left"/>
        <w:rPr>
          <w:rFonts w:ascii="Times New Roman;sans-serif" w:hAnsi="Times New Roman;sans-serif"/>
          <w:b w:val="false"/>
          <w:color w:val="000000"/>
          <w:sz w:val="24"/>
        </w:rPr>
      </w:pPr>
      <w:r>
        <w:rPr>
          <w:rFonts w:ascii="Times New Roman;sans-serif" w:hAnsi="Times New Roman;sans-serif"/>
          <w:b w:val="false"/>
          <w:color w:val="000000"/>
          <w:sz w:val="24"/>
        </w:rPr>
        <w:t>Barclays Bank PLC, Goldman Sachs Bank USA, Capital One, National Association, MUFG Bank, Ltd., Silicon Valley Bank, A Division of First-Citizens Bank &amp; Trust company, and Truist</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480175" cy="781050"/>
                <wp:effectExtent l="0" t="0" r="0" b="0"/>
                <wp:wrapNone/>
                <wp:docPr id="215" name="Frame214"/>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13</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6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Securities, Inc., in their capacities as joint lead arrangers and joint bookrunners with respect to the Facilities.</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val="false"/>
          <w:color w:val="000000"/>
          <w:sz w:val="24"/>
          <w:u w:val="single"/>
        </w:rPr>
        <w:t>Asset Sale</w:t>
      </w:r>
      <w:r>
        <w:rPr>
          <w:color w:val="000000"/>
        </w:rPr>
        <w:t xml:space="preserve">” </w:t>
      </w:r>
      <w:r>
        <w:rPr>
          <w:rFonts w:ascii="Times New Roman;sans-serif" w:hAnsi="Times New Roman;sans-serif"/>
          <w:b w:val="false"/>
          <w:color w:val="000000"/>
          <w:sz w:val="24"/>
        </w:rPr>
        <w:t>shall mean (x) any Disposition (including any sale and leaseback of assets but excluding any lease or sublease of Real Property (to the extent such lease or sublease does not constitute a sale and leaseback)) to any person of any asset or assets of the Borrower or any Subsidiary and (y) any sale of any Equity Interests by any Subsidiary to a person other than the Borrower or a Subsidiary.</w:t>
      </w:r>
    </w:p>
    <w:p>
      <w:pPr>
        <w:pStyle w:val="TextBody"/>
        <w:bidi w:val="0"/>
        <w:spacing w:lineRule="auto" w:line="592" w:before="6" w:after="283"/>
        <w:jc w:val="both"/>
        <w:rPr/>
      </w:pPr>
      <w:r>
        <w:rPr>
          <w:color w:val="000000"/>
        </w:rPr>
        <w:t>“</w:t>
      </w:r>
      <w:r>
        <w:rPr>
          <w:rFonts w:ascii="Times New Roman;sans-serif" w:hAnsi="Times New Roman;sans-serif"/>
          <w:b w:val="false"/>
          <w:color w:val="000000"/>
          <w:sz w:val="24"/>
          <w:u w:val="single"/>
        </w:rPr>
        <w:t>Assignee</w:t>
      </w:r>
      <w:r>
        <w:rPr>
          <w:color w:val="000000"/>
        </w:rPr>
        <w:t xml:space="preserve">” </w:t>
      </w:r>
      <w:r>
        <w:rPr>
          <w:rFonts w:ascii="Times New Roman;sans-serif" w:hAnsi="Times New Roman;sans-serif"/>
          <w:b w:val="false"/>
          <w:color w:val="000000"/>
          <w:sz w:val="24"/>
        </w:rPr>
        <w:t>shall have the meaning assigned to such term in Section 9.04(b)(i). “</w:t>
      </w:r>
      <w:r>
        <w:rPr>
          <w:rFonts w:ascii="Times New Roman;sans-serif" w:hAnsi="Times New Roman;sans-serif"/>
          <w:b w:val="false"/>
          <w:color w:val="000000"/>
          <w:sz w:val="24"/>
          <w:u w:val="single"/>
        </w:rPr>
        <w:t>Assignment and Acceptance</w:t>
      </w:r>
      <w:r>
        <w:rPr>
          <w:color w:val="000000"/>
        </w:rPr>
        <w:t xml:space="preserve">” </w:t>
      </w:r>
      <w:r>
        <w:rPr>
          <w:rFonts w:ascii="Times New Roman;sans-serif" w:hAnsi="Times New Roman;sans-serif"/>
          <w:b w:val="false"/>
          <w:color w:val="000000"/>
          <w:sz w:val="24"/>
        </w:rPr>
        <w:t>shall mean an assignment and acceptance entered into by a</w:t>
      </w:r>
    </w:p>
    <w:p>
      <w:pPr>
        <w:pStyle w:val="TextBody"/>
        <w:bidi w:val="0"/>
        <w:spacing w:lineRule="auto" w:line="240" w:before="6" w:after="283"/>
        <w:jc w:val="both"/>
        <w:rPr/>
      </w:pPr>
      <w:r>
        <w:rPr>
          <w:rFonts w:ascii="Times New Roman;sans-serif" w:hAnsi="Times New Roman;sans-serif"/>
          <w:b w:val="false"/>
          <w:color w:val="000000"/>
          <w:sz w:val="24"/>
        </w:rPr>
        <w:t xml:space="preserve">Lender and an Assignee, and accepted by the Administrative Agent and the Borrower (if required by Section 9.04), in the form of </w:t>
      </w:r>
      <w:r>
        <w:rPr>
          <w:rFonts w:ascii="Times New Roman;sans-serif" w:hAnsi="Times New Roman;sans-serif"/>
          <w:b w:val="false"/>
          <w:color w:val="000000"/>
          <w:sz w:val="24"/>
          <w:u w:val="single"/>
        </w:rPr>
        <w:t>Exhibit A</w:t>
      </w:r>
      <w:r>
        <w:rPr>
          <w:color w:val="000000"/>
        </w:rPr>
        <w:t xml:space="preserve"> </w:t>
      </w:r>
      <w:r>
        <w:rPr>
          <w:rFonts w:ascii="Times New Roman;sans-serif" w:hAnsi="Times New Roman;sans-serif"/>
          <w:b w:val="false"/>
          <w:color w:val="000000"/>
          <w:sz w:val="24"/>
        </w:rPr>
        <w:t>or such other form (including electronic documentation generated by use of an electronic platform) as shall be approved by the Administrative Agent and reasonably satisfactory to the Borrower.</w:t>
      </w:r>
    </w:p>
    <w:p>
      <w:pPr>
        <w:pStyle w:val="TextBody"/>
        <w:bidi w:val="0"/>
        <w:spacing w:lineRule="auto" w:line="592" w:before="6" w:after="283"/>
        <w:jc w:val="both"/>
        <w:rPr/>
      </w:pPr>
      <w:r>
        <w:rPr>
          <w:color w:val="000000"/>
        </w:rPr>
        <w:t>“</w:t>
      </w:r>
      <w:r>
        <w:rPr>
          <w:rFonts w:ascii="Times New Roman;sans-serif" w:hAnsi="Times New Roman;sans-serif"/>
          <w:b w:val="false"/>
          <w:color w:val="000000"/>
          <w:sz w:val="24"/>
          <w:u w:val="single"/>
        </w:rPr>
        <w:t>Auction Manager</w:t>
      </w:r>
      <w:r>
        <w:rPr>
          <w:color w:val="000000"/>
        </w:rPr>
        <w:t xml:space="preserve">” </w:t>
      </w:r>
      <w:r>
        <w:rPr>
          <w:rFonts w:ascii="Times New Roman;sans-serif" w:hAnsi="Times New Roman;sans-serif"/>
          <w:b w:val="false"/>
          <w:color w:val="000000"/>
          <w:sz w:val="24"/>
        </w:rPr>
        <w:t>shall have the meaning assigned to such term in Section 2.25(a). “</w:t>
      </w:r>
      <w:r>
        <w:rPr>
          <w:rFonts w:ascii="Times New Roman;sans-serif" w:hAnsi="Times New Roman;sans-serif"/>
          <w:b w:val="false"/>
          <w:color w:val="000000"/>
          <w:sz w:val="24"/>
          <w:u w:val="single"/>
        </w:rPr>
        <w:t>Auction Procedures</w:t>
      </w:r>
      <w:r>
        <w:rPr>
          <w:color w:val="000000"/>
        </w:rPr>
        <w:t xml:space="preserve">” </w:t>
      </w:r>
      <w:r>
        <w:rPr>
          <w:rFonts w:ascii="Times New Roman;sans-serif" w:hAnsi="Times New Roman;sans-serif"/>
          <w:b w:val="false"/>
          <w:color w:val="000000"/>
          <w:sz w:val="24"/>
        </w:rPr>
        <w:t>shall mean auction procedures with respect to Purchase Offers set</w:t>
      </w:r>
    </w:p>
    <w:p>
      <w:pPr>
        <w:pStyle w:val="TextBody"/>
        <w:bidi w:val="0"/>
        <w:spacing w:lineRule="auto" w:line="240" w:before="6" w:after="283"/>
        <w:jc w:val="both"/>
        <w:rPr/>
      </w:pPr>
      <w:r>
        <w:rPr>
          <w:rFonts w:ascii="Times New Roman;sans-serif" w:hAnsi="Times New Roman;sans-serif"/>
          <w:b w:val="false"/>
          <w:color w:val="000000"/>
          <w:sz w:val="24"/>
        </w:rPr>
        <w:t xml:space="preserve">forth in </w:t>
      </w:r>
      <w:r>
        <w:rPr>
          <w:rFonts w:ascii="Times New Roman;sans-serif" w:hAnsi="Times New Roman;sans-serif"/>
          <w:b w:val="false"/>
          <w:color w:val="000000"/>
          <w:sz w:val="24"/>
          <w:u w:val="single"/>
        </w:rPr>
        <w:t>Exhibit F</w:t>
      </w:r>
      <w:r>
        <w:rPr>
          <w:color w:val="000000"/>
        </w:rPr>
        <w:t xml:space="preserve"> </w:t>
      </w:r>
      <w:r>
        <w:rPr>
          <w:rFonts w:ascii="Times New Roman;sans-serif" w:hAnsi="Times New Roman;sans-serif"/>
          <w:b w:val="false"/>
          <w:color w:val="000000"/>
          <w:sz w:val="24"/>
        </w:rPr>
        <w:t>hereto.</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val="false"/>
          <w:color w:val="000000"/>
          <w:sz w:val="24"/>
          <w:u w:val="single"/>
        </w:rPr>
        <w:t>Auto-Extension Letter of Credit</w:t>
      </w:r>
      <w:r>
        <w:rPr>
          <w:color w:val="000000"/>
        </w:rPr>
        <w:t xml:space="preserve">” </w:t>
      </w:r>
      <w:r>
        <w:rPr>
          <w:rFonts w:ascii="Times New Roman;sans-serif" w:hAnsi="Times New Roman;sans-serif"/>
          <w:b w:val="false"/>
          <w:color w:val="000000"/>
          <w:sz w:val="24"/>
        </w:rPr>
        <w:t>shall have the meaning assigned that term in Section 2.05(b)(iii).</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val="false"/>
          <w:color w:val="000000"/>
          <w:sz w:val="24"/>
          <w:u w:val="single"/>
        </w:rPr>
        <w:t>Availability Period</w:t>
      </w:r>
      <w:r>
        <w:rPr>
          <w:color w:val="000000"/>
        </w:rPr>
        <w:t xml:space="preserve">” </w:t>
      </w:r>
      <w:r>
        <w:rPr>
          <w:rFonts w:ascii="Times New Roman;sans-serif" w:hAnsi="Times New Roman;sans-serif"/>
          <w:b w:val="false"/>
          <w:color w:val="000000"/>
          <w:sz w:val="24"/>
        </w:rPr>
        <w:t>shall mean, with respect to any Class of Revolving Facility Commitments, the period from and including the Closing Date (or, if later, the effective date for such Class of Revolving Facility Commitments) to but excluding the earlier of the Revolving Facility Maturity Date for such Class and, in the case of each of the Revolving Facility Loans, Revolving Facility Borrowings, Swingline Loans and Letters of Credit under any Class of Revolving Facility Commitments, the date of termination of the Revolving Facility Commitments of such Class.</w:t>
      </w:r>
    </w:p>
    <w:p>
      <w:pPr>
        <w:pStyle w:val="TextBody"/>
        <w:bidi w:val="0"/>
        <w:spacing w:lineRule="auto" w:line="240" w:before="239" w:after="283"/>
        <w:ind w:left="0" w:right="0" w:firstLine="720"/>
        <w:jc w:val="both"/>
        <w:rPr/>
      </w:pPr>
      <w:r>
        <w:rPr>
          <w:color w:val="000000"/>
        </w:rPr>
        <w:t>“</w:t>
      </w:r>
      <w:r>
        <w:rPr>
          <w:rFonts w:ascii="Times New Roman;sans-serif" w:hAnsi="Times New Roman;sans-serif"/>
          <w:b w:val="false"/>
          <w:color w:val="000000"/>
          <w:sz w:val="24"/>
          <w:u w:val="single"/>
        </w:rPr>
        <w:t>Available Excluded Contribution Amount</w:t>
      </w:r>
      <w:r>
        <w:rPr>
          <w:color w:val="000000"/>
        </w:rPr>
        <w:t xml:space="preserve">” </w:t>
      </w:r>
      <w:r>
        <w:rPr>
          <w:rFonts w:ascii="Times New Roman;sans-serif" w:hAnsi="Times New Roman;sans-serif"/>
          <w:b w:val="false"/>
          <w:color w:val="000000"/>
          <w:sz w:val="24"/>
        </w:rPr>
        <w:t>shall mean the aggregate amount of cash or Cash Equivalents or the fair market value of other assets (as reasonably determined in good faith by the Borrower) received by the Borrower or any of the Subsidiaries after the Closing Date from:</w:t>
      </w:r>
    </w:p>
    <w:p>
      <w:pPr>
        <w:pStyle w:val="TextBody"/>
        <w:bidi w:val="0"/>
        <w:spacing w:lineRule="auto" w:line="240" w:before="240"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(a)contributions in respect of Qualified Equity Interests (other than any amounts received from the Borrower or any of the Subsidiaries), plus</w:t>
      </w:r>
    </w:p>
    <w:p>
      <w:pPr>
        <w:pStyle w:val="TextBody"/>
        <w:bidi w:val="0"/>
        <w:spacing w:lineRule="auto" w:line="240" w:before="240"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(b)the sale of Qualified Equity Interests of the Borrower or any of the Subsidiaries (other than (i) to the Borrower or any of the Subsidiaries or (ii) pursuant to any management equity plan or stock option plan or any other management or employee benefit plan),</w:t>
      </w:r>
    </w:p>
    <w:p>
      <w:pPr>
        <w:pStyle w:val="TextBody"/>
        <w:bidi w:val="0"/>
        <w:spacing w:lineRule="auto" w:line="240" w:before="241" w:after="283"/>
        <w:jc w:val="both"/>
        <w:rPr/>
      </w:pPr>
      <w:r>
        <w:rPr>
          <w:rFonts w:ascii="Times New Roman;sans-serif" w:hAnsi="Times New Roman;sans-serif"/>
          <w:b w:val="false"/>
          <w:color w:val="000000"/>
          <w:sz w:val="24"/>
        </w:rPr>
        <w:t xml:space="preserve">in each case with respect to clauses (a) and (b) above, designated as an Available Excluded Contribution Amount pursuant to a certificate of a Responsible Officer on or promptly after the date on which the relevant capital contribution is made or the relevant proceeds are received, as the case may be, and which have not been applied in reliance on the Builder Basket, </w:t>
      </w:r>
      <w:r>
        <w:rPr>
          <w:rFonts w:ascii="Times New Roman;sans-serif" w:hAnsi="Times New Roman;sans-serif"/>
          <w:b w:val="false"/>
          <w:color w:val="000000"/>
          <w:sz w:val="24"/>
          <w:u w:val="single"/>
        </w:rPr>
        <w:t>minus</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480175" cy="781050"/>
                <wp:effectExtent l="0" t="0" r="0" b="0"/>
                <wp:wrapNone/>
                <wp:docPr id="216" name="Frame215"/>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14</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(c)the aggregate outstanding principal amount of all Restricted Payments made pursuant to Section 6.03(a)(xv), Restricted Debt Payments made pursuant to Section 6.03(b)(vi)(B) and Investments made pursuant to Section 6.04(ee).</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val="false"/>
          <w:color w:val="000000"/>
          <w:sz w:val="24"/>
          <w:u w:val="single"/>
        </w:rPr>
        <w:t>Available Unused Commitment</w:t>
      </w:r>
      <w:r>
        <w:rPr>
          <w:color w:val="000000"/>
        </w:rPr>
        <w:t xml:space="preserve">” </w:t>
      </w:r>
      <w:r>
        <w:rPr>
          <w:rFonts w:ascii="Times New Roman;sans-serif" w:hAnsi="Times New Roman;sans-serif"/>
          <w:b w:val="false"/>
          <w:color w:val="000000"/>
          <w:sz w:val="24"/>
        </w:rPr>
        <w:t>shall mean, with respect to a Revolving Facility Lender under any Class of Revolving Facility Commitments at any time, an amount equal to the amount by which (a) the applicable Revolving Facility Commitment of such Revolving Facility Lender at such time exceeds (b) the applicable Revolving Facility Credit Exposure (excluding the Swingline Exposure) of such Revolving Facility Lender at such time.</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val="false"/>
          <w:color w:val="000000"/>
          <w:sz w:val="24"/>
          <w:u w:val="single"/>
        </w:rPr>
        <w:t>Bail-In Action</w:t>
      </w:r>
      <w:r>
        <w:rPr>
          <w:color w:val="000000"/>
        </w:rPr>
        <w:t xml:space="preserve">” </w:t>
      </w:r>
      <w:r>
        <w:rPr>
          <w:rFonts w:ascii="Times New Roman;sans-serif" w:hAnsi="Times New Roman;sans-serif"/>
          <w:b w:val="false"/>
          <w:color w:val="000000"/>
          <w:sz w:val="24"/>
        </w:rPr>
        <w:t>shall mean the exercise of any Write-Down and Conversion Powers by the applicable Resolution Authority in respect of any liability of an Affected Financial Institution.</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val="false"/>
          <w:color w:val="000000"/>
          <w:sz w:val="24"/>
          <w:u w:val="single"/>
        </w:rPr>
        <w:t>Bail-In Legislation</w:t>
      </w:r>
      <w:r>
        <w:rPr>
          <w:color w:val="000000"/>
        </w:rPr>
        <w:t xml:space="preserve">” </w:t>
      </w:r>
      <w:r>
        <w:rPr>
          <w:rFonts w:ascii="Times New Roman;sans-serif" w:hAnsi="Times New Roman;sans-serif"/>
          <w:b w:val="false"/>
          <w:color w:val="000000"/>
          <w:sz w:val="24"/>
        </w:rPr>
        <w:t>shall mean (a) with respect to any EEA Member Country implementing Article 55 of Directive 2014/59/EU of the European Parliament and of the Council of the European Union, the implementing law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val="false"/>
          <w:color w:val="000000"/>
          <w:sz w:val="24"/>
          <w:u w:val="single"/>
        </w:rPr>
        <w:t>Bankruptcy Code</w:t>
      </w:r>
      <w:r>
        <w:rPr>
          <w:color w:val="000000"/>
        </w:rPr>
        <w:t xml:space="preserve">” </w:t>
      </w:r>
      <w:r>
        <w:rPr>
          <w:rFonts w:ascii="Times New Roman;sans-serif" w:hAnsi="Times New Roman;sans-serif"/>
          <w:b w:val="false"/>
          <w:color w:val="000000"/>
          <w:sz w:val="24"/>
        </w:rPr>
        <w:t>shall mean Title 11 of the United States Code entitled “Bankruptcy,” as now or hereafter in effect, and any successor thereto.</w:t>
      </w:r>
    </w:p>
    <w:p>
      <w:pPr>
        <w:pStyle w:val="TextBody"/>
        <w:bidi w:val="0"/>
        <w:spacing w:lineRule="auto" w:line="240" w:before="241" w:after="283"/>
        <w:jc w:val="left"/>
        <w:rPr/>
      </w:pPr>
      <w:r>
        <w:rPr>
          <w:color w:val="000000"/>
        </w:rPr>
        <w:t>“</w:t>
      </w:r>
      <w:r>
        <w:rPr>
          <w:rFonts w:ascii="Times New Roman;sans-serif" w:hAnsi="Times New Roman;sans-serif"/>
          <w:b w:val="false"/>
          <w:color w:val="000000"/>
          <w:sz w:val="24"/>
          <w:u w:val="single"/>
        </w:rPr>
        <w:t>Benchmark</w:t>
      </w:r>
      <w:r>
        <w:rPr>
          <w:color w:val="000000"/>
        </w:rPr>
        <w:t xml:space="preserve">” </w:t>
      </w:r>
      <w:r>
        <w:rPr>
          <w:rFonts w:ascii="Times New Roman;sans-serif" w:hAnsi="Times New Roman;sans-serif"/>
          <w:b w:val="false"/>
          <w:color w:val="000000"/>
          <w:sz w:val="24"/>
        </w:rPr>
        <w:t>shall have the meaning assigned to such term in Section 2.14.</w:t>
      </w:r>
    </w:p>
    <w:p>
      <w:pPr>
        <w:pStyle w:val="TextBody"/>
        <w:bidi w:val="0"/>
        <w:spacing w:lineRule="auto" w:line="592" w:before="6" w:after="283"/>
        <w:jc w:val="left"/>
        <w:rPr/>
      </w:pPr>
      <w:r>
        <w:rPr>
          <w:color w:val="000000"/>
        </w:rPr>
        <w:t>“</w:t>
      </w:r>
      <w:r>
        <w:rPr>
          <w:rFonts w:ascii="Times New Roman;sans-serif" w:hAnsi="Times New Roman;sans-serif"/>
          <w:b w:val="false"/>
          <w:color w:val="000000"/>
          <w:sz w:val="24"/>
          <w:u w:val="single"/>
        </w:rPr>
        <w:t>Benchmark Replacement</w:t>
      </w:r>
      <w:r>
        <w:rPr>
          <w:color w:val="000000"/>
        </w:rPr>
        <w:t xml:space="preserve">” </w:t>
      </w:r>
      <w:r>
        <w:rPr>
          <w:rFonts w:ascii="Times New Roman;sans-serif" w:hAnsi="Times New Roman;sans-serif"/>
          <w:b w:val="false"/>
          <w:color w:val="000000"/>
          <w:sz w:val="24"/>
        </w:rPr>
        <w:t>shall have the meaning assigned to such term in Section 2.14. “</w:t>
      </w:r>
      <w:r>
        <w:rPr>
          <w:rFonts w:ascii="Times New Roman;sans-serif" w:hAnsi="Times New Roman;sans-serif"/>
          <w:b w:val="false"/>
          <w:color w:val="000000"/>
          <w:sz w:val="24"/>
          <w:u w:val="single"/>
        </w:rPr>
        <w:t>Benchmark Replacement Adjustment</w:t>
      </w:r>
      <w:r>
        <w:rPr>
          <w:color w:val="000000"/>
        </w:rPr>
        <w:t xml:space="preserve">” </w:t>
      </w:r>
      <w:r>
        <w:rPr>
          <w:rFonts w:ascii="Times New Roman;sans-serif" w:hAnsi="Times New Roman;sans-serif"/>
          <w:b w:val="false"/>
          <w:color w:val="000000"/>
          <w:sz w:val="24"/>
        </w:rPr>
        <w:t>shall have the meaning assigned to such term in</w:t>
      </w:r>
    </w:p>
    <w:p>
      <w:pPr>
        <w:pStyle w:val="TextBody"/>
        <w:bidi w:val="0"/>
        <w:spacing w:lineRule="auto" w:line="240" w:before="6"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2.14.</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val="false"/>
          <w:color w:val="000000"/>
          <w:sz w:val="24"/>
          <w:u w:val="single"/>
        </w:rPr>
        <w:t>Benchmark Replacement Conforming Changes</w:t>
      </w:r>
      <w:r>
        <w:rPr>
          <w:color w:val="000000"/>
        </w:rPr>
        <w:t xml:space="preserve">” </w:t>
      </w:r>
      <w:r>
        <w:rPr>
          <w:rFonts w:ascii="Times New Roman;sans-serif" w:hAnsi="Times New Roman;sans-serif"/>
          <w:b w:val="false"/>
          <w:color w:val="000000"/>
          <w:sz w:val="24"/>
        </w:rPr>
        <w:t>shall have the meaning assigned to such term in Section 2.14.</w:t>
      </w:r>
    </w:p>
    <w:p>
      <w:pPr>
        <w:pStyle w:val="TextBody"/>
        <w:bidi w:val="0"/>
        <w:spacing w:lineRule="auto" w:line="240" w:before="238" w:after="283"/>
        <w:jc w:val="left"/>
        <w:rPr/>
      </w:pPr>
      <w:r>
        <w:rPr>
          <w:color w:val="000000"/>
        </w:rPr>
        <w:t>“</w:t>
      </w:r>
      <w:r>
        <w:rPr>
          <w:rFonts w:ascii="Times New Roman;sans-serif" w:hAnsi="Times New Roman;sans-serif"/>
          <w:b w:val="false"/>
          <w:color w:val="000000"/>
          <w:sz w:val="24"/>
          <w:u w:val="single"/>
        </w:rPr>
        <w:t>Benchmark Replacement Date</w:t>
      </w:r>
      <w:r>
        <w:rPr>
          <w:color w:val="000000"/>
        </w:rPr>
        <w:t xml:space="preserve">” </w:t>
      </w:r>
      <w:r>
        <w:rPr>
          <w:rFonts w:ascii="Times New Roman;sans-serif" w:hAnsi="Times New Roman;sans-serif"/>
          <w:b w:val="false"/>
          <w:color w:val="000000"/>
          <w:sz w:val="24"/>
        </w:rPr>
        <w:t>shall have the meaning assigned to such term in Section 2.14.</w:t>
      </w:r>
    </w:p>
    <w:p>
      <w:pPr>
        <w:pStyle w:val="TextBody"/>
        <w:bidi w:val="0"/>
        <w:spacing w:before="0" w:after="0"/>
        <w:jc w:val="left"/>
        <w:rPr/>
      </w:pPr>
      <w:r>
        <w:rPr/>
      </w:r>
    </w:p>
    <w:p>
      <w:pPr>
        <w:pStyle w:val="TextBody"/>
        <w:bidi w:val="0"/>
        <w:spacing w:lineRule="auto" w:line="240" w:before="0" w:after="0"/>
        <w:jc w:val="left"/>
        <w:rPr/>
      </w:pPr>
      <w:r>
        <w:rPr>
          <w:color w:val="000000"/>
        </w:rPr>
        <w:t>“</w:t>
      </w:r>
      <w:r>
        <w:rPr>
          <w:rFonts w:ascii="Times New Roman;sans-serif" w:hAnsi="Times New Roman;sans-serif"/>
          <w:b w:val="false"/>
          <w:color w:val="000000"/>
          <w:sz w:val="24"/>
          <w:u w:val="single"/>
        </w:rPr>
        <w:t>Benchmark Transition Event</w:t>
      </w:r>
      <w:r>
        <w:rPr>
          <w:color w:val="000000"/>
        </w:rPr>
        <w:t xml:space="preserve">” </w:t>
      </w:r>
      <w:r>
        <w:rPr>
          <w:rFonts w:ascii="Times New Roman;sans-serif" w:hAnsi="Times New Roman;sans-serif"/>
          <w:b w:val="false"/>
          <w:color w:val="000000"/>
          <w:sz w:val="24"/>
        </w:rPr>
        <w:t>shall have the meaning assigned to such term in Section 2.14.</w:t>
      </w:r>
    </w:p>
    <w:p>
      <w:pPr>
        <w:pStyle w:val="TextBody"/>
        <w:bidi w:val="0"/>
        <w:spacing w:before="0" w:after="0"/>
        <w:jc w:val="left"/>
        <w:rPr/>
      </w:pPr>
      <w:r>
        <w:rPr/>
      </w:r>
    </w:p>
    <w:p>
      <w:pPr>
        <w:pStyle w:val="TextBody"/>
        <w:bidi w:val="0"/>
        <w:spacing w:lineRule="auto" w:line="240" w:before="0" w:after="0"/>
        <w:jc w:val="left"/>
        <w:rPr/>
      </w:pPr>
      <w:r>
        <w:rPr>
          <w:color w:val="000000"/>
        </w:rPr>
        <w:t>“</w:t>
      </w:r>
      <w:r>
        <w:rPr>
          <w:rFonts w:ascii="Times New Roman;sans-serif" w:hAnsi="Times New Roman;sans-serif"/>
          <w:b w:val="false"/>
          <w:color w:val="000000"/>
          <w:sz w:val="24"/>
          <w:u w:val="single"/>
        </w:rPr>
        <w:t>Benchmark Unavailability Period</w:t>
      </w:r>
      <w:r>
        <w:rPr>
          <w:color w:val="000000"/>
        </w:rPr>
        <w:t xml:space="preserve">” </w:t>
      </w:r>
      <w:r>
        <w:rPr>
          <w:rFonts w:ascii="Times New Roman;sans-serif" w:hAnsi="Times New Roman;sans-serif"/>
          <w:b w:val="false"/>
          <w:color w:val="000000"/>
          <w:sz w:val="24"/>
        </w:rPr>
        <w:t>shall have the meaning assigned to such term in 2.14.</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val="false"/>
          <w:color w:val="000000"/>
          <w:sz w:val="24"/>
          <w:u w:val="single"/>
        </w:rPr>
        <w:t>Beneficial Ownership Certification</w:t>
      </w:r>
      <w:r>
        <w:rPr>
          <w:color w:val="000000"/>
        </w:rPr>
        <w:t xml:space="preserve">” </w:t>
      </w:r>
      <w:r>
        <w:rPr>
          <w:rFonts w:ascii="Times New Roman;sans-serif" w:hAnsi="Times New Roman;sans-serif"/>
          <w:b w:val="false"/>
          <w:color w:val="000000"/>
          <w:sz w:val="24"/>
        </w:rPr>
        <w:t>shall mean, with respect to the Borrower, a certification regarding beneficial ownership as required by the Beneficial Ownership Regulation, which certification shall be substantially similar in form and substance to the form of Certification Regarding Beneficial Owners of Legal Entity Customers published jointly, in May 2018, by the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480175" cy="781050"/>
                <wp:effectExtent l="0" t="0" r="0" b="0"/>
                <wp:wrapNone/>
                <wp:docPr id="217" name="Frame216"/>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60" w:after="283"/>
        <w:jc w:val="left"/>
        <w:rPr>
          <w:rFonts w:ascii="Times New Roman;sans-serif" w:hAnsi="Times New Roman;sans-serif"/>
          <w:b w:val="false"/>
          <w:color w:val="000000"/>
          <w:sz w:val="24"/>
        </w:rPr>
      </w:pPr>
      <w:r>
        <w:rPr>
          <w:rFonts w:ascii="Times New Roman;sans-serif" w:hAnsi="Times New Roman;sans-serif"/>
          <w:b w:val="false"/>
          <w:color w:val="000000"/>
          <w:sz w:val="24"/>
        </w:rPr>
        <w:t>Loan Syndications and Trading Association and Securities Industry and Financial Markets Association or such other form satisfactory to the Administrative Agent.</w:t>
      </w:r>
    </w:p>
    <w:p>
      <w:pPr>
        <w:pStyle w:val="TextBody"/>
        <w:bidi w:val="0"/>
        <w:spacing w:lineRule="auto" w:line="240" w:before="240" w:after="283"/>
        <w:jc w:val="left"/>
        <w:rPr/>
      </w:pPr>
      <w:r>
        <w:rPr>
          <w:color w:val="000000"/>
        </w:rPr>
        <w:t>“</w:t>
      </w:r>
      <w:r>
        <w:rPr>
          <w:rFonts w:ascii="Times New Roman;sans-serif" w:hAnsi="Times New Roman;sans-serif"/>
          <w:b w:val="false"/>
          <w:color w:val="000000"/>
          <w:sz w:val="24"/>
          <w:u w:val="single"/>
        </w:rPr>
        <w:t>Beneficial Ownership Regulation</w:t>
      </w:r>
      <w:r>
        <w:rPr>
          <w:color w:val="000000"/>
        </w:rPr>
        <w:t xml:space="preserve">” </w:t>
      </w:r>
      <w:r>
        <w:rPr>
          <w:rFonts w:ascii="Times New Roman;sans-serif" w:hAnsi="Times New Roman;sans-serif"/>
          <w:b w:val="false"/>
          <w:color w:val="000000"/>
          <w:sz w:val="24"/>
        </w:rPr>
        <w:t>shall mean 31 C.F.R. § 1010.230.</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val="false"/>
          <w:color w:val="000000"/>
          <w:sz w:val="24"/>
          <w:u w:val="single"/>
        </w:rPr>
        <w:t>Benefit Plan</w:t>
      </w:r>
      <w:r>
        <w:rPr>
          <w:color w:val="000000"/>
        </w:rPr>
        <w:t xml:space="preserve">” </w:t>
      </w:r>
      <w:r>
        <w:rPr>
          <w:rFonts w:ascii="Times New Roman;sans-serif" w:hAnsi="Times New Roman;sans-serif"/>
          <w:b w:val="false"/>
          <w:color w:val="000000"/>
          <w:sz w:val="24"/>
        </w:rPr>
        <w:t>shall mean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val="false"/>
          <w:color w:val="000000"/>
          <w:sz w:val="24"/>
          <w:u w:val="single"/>
        </w:rPr>
        <w:t>Board</w:t>
      </w:r>
      <w:r>
        <w:rPr>
          <w:color w:val="000000"/>
        </w:rPr>
        <w:t xml:space="preserve">” </w:t>
      </w:r>
      <w:r>
        <w:rPr>
          <w:rFonts w:ascii="Times New Roman;sans-serif" w:hAnsi="Times New Roman;sans-serif"/>
          <w:b w:val="false"/>
          <w:color w:val="000000"/>
          <w:sz w:val="24"/>
        </w:rPr>
        <w:t>shall mean the Board of Governors of the Federal Reserve System of the United States of America.</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val="false"/>
          <w:color w:val="000000"/>
          <w:sz w:val="24"/>
          <w:u w:val="single"/>
        </w:rPr>
        <w:t>Board of Directors</w:t>
      </w:r>
      <w:r>
        <w:rPr>
          <w:color w:val="000000"/>
        </w:rPr>
        <w:t xml:space="preserve">” </w:t>
      </w:r>
      <w:r>
        <w:rPr>
          <w:rFonts w:ascii="Times New Roman;sans-serif" w:hAnsi="Times New Roman;sans-serif"/>
          <w:b w:val="false"/>
          <w:color w:val="000000"/>
          <w:sz w:val="24"/>
        </w:rPr>
        <w:t>shall mean, as to any person, the board of directors, the board of managers, the sole manager or other governing body of such person or any duly appointed committee thereof.</w:t>
      </w:r>
    </w:p>
    <w:p>
      <w:pPr>
        <w:pStyle w:val="TextBody"/>
        <w:bidi w:val="0"/>
        <w:spacing w:lineRule="auto" w:line="240" w:before="240" w:after="283"/>
        <w:ind w:left="0" w:right="0" w:firstLine="720"/>
        <w:jc w:val="left"/>
        <w:rPr/>
      </w:pPr>
      <w:r>
        <w:rPr>
          <w:color w:val="000000"/>
        </w:rPr>
        <w:t>“</w:t>
      </w:r>
      <w:r>
        <w:rPr>
          <w:rFonts w:ascii="Times New Roman;sans-serif" w:hAnsi="Times New Roman;sans-serif"/>
          <w:b w:val="false"/>
          <w:color w:val="000000"/>
          <w:sz w:val="24"/>
          <w:u w:val="single"/>
        </w:rPr>
        <w:t>Borrower</w:t>
      </w:r>
      <w:r>
        <w:rPr>
          <w:color w:val="000000"/>
        </w:rPr>
        <w:t xml:space="preserve">” </w:t>
      </w:r>
      <w:r>
        <w:rPr>
          <w:rFonts w:ascii="Times New Roman;sans-serif" w:hAnsi="Times New Roman;sans-serif"/>
          <w:b w:val="false"/>
          <w:color w:val="000000"/>
          <w:sz w:val="24"/>
        </w:rPr>
        <w:t>shall have the meaning assigned to such term in the introductory paragraph to this Agreement, or any permitted successor thereto.</w:t>
      </w:r>
    </w:p>
    <w:p>
      <w:pPr>
        <w:pStyle w:val="TextBody"/>
        <w:bidi w:val="0"/>
        <w:spacing w:lineRule="auto" w:line="240" w:before="240" w:after="283"/>
        <w:ind w:left="0" w:right="0" w:firstLine="720"/>
        <w:jc w:val="left"/>
        <w:rPr/>
      </w:pPr>
      <w:r>
        <w:rPr>
          <w:color w:val="000000"/>
        </w:rPr>
        <w:t>“</w:t>
      </w:r>
      <w:r>
        <w:rPr>
          <w:rFonts w:ascii="Times New Roman;sans-serif" w:hAnsi="Times New Roman;sans-serif"/>
          <w:b w:val="false"/>
          <w:color w:val="000000"/>
          <w:sz w:val="24"/>
          <w:u w:val="single"/>
        </w:rPr>
        <w:t>Borrower Materials</w:t>
      </w:r>
      <w:r>
        <w:rPr>
          <w:color w:val="000000"/>
        </w:rPr>
        <w:t xml:space="preserve">” </w:t>
      </w:r>
      <w:r>
        <w:rPr>
          <w:rFonts w:ascii="Times New Roman;sans-serif" w:hAnsi="Times New Roman;sans-serif"/>
          <w:b w:val="false"/>
          <w:color w:val="000000"/>
          <w:sz w:val="24"/>
        </w:rPr>
        <w:t xml:space="preserve">shall have the meaning assigned to such term in Section 5.04. </w:t>
      </w:r>
    </w:p>
    <w:p>
      <w:pPr>
        <w:pStyle w:val="TextBody"/>
        <w:bidi w:val="0"/>
        <w:spacing w:before="0" w:after="0"/>
        <w:jc w:val="left"/>
        <w:rPr/>
      </w:pPr>
      <w:r>
        <w:rPr/>
      </w:r>
    </w:p>
    <w:p>
      <w:pPr>
        <w:pStyle w:val="TextBody"/>
        <w:bidi w:val="0"/>
        <w:spacing w:lineRule="auto" w:line="240" w:before="0" w:after="0"/>
        <w:ind w:left="0" w:right="0" w:firstLine="720"/>
        <w:jc w:val="left"/>
        <w:rPr/>
      </w:pPr>
      <w:r>
        <w:rPr>
          <w:color w:val="000000"/>
          <w:u w:val="single"/>
        </w:rPr>
        <w:t>“</w:t>
      </w:r>
      <w:r>
        <w:rPr>
          <w:rFonts w:ascii="Times New Roman;sans-serif" w:hAnsi="Times New Roman;sans-serif"/>
          <w:b w:val="false"/>
          <w:color w:val="000000"/>
          <w:sz w:val="24"/>
          <w:u w:val="single"/>
        </w:rPr>
        <w:t>Borrowing”</w:t>
      </w:r>
      <w:r>
        <w:rPr>
          <w:color w:val="000000"/>
        </w:rPr>
        <w:t xml:space="preserve"> </w:t>
      </w:r>
      <w:r>
        <w:rPr>
          <w:rFonts w:ascii="Times New Roman;sans-serif" w:hAnsi="Times New Roman;sans-serif"/>
          <w:b w:val="false"/>
          <w:color w:val="000000"/>
          <w:sz w:val="24"/>
        </w:rPr>
        <w:t>shall mean a group of Loans of a single Class and Type, and made on a single date and, in the case of Term SOFR Loans, as to which a single Interest Period is in effect.</w:t>
      </w:r>
    </w:p>
    <w:p>
      <w:pPr>
        <w:pStyle w:val="TextBody"/>
        <w:bidi w:val="0"/>
        <w:spacing w:lineRule="auto" w:line="240" w:before="240" w:after="283"/>
        <w:ind w:left="0" w:right="0" w:firstLine="720"/>
        <w:jc w:val="left"/>
        <w:rPr/>
      </w:pPr>
      <w:r>
        <w:rPr>
          <w:color w:val="000000"/>
        </w:rPr>
        <w:t>“</w:t>
      </w:r>
      <w:r>
        <w:rPr>
          <w:rFonts w:ascii="Times New Roman;sans-serif" w:hAnsi="Times New Roman;sans-serif"/>
          <w:b w:val="false"/>
          <w:color w:val="000000"/>
          <w:sz w:val="24"/>
          <w:u w:val="single"/>
        </w:rPr>
        <w:t>Borrowing Minimum</w:t>
      </w:r>
      <w:r>
        <w:rPr>
          <w:color w:val="000000"/>
        </w:rPr>
        <w:t xml:space="preserve">” </w:t>
      </w:r>
      <w:r>
        <w:rPr>
          <w:rFonts w:ascii="Times New Roman;sans-serif" w:hAnsi="Times New Roman;sans-serif"/>
          <w:b w:val="false"/>
          <w:color w:val="000000"/>
          <w:sz w:val="24"/>
        </w:rPr>
        <w:t>shall mean (a) in the case of Term SOFR Loans, $1,000,000, (b) in the case of ABR Loans, $1,000,000 and (c) in the case of Swingline Loans, $500,000.</w:t>
      </w:r>
    </w:p>
    <w:p>
      <w:pPr>
        <w:pStyle w:val="TextBody"/>
        <w:bidi w:val="0"/>
        <w:spacing w:lineRule="auto" w:line="240" w:before="240" w:after="283"/>
        <w:ind w:left="0" w:right="0" w:firstLine="720"/>
        <w:jc w:val="left"/>
        <w:rPr/>
      </w:pPr>
      <w:r>
        <w:rPr>
          <w:color w:val="000000"/>
        </w:rPr>
        <w:t>“</w:t>
      </w:r>
      <w:r>
        <w:rPr>
          <w:rFonts w:ascii="Times New Roman;sans-serif" w:hAnsi="Times New Roman;sans-serif"/>
          <w:b w:val="false"/>
          <w:color w:val="000000"/>
          <w:sz w:val="24"/>
          <w:u w:val="single"/>
        </w:rPr>
        <w:t>Borrowing Multiple</w:t>
      </w:r>
      <w:r>
        <w:rPr>
          <w:color w:val="000000"/>
        </w:rPr>
        <w:t xml:space="preserve">” </w:t>
      </w:r>
      <w:r>
        <w:rPr>
          <w:rFonts w:ascii="Times New Roman;sans-serif" w:hAnsi="Times New Roman;sans-serif"/>
          <w:b w:val="false"/>
          <w:color w:val="000000"/>
          <w:sz w:val="24"/>
        </w:rPr>
        <w:t>shall mean (a) in the case of Term SOFR Loans, $500,000, (b) in the case of ABR Loans, $250,000 and (c) in the case of Swingline Loans, $100,000.</w:t>
      </w:r>
    </w:p>
    <w:p>
      <w:pPr>
        <w:pStyle w:val="TextBody"/>
        <w:bidi w:val="0"/>
        <w:spacing w:lineRule="auto" w:line="240" w:before="241" w:after="283"/>
        <w:ind w:left="0" w:right="0" w:firstLine="720"/>
        <w:jc w:val="both"/>
        <w:rPr/>
      </w:pPr>
      <w:r>
        <w:rPr>
          <w:color w:val="000000"/>
        </w:rPr>
        <w:t>“</w:t>
      </w:r>
      <w:r>
        <w:rPr>
          <w:rFonts w:ascii="Times New Roman;sans-serif" w:hAnsi="Times New Roman;sans-serif"/>
          <w:b w:val="false"/>
          <w:color w:val="000000"/>
          <w:sz w:val="24"/>
          <w:u w:val="single"/>
        </w:rPr>
        <w:t>Borrowing Request</w:t>
      </w:r>
      <w:r>
        <w:rPr>
          <w:color w:val="000000"/>
        </w:rPr>
        <w:t xml:space="preserve">” </w:t>
      </w:r>
      <w:r>
        <w:rPr>
          <w:rFonts w:ascii="Times New Roman;sans-serif" w:hAnsi="Times New Roman;sans-serif"/>
          <w:b w:val="false"/>
          <w:color w:val="000000"/>
          <w:sz w:val="24"/>
        </w:rPr>
        <w:t xml:space="preserve">shall mean a request by the Borrower in accordance with the terms of Section 2.03 and substantially in the form of </w:t>
      </w:r>
      <w:r>
        <w:rPr>
          <w:rFonts w:ascii="Times New Roman;sans-serif" w:hAnsi="Times New Roman;sans-serif"/>
          <w:b w:val="false"/>
          <w:color w:val="000000"/>
          <w:sz w:val="24"/>
          <w:u w:val="single"/>
        </w:rPr>
        <w:t>Exhibit D-1</w:t>
      </w:r>
      <w:r>
        <w:rPr>
          <w:color w:val="000000"/>
        </w:rPr>
        <w:t xml:space="preserve"> </w:t>
      </w:r>
      <w:r>
        <w:rPr>
          <w:rFonts w:ascii="Times New Roman;sans-serif" w:hAnsi="Times New Roman;sans-serif"/>
          <w:b w:val="false"/>
          <w:color w:val="000000"/>
          <w:sz w:val="24"/>
        </w:rPr>
        <w:t>or another form (including any form on an electronic platform or electronic transmission system as shall be approved by the Administrative Agent) approved by the Administrative Agent and appropriately completed and signed by a Responsible Officer of the Borrower.</w:t>
      </w:r>
    </w:p>
    <w:p>
      <w:pPr>
        <w:pStyle w:val="TextBody"/>
        <w:bidi w:val="0"/>
        <w:spacing w:lineRule="auto" w:line="240" w:before="238" w:after="283"/>
        <w:ind w:left="0" w:right="0" w:firstLine="720"/>
        <w:jc w:val="left"/>
        <w:rPr/>
      </w:pPr>
      <w:r>
        <w:rPr>
          <w:color w:val="000000"/>
        </w:rPr>
        <w:t>“</w:t>
      </w:r>
      <w:r>
        <w:rPr>
          <w:rFonts w:ascii="Times New Roman;sans-serif" w:hAnsi="Times New Roman;sans-serif"/>
          <w:b w:val="false"/>
          <w:color w:val="000000"/>
          <w:sz w:val="24"/>
          <w:u w:val="single"/>
        </w:rPr>
        <w:t>Builder Basket</w:t>
      </w:r>
      <w:r>
        <w:rPr>
          <w:color w:val="000000"/>
        </w:rPr>
        <w:t xml:space="preserve">” </w:t>
      </w:r>
      <w:r>
        <w:rPr>
          <w:rFonts w:ascii="Times New Roman;sans-serif" w:hAnsi="Times New Roman;sans-serif"/>
          <w:b w:val="false"/>
          <w:color w:val="000000"/>
          <w:sz w:val="24"/>
        </w:rPr>
        <w:t>shall mean, as of any date of determination (the “</w:t>
      </w:r>
      <w:r>
        <w:rPr>
          <w:rFonts w:ascii="Times New Roman;sans-serif" w:hAnsi="Times New Roman;sans-serif"/>
          <w:b w:val="false"/>
          <w:color w:val="000000"/>
          <w:sz w:val="24"/>
          <w:u w:val="single"/>
        </w:rPr>
        <w:t>Builder Basket</w:t>
      </w:r>
      <w:r>
        <w:rPr>
          <w:color w:val="000000"/>
        </w:rPr>
        <w:t xml:space="preserve"> </w:t>
      </w:r>
      <w:r>
        <w:rPr>
          <w:rFonts w:ascii="Times New Roman;sans-serif" w:hAnsi="Times New Roman;sans-serif"/>
          <w:b w:val="false"/>
          <w:color w:val="000000"/>
          <w:sz w:val="24"/>
          <w:u w:val="single"/>
        </w:rPr>
        <w:t>Reference Time</w:t>
      </w:r>
      <w:r>
        <w:rPr>
          <w:color w:val="000000"/>
        </w:rPr>
        <w:t>”</w:t>
      </w:r>
      <w:r>
        <w:rPr>
          <w:rFonts w:ascii="Times New Roman;sans-serif" w:hAnsi="Times New Roman;sans-serif"/>
          <w:b w:val="false"/>
          <w:color w:val="000000"/>
          <w:sz w:val="24"/>
        </w:rPr>
        <w:t>), a cumulative amount equal to</w:t>
      </w:r>
    </w:p>
    <w:p>
      <w:pPr>
        <w:pStyle w:val="TextBody"/>
        <w:bidi w:val="0"/>
        <w:spacing w:lineRule="auto" w:line="240" w:before="240" w:after="283"/>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(a)the sum of (without duplication)</w:t>
      </w:r>
    </w:p>
    <w:p>
      <w:pPr>
        <w:pStyle w:val="TextBody"/>
        <w:bidi w:val="0"/>
        <w:spacing w:lineRule="auto" w:line="240" w:before="240" w:after="283"/>
        <w:ind w:left="0" w:right="0" w:hanging="719"/>
        <w:jc w:val="left"/>
        <w:rPr/>
      </w:pPr>
      <w:r>
        <w:rPr>
          <w:rFonts w:ascii="Times New Roman;sans-serif" w:hAnsi="Times New Roman;sans-serif"/>
          <w:b w:val="false"/>
          <w:color w:val="000000"/>
          <w:sz w:val="24"/>
        </w:rPr>
        <w:t xml:space="preserve">(i)$23,000,000; </w:t>
      </w:r>
      <w:r>
        <w:rPr>
          <w:rFonts w:ascii="Times New Roman;sans-serif" w:hAnsi="Times New Roman;sans-serif"/>
          <w:b w:val="false"/>
          <w:color w:val="000000"/>
          <w:sz w:val="24"/>
          <w:u w:val="single"/>
        </w:rPr>
        <w:t>plus</w:t>
      </w:r>
    </w:p>
    <w:p>
      <w:pPr>
        <w:pStyle w:val="TextBody"/>
        <w:bidi w:val="0"/>
        <w:spacing w:lineRule="auto" w:line="240" w:before="241"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(ii)50% of Consolidated Net Income (which shall not be less than zero) for the period from May 1, 2021 to and including the last day for the most recently</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480175" cy="781050"/>
                <wp:effectExtent l="0" t="0" r="0" b="0"/>
                <wp:wrapNone/>
                <wp:docPr id="218" name="Frame217"/>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16</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60" w:after="283"/>
        <w:jc w:val="left"/>
        <w:rPr/>
      </w:pPr>
      <w:r>
        <w:rPr>
          <w:rFonts w:ascii="Times New Roman;sans-serif" w:hAnsi="Times New Roman;sans-serif"/>
          <w:b w:val="false"/>
          <w:color w:val="000000"/>
          <w:sz w:val="24"/>
        </w:rPr>
        <w:t xml:space="preserve">ended fiscal quarter of the Borrower prior to the Builder Basket Reference Time </w:t>
      </w:r>
      <w:r>
        <w:rPr>
          <w:rFonts w:ascii="Times New Roman;sans-serif" w:hAnsi="Times New Roman;sans-serif"/>
          <w:b w:val="false"/>
          <w:color w:val="000000"/>
          <w:sz w:val="24"/>
          <w:u w:val="single"/>
        </w:rPr>
        <w:t>plus</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 xml:space="preserve">(iii)the amount of any capital contribution to, or the proceeds of any issuance of Qualified Equity Interests of, the Borrower after the Closing Date (other than any amount received from any Subsidiary), plus the fair market value, as reasonably determined in good faith by the Borrower, of cash equivalents, marketable securities or other property, in each case received by the Borrower or any of the Subsidiaries as a capital contribution or in return for any issuance of Qualified Equity Interests (other than any amounts received from the Borrower or any of the Subsidiaries), in each case, during the period from and including the day immediately following the Closing Date through and including such Builder Basket Reference Time; </w:t>
      </w:r>
      <w:r>
        <w:rPr>
          <w:rFonts w:ascii="Times New Roman;sans-serif" w:hAnsi="Times New Roman;sans-serif"/>
          <w:b w:val="false"/>
          <w:color w:val="000000"/>
          <w:sz w:val="24"/>
          <w:u w:val="single"/>
        </w:rPr>
        <w:t>plus</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 xml:space="preserve">(iv)the aggregate principal amount of any Indebtedness or Disqualified Equity Interests, in each case, of the Borrower or any of Subsidiaries issued after the Closing Date (other than Indebtedness or such Disqualified Equity Interests issued to the Borrower or any Subsidiaries), which has been converted into or exchanged for Equity Interests of the Borrower or any Subsidiary that does not constitute Disqualified Equity Interests, together with the fair market value of any cash equivalents and the fair market value (as reasonably determined in good faith by the Borrower) of any assets received by the Borrower or such Subsidiary upon such exchange or conversion, in each case, during the period from and including the day immediately following the Closing Date through and including such Builder Basket Reference Time; </w:t>
      </w:r>
      <w:r>
        <w:rPr>
          <w:rFonts w:ascii="Times New Roman;sans-serif" w:hAnsi="Times New Roman;sans-serif"/>
          <w:b w:val="false"/>
          <w:color w:val="000000"/>
          <w:sz w:val="24"/>
          <w:u w:val="single"/>
        </w:rPr>
        <w:t>plus</w:t>
      </w:r>
    </w:p>
    <w:p>
      <w:pPr>
        <w:pStyle w:val="TextBody"/>
        <w:bidi w:val="0"/>
        <w:spacing w:lineRule="auto" w:line="240" w:before="241" w:after="283"/>
        <w:ind w:left="0" w:right="0" w:firstLine="720"/>
        <w:jc w:val="both"/>
        <w:rPr/>
      </w:pPr>
      <w:r>
        <w:rPr>
          <w:rFonts w:ascii="Times New Roman;sans-serif" w:hAnsi="Times New Roman;sans-serif"/>
          <w:b w:val="false"/>
          <w:color w:val="000000"/>
          <w:sz w:val="24"/>
        </w:rPr>
        <w:t xml:space="preserve">(v)the net cash proceeds received by the Borrower or any Subsidiaries during the period from and including the day immediately following the Closing Date through and including such Builder Basket Reference Time in connection with the Disposition to any Person (other than the Borrower or any Subsidiaries) of any Investment made pursuant to Section 6.04(bb); </w:t>
      </w:r>
      <w:r>
        <w:rPr>
          <w:rFonts w:ascii="Times New Roman;sans-serif" w:hAnsi="Times New Roman;sans-serif"/>
          <w:b w:val="false"/>
          <w:color w:val="000000"/>
          <w:sz w:val="24"/>
          <w:u w:val="single"/>
        </w:rPr>
        <w:t>plus</w:t>
      </w:r>
    </w:p>
    <w:p>
      <w:pPr>
        <w:pStyle w:val="TextBody"/>
        <w:bidi w:val="0"/>
        <w:spacing w:lineRule="auto" w:line="240" w:before="238" w:after="283"/>
        <w:ind w:left="0" w:right="0" w:firstLine="720"/>
        <w:jc w:val="both"/>
        <w:rPr/>
      </w:pPr>
      <w:r>
        <w:rPr>
          <w:rFonts w:ascii="Times New Roman;sans-serif" w:hAnsi="Times New Roman;sans-serif"/>
          <w:b w:val="false"/>
          <w:color w:val="000000"/>
          <w:sz w:val="24"/>
        </w:rPr>
        <w:t xml:space="preserve">(vi)to the extent not already reflected as a return of capital with respect to such Investment for purposes of determining the amount of such Investment, the proceeds received by the Borrower or any Subsidiary during the period from and including the day immediately following the Closing Date through and including such Builder Basket Reference Time in connection with cash returns, cash profits, cash distributions and similar cash amounts, including cash principal repayments of loans, in each case received in respect of any Investment made after the Closing Date pursuant to Section 6.04(bb); </w:t>
      </w:r>
      <w:r>
        <w:rPr>
          <w:rFonts w:ascii="Times New Roman;sans-serif" w:hAnsi="Times New Roman;sans-serif"/>
          <w:b w:val="false"/>
          <w:color w:val="000000"/>
          <w:sz w:val="24"/>
          <w:u w:val="single"/>
        </w:rPr>
        <w:t>plus</w:t>
      </w:r>
    </w:p>
    <w:p>
      <w:pPr>
        <w:pStyle w:val="TextBody"/>
        <w:bidi w:val="0"/>
        <w:spacing w:lineRule="auto" w:line="240" w:before="241"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(vii)an amount equal to the sum of (A) the amount of any Investment by the Borrower or any Subsidiaries pursuant to Section 6.04(bb) in any Unrestricted Subsidiary that has been re-designated as a Subsidiary or has been merged, consolidated or amalgamated with or into, or is liquidated, wound up or dissolved into, the Borrower or any Subsidiaries, (B) the fair market value (as reasonably determined in good faith by the Borrower) of the assets of any Unrestricted</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480175" cy="781050"/>
                <wp:effectExtent l="0" t="0" r="0" b="0"/>
                <wp:wrapNone/>
                <wp:docPr id="219" name="Frame218"/>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17</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jc w:val="both"/>
        <w:rPr/>
      </w:pPr>
      <w:r>
        <w:rPr>
          <w:rFonts w:ascii="Times New Roman;sans-serif" w:hAnsi="Times New Roman;sans-serif"/>
          <w:b w:val="false"/>
          <w:color w:val="000000"/>
          <w:sz w:val="24"/>
        </w:rPr>
        <w:t xml:space="preserve">Subsidiary that have been transferred, conveyed or otherwise distributed to the Borrower or any Subsidiaries and (C) the Net Proceeds of any Disposition of any Unrestricted Subsidiary (including the issuance or sale of Equity Interest thereof) received by the Borrower or any Subsidiaries, in each case, during the period from and including the day immediately following the Closing Date through and including such Builder Basket Reference Time; </w:t>
      </w:r>
      <w:r>
        <w:rPr>
          <w:rFonts w:ascii="Times New Roman;sans-serif" w:hAnsi="Times New Roman;sans-serif"/>
          <w:b w:val="false"/>
          <w:color w:val="000000"/>
          <w:sz w:val="24"/>
          <w:u w:val="single"/>
        </w:rPr>
        <w:t>plus</w:t>
      </w:r>
    </w:p>
    <w:p>
      <w:pPr>
        <w:pStyle w:val="TextBody"/>
        <w:bidi w:val="0"/>
        <w:spacing w:lineRule="auto" w:line="240" w:before="240" w:after="283"/>
        <w:ind w:left="0" w:right="0" w:firstLine="720"/>
        <w:jc w:val="left"/>
        <w:rPr/>
      </w:pPr>
      <w:r>
        <w:rPr>
          <w:rFonts w:ascii="Times New Roman;sans-serif" w:hAnsi="Times New Roman;sans-serif"/>
          <w:b w:val="false"/>
          <w:color w:val="000000"/>
          <w:sz w:val="24"/>
        </w:rPr>
        <w:t xml:space="preserve">(viii)the amount of any Declined Prepayment Amount since the Closing Date; </w:t>
      </w:r>
      <w:r>
        <w:rPr>
          <w:rFonts w:ascii="Times New Roman;sans-serif" w:hAnsi="Times New Roman;sans-serif"/>
          <w:b w:val="false"/>
          <w:color w:val="000000"/>
          <w:sz w:val="24"/>
          <w:u w:val="single"/>
        </w:rPr>
        <w:t>minus</w:t>
      </w:r>
    </w:p>
    <w:p>
      <w:pPr>
        <w:pStyle w:val="TextBody"/>
        <w:bidi w:val="0"/>
        <w:spacing w:lineRule="auto" w:line="240" w:before="240" w:after="283"/>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(b)an amount equal to the sum of</w:t>
      </w:r>
    </w:p>
    <w:p>
      <w:pPr>
        <w:pStyle w:val="TextBody"/>
        <w:bidi w:val="0"/>
        <w:spacing w:lineRule="auto" w:line="240" w:before="240" w:after="283"/>
        <w:ind w:left="0" w:right="0" w:hanging="719"/>
        <w:jc w:val="left"/>
        <w:rPr/>
      </w:pPr>
      <w:r>
        <w:rPr>
          <w:rFonts w:ascii="Times New Roman;sans-serif" w:hAnsi="Times New Roman;sans-serif"/>
          <w:b w:val="false"/>
          <w:color w:val="000000"/>
          <w:sz w:val="24"/>
        </w:rPr>
        <w:t xml:space="preserve">(i)Restricted Payments made pursuant to Section 6.03(a)(xiv), </w:t>
      </w:r>
      <w:r>
        <w:rPr>
          <w:rFonts w:ascii="Times New Roman;sans-serif" w:hAnsi="Times New Roman;sans-serif"/>
          <w:b w:val="false"/>
          <w:color w:val="000000"/>
          <w:sz w:val="24"/>
          <w:u w:val="single"/>
        </w:rPr>
        <w:t>plus</w:t>
      </w:r>
    </w:p>
    <w:p>
      <w:pPr>
        <w:pStyle w:val="TextBody"/>
        <w:bidi w:val="0"/>
        <w:spacing w:lineRule="auto" w:line="240" w:before="240" w:after="283"/>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(ii)Restricted Debt Payments made pursuant to Section 6.03(b)(vi)(A),</w:t>
      </w:r>
    </w:p>
    <w:p>
      <w:pPr>
        <w:pStyle w:val="TextBody"/>
        <w:bidi w:val="0"/>
        <w:spacing w:lineRule="auto" w:line="240" w:before="0" w:after="0"/>
        <w:jc w:val="lef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plus</w:t>
      </w:r>
    </w:p>
    <w:p>
      <w:pPr>
        <w:pStyle w:val="TextBody"/>
        <w:bidi w:val="0"/>
        <w:spacing w:lineRule="auto" w:line="240" w:before="240" w:after="283"/>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(iii)Investments made pursuant to Section 6.04(bb),</w:t>
      </w:r>
    </w:p>
    <w:p>
      <w:pPr>
        <w:pStyle w:val="TextBody"/>
        <w:bidi w:val="0"/>
        <w:spacing w:lineRule="auto" w:line="240" w:before="24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in each case, after the Closing Date and prior to such Builder Basket Reference Time or contemporaneously therewith.</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val="false"/>
          <w:color w:val="000000"/>
          <w:sz w:val="24"/>
          <w:u w:val="single"/>
        </w:rPr>
        <w:t>Builder Basket Reference Time</w:t>
      </w:r>
      <w:r>
        <w:rPr>
          <w:color w:val="000000"/>
        </w:rPr>
        <w:t xml:space="preserve">” </w:t>
      </w:r>
      <w:r>
        <w:rPr>
          <w:rFonts w:ascii="Times New Roman;sans-serif" w:hAnsi="Times New Roman;sans-serif"/>
          <w:b w:val="false"/>
          <w:color w:val="000000"/>
          <w:sz w:val="24"/>
        </w:rPr>
        <w:t>shall have the meaning assigned to such term in the definition of “Builder Basket.”</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val="false"/>
          <w:color w:val="000000"/>
          <w:sz w:val="24"/>
          <w:u w:val="single"/>
        </w:rPr>
        <w:t>Business Day</w:t>
      </w:r>
      <w:r>
        <w:rPr>
          <w:color w:val="000000"/>
        </w:rPr>
        <w:t xml:space="preserve">” </w:t>
      </w:r>
      <w:r>
        <w:rPr>
          <w:rFonts w:ascii="Times New Roman;sans-serif" w:hAnsi="Times New Roman;sans-serif"/>
          <w:b w:val="false"/>
          <w:color w:val="000000"/>
          <w:sz w:val="24"/>
        </w:rPr>
        <w:t xml:space="preserve">shall mean any day that is not a Saturday, Sunday or other day on which commercial banks in New York City are authorized or required by law to remain closed;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when used in connection with a Term SOFR Loan, the term “Business Day” shall also exclude any day which is not a U.S. Government Securities Business Day.</w:t>
      </w:r>
    </w:p>
    <w:p>
      <w:pPr>
        <w:pStyle w:val="TextBody"/>
        <w:bidi w:val="0"/>
        <w:spacing w:lineRule="auto" w:line="240" w:before="241" w:after="283"/>
        <w:jc w:val="left"/>
        <w:rPr/>
      </w:pPr>
      <w:r>
        <w:rPr>
          <w:color w:val="000000"/>
        </w:rPr>
        <w:t>“</w:t>
      </w:r>
      <w:r>
        <w:rPr>
          <w:rFonts w:ascii="Times New Roman;sans-serif" w:hAnsi="Times New Roman;sans-serif"/>
          <w:b w:val="false"/>
          <w:color w:val="000000"/>
          <w:sz w:val="24"/>
          <w:u w:val="single"/>
        </w:rPr>
        <w:t>Canadian Dollars</w:t>
      </w:r>
      <w:r>
        <w:rPr>
          <w:color w:val="000000"/>
        </w:rPr>
        <w:t xml:space="preserve">” </w:t>
      </w:r>
      <w:r>
        <w:rPr>
          <w:rFonts w:ascii="Times New Roman;sans-serif" w:hAnsi="Times New Roman;sans-serif"/>
          <w:b w:val="false"/>
          <w:color w:val="000000"/>
          <w:sz w:val="24"/>
        </w:rPr>
        <w:t>shall mean the lawful currency of Canada.</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val="false"/>
          <w:color w:val="000000"/>
          <w:sz w:val="24"/>
          <w:u w:val="single"/>
        </w:rPr>
        <w:t>Capital Expenditures</w:t>
      </w:r>
      <w:r>
        <w:rPr>
          <w:color w:val="000000"/>
        </w:rPr>
        <w:t xml:space="preserve">” </w:t>
      </w:r>
      <w:r>
        <w:rPr>
          <w:rFonts w:ascii="Times New Roman;sans-serif" w:hAnsi="Times New Roman;sans-serif"/>
          <w:b w:val="false"/>
          <w:color w:val="000000"/>
          <w:sz w:val="24"/>
        </w:rPr>
        <w:t>shall mean, with respect to any Person for any period, the aggregate amount, without duplication, of (a) all expenditures (whether paid in cash or accrued as liabilities and including in all events all amounts expended or capitalized as Capitalized Lease Obligations) that would, in accordance with GAAP, be included as additions to property, plant and equipment,</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(b) other capital expenditures of such Person for such period (whether paid in cash or accrued as liabilities and including in all events all amounts expended or capitalized as Capitalized Lease Obligations) that are reported in the Borrower’s consolidated statement of cash flows for such period and (c) other capital expenditures of such Person for such period (whether paid in cash or accrued as liabilities and including in all events all amounts expended or capitalized as Capitalized Lease Obligations, including any capitalized bonus payment).</w:t>
      </w:r>
    </w:p>
    <w:p>
      <w:pPr>
        <w:pStyle w:val="TextBody"/>
        <w:bidi w:val="0"/>
        <w:spacing w:lineRule="auto" w:line="240" w:before="239" w:after="283"/>
        <w:ind w:left="0" w:right="0" w:firstLine="720"/>
        <w:jc w:val="both"/>
        <w:rPr/>
      </w:pPr>
      <w:r>
        <w:rPr>
          <w:color w:val="000000"/>
        </w:rPr>
        <w:t>“</w:t>
      </w:r>
      <w:r>
        <w:rPr>
          <w:rFonts w:ascii="Times New Roman;sans-serif" w:hAnsi="Times New Roman;sans-serif"/>
          <w:b w:val="false"/>
          <w:color w:val="000000"/>
          <w:sz w:val="24"/>
          <w:u w:val="single"/>
        </w:rPr>
        <w:t>Capitalized Lease Obligations</w:t>
      </w:r>
      <w:r>
        <w:rPr>
          <w:color w:val="000000"/>
        </w:rPr>
        <w:t xml:space="preserve">” </w:t>
      </w:r>
      <w:r>
        <w:rPr>
          <w:rFonts w:ascii="Times New Roman;sans-serif" w:hAnsi="Times New Roman;sans-serif"/>
          <w:b w:val="false"/>
          <w:color w:val="000000"/>
          <w:sz w:val="24"/>
        </w:rPr>
        <w:t xml:space="preserve">shall mean, at the time any determination thereof is to be made, the amount of the liability in respect of a capital lease that would at such time be required to be capitalized and reflected as a liability on the balance sheet (excluding the footnotes thereto) in accordance with GAAP;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the Borrower may choose for any obligations of any person that are or would be characterized as operating lease obligations in accordance with GAAP</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480175" cy="781050"/>
                <wp:effectExtent l="0" t="0" r="0" b="0"/>
                <wp:wrapNone/>
                <wp:docPr id="220" name="Frame219"/>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18</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jc w:val="both"/>
        <w:rPr>
          <w:rFonts w:ascii="Times New Roman;sans-serif" w:hAnsi="Times New Roman;sans-serif"/>
          <w:b w:val="false"/>
          <w:color w:val="000000"/>
          <w:sz w:val="24"/>
        </w:rPr>
      </w:pPr>
      <w:r>
        <w:rPr>
          <w:rFonts w:ascii="Times New Roman;sans-serif" w:hAnsi="Times New Roman;sans-serif"/>
          <w:b w:val="false"/>
          <w:color w:val="000000"/>
          <w:sz w:val="24"/>
        </w:rPr>
        <w:t>on December 31, 2018 (whether or not such operating lease obligations were in effect on such date) to be accounted for as operating lease obligations (and not as Capitalized Lease Obligations) for purposes of this Agreement regardless of any change in GAAP following such date that would otherwise require such obligations to be recharacterized (on a prospective or retroactive basis or otherwise) as Capitalized Lease Obligations.</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val="false"/>
          <w:color w:val="000000"/>
          <w:sz w:val="24"/>
          <w:u w:val="single"/>
        </w:rPr>
        <w:t>Captive Insurance Subsidiary</w:t>
      </w:r>
      <w:r>
        <w:rPr>
          <w:color w:val="000000"/>
        </w:rPr>
        <w:t xml:space="preserve">” </w:t>
      </w:r>
      <w:r>
        <w:rPr>
          <w:rFonts w:ascii="Times New Roman;sans-serif" w:hAnsi="Times New Roman;sans-serif"/>
          <w:b w:val="false"/>
          <w:color w:val="000000"/>
          <w:sz w:val="24"/>
        </w:rPr>
        <w:t>shall mean any Subsidiary that is subject to regulation as an insurance company.</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val="false"/>
          <w:color w:val="000000"/>
          <w:sz w:val="24"/>
          <w:u w:val="single"/>
        </w:rPr>
        <w:t>Cash Collateralize</w:t>
      </w:r>
      <w:r>
        <w:rPr>
          <w:color w:val="000000"/>
        </w:rPr>
        <w:t xml:space="preserve">” </w:t>
      </w:r>
      <w:r>
        <w:rPr>
          <w:rFonts w:ascii="Times New Roman;sans-serif" w:hAnsi="Times New Roman;sans-serif"/>
          <w:b w:val="false"/>
          <w:color w:val="000000"/>
          <w:sz w:val="24"/>
        </w:rPr>
        <w:t>shall mean to pledge and deposit with, or deliver to, the Collateral Agent, for the benefit of one or more of the Issuing Banks or Lenders, as collateral for Revolving L/C Exposure or obligations of the Lenders to fund participations in respect of Revolving L/C Exposure, cash or deposit account balances or, if the Collateral Agent and each Issuing Bank shall agree in their sole discretion, other credit support, in each case pursuant to documentation in form and substance reasonably satisfactory to the Collateral Agent and each applicable Issuing Bank. “</w:t>
      </w:r>
      <w:r>
        <w:rPr>
          <w:rFonts w:ascii="Times New Roman;sans-serif" w:hAnsi="Times New Roman;sans-serif"/>
          <w:b w:val="false"/>
          <w:color w:val="000000"/>
          <w:sz w:val="24"/>
          <w:u w:val="single"/>
        </w:rPr>
        <w:t>Cash Collateral</w:t>
      </w:r>
      <w:r>
        <w:rPr>
          <w:color w:val="000000"/>
        </w:rPr>
        <w:t xml:space="preserve">” </w:t>
      </w:r>
      <w:r>
        <w:rPr>
          <w:rFonts w:ascii="Times New Roman;sans-serif" w:hAnsi="Times New Roman;sans-serif"/>
          <w:b w:val="false"/>
          <w:color w:val="000000"/>
          <w:sz w:val="24"/>
        </w:rPr>
        <w:t>and “</w:t>
      </w:r>
      <w:r>
        <w:rPr>
          <w:rFonts w:ascii="Times New Roman;sans-serif" w:hAnsi="Times New Roman;sans-serif"/>
          <w:b w:val="false"/>
          <w:color w:val="000000"/>
          <w:sz w:val="24"/>
          <w:u w:val="single"/>
        </w:rPr>
        <w:t>Cash Collateralization</w:t>
      </w:r>
      <w:r>
        <w:rPr>
          <w:color w:val="000000"/>
        </w:rPr>
        <w:t xml:space="preserve">” </w:t>
      </w:r>
      <w:r>
        <w:rPr>
          <w:rFonts w:ascii="Times New Roman;sans-serif" w:hAnsi="Times New Roman;sans-serif"/>
          <w:b w:val="false"/>
          <w:color w:val="000000"/>
          <w:sz w:val="24"/>
        </w:rPr>
        <w:t>shall have a meaning correlative to the foregoing and shall include the proceeds of such cash collateral and other credit support.</w:t>
      </w:r>
    </w:p>
    <w:p>
      <w:pPr>
        <w:pStyle w:val="TextBody"/>
        <w:bidi w:val="0"/>
        <w:spacing w:lineRule="auto" w:line="240" w:before="240" w:after="283"/>
        <w:jc w:val="center"/>
        <w:rPr/>
      </w:pPr>
      <w:r>
        <w:rPr>
          <w:color w:val="000000"/>
        </w:rPr>
        <w:t>“</w:t>
      </w:r>
      <w:r>
        <w:rPr>
          <w:rFonts w:ascii="Times New Roman;sans-serif" w:hAnsi="Times New Roman;sans-serif"/>
          <w:b w:val="false"/>
          <w:color w:val="000000"/>
          <w:sz w:val="24"/>
          <w:u w:val="single"/>
        </w:rPr>
        <w:t>Cash Equivalents</w:t>
      </w:r>
      <w:r>
        <w:rPr>
          <w:color w:val="000000"/>
        </w:rPr>
        <w:t xml:space="preserve">” </w:t>
      </w:r>
      <w:r>
        <w:rPr>
          <w:rFonts w:ascii="Times New Roman;sans-serif" w:hAnsi="Times New Roman;sans-serif"/>
          <w:b w:val="false"/>
          <w:color w:val="000000"/>
          <w:sz w:val="24"/>
        </w:rPr>
        <w:t>or “</w:t>
      </w:r>
      <w:r>
        <w:rPr>
          <w:rFonts w:ascii="Times New Roman;sans-serif" w:hAnsi="Times New Roman;sans-serif"/>
          <w:b w:val="false"/>
          <w:color w:val="000000"/>
          <w:sz w:val="24"/>
          <w:u w:val="single"/>
        </w:rPr>
        <w:t>cash equivalents</w:t>
      </w:r>
      <w:r>
        <w:rPr>
          <w:color w:val="000000"/>
        </w:rPr>
        <w:t xml:space="preserve">” </w:t>
      </w:r>
      <w:r>
        <w:rPr>
          <w:rFonts w:ascii="Times New Roman;sans-serif" w:hAnsi="Times New Roman;sans-serif"/>
          <w:b w:val="false"/>
          <w:color w:val="000000"/>
          <w:sz w:val="24"/>
        </w:rPr>
        <w:t>shall mean, as at any date of determination,</w:t>
      </w:r>
    </w:p>
    <w:p>
      <w:pPr>
        <w:pStyle w:val="TextBody"/>
        <w:bidi w:val="0"/>
        <w:spacing w:lineRule="auto" w:line="240" w:before="240"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(a)Dollars, Euro, Pounds, Canadian Dollars or such other currencies held by the Borrower or any Subsidiary from time to time in the ordinary course of business;</w:t>
      </w:r>
    </w:p>
    <w:p>
      <w:pPr>
        <w:pStyle w:val="TextBody"/>
        <w:bidi w:val="0"/>
        <w:spacing w:lineRule="auto" w:line="240" w:before="240"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(b)readily marketable securities (i) issued or directly and unconditionally guaranteed or insured as to interest and principal by the government of the US, Canada, the United Kingdom or by any member nation of the European Union or (ii) issued by any agency or instrumentality of any of the foregoing, the obligations of which are backed by the full faith and credit of the US, Canada, the United Kingdom or any such member nation of the European Union, as applicable, in each case having average maturities of not more than twelve months from the date of acquisition thereof and, in each case, repurchase agreements and reverse repurchase agreements relating thereto;</w:t>
      </w:r>
    </w:p>
    <w:p>
      <w:pPr>
        <w:pStyle w:val="TextBody"/>
        <w:bidi w:val="0"/>
        <w:spacing w:lineRule="auto" w:line="240" w:before="239"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(c)readily marketable direct obligations issued by any state, commonwealth or territory of the US or any political subdivision, taxing authority or any public instrumentality thereof or any foreign government, in each case having average maturities of not more than 12 months from the acquisition;</w:t>
      </w:r>
    </w:p>
    <w:p>
      <w:pPr>
        <w:pStyle w:val="TextBody"/>
        <w:bidi w:val="0"/>
        <w:spacing w:lineRule="auto" w:line="240" w:before="241"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(d)commercial paper having average maturities of not more than 12 months from the date of creation thereof and having, at the time of the acquisition thereof, a rating of at least A-2 from S&amp;P or at least P-2 from Moody’s (or, if at any time either S&amp;P or Moody’s is not rating such obligations, an equivalent rating from another nationally recognized statistical rating agency);</w:t>
      </w:r>
    </w:p>
    <w:p>
      <w:pPr>
        <w:pStyle w:val="TextBody"/>
        <w:bidi w:val="0"/>
        <w:spacing w:lineRule="auto" w:line="240" w:before="240"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(e)deposits, money market deposits, time deposit accounts, certificates of deposit or bankers’ acceptances (or similar instruments) maturing within one year after such date and issued or accepted by any Lender or by any bank organized under, or authorized to operate as a bank under, the laws of the US, any state thereof or the District of Columbia or any political subdivision thereof and that has capital and surplus of not less than $100,000,000 and, in each</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480175" cy="781050"/>
                <wp:effectExtent l="0" t="0" r="0" b="0"/>
                <wp:wrapNone/>
                <wp:docPr id="221" name="Frame220"/>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jc w:val="both"/>
        <w:rPr/>
      </w:pPr>
      <w:r>
        <w:rPr>
          <w:rFonts w:ascii="Times New Roman;sans-serif" w:hAnsi="Times New Roman;sans-serif"/>
          <w:b w:val="false"/>
          <w:color w:val="000000"/>
          <w:sz w:val="24"/>
        </w:rPr>
        <w:t>case, repurchase agreements and reverse repurchase agreements relating thereto (any such bank being an “</w:t>
      </w:r>
      <w:r>
        <w:rPr>
          <w:rFonts w:ascii="Times New Roman;sans-serif" w:hAnsi="Times New Roman;sans-serif"/>
          <w:b w:val="false"/>
          <w:color w:val="000000"/>
          <w:sz w:val="24"/>
          <w:u w:val="single"/>
        </w:rPr>
        <w:t>Approved Bank</w:t>
      </w:r>
      <w:r>
        <w:rPr>
          <w:color w:val="000000"/>
        </w:rPr>
        <w:t>”</w:t>
      </w:r>
      <w:r>
        <w:rPr>
          <w:rFonts w:ascii="Times New Roman;sans-serif" w:hAnsi="Times New Roman;sans-serif"/>
          <w:b w:val="false"/>
          <w:color w:val="000000"/>
          <w:sz w:val="24"/>
        </w:rPr>
        <w:t>);</w:t>
      </w:r>
    </w:p>
    <w:p>
      <w:pPr>
        <w:pStyle w:val="TextBody"/>
        <w:bidi w:val="0"/>
        <w:spacing w:lineRule="auto" w:line="240" w:before="240"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(f)securities with maturities of six months or less from the date of acquisition backed by standby letters of credit issued by any commercial bank having capital and surplus of not less than $100,000,000;</w:t>
      </w:r>
    </w:p>
    <w:p>
      <w:pPr>
        <w:pStyle w:val="TextBody"/>
        <w:bidi w:val="0"/>
        <w:spacing w:lineRule="auto" w:line="240" w:before="240"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(g)marketable short-term money market and similar highly liquid funds having a rating of at least P-2 or A-2 from either Moody’s or S&amp;P, respectively (or, if at any time either S&amp;P or Moody’s is not rating such obligations, an equivalent rating from another nationally recognized statistical rating agency);</w:t>
      </w:r>
    </w:p>
    <w:p>
      <w:pPr>
        <w:pStyle w:val="TextBody"/>
        <w:bidi w:val="0"/>
        <w:spacing w:lineRule="auto" w:line="240" w:before="240"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(h)investments with average maturities of 12 months or less from the date of acquisition in money market funds rated AAA- (or the equivalent thereof) or better by S&amp;P or Aaa3 (or the equivalent thereof) or better by Moody’s (or, if at any time either S&amp;P or Moody’s is not rating such obligations, an equivalent rating from another nationally recognized statistical rating agency);</w:t>
      </w:r>
    </w:p>
    <w:p>
      <w:pPr>
        <w:pStyle w:val="TextBody"/>
        <w:bidi w:val="0"/>
        <w:spacing w:lineRule="auto" w:line="240" w:before="240"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(i)shares of any money market mutual fund that has (i) substantially all of its assets invested in the types of investments referred to in clauses (a) through (h) above, (ii) net assets of not less than $250,000,000 and (iii) a rating of at least A-2 from S&amp;P or at least P-2 from Moody’s (or, if at any time either S&amp;P or Moody’s is not rating such fund, an equivalent rating from another nationally recognized statistical rating agency); and</w:t>
      </w:r>
    </w:p>
    <w:p>
      <w:pPr>
        <w:pStyle w:val="TextBody"/>
        <w:bidi w:val="0"/>
        <w:spacing w:lineRule="auto" w:line="240" w:before="240"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(j)solely with respect to any Captive Insurance Subsidiary, any investment that such Captive Insurance Subsidiary is not prohibited to make in accordance with applicable law.</w:t>
      </w:r>
    </w:p>
    <w:p>
      <w:pPr>
        <w:pStyle w:val="TextBody"/>
        <w:bidi w:val="0"/>
        <w:spacing w:lineRule="auto" w:line="240" w:before="241" w:after="283"/>
        <w:jc w:val="both"/>
        <w:rPr>
          <w:rFonts w:ascii="Times New Roman;sans-serif" w:hAnsi="Times New Roman;sans-serif"/>
          <w:b w:val="false"/>
          <w:color w:val="000000"/>
          <w:sz w:val="24"/>
        </w:rPr>
      </w:pPr>
      <w:r>
        <w:rPr>
          <w:rFonts w:ascii="Times New Roman;sans-serif" w:hAnsi="Times New Roman;sans-serif"/>
          <w:b w:val="false"/>
          <w:color w:val="000000"/>
          <w:sz w:val="24"/>
        </w:rPr>
        <w:t>The term “Cash Equivalents” and “cash equivalents” shall also include (x) Investments of the type and maturity described in clauses (b) through (j) above of foreign obligors, which Investments or obligors (or the parent companies thereof) have the ratings described in such clauses or equivalent ratings from comparable foreign rating agencies and (y) other short-term Investments utilized by Foreign Subsidiaries in accordance with normal investment practices for cash management in Investments that are analogous to the Investments described in clauses (b) through (j) and in this paragraph.</w:t>
      </w:r>
    </w:p>
    <w:p>
      <w:pPr>
        <w:pStyle w:val="TextBody"/>
        <w:bidi w:val="0"/>
        <w:spacing w:lineRule="auto" w:line="240" w:before="238" w:after="283"/>
        <w:ind w:left="0" w:right="0" w:firstLine="720"/>
        <w:jc w:val="both"/>
        <w:rPr/>
      </w:pPr>
      <w:r>
        <w:rPr>
          <w:color w:val="000000"/>
        </w:rPr>
        <w:t>“</w:t>
      </w:r>
      <w:r>
        <w:rPr>
          <w:rFonts w:ascii="Times New Roman;sans-serif" w:hAnsi="Times New Roman;sans-serif"/>
          <w:b w:val="false"/>
          <w:color w:val="000000"/>
          <w:sz w:val="24"/>
          <w:u w:val="single"/>
        </w:rPr>
        <w:t>Cash Management Agreement</w:t>
      </w:r>
      <w:r>
        <w:rPr>
          <w:color w:val="000000"/>
        </w:rPr>
        <w:t xml:space="preserve">” </w:t>
      </w:r>
      <w:r>
        <w:rPr>
          <w:rFonts w:ascii="Times New Roman;sans-serif" w:hAnsi="Times New Roman;sans-serif"/>
          <w:b w:val="false"/>
          <w:color w:val="000000"/>
          <w:sz w:val="24"/>
        </w:rPr>
        <w:t>shall mean any agreement to provide to the Borrower or any Subsidiary cash management services for collections, treasury management services (including controlled disbursement, overdraft, automated clearing house fund transfer services, return items and interstate depository network services), any demand deposit, payroll, trust or operating account relationships, commercial credit cards, merchant card, purchase or debit cards, non-card e-payables services, and other cash management services, including electronic funds transfer services, lockbox services, stop payment services and wire transfer services.</w:t>
      </w:r>
    </w:p>
    <w:p>
      <w:pPr>
        <w:pStyle w:val="TextBody"/>
        <w:bidi w:val="0"/>
        <w:spacing w:lineRule="auto" w:line="240" w:before="241" w:after="283"/>
        <w:ind w:left="0" w:right="0" w:firstLine="720"/>
        <w:jc w:val="both"/>
        <w:rPr/>
      </w:pPr>
      <w:r>
        <w:rPr>
          <w:color w:val="000000"/>
        </w:rPr>
        <w:t>“</w:t>
      </w:r>
      <w:r>
        <w:rPr>
          <w:rFonts w:ascii="Times New Roman;sans-serif" w:hAnsi="Times New Roman;sans-serif"/>
          <w:b w:val="false"/>
          <w:color w:val="000000"/>
          <w:sz w:val="24"/>
          <w:u w:val="single"/>
        </w:rPr>
        <w:t>Cash Management Bank</w:t>
      </w:r>
      <w:r>
        <w:rPr>
          <w:color w:val="000000"/>
        </w:rPr>
        <w:t xml:space="preserve">” </w:t>
      </w:r>
      <w:r>
        <w:rPr>
          <w:rFonts w:ascii="Times New Roman;sans-serif" w:hAnsi="Times New Roman;sans-serif"/>
          <w:b w:val="false"/>
          <w:color w:val="000000"/>
          <w:sz w:val="24"/>
        </w:rPr>
        <w:t>shall mean any person that, at the time it enters into a Cash Management Agreement (or on the Closing Date), is an Agent, an Arranger, a Lender or an Affiliate of any such person.</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480175" cy="781050"/>
                <wp:effectExtent l="0" t="0" r="0" b="0"/>
                <wp:wrapNone/>
                <wp:docPr id="222" name="Frame221"/>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20</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ind w:left="0" w:right="0" w:firstLine="720"/>
        <w:jc w:val="both"/>
        <w:rPr/>
      </w:pPr>
      <w:r>
        <w:rPr>
          <w:color w:val="000000"/>
        </w:rPr>
        <w:t>“</w:t>
      </w:r>
      <w:r>
        <w:rPr>
          <w:rFonts w:ascii="Times New Roman;sans-serif" w:hAnsi="Times New Roman;sans-serif"/>
          <w:b w:val="false"/>
          <w:color w:val="000000"/>
          <w:sz w:val="24"/>
          <w:u w:val="single"/>
        </w:rPr>
        <w:t>CFC</w:t>
      </w:r>
      <w:r>
        <w:rPr>
          <w:color w:val="000000"/>
        </w:rPr>
        <w:t xml:space="preserve">” </w:t>
      </w:r>
      <w:r>
        <w:rPr>
          <w:rFonts w:ascii="Times New Roman;sans-serif" w:hAnsi="Times New Roman;sans-serif"/>
          <w:b w:val="false"/>
          <w:color w:val="000000"/>
          <w:sz w:val="24"/>
        </w:rPr>
        <w:t>shall mean a “controlled foreign corporation” within the meaning of section 957(a) of the Code.</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val="false"/>
          <w:color w:val="000000"/>
          <w:sz w:val="24"/>
          <w:u w:val="single"/>
        </w:rPr>
        <w:t>Change in Law</w:t>
      </w:r>
      <w:r>
        <w:rPr>
          <w:color w:val="000000"/>
        </w:rPr>
        <w:t xml:space="preserve">” </w:t>
      </w:r>
      <w:r>
        <w:rPr>
          <w:rFonts w:ascii="Times New Roman;sans-serif" w:hAnsi="Times New Roman;sans-serif"/>
          <w:b w:val="false"/>
          <w:color w:val="000000"/>
          <w:sz w:val="24"/>
        </w:rPr>
        <w:t xml:space="preserve">shall mean (a) the adoption of any law, rule or regulation after the Closing Date, (b) any change in law, rule or regulation or in the interpretation or application thereof by any Governmental Authority after the Closing Date or (c) compliance by any Lender or Issuing Bank with any written request, guideline or directive (whether or not having the force of law) of any Governmental Authority made or issued after the Closing Date;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w:t>
      </w:r>
      <w:r>
        <w:rPr>
          <w:color w:val="000000"/>
          <w:u w:val="single"/>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notwithstanding anything herein to the contrary, (x) all requests, rules, guidelines or directives under or issued in connection with the Dodd-Frank Wall Street Reform and Consumer Protection Act, all interpretations and applications thereof and any compliance by a Lender with any request or directive relating thereto and (y) all requests, rules, guidelines or directives promulgated under or in connection with, all interpretations and applications of, and any compliance by a Lender with any request or directive relating to International Settlements, the Basel Committee on Banking Supervision (or any successor or similar authority) or the United States of America or foreign regulatory authorities, in each case pursuant to Basel III, shall in each case under clauses (x) and</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(y) be deemed to be a “Change in Law,” regardless of the date enacted, adopted or issued but only to the extent it is the general policy of an Issuing Bank or Lender to impose applicable increased costs or costs in connection with capital adequacy requirements similar to those described in clauses (a) and (b) of Section 2.15 generally on other similarly situated borrowers under similar circumstances under agreements permitting such impositions. Notwithstanding the foregoing, FATCA (as defined below) shall not be considered a “Change in Law.”</w:t>
      </w:r>
    </w:p>
    <w:p>
      <w:pPr>
        <w:pStyle w:val="TextBody"/>
        <w:bidi w:val="0"/>
        <w:spacing w:lineRule="auto" w:line="240" w:before="241" w:after="283"/>
        <w:ind w:left="0" w:right="0" w:firstLine="720"/>
        <w:jc w:val="both"/>
        <w:rPr/>
      </w:pPr>
      <w:r>
        <w:rPr>
          <w:color w:val="000000"/>
        </w:rPr>
        <w:t>“</w:t>
      </w:r>
      <w:r>
        <w:rPr>
          <w:rFonts w:ascii="Times New Roman;sans-serif" w:hAnsi="Times New Roman;sans-serif"/>
          <w:b w:val="false"/>
          <w:color w:val="000000"/>
          <w:sz w:val="24"/>
          <w:u w:val="single"/>
        </w:rPr>
        <w:t>Change of Control</w:t>
      </w:r>
      <w:r>
        <w:rPr>
          <w:color w:val="000000"/>
        </w:rPr>
        <w:t xml:space="preserve">” </w:t>
      </w:r>
      <w:r>
        <w:rPr>
          <w:rFonts w:ascii="Times New Roman;sans-serif" w:hAnsi="Times New Roman;sans-serif"/>
          <w:b w:val="false"/>
          <w:color w:val="000000"/>
          <w:sz w:val="24"/>
        </w:rPr>
        <w:t>shall mean, at any time, and for any reason whatsoever, (A) any “person” or “group” (as such terms are used in Sections 13(d) and 14(d) of the Exchange Act) shall become the “beneficial owner” (as defined in Rules 13(d)-3 and 13(d)-5 under such Act), directly or indirectly, of more than thirty-five percent (35%) of the then outstanding voting stock of the Borrower.</w:t>
      </w:r>
    </w:p>
    <w:p>
      <w:pPr>
        <w:pStyle w:val="TextBody"/>
        <w:bidi w:val="0"/>
        <w:spacing w:lineRule="auto" w:line="240" w:before="238" w:after="283"/>
        <w:jc w:val="both"/>
        <w:rPr>
          <w:rFonts w:ascii="Times New Roman;sans-serif" w:hAnsi="Times New Roman;sans-serif"/>
          <w:b w:val="false"/>
          <w:color w:val="000000"/>
          <w:sz w:val="24"/>
        </w:rPr>
      </w:pPr>
      <w:r>
        <w:rPr>
          <w:rFonts w:ascii="Times New Roman;sans-serif" w:hAnsi="Times New Roman;sans-serif"/>
          <w:b w:val="false"/>
          <w:color w:val="000000"/>
          <w:sz w:val="24"/>
        </w:rPr>
        <w:t>For purposes of this definition, including other defined terms used herein in connection with this definition, (i) “beneficial ownership” shall be as defined in Rules 13(d)-3 and 13(d)-5 under the Exchange Act as in effect on the date hereof and (ii) the words “person” and “group” shall be within the meaning of Section 13(d) or 14(d) of the Exchange Act, but shall exclude any employee benefit plan of such Person or group or its subsidiaries and any Person acting in its capacity as trustee, agent or other fiduciary or administrator of any such plan.</w:t>
      </w:r>
    </w:p>
    <w:p>
      <w:pPr>
        <w:pStyle w:val="TextBody"/>
        <w:bidi w:val="0"/>
        <w:spacing w:lineRule="auto" w:line="240" w:before="241" w:after="283"/>
        <w:jc w:val="both"/>
        <w:rPr>
          <w:rFonts w:ascii="Times New Roman;sans-serif" w:hAnsi="Times New Roman;sans-serif"/>
          <w:b w:val="false"/>
          <w:color w:val="000000"/>
          <w:sz w:val="24"/>
        </w:rPr>
      </w:pPr>
      <w:r>
        <w:rPr>
          <w:rFonts w:ascii="Times New Roman;sans-serif" w:hAnsi="Times New Roman;sans-serif"/>
          <w:b w:val="false"/>
          <w:color w:val="000000"/>
          <w:sz w:val="24"/>
        </w:rPr>
        <w:t>Notwithstanding anything to the contrary in this definition or any provision of Section 13(d)-3 or 13(d)-5 of the Exchange Act, a Person or group shall not be deemed to beneficially own Equity Interests to be acquired by such Person or group pursuant to a stock or asset purchase agreement, merger agreement, option agreement, warrant agreement or similar agreement (or voting or option or similar agreement related thereto) until the consummation of the acquisition of Equity Interest in connection with the transactions contemplated by such agreement.</w:t>
      </w:r>
    </w:p>
    <w:p>
      <w:pPr>
        <w:pStyle w:val="TextBody"/>
        <w:bidi w:val="0"/>
        <w:spacing w:lineRule="auto" w:line="240" w:before="240" w:after="283"/>
        <w:jc w:val="left"/>
        <w:rPr/>
      </w:pPr>
      <w:r>
        <w:rPr>
          <w:color w:val="000000"/>
        </w:rPr>
        <w:t>“</w:t>
      </w:r>
      <w:r>
        <w:rPr>
          <w:rFonts w:ascii="Times New Roman;sans-serif" w:hAnsi="Times New Roman;sans-serif"/>
          <w:b w:val="false"/>
          <w:color w:val="000000"/>
          <w:sz w:val="24"/>
          <w:u w:val="single"/>
        </w:rPr>
        <w:t>Charges</w:t>
      </w:r>
      <w:r>
        <w:rPr>
          <w:color w:val="000000"/>
        </w:rPr>
        <w:t xml:space="preserve">” </w:t>
      </w:r>
      <w:r>
        <w:rPr>
          <w:rFonts w:ascii="Times New Roman;sans-serif" w:hAnsi="Times New Roman;sans-serif"/>
          <w:b w:val="false"/>
          <w:color w:val="000000"/>
          <w:sz w:val="24"/>
        </w:rPr>
        <w:t>shall have the meaning assigned to such term in Section 9.09.</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val="false"/>
          <w:color w:val="000000"/>
          <w:sz w:val="24"/>
          <w:u w:val="single"/>
        </w:rPr>
        <w:t>Citibank</w:t>
      </w:r>
      <w:r>
        <w:rPr>
          <w:color w:val="000000"/>
        </w:rPr>
        <w:t xml:space="preserve">” </w:t>
      </w:r>
      <w:r>
        <w:rPr>
          <w:rFonts w:ascii="Times New Roman;sans-serif" w:hAnsi="Times New Roman;sans-serif"/>
          <w:b w:val="false"/>
          <w:color w:val="000000"/>
          <w:sz w:val="24"/>
        </w:rPr>
        <w:t>shall have the meaning assigned to such term in the introductory paragraph of this Agreement.</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480175" cy="781050"/>
                <wp:effectExtent l="0" t="0" r="0" b="0"/>
                <wp:wrapNone/>
                <wp:docPr id="223" name="Frame222"/>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ind w:left="0" w:right="0" w:firstLine="720"/>
        <w:jc w:val="both"/>
        <w:rPr/>
      </w:pPr>
      <w:r>
        <w:rPr>
          <w:color w:val="000000"/>
        </w:rPr>
        <w:t>“</w:t>
      </w:r>
      <w:r>
        <w:rPr>
          <w:rFonts w:ascii="Times New Roman;sans-serif" w:hAnsi="Times New Roman;sans-serif"/>
          <w:b w:val="false"/>
          <w:color w:val="000000"/>
          <w:sz w:val="24"/>
          <w:u w:val="single"/>
        </w:rPr>
        <w:t>Class</w:t>
      </w:r>
      <w:r>
        <w:rPr>
          <w:color w:val="000000"/>
        </w:rPr>
        <w:t xml:space="preserve">” </w:t>
      </w:r>
      <w:r>
        <w:rPr>
          <w:rFonts w:ascii="Times New Roman;sans-serif" w:hAnsi="Times New Roman;sans-serif"/>
          <w:b w:val="false"/>
          <w:color w:val="000000"/>
          <w:sz w:val="24"/>
        </w:rPr>
        <w:t>shall mean, (a) when used in respect of any Loan or Borrowing, whether such Loan or the Loans comprising such Borrowing are Initial Term Loans, Other Term Loans established as a separate Class, Initial Revolving Loans or Other Revolving Loans established as a separate Class; and (b) when used in respect of any Commitment, whether such Commitment is in respect of a commitment to make Initial Term Loans, Other Term Loans of a specified Class, Initial Revolving Loans or Other Revolving Loans of a specified Class.</w:t>
      </w:r>
    </w:p>
    <w:p>
      <w:pPr>
        <w:pStyle w:val="TextBody"/>
        <w:bidi w:val="0"/>
        <w:spacing w:lineRule="auto" w:line="240" w:before="240" w:after="283"/>
        <w:jc w:val="left"/>
        <w:rPr/>
      </w:pPr>
      <w:r>
        <w:rPr>
          <w:color w:val="000000"/>
        </w:rPr>
        <w:t>“</w:t>
      </w:r>
      <w:r>
        <w:rPr>
          <w:rFonts w:ascii="Times New Roman;sans-serif" w:hAnsi="Times New Roman;sans-serif"/>
          <w:b w:val="false"/>
          <w:color w:val="000000"/>
          <w:sz w:val="24"/>
          <w:u w:val="single"/>
        </w:rPr>
        <w:t>Class Loans</w:t>
      </w:r>
      <w:r>
        <w:rPr>
          <w:color w:val="000000"/>
        </w:rPr>
        <w:t xml:space="preserve">” </w:t>
      </w:r>
      <w:r>
        <w:rPr>
          <w:rFonts w:ascii="Times New Roman;sans-serif" w:hAnsi="Times New Roman;sans-serif"/>
          <w:b w:val="false"/>
          <w:color w:val="000000"/>
          <w:sz w:val="24"/>
        </w:rPr>
        <w:t>shall have the meaning assigned to such term in Section 9.08(f).</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val="false"/>
          <w:color w:val="000000"/>
          <w:sz w:val="24"/>
          <w:u w:val="single"/>
        </w:rPr>
        <w:t>Closing Date</w:t>
      </w:r>
      <w:r>
        <w:rPr>
          <w:color w:val="000000"/>
        </w:rPr>
        <w:t xml:space="preserve">” </w:t>
      </w:r>
      <w:r>
        <w:rPr>
          <w:rFonts w:ascii="Times New Roman;sans-serif" w:hAnsi="Times New Roman;sans-serif"/>
          <w:b w:val="false"/>
          <w:color w:val="000000"/>
          <w:sz w:val="24"/>
        </w:rPr>
        <w:t xml:space="preserve">shall mean the first date on which the conditions set forth in </w:t>
      </w:r>
      <w:r>
        <w:rPr>
          <w:rFonts w:ascii="Times New Roman;sans-serif" w:hAnsi="Times New Roman;sans-serif"/>
          <w:b w:val="false"/>
          <w:color w:val="000000"/>
          <w:sz w:val="24"/>
          <w:u w:val="single"/>
        </w:rPr>
        <w:t>Section 4.01</w:t>
      </w:r>
      <w:r>
        <w:rPr>
          <w:color w:val="000000"/>
        </w:rPr>
        <w:t xml:space="preserve"> </w:t>
      </w:r>
      <w:r>
        <w:rPr>
          <w:rFonts w:ascii="Times New Roman;sans-serif" w:hAnsi="Times New Roman;sans-serif"/>
          <w:b w:val="false"/>
          <w:color w:val="000000"/>
          <w:sz w:val="24"/>
        </w:rPr>
        <w:t>are satisfied (or waived in accordance with Section 9.08).</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val="false"/>
          <w:color w:val="000000"/>
          <w:sz w:val="24"/>
          <w:u w:val="single"/>
        </w:rPr>
        <w:t>Closing Date Refinancing</w:t>
      </w:r>
      <w:r>
        <w:rPr>
          <w:color w:val="000000"/>
        </w:rPr>
        <w:t xml:space="preserve">” </w:t>
      </w:r>
      <w:r>
        <w:rPr>
          <w:rFonts w:ascii="Times New Roman;sans-serif" w:hAnsi="Times New Roman;sans-serif"/>
          <w:b w:val="false"/>
          <w:color w:val="000000"/>
          <w:sz w:val="24"/>
        </w:rPr>
        <w:t>shall mean (i) to the extent not previously repaid, the repayment in full of all indebtedness under that certain Credit Agreement, dated as of April 30, 2021 (as amended, restated, amended and restated, supplemented or otherwise modified from time to time, the “</w:t>
      </w:r>
      <w:r>
        <w:rPr>
          <w:rFonts w:ascii="Times New Roman;sans-serif" w:hAnsi="Times New Roman;sans-serif"/>
          <w:b w:val="false"/>
          <w:color w:val="000000"/>
          <w:sz w:val="24"/>
          <w:u w:val="single"/>
        </w:rPr>
        <w:t>Existing Credit Agreement</w:t>
      </w:r>
      <w:r>
        <w:rPr>
          <w:color w:val="000000"/>
        </w:rPr>
        <w:t>”</w:t>
      </w:r>
      <w:r>
        <w:rPr>
          <w:rFonts w:ascii="Times New Roman;sans-serif" w:hAnsi="Times New Roman;sans-serif"/>
          <w:b w:val="false"/>
          <w:color w:val="000000"/>
          <w:sz w:val="24"/>
        </w:rPr>
        <w:t>), by and among the Borrower, Goldman Sachs Bank USA, as administrative agent, collateral agent and swingline lender and the issuing banks and the other lenders party thereto from time to time, (ii) the termination of all commitments in respect of the Existing Credit Agreement, (iii) the cash collateralization or backstopping of all letters of credit outstanding under the Existing Credit Agreement (other than Existing Letters of Credit) and (iv) the termination or release of all guarantees and liens in respect of the Existing Credit Agreement.</w:t>
      </w:r>
    </w:p>
    <w:p>
      <w:pPr>
        <w:pStyle w:val="TextBody"/>
        <w:bidi w:val="0"/>
        <w:spacing w:lineRule="auto" w:line="240" w:before="240" w:after="283"/>
        <w:jc w:val="left"/>
        <w:rPr/>
      </w:pPr>
      <w:r>
        <w:rPr>
          <w:color w:val="000000"/>
        </w:rPr>
        <w:t>“</w:t>
      </w:r>
      <w:r>
        <w:rPr>
          <w:rFonts w:ascii="Times New Roman;sans-serif" w:hAnsi="Times New Roman;sans-serif"/>
          <w:b w:val="false"/>
          <w:color w:val="000000"/>
          <w:sz w:val="24"/>
          <w:u w:val="single"/>
        </w:rPr>
        <w:t>Code</w:t>
      </w:r>
      <w:r>
        <w:rPr>
          <w:color w:val="000000"/>
        </w:rPr>
        <w:t xml:space="preserve">” </w:t>
      </w:r>
      <w:r>
        <w:rPr>
          <w:rFonts w:ascii="Times New Roman;sans-serif" w:hAnsi="Times New Roman;sans-serif"/>
          <w:b w:val="false"/>
          <w:color w:val="000000"/>
          <w:sz w:val="24"/>
        </w:rPr>
        <w:t>shall mean the Internal Revenue Code of 1986, as amended.</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val="false"/>
          <w:color w:val="000000"/>
          <w:sz w:val="24"/>
          <w:u w:val="single"/>
        </w:rPr>
        <w:t>Collateral</w:t>
      </w:r>
      <w:r>
        <w:rPr>
          <w:color w:val="000000"/>
        </w:rPr>
        <w:t xml:space="preserve">” </w:t>
      </w:r>
      <w:r>
        <w:rPr>
          <w:rFonts w:ascii="Times New Roman;sans-serif" w:hAnsi="Times New Roman;sans-serif"/>
          <w:b w:val="false"/>
          <w:color w:val="000000"/>
          <w:sz w:val="24"/>
        </w:rPr>
        <w:t xml:space="preserve">shall mean all the “Collateral” as defined in any Security Document and shall also include all other property that is subject or purported to be subject to any Lien in favor of the Collateral Agent or any Subagent for the benefit of the Secured Parties pursuant to any Security Document;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that notwithstanding anything to the contrary herein or in any Security Document or other Loan Document, in no case shall the Collateral include any Excluded Property.</w:t>
      </w:r>
    </w:p>
    <w:p>
      <w:pPr>
        <w:pStyle w:val="TextBody"/>
        <w:bidi w:val="0"/>
        <w:spacing w:lineRule="auto" w:line="240" w:before="241" w:after="283"/>
        <w:ind w:left="0" w:right="0" w:firstLine="720"/>
        <w:jc w:val="both"/>
        <w:rPr/>
      </w:pPr>
      <w:r>
        <w:rPr>
          <w:color w:val="000000"/>
        </w:rPr>
        <w:t>“</w:t>
      </w:r>
      <w:r>
        <w:rPr>
          <w:rFonts w:ascii="Times New Roman;sans-serif" w:hAnsi="Times New Roman;sans-serif"/>
          <w:b w:val="false"/>
          <w:color w:val="000000"/>
          <w:sz w:val="24"/>
          <w:u w:val="single"/>
        </w:rPr>
        <w:t>Collateral Agent</w:t>
      </w:r>
      <w:r>
        <w:rPr>
          <w:color w:val="000000"/>
        </w:rPr>
        <w:t xml:space="preserve">” </w:t>
      </w:r>
      <w:r>
        <w:rPr>
          <w:rFonts w:ascii="Times New Roman;sans-serif" w:hAnsi="Times New Roman;sans-serif"/>
          <w:b w:val="false"/>
          <w:color w:val="000000"/>
          <w:sz w:val="24"/>
        </w:rPr>
        <w:t>shall mean Citibank acting as collateral agent for the Secured Parties, together with its successors and permitted assigns in such capacity.</w:t>
      </w:r>
    </w:p>
    <w:p>
      <w:pPr>
        <w:pStyle w:val="TextBody"/>
        <w:bidi w:val="0"/>
        <w:spacing w:lineRule="auto" w:line="240" w:before="238" w:after="283"/>
        <w:ind w:left="0" w:right="0" w:firstLine="720"/>
        <w:jc w:val="both"/>
        <w:rPr/>
      </w:pPr>
      <w:r>
        <w:rPr>
          <w:color w:val="000000"/>
        </w:rPr>
        <w:t>“</w:t>
      </w:r>
      <w:r>
        <w:rPr>
          <w:rFonts w:ascii="Times New Roman;sans-serif" w:hAnsi="Times New Roman;sans-serif"/>
          <w:b w:val="false"/>
          <w:color w:val="000000"/>
          <w:sz w:val="24"/>
          <w:u w:val="single"/>
        </w:rPr>
        <w:t>Collateral Agreement</w:t>
      </w:r>
      <w:r>
        <w:rPr>
          <w:color w:val="000000"/>
        </w:rPr>
        <w:t xml:space="preserve">” </w:t>
      </w:r>
      <w:r>
        <w:rPr>
          <w:rFonts w:ascii="Times New Roman;sans-serif" w:hAnsi="Times New Roman;sans-serif"/>
          <w:b w:val="false"/>
          <w:color w:val="000000"/>
          <w:sz w:val="24"/>
        </w:rPr>
        <w:t xml:space="preserve">shall mean the Collateral Agreement substantially in the form of </w:t>
      </w:r>
      <w:r>
        <w:rPr>
          <w:rFonts w:ascii="Times New Roman;sans-serif" w:hAnsi="Times New Roman;sans-serif"/>
          <w:b w:val="false"/>
          <w:color w:val="000000"/>
          <w:sz w:val="24"/>
          <w:u w:val="single"/>
        </w:rPr>
        <w:t>Exhibit L</w:t>
      </w:r>
      <w:r>
        <w:rPr>
          <w:color w:val="000000"/>
        </w:rPr>
        <w:t xml:space="preserve"> </w:t>
      </w:r>
      <w:r>
        <w:rPr>
          <w:rFonts w:ascii="Times New Roman;sans-serif" w:hAnsi="Times New Roman;sans-serif"/>
          <w:b w:val="false"/>
          <w:color w:val="000000"/>
          <w:sz w:val="24"/>
        </w:rPr>
        <w:t>to be dated as of the Closing Date, as may be amended, restated, amended and restated, supplemented or otherwise modified from time to time, between the Borrower and the Collateral Agent.</w:t>
      </w:r>
    </w:p>
    <w:p>
      <w:pPr>
        <w:pStyle w:val="TextBody"/>
        <w:bidi w:val="0"/>
        <w:spacing w:lineRule="auto" w:line="240" w:before="241" w:after="283"/>
        <w:ind w:left="0" w:right="0" w:firstLine="720"/>
        <w:jc w:val="both"/>
        <w:rPr/>
      </w:pPr>
      <w:r>
        <w:rPr>
          <w:color w:val="000000"/>
        </w:rPr>
        <w:t>“</w:t>
      </w:r>
      <w:r>
        <w:rPr>
          <w:rFonts w:ascii="Times New Roman;sans-serif" w:hAnsi="Times New Roman;sans-serif"/>
          <w:b w:val="false"/>
          <w:color w:val="000000"/>
          <w:sz w:val="24"/>
          <w:u w:val="single"/>
        </w:rPr>
        <w:t>Collateral and Guarantee Requirement</w:t>
      </w:r>
      <w:r>
        <w:rPr>
          <w:color w:val="000000"/>
        </w:rPr>
        <w:t xml:space="preserve">” </w:t>
      </w:r>
      <w:r>
        <w:rPr>
          <w:rFonts w:ascii="Times New Roman;sans-serif" w:hAnsi="Times New Roman;sans-serif"/>
          <w:b w:val="false"/>
          <w:color w:val="000000"/>
          <w:sz w:val="24"/>
        </w:rPr>
        <w:t xml:space="preserve">shall mean the requirement that (in each case, subject to the last three paragraphs of Section 5.10, and subject to </w:t>
      </w:r>
      <w:r>
        <w:rPr>
          <w:rFonts w:ascii="Times New Roman;sans-serif" w:hAnsi="Times New Roman;sans-serif"/>
          <w:b w:val="false"/>
          <w:color w:val="000000"/>
          <w:sz w:val="24"/>
          <w:u w:val="single"/>
        </w:rPr>
        <w:t>Schedule 5.13</w:t>
      </w:r>
      <w:r>
        <w:rPr>
          <w:color w:val="000000"/>
        </w:rPr>
        <w:t xml:space="preserve"> </w:t>
      </w:r>
      <w:r>
        <w:rPr>
          <w:rFonts w:ascii="Times New Roman;sans-serif" w:hAnsi="Times New Roman;sans-serif"/>
          <w:b w:val="false"/>
          <w:color w:val="000000"/>
          <w:sz w:val="24"/>
        </w:rPr>
        <w:t>(which, for the avoidance of doubt, shall override the applicable clauses of this definition of “Collateral and Guarantee Requirement”)):</w:t>
      </w:r>
    </w:p>
    <w:p>
      <w:pPr>
        <w:pStyle w:val="TextBody"/>
        <w:bidi w:val="0"/>
        <w:spacing w:lineRule="auto" w:line="240" w:before="240"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(a)on the Closing Date, the Collateral Agent shall have received from the Borrower a counterpart of the Collateral Agreement duly executed and delivered on behalf of such person;</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480175" cy="781050"/>
                <wp:effectExtent l="0" t="0" r="0" b="0"/>
                <wp:wrapNone/>
                <wp:docPr id="224" name="Frame223"/>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22</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(b)on the Closing Date, (i)(x) all outstanding Equity Interests directly owned by the Loan Parties on the Closing Date, other than Excluded Securities, and (y) all Indebtedness owing to any Loan Party on the Closing Date, other than Excluded Securities, shall have been pledged or assigned for security purposes pursuant to the Security Documents and (ii) the Collateral Agent shall have received certificates or other instruments (if any) representing such Equity Interests and any notes or other instruments required to be delivered pursuant to the applicable Security Documents, together with stock powers, note endorsements or other instruments of transfer with respect thereto (as applicable) endorsed in blank;</w:t>
      </w:r>
    </w:p>
    <w:p>
      <w:pPr>
        <w:pStyle w:val="TextBody"/>
        <w:bidi w:val="0"/>
        <w:spacing w:lineRule="auto" w:line="240" w:before="240"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(c)in the case of any person that becomes a Guarantor or a Successor Borrower after the Closing Date, the Agents shall have received (i) in the case of a Guarantor, the Guarantee Agreement or a supplement to the Guarantee Agreement, as applicable, and (ii) supplements to the Collateral Agreement and any other Security Documents, if applicable, in the form specified therefor or otherwise reasonably acceptable to the Collateral Agent, in each case, duly executed and delivered on behalf of such Guarantor and, if applicable, the Borrower;</w:t>
      </w:r>
    </w:p>
    <w:p>
      <w:pPr>
        <w:pStyle w:val="TextBody"/>
        <w:bidi w:val="0"/>
        <w:spacing w:lineRule="auto" w:line="240" w:before="240"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(d)(x) all outstanding Equity Interests of any person that becomes a Guarantor or a Successor Borrower after the Closing Date and that are held by a Loan Party and (y) all Equity Interests directly acquired by a Loan Party after the Closing Date, in each case other than Excluded Securities, in each case, shall have been pledged and delivered promptly, but in no event later than forty-five (45) days (or such longer period as agreed by the Collateral Agent in its reasonable discretion) pursuant to the Security Documents, together with stock powers or other instruments of transfer with respect thereto (as applicable) endorsed in blank;</w:t>
      </w:r>
    </w:p>
    <w:p>
      <w:pPr>
        <w:pStyle w:val="TextBody"/>
        <w:bidi w:val="0"/>
        <w:spacing w:lineRule="auto" w:line="240" w:before="241"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(e)except as otherwise contemplated by this Agreement or any Security Document, all documents and instruments, including Uniform Commercial Code financing statements, and filings with the United States Copyright Office and the United States Patent and Trademark Office, and all other actions reasonably requested by the Collateral Agent (including those required by applicable Requirements of Law) to be delivered, filed, registered or recorded to create the Liens intended to be created by the Security Documents (in each case, including any supplements thereto) and perfect such Liens to the extent required by, and with the priority required by, the Security Documents, shall have been delivered, filed, registered or recorded or delivered to the Collateral Agent for filing, registration or the recording substantially concurrently with, or promptly following, the execution and delivery of each such Security Document;</w:t>
      </w:r>
    </w:p>
    <w:p>
      <w:pPr>
        <w:pStyle w:val="TextBody"/>
        <w:bidi w:val="0"/>
        <w:spacing w:lineRule="auto" w:line="240" w:before="239"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(f)evidence of insurance required by the terms of Section 5.02 hereof shall have been received by the Collateral Agent to the extent required by Section 5.02;</w:t>
      </w:r>
    </w:p>
    <w:p>
      <w:pPr>
        <w:pStyle w:val="TextBody"/>
        <w:bidi w:val="0"/>
        <w:spacing w:lineRule="auto" w:line="240" w:before="240"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(g)after the Closing Date, the Collateral Agent shall have received, (i) such other Security Documents as may be required to be delivered pursuant to Section 5.10 or the Security Documents, and (ii) upon reasonable request by the Collateral Agent, evidence of compliance with any other requirements of Section 5.10; and</w:t>
      </w:r>
    </w:p>
    <w:p>
      <w:pPr>
        <w:pStyle w:val="TextBody"/>
        <w:bidi w:val="0"/>
        <w:spacing w:lineRule="auto" w:line="240" w:before="240"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(h)subject to Section 5.10(f) for any Mortgaged Property acquired after the Closing Date, the Collateral Agent shall have received with respect to any Mortgaged Property (other than an Excluded Property), a Mortgage, in each case, in form and substance reasonably acceptable to the Collateral Agent:</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480175" cy="781050"/>
                <wp:effectExtent l="0" t="0" r="0" b="0"/>
                <wp:wrapNone/>
                <wp:docPr id="225" name="Frame224"/>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23</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(i)evidence that (A) counterparts of such Mortgage have been duly executed, acknowledged and delivered and such Mortgage is in form suitable for filing or recording in all filing or recording offices that the Collateral Agent may deem reasonably necessary in order to create a valid and subsisting Lien on such Mortgaged Property in favor of the Collateral Agent for the benefit of the Secured Parties, (B) such Mortgage has been duly recorded or filed, as applicable, and (C) all filing and recording taxes and fees have been paid or otherwise provided for in a manner reasonably satisfactory to the Collateral Agent;</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(ii)a fully paid policy of lender’s title insurance (a “</w:t>
      </w:r>
      <w:r>
        <w:rPr>
          <w:rFonts w:ascii="Times New Roman;sans-serif" w:hAnsi="Times New Roman;sans-serif"/>
          <w:b w:val="false"/>
          <w:color w:val="000000"/>
          <w:sz w:val="24"/>
          <w:u w:val="single"/>
        </w:rPr>
        <w:t>Mortgage Policy</w:t>
      </w:r>
      <w:r>
        <w:rPr>
          <w:color w:val="000000"/>
        </w:rPr>
        <w:t>”</w:t>
      </w:r>
      <w:r>
        <w:rPr>
          <w:rFonts w:ascii="Times New Roman;sans-serif" w:hAnsi="Times New Roman;sans-serif"/>
          <w:b w:val="false"/>
          <w:color w:val="000000"/>
          <w:sz w:val="24"/>
        </w:rPr>
        <w:t>) in an amount reasonably acceptable to the Collateral Agent (not to exceed the fair market value of such Mortgaged Property (as determined by the Borrower in good faith)) issued by a nationally recognized title insurance company in the applicable jurisdiction that is reasonably acceptable to the Collateral Agent, insuring the relevant Mortgage as having created a valid subsisting first priority Lien on the real property described therein, subject only to Permitted Liens, together with such endorsements as the Collateral Agent may reasonably request to the extent the same are available in the applicable jurisdiction;</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(iii)if requested by the Collateral Agent, a customary legal opinion of local counsel in the jurisdiction in which such Mortgaged Property is located covering the enforceability of such Mortgage and such other customary matters, in such form and substance as the Collateral Agent may reasonably request;</w:t>
      </w:r>
    </w:p>
    <w:p>
      <w:pPr>
        <w:pStyle w:val="TextBody"/>
        <w:bidi w:val="0"/>
        <w:spacing w:lineRule="auto" w:line="240" w:before="241"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(iv)a new survey or an existing survey, together with a no change affidavit, in either case sufficient for the relevant title insurance company to remove the standard survey exception and issue the survey-related endorsements in the Mortgage Policy covering such Mortgaged Property;</w:t>
      </w:r>
    </w:p>
    <w:p>
      <w:pPr>
        <w:pStyle w:val="TextBody"/>
        <w:bidi w:val="0"/>
        <w:spacing w:lineRule="auto" w:line="240" w:before="238"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(v)an appraisal (if required under the Financial Institutions Reform Recovery and Enforcement Act of 1989, as amended); and</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(vi)a “Life-of-Loan” flood determination (together with a notice about special flood hazard area status and flood disaster assistance duly executed by the Borrower together with evidence of flood insurance for any such Mortgaged Property located in an area identified by the Federal Emergency Management Agency (or any successor agency) as a special flood hazard area with respect to which flood insurance has been made available under the National Flood Insurance Act of 1968 (as now or hereafter in effect or a successor act thereto)), which shall have been delivered to all Lenders and approved by each Lender prior to the execution of the related Mortgage.</w:t>
      </w:r>
    </w:p>
    <w:p>
      <w:pPr>
        <w:pStyle w:val="TextBody"/>
        <w:bidi w:val="0"/>
        <w:spacing w:lineRule="auto" w:line="592" w:before="7" w:after="283"/>
        <w:jc w:val="both"/>
        <w:rPr/>
      </w:pPr>
      <w:r>
        <w:rPr>
          <w:color w:val="000000"/>
        </w:rPr>
        <w:t>“</w:t>
      </w:r>
      <w:r>
        <w:rPr>
          <w:rFonts w:ascii="Times New Roman;sans-serif" w:hAnsi="Times New Roman;sans-serif"/>
          <w:b w:val="false"/>
          <w:color w:val="000000"/>
          <w:sz w:val="24"/>
          <w:u w:val="single"/>
        </w:rPr>
        <w:t>Commitment Fee</w:t>
      </w:r>
      <w:r>
        <w:rPr>
          <w:color w:val="000000"/>
        </w:rPr>
        <w:t xml:space="preserve">” </w:t>
      </w:r>
      <w:r>
        <w:rPr>
          <w:rFonts w:ascii="Times New Roman;sans-serif" w:hAnsi="Times New Roman;sans-serif"/>
          <w:b w:val="false"/>
          <w:color w:val="000000"/>
          <w:sz w:val="24"/>
        </w:rPr>
        <w:t>shall have the meaning assigned to such term in Section 2.12(a). “</w:t>
      </w:r>
      <w:r>
        <w:rPr>
          <w:rFonts w:ascii="Times New Roman;sans-serif" w:hAnsi="Times New Roman;sans-serif"/>
          <w:b w:val="false"/>
          <w:color w:val="000000"/>
          <w:sz w:val="24"/>
          <w:u w:val="single"/>
        </w:rPr>
        <w:t>Commitments</w:t>
      </w:r>
      <w:r>
        <w:rPr>
          <w:color w:val="000000"/>
        </w:rPr>
        <w:t xml:space="preserve">” </w:t>
      </w:r>
      <w:r>
        <w:rPr>
          <w:rFonts w:ascii="Times New Roman;sans-serif" w:hAnsi="Times New Roman;sans-serif"/>
          <w:b w:val="false"/>
          <w:color w:val="000000"/>
          <w:sz w:val="24"/>
        </w:rPr>
        <w:t>shall mean (a) with respect to any Lender, such Lender’s Revolving</w:t>
      </w:r>
    </w:p>
    <w:p>
      <w:pPr>
        <w:pStyle w:val="TextBody"/>
        <w:bidi w:val="0"/>
        <w:spacing w:lineRule="auto" w:line="240" w:before="6" w:after="283"/>
        <w:jc w:val="both"/>
        <w:rPr>
          <w:rFonts w:ascii="Times New Roman;sans-serif" w:hAnsi="Times New Roman;sans-serif"/>
          <w:b w:val="false"/>
          <w:color w:val="000000"/>
          <w:sz w:val="24"/>
        </w:rPr>
      </w:pPr>
      <w:r>
        <w:rPr>
          <w:rFonts w:ascii="Times New Roman;sans-serif" w:hAnsi="Times New Roman;sans-serif"/>
          <w:b w:val="false"/>
          <w:color w:val="000000"/>
          <w:sz w:val="24"/>
        </w:rPr>
        <w:t>Facility Commitment, Initial Term Loan Commitment, Other Revolving Facility Commitment and/or Other Term Loan Commitment, and (b) with respect to any Swingline Lender, its Swingline</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480175" cy="781050"/>
                <wp:effectExtent l="0" t="0" r="0" b="0"/>
                <wp:wrapNone/>
                <wp:docPr id="226" name="Frame225"/>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24</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Commitment (it being understood that a Swingline Commitment does not increase the applicable Swingline Lender’s Revolving Facility Commitment).</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val="false"/>
          <w:color w:val="000000"/>
          <w:sz w:val="24"/>
          <w:u w:val="single"/>
        </w:rPr>
        <w:t>Commodity Exchange Act</w:t>
      </w:r>
      <w:r>
        <w:rPr>
          <w:color w:val="000000"/>
        </w:rPr>
        <w:t xml:space="preserve">” </w:t>
      </w:r>
      <w:r>
        <w:rPr>
          <w:rFonts w:ascii="Times New Roman;sans-serif" w:hAnsi="Times New Roman;sans-serif"/>
          <w:b w:val="false"/>
          <w:color w:val="000000"/>
          <w:sz w:val="24"/>
        </w:rPr>
        <w:t>shall mean the Commodity Exchange Act (7 U.S.C. § 1 et seq.), as amended from time to time, and any successor statute.</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val="false"/>
          <w:color w:val="000000"/>
          <w:sz w:val="24"/>
          <w:u w:val="single"/>
        </w:rPr>
        <w:t>Consolidated Interest Coverage Ratio</w:t>
      </w:r>
      <w:r>
        <w:rPr>
          <w:color w:val="000000"/>
        </w:rPr>
        <w:t xml:space="preserve">” </w:t>
      </w:r>
      <w:r>
        <w:rPr>
          <w:rFonts w:ascii="Times New Roman;sans-serif" w:hAnsi="Times New Roman;sans-serif"/>
          <w:b w:val="false"/>
          <w:color w:val="000000"/>
          <w:sz w:val="24"/>
        </w:rPr>
        <w:t xml:space="preserve">shall mean on any date the ratio of (i) EBITDA of the Borrower and its Subsidiaries to (ii) Consolidated Interest Expense of the Borrower and its Subsidiaries, in each case, for the most recently ended Test Period on or prior to such date, all determined on a consolidated basis in accordance with GAAP;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that the Consolidated Interest Coverage Ratio shall be determined on a Pro Forma Basis.</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val="false"/>
          <w:color w:val="000000"/>
          <w:sz w:val="24"/>
          <w:u w:val="single"/>
        </w:rPr>
        <w:t>Consolidated Interest Expense</w:t>
      </w:r>
      <w:r>
        <w:rPr>
          <w:color w:val="000000"/>
        </w:rPr>
        <w:t xml:space="preserve">” </w:t>
      </w:r>
      <w:r>
        <w:rPr>
          <w:rFonts w:ascii="Times New Roman;sans-serif" w:hAnsi="Times New Roman;sans-serif"/>
          <w:b w:val="false"/>
          <w:color w:val="000000"/>
          <w:sz w:val="24"/>
        </w:rPr>
        <w:t>shall mean, with respect to any Person for any period, consolidated cash interest expense of such Person and its subsidiaries for such period with respect to all outstanding Consolidated Total Debt of such Person and its subsidiaries, including amortization of original issue discount resulting from the issuance of Indebtedness at less than par, amortization of deferred financing costs, debt issuance costs, commissions, fees and expenses and any other amounts of non-cash interest expense and any capitalized interest, whether paid or accrued, net of cash interest income of such Person and its subsidiaries, to the extent such expenses were deducted (and not added back) in computing Consolidated Net Income, but excluding, for the avoidance of doubt, (a) non-cash interest expense attributable to the movement of the mark-to- market valuation of obligations under hedging agreements or other derivative instruments pursuant to FASB Accounting Standards Codification No. 815-Derivatives and Hedging, (b) any one-time cash costs associated with breakage in respect of hedging agreements for interest rates, (c) commissions, discounts, yield and other fees and Charges (including any interest expense) incurred in connection with any Permitted Receivables Financing, (d) all non-recurring interest expense or “additional interest” for failure to timely comply with registration rights obligations, (e) any interest expense attributable to the exercise of appraisal rights and the settlement of any claims or actions (whether actual, contingent or potential) with respect thereto and with respect to the Transactions or any other Investment, all as calculated on a consolidated basis in accordance with GAAP, (f) any payments with respect to make-whole premiums or other breakage costs of any Indebtedness, including any Indebtedness issued or incurred in connection with the Transactions,</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(g) penalties and interest relating to taxes, (h) accretion or accrual of discounted liabilities not constituting Indebtedness, (i) any interest expense attributable to a parent company resulting from push down accounting, (j) any expense resulting from the discounting of Indebtedness in connection with the application of recapitalization or purchase accounting and (k) expensing of bridge, arrangement, structuring, commitment or other financing fees.</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For purposes of this definition, interest on a Capitalized Lease Obligation shall be deemed to accrue at an interest rate reasonably determined by such Person to be the rate of interest implicit in such Capitalized Lease Obligation in accordance with GAAP. For the avoidance of doubt, Consolidated Interest Expense shall not include any principal payments respect to any Indebtedness.</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val="false"/>
          <w:color w:val="000000"/>
          <w:sz w:val="24"/>
          <w:u w:val="single"/>
        </w:rPr>
        <w:t>Consolidated Net Income</w:t>
      </w:r>
      <w:r>
        <w:rPr>
          <w:color w:val="000000"/>
        </w:rPr>
        <w:t xml:space="preserve">” </w:t>
      </w:r>
      <w:r>
        <w:rPr>
          <w:rFonts w:ascii="Times New Roman;sans-serif" w:hAnsi="Times New Roman;sans-serif"/>
          <w:b w:val="false"/>
          <w:color w:val="000000"/>
          <w:sz w:val="24"/>
        </w:rPr>
        <w:t>shall mean, with respect to any Person on a consolidated basis, an amount equal to the sum of net income (loss), determined in accordance with GAAP, but excluding, without duplication:</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480175" cy="781050"/>
                <wp:effectExtent l="0" t="0" r="0" b="0"/>
                <wp:wrapNone/>
                <wp:docPr id="227" name="Frame226"/>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25</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(a)any net income (loss) of any Person if such Person is not the Borrower or a Subsidiary, except that the Person’s equity in the net income of any such Person for such period will be included in such Consolidated Net Income up to the aggregate amount of cash or Cash Equivalents actually distributed as a dividend or other distribution or return on investment;</w:t>
      </w:r>
    </w:p>
    <w:p>
      <w:pPr>
        <w:pStyle w:val="TextBody"/>
        <w:bidi w:val="0"/>
        <w:spacing w:lineRule="auto" w:line="240" w:before="240"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(b)any net after tax effect of gains or losses (less all fees and expenses chargeable thereto) attributable to any asset Disposition (including asset retirement costs) outside the ordinary course of business;</w:t>
      </w:r>
    </w:p>
    <w:p>
      <w:pPr>
        <w:pStyle w:val="TextBody"/>
        <w:bidi w:val="0"/>
        <w:spacing w:lineRule="auto" w:line="240" w:before="240"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(c)(i) any gain or GAAP Charge from (A) any extraordinary item and/or (B) any nonrecurring or unusual item (including any non-recurring or unusual accruals or reserves in respect of any extraordinary, non-recurring or unusual items) and/or (ii) any GAAP Charge associated with and/or payment of any actual or prospective legal settlement, fine, judgment or order;</w:t>
      </w:r>
    </w:p>
    <w:p>
      <w:pPr>
        <w:pStyle w:val="TextBody"/>
        <w:bidi w:val="0"/>
        <w:spacing w:lineRule="auto" w:line="240" w:before="240"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(d)any GAAP Charge attributable to the development, undertaking and/or implementation of any Cost Saving Initiatives (including (x) in connection with any integration, restructuring or transition, any reconstruction, decommissioning, recommissioning or reconfiguration of fixed assets for alternative uses, any facility/location opening and/or pre- opening, any inventory optimization program and/or any curtailment and/or (y) for the avoidance of doubt, in connection with any Permitted Business Acquisition, Investment or Disposition), any business optimization GAAP Charge, any restructuring GAAP Charge (including any GAAP Charge relating to any Tax restructuring and/or any acquisitions after the Closing Date and adjustments to existing reserves and whether or not classified as a restructuring expense on the consolidated financial statements), any GAAP Charge relating to the closure or consolidation of any facility or location and/or discontinued operations (including but not limited to severance, rent termination costs, moving costs and legal costs), any systems implementation GAAP Charge, any severance GAAP Charge, any GAAP Charge relating to entry into a new market, any GAAP Charge relating to any strategic initiative, any signing GAAP Charge, any retention or completion bonus, any other recruiting, signing and retention GAAP Charge, any expansion and/or relocation GAAP Charge, any GAAP Charge associated with any curtailments or modification to any pension and post-retirement employee benefit plan (including any settlement of pension liabilities and charges resulting from changes in estimates, valuations and judgments thereof), any software development GAAP Charge, any GAAP Charge associated with new systems design, any implementation GAAP Charge, any project startup GAAP Charge, any GAAP Charge in connection with new operations, any consulting GAAP Charge and/or any business development GAAP Charge;</w:t>
      </w:r>
    </w:p>
    <w:p>
      <w:pPr>
        <w:pStyle w:val="TextBody"/>
        <w:bidi w:val="0"/>
        <w:spacing w:lineRule="auto" w:line="240" w:before="240" w:after="283"/>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(e)Transaction Costs;</w:t>
      </w:r>
    </w:p>
    <w:p>
      <w:pPr>
        <w:pStyle w:val="TextBody"/>
        <w:bidi w:val="0"/>
        <w:spacing w:lineRule="auto" w:line="240" w:before="240"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(f)any GAAP Charge (including any transaction or retention bonus or similar payment or any amortization thereof for such period) incurred in connection with the consummation of any transaction (including any such transaction consummated prior to the Closing Date and any such transaction undertaken but not completed), including any issuance or offering of Equity Interests, any Disposition, any recapitalization, any merger, consolidation or amalgamation, any option buyout or any incurrence, repayment, refinancing, amendment or modification of Indebtedness (including any amortization or write-off of debt issuance or deferred</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6480175" cy="781050"/>
                <wp:effectExtent l="0" t="0" r="0" b="0"/>
                <wp:wrapNone/>
                <wp:docPr id="228" name="Frame227"/>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26</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jc w:val="both"/>
        <w:rPr>
          <w:rFonts w:ascii="Times New Roman;sans-serif" w:hAnsi="Times New Roman;sans-serif"/>
          <w:b w:val="false"/>
          <w:color w:val="000000"/>
          <w:sz w:val="24"/>
        </w:rPr>
      </w:pPr>
      <w:r>
        <w:rPr>
          <w:rFonts w:ascii="Times New Roman;sans-serif" w:hAnsi="Times New Roman;sans-serif"/>
          <w:b w:val="false"/>
          <w:color w:val="000000"/>
          <w:sz w:val="24"/>
        </w:rPr>
        <w:t>financing costs, premiums and prepayment penalties) or any similar transaction and/or any Investment, including any Permitted Business Acquisition, and/or “growth” Capital Expenditure, including, in each case any earnout obligation expense, integration expense or nonrecurring merger costs incurred during such period as a result of any such transactions (including, for the avoidance of doubt, the effects of expensing all transaction-related expenses in accordance with FASB Accounting Standards Codification 805 and gains or losses associated with FASB Accounting Standards Codification 460);</w:t>
      </w:r>
    </w:p>
    <w:p>
      <w:pPr>
        <w:pStyle w:val="TextBody"/>
        <w:bidi w:val="0"/>
        <w:spacing w:lineRule="auto" w:line="240" w:before="240" w:after="283"/>
        <w:ind w:left="0" w:right="0" w:firstLine="1440"/>
        <w:jc w:val="both"/>
        <w:rPr/>
      </w:pPr>
      <w:r>
        <w:rPr>
          <w:rFonts w:ascii="Times New Roman;sans-serif" w:hAnsi="Times New Roman;sans-serif"/>
          <w:b w:val="false"/>
          <w:color w:val="000000"/>
          <w:sz w:val="24"/>
        </w:rPr>
        <w:t xml:space="preserve">(g)the amount of any GAAP Charge that is actually reimbursed or reimbursable by one or more third parties pursuant to indemnification or reimbursement provisions or similar agreements or insurance;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the relevant Person in good faith expects to receive reimbursement for such fee, cost, expense or reserve within the next four fiscal quarters (it being understood that to the extent any reimbursement amount is not actually received within such four fiscal quarters, such reimbursement amount shall be deducted in calculating Consolidated Net Income in the next succeeding fiscal quarter);</w:t>
      </w:r>
    </w:p>
    <w:p>
      <w:pPr>
        <w:pStyle w:val="TextBody"/>
        <w:bidi w:val="0"/>
        <w:spacing w:lineRule="auto" w:line="240" w:before="240"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(h)any net gain or GAAP Charge with respect to (i) any disposed, abandoned, divested and/or discontinued asset, property or operation (other than (A) at the option of the Borrower, any asset, property or operation pending the disposal, abandonment, divestiture and/or termination thereof and (B) dispositions of inventory in the ordinary course of business) and/or (ii) any location that has been closed during such period;</w:t>
      </w:r>
    </w:p>
    <w:p>
      <w:pPr>
        <w:pStyle w:val="TextBody"/>
        <w:bidi w:val="0"/>
        <w:spacing w:lineRule="auto" w:line="240" w:before="240" w:after="283"/>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(i)any net income or GAAP Charge attributable to the early extinguishment of</w:t>
      </w:r>
    </w:p>
    <w:p>
      <w:pPr>
        <w:pStyle w:val="TextBody"/>
        <w:bidi w:val="0"/>
        <w:spacing w:lineRule="auto" w:line="240"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Indebtedness;</w:t>
      </w:r>
    </w:p>
    <w:p>
      <w:pPr>
        <w:pStyle w:val="TextBody"/>
        <w:bidi w:val="0"/>
        <w:spacing w:lineRule="auto" w:line="240" w:before="240" w:after="283"/>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(j)any GAAP Charge that is established, adjusted and/or incurred, as</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applicable, or that is required to be established, adjusted or incurred, as applicable, as a result of the Transactions in accordance with GAAP;</w:t>
      </w:r>
    </w:p>
    <w:p>
      <w:pPr>
        <w:pStyle w:val="TextBody"/>
        <w:bidi w:val="0"/>
        <w:spacing w:lineRule="auto" w:line="240" w:before="240"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(k)(i) the effects of adjustments (including the effects of such adjustments pushed down to the relevant Person and its subsidiaries) in component amounts required or permitted by GAAP (including in the inventory, property and equipment, lease, software, goodwill, intangible asset, in-process research and development, deferred revenue, advanced billing and debt line items thereof), resulting from the application of acquisition method, purchase and/or recapitalization accounting in relation to any consummated acquisition or similar Investment or recapitalization accounting or the amortization or write-off of any amounts thereof, net of Taxes and/or (ii) the cumulative effect of any change in accounting principles (effected by way of either a cumulative effect adjustment or a retroactive application, in each case, in accordance with GAAP) and/or any change resulting from the adoption or modification of accounting principles and/or policies in accordance with GAAP;</w:t>
      </w:r>
    </w:p>
    <w:p>
      <w:pPr>
        <w:pStyle w:val="TextBody"/>
        <w:bidi w:val="0"/>
        <w:spacing w:lineRule="auto" w:line="240" w:before="239"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(l)any non-cash compensation GAAP Charge and/or any other non-cash GAAP Charge arising from the granting of any stock option or similar arrangement (including any profits interest), the granting of any stock appreciation right, management equity plan, employee benefit plan or agreement, stock option plan and/or similar arrangement (including any repricing, amendment, modification, substitution or change of any such stock option, stock appreciation right, profits interest or similar arrangement);</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480175" cy="781050"/>
                <wp:effectExtent l="0" t="0" r="0" b="0"/>
                <wp:wrapNone/>
                <wp:docPr id="229" name="Frame228"/>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27</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(m)amortization of intangible assets;</w:t>
      </w:r>
    </w:p>
    <w:p>
      <w:pPr>
        <w:pStyle w:val="TextBody"/>
        <w:bidi w:val="0"/>
        <w:spacing w:lineRule="auto" w:line="240" w:before="240"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(n)any impairment charge or asset write-off or write-down (including related to intangible assets (including goodwill), long-lived assets, and investments in debt and equity securities);</w:t>
      </w:r>
    </w:p>
    <w:p>
      <w:pPr>
        <w:pStyle w:val="TextBody"/>
        <w:bidi w:val="0"/>
        <w:spacing w:lineRule="auto" w:line="240" w:before="240"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(o)(i) any realized or unrealized gain or loss in respect of (A) any obligation under any Hedging Agreement as determined in accordance with GAAP and/or (B) any other derivative instrument pursuant to, in the case of this clause (B), Financial Accounting Standards Board’s Accounting Standards Codification No. 815-Derivatives and Hedging and (ii) any realized or unrealized foreign currency exchange gain or loss (including any currency re-measurement of Indebtedness, any net gain or loss resulting from Hedging Agreements for currency exchange risk associated with the foregoing or any other currency related risk and any gain or loss resulting from intercompany Indebtedness); and</w:t>
      </w:r>
    </w:p>
    <w:p>
      <w:pPr>
        <w:pStyle w:val="TextBody"/>
        <w:bidi w:val="0"/>
        <w:spacing w:lineRule="auto" w:line="240" w:before="240" w:after="283"/>
        <w:ind w:left="0" w:right="0" w:firstLine="1440"/>
        <w:jc w:val="both"/>
        <w:rPr/>
      </w:pPr>
      <w:r>
        <w:rPr>
          <w:rFonts w:ascii="Times New Roman;sans-serif" w:hAnsi="Times New Roman;sans-serif"/>
          <w:b w:val="false"/>
          <w:color w:val="000000"/>
          <w:sz w:val="24"/>
        </w:rPr>
        <w:t>(p)any non-cash GAAP Charges related to adjustments to historical Tax exposures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in each case, that the cash payment in respect thereof in such future period shall be subtracted from Consolidated Net Income for the period in which such cash payment was made).</w:t>
      </w:r>
    </w:p>
    <w:p>
      <w:pPr>
        <w:pStyle w:val="TextBody"/>
        <w:bidi w:val="0"/>
        <w:spacing w:lineRule="auto" w:line="240"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In addition, to the extent not already included in Consolidated Net Income, Consolidated Net Income shall include the amount of proceeds received or due from business interruption insurance in an amount representing the earnings for the applicable period that such proceeds are intended to replace (whether or not received during such period so long as such Person in good faith expects to receive the same within the next four fiscal quarters; it being understood that to the extent such proceeds are not actually received within the next four fiscal quarters, such proceeds shall be deducted in calculating Consolidated Net Income for such fiscal quarters).</w:t>
      </w:r>
    </w:p>
    <w:p>
      <w:pPr>
        <w:pStyle w:val="TextBody"/>
        <w:bidi w:val="0"/>
        <w:spacing w:lineRule="auto" w:line="240" w:before="241" w:after="283"/>
        <w:ind w:left="0" w:right="0" w:firstLine="720"/>
        <w:jc w:val="both"/>
        <w:rPr/>
      </w:pPr>
      <w:r>
        <w:rPr>
          <w:color w:val="000000"/>
        </w:rPr>
        <w:t>“</w:t>
      </w:r>
      <w:r>
        <w:rPr>
          <w:rFonts w:ascii="Times New Roman;sans-serif" w:hAnsi="Times New Roman;sans-serif"/>
          <w:b w:val="false"/>
          <w:color w:val="000000"/>
          <w:sz w:val="24"/>
          <w:u w:val="single"/>
        </w:rPr>
        <w:t>Consolidated Total Assets</w:t>
      </w:r>
      <w:r>
        <w:rPr>
          <w:color w:val="000000"/>
        </w:rPr>
        <w:t xml:space="preserve">” </w:t>
      </w:r>
      <w:r>
        <w:rPr>
          <w:rFonts w:ascii="Times New Roman;sans-serif" w:hAnsi="Times New Roman;sans-serif"/>
          <w:b w:val="false"/>
          <w:color w:val="000000"/>
          <w:sz w:val="24"/>
        </w:rPr>
        <w:t>shall mean, as of any date of determination, the total assets of the Borrower and its Subsidiaries, determined on a consolidated basis in accordance with GAAP, but excluding amounts attributable to Investments in Unrestricted Subsidiaries, as set forth on the consolidated balance sheet of the Borrower as of the last day of the Test Period ending immediately prior to such date for which financial statements of the Borrower and its subsidiaries have been delivered (or were required to be delivered) pursuant to Section 4.01(i), 5.04(a) or 5.04(b), as applicable. Consolidated Total Assets shall be determined on a Pro Forma Basis.</w:t>
      </w:r>
    </w:p>
    <w:p>
      <w:pPr>
        <w:pStyle w:val="TextBody"/>
        <w:bidi w:val="0"/>
        <w:spacing w:lineRule="auto" w:line="240" w:before="239" w:after="283"/>
        <w:ind w:left="0" w:right="0" w:firstLine="720"/>
        <w:jc w:val="both"/>
        <w:rPr/>
      </w:pPr>
      <w:r>
        <w:rPr>
          <w:color w:val="000000"/>
        </w:rPr>
        <w:t>“</w:t>
      </w:r>
      <w:r>
        <w:rPr>
          <w:rFonts w:ascii="Times New Roman;sans-serif" w:hAnsi="Times New Roman;sans-serif"/>
          <w:b w:val="false"/>
          <w:color w:val="000000"/>
          <w:sz w:val="24"/>
          <w:u w:val="single"/>
        </w:rPr>
        <w:t>Consolidated Total Debt</w:t>
      </w:r>
      <w:r>
        <w:rPr>
          <w:color w:val="000000"/>
        </w:rPr>
        <w:t xml:space="preserve">” </w:t>
      </w:r>
      <w:r>
        <w:rPr>
          <w:rFonts w:ascii="Times New Roman;sans-serif" w:hAnsi="Times New Roman;sans-serif"/>
          <w:b w:val="false"/>
          <w:color w:val="000000"/>
          <w:sz w:val="24"/>
        </w:rPr>
        <w:t>shall mean, as of any date of determination, (a) the aggregate principal amount of Indebtedness of the Borrower and its Subsidiaries outstanding on such date, determined on a consolidated basis in accordance with GAAP (but excluding the effects of any discounting of Indebtedness resulting from the application of purchase accounting in connection with any Permitted Business Acquisition), consisting of Indebtedness for borrowed money, drawn but unreimbursed obligations under Letters of Credit and similar facilities only to the extent such drawn but unreimbursed Letters of Credit and similar facilities are unreimbursed for three (3) Business Days, Capitalized Lease Obligations and debt obligations evidenced by bonds, debentures, notes, loan agreements or other similar instruments minus (b) the aggregate amount of Unrestricted Cash and Cash Equivalents of the Borrower and its Subsidiaries as of such date which aggregate amount of Unrestricted Cash and Cash Equivalents shall be determined without giving</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480175" cy="781050"/>
                <wp:effectExtent l="0" t="0" r="0" b="0"/>
                <wp:wrapNone/>
                <wp:docPr id="230" name="Frame229"/>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28</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jc w:val="both"/>
        <w:rPr/>
      </w:pPr>
      <w:r>
        <w:rPr>
          <w:rFonts w:ascii="Times New Roman;sans-serif" w:hAnsi="Times New Roman;sans-serif"/>
          <w:b w:val="false"/>
          <w:color w:val="000000"/>
          <w:sz w:val="24"/>
        </w:rPr>
        <w:t xml:space="preserve">pro forma effect to the proceeds of Indebtedness incurred on such date minus (c) the aggregate amount of cash and Cash Equivalents of the Borrower and its Subsidiaries restricted in favor of any of the Secured Parties as of such date which aggregate amount of cash and Cash Equivalents shall be determined without giving pro forma effect to the proceeds of Indebtedness incurred on such date;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Consolidated Total Debt shall not include (w) Letters of Credit (or other letters of credit and bankers’ acceptances), except to the extent of Unreimbursed Amounts (or unreimbursed amounts) thereunder, (x) Swap Obligations, (y) Indebtedness in respect of any Permitted Receivables Financing and (z) Non-Recourse Indebtedness.</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val="false"/>
          <w:color w:val="000000"/>
          <w:sz w:val="24"/>
          <w:u w:val="single"/>
        </w:rPr>
        <w:t>Consolidated Working Capital</w:t>
      </w:r>
      <w:r>
        <w:rPr>
          <w:color w:val="000000"/>
        </w:rPr>
        <w:t xml:space="preserve">” </w:t>
      </w:r>
      <w:r>
        <w:rPr>
          <w:rFonts w:ascii="Times New Roman;sans-serif" w:hAnsi="Times New Roman;sans-serif"/>
          <w:b w:val="false"/>
          <w:color w:val="000000"/>
          <w:sz w:val="24"/>
        </w:rPr>
        <w:t xml:space="preserve">shall mean, with respect to the Borrower and the Subsidiaries on a consolidated basis at any date of determination, Current Assets at such date of determination minus Current Liabilities at such date of determination;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that increases or decreases in Consolidated Working Capital shall be calculated without regard to any changes in Current Assets or Current Liabilities as a result of (a) any reclassification in accordance with GAAP of assets or liabilities, as applicable, between current and noncurrent or (b) the effects of purchase accounting.</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val="false"/>
          <w:color w:val="000000"/>
          <w:sz w:val="24"/>
          <w:u w:val="single"/>
        </w:rPr>
        <w:t>Contract Consideration</w:t>
      </w:r>
      <w:r>
        <w:rPr>
          <w:color w:val="000000"/>
        </w:rPr>
        <w:t xml:space="preserve">” </w:t>
      </w:r>
      <w:r>
        <w:rPr>
          <w:rFonts w:ascii="Times New Roman;sans-serif" w:hAnsi="Times New Roman;sans-serif"/>
          <w:b w:val="false"/>
          <w:color w:val="000000"/>
          <w:sz w:val="24"/>
        </w:rPr>
        <w:t>shall have the meaning assigned to such term in the definition of the term “Excess Cash Flow.”</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val="false"/>
          <w:color w:val="000000"/>
          <w:sz w:val="24"/>
          <w:u w:val="single"/>
        </w:rPr>
        <w:t>Control</w:t>
      </w:r>
      <w:r>
        <w:rPr>
          <w:color w:val="000000"/>
        </w:rPr>
        <w:t xml:space="preserve">” </w:t>
      </w:r>
      <w:r>
        <w:rPr>
          <w:rFonts w:ascii="Times New Roman;sans-serif" w:hAnsi="Times New Roman;sans-serif"/>
          <w:b w:val="false"/>
          <w:color w:val="000000"/>
          <w:sz w:val="24"/>
        </w:rPr>
        <w:t>shall mean the possession, directly or indirectly, of the power to direct or cause the direction of the management or policies of a person, whether through the ownership of voting securities, by contract or otherwise, and “</w:t>
      </w:r>
      <w:r>
        <w:rPr>
          <w:rFonts w:ascii="Times New Roman;sans-serif" w:hAnsi="Times New Roman;sans-serif"/>
          <w:b w:val="false"/>
          <w:color w:val="000000"/>
          <w:sz w:val="24"/>
          <w:u w:val="single"/>
        </w:rPr>
        <w:t>Controls</w:t>
      </w:r>
      <w:r>
        <w:rPr>
          <w:color w:val="000000"/>
        </w:rPr>
        <w:t xml:space="preserve">” </w:t>
      </w:r>
      <w:r>
        <w:rPr>
          <w:rFonts w:ascii="Times New Roman;sans-serif" w:hAnsi="Times New Roman;sans-serif"/>
          <w:b w:val="false"/>
          <w:color w:val="000000"/>
          <w:sz w:val="24"/>
        </w:rPr>
        <w:t>and “</w:t>
      </w:r>
      <w:r>
        <w:rPr>
          <w:rFonts w:ascii="Times New Roman;sans-serif" w:hAnsi="Times New Roman;sans-serif"/>
          <w:b w:val="false"/>
          <w:color w:val="000000"/>
          <w:sz w:val="24"/>
          <w:u w:val="single"/>
        </w:rPr>
        <w:t>Controlled</w:t>
      </w:r>
      <w:r>
        <w:rPr>
          <w:color w:val="000000"/>
        </w:rPr>
        <w:t xml:space="preserve">” </w:t>
      </w:r>
      <w:r>
        <w:rPr>
          <w:rFonts w:ascii="Times New Roman;sans-serif" w:hAnsi="Times New Roman;sans-serif"/>
          <w:b w:val="false"/>
          <w:color w:val="000000"/>
          <w:sz w:val="24"/>
        </w:rPr>
        <w:t>shall have meanings correlative thereto.</w:t>
      </w:r>
    </w:p>
    <w:p>
      <w:pPr>
        <w:pStyle w:val="TextBody"/>
        <w:bidi w:val="0"/>
        <w:spacing w:lineRule="auto" w:line="592" w:before="7" w:after="283"/>
        <w:jc w:val="both"/>
        <w:rPr/>
      </w:pPr>
      <w:r>
        <w:rPr>
          <w:color w:val="000000"/>
        </w:rPr>
        <w:t>“</w:t>
      </w:r>
      <w:r>
        <w:rPr>
          <w:rFonts w:ascii="Times New Roman;sans-serif" w:hAnsi="Times New Roman;sans-serif"/>
          <w:b w:val="false"/>
          <w:color w:val="000000"/>
          <w:sz w:val="24"/>
          <w:u w:val="single"/>
        </w:rPr>
        <w:t>Corresponding Tenor</w:t>
      </w:r>
      <w:r>
        <w:rPr>
          <w:color w:val="000000"/>
        </w:rPr>
        <w:t xml:space="preserve">” </w:t>
      </w:r>
      <w:r>
        <w:rPr>
          <w:rFonts w:ascii="Times New Roman;sans-serif" w:hAnsi="Times New Roman;sans-serif"/>
          <w:b w:val="false"/>
          <w:color w:val="000000"/>
          <w:sz w:val="24"/>
        </w:rPr>
        <w:t>shall have the meaning assigned to such term in Section 2.14. “</w:t>
      </w:r>
      <w:r>
        <w:rPr>
          <w:rFonts w:ascii="Times New Roman;sans-serif" w:hAnsi="Times New Roman;sans-serif"/>
          <w:b w:val="false"/>
          <w:color w:val="000000"/>
          <w:sz w:val="24"/>
          <w:u w:val="single"/>
        </w:rPr>
        <w:t>Cost Saving Initiative</w:t>
      </w:r>
      <w:r>
        <w:rPr>
          <w:color w:val="000000"/>
        </w:rPr>
        <w:t xml:space="preserve">” </w:t>
      </w:r>
      <w:r>
        <w:rPr>
          <w:rFonts w:ascii="Times New Roman;sans-serif" w:hAnsi="Times New Roman;sans-serif"/>
          <w:b w:val="false"/>
          <w:color w:val="000000"/>
          <w:sz w:val="24"/>
        </w:rPr>
        <w:t>shall have the meaning assigned to such term in the definition of</w:t>
      </w:r>
    </w:p>
    <w:p>
      <w:pPr>
        <w:pStyle w:val="TextBody"/>
        <w:bidi w:val="0"/>
        <w:spacing w:lineRule="auto" w:line="240" w:before="6" w:after="283"/>
        <w:jc w:val="left"/>
        <w:rPr>
          <w:color w:val="000000"/>
        </w:rPr>
      </w:pPr>
      <w:r>
        <w:rPr>
          <w:color w:val="000000"/>
        </w:rPr>
        <w:t>“</w:t>
      </w:r>
      <w:r>
        <w:rPr>
          <w:rFonts w:ascii="Times New Roman;sans-serif" w:hAnsi="Times New Roman;sans-serif"/>
          <w:b w:val="false"/>
          <w:color w:val="000000"/>
          <w:sz w:val="24"/>
        </w:rPr>
        <w:t>EBITDA”.</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val="false"/>
          <w:color w:val="000000"/>
          <w:sz w:val="24"/>
          <w:u w:val="single"/>
        </w:rPr>
        <w:t>Credit Event</w:t>
      </w:r>
      <w:r>
        <w:rPr>
          <w:color w:val="000000"/>
        </w:rPr>
        <w:t xml:space="preserve">” </w:t>
      </w:r>
      <w:r>
        <w:rPr>
          <w:rFonts w:ascii="Times New Roman;sans-serif" w:hAnsi="Times New Roman;sans-serif"/>
          <w:b w:val="false"/>
          <w:color w:val="000000"/>
          <w:sz w:val="24"/>
        </w:rPr>
        <w:t>shall mean the funding of any Loan (but excluding, for the avoidance of doubt, any continuation or conversion of a Loan from one Type to another) and/or any L/C Credit Extension.</w:t>
      </w:r>
    </w:p>
    <w:p>
      <w:pPr>
        <w:pStyle w:val="TextBody"/>
        <w:bidi w:val="0"/>
        <w:spacing w:lineRule="auto" w:line="240" w:before="238" w:after="283"/>
        <w:ind w:left="0" w:right="0" w:firstLine="720"/>
        <w:jc w:val="both"/>
        <w:rPr/>
      </w:pPr>
      <w:r>
        <w:rPr>
          <w:color w:val="000000"/>
        </w:rPr>
        <w:t>“</w:t>
      </w:r>
      <w:r>
        <w:rPr>
          <w:rFonts w:ascii="Times New Roman;sans-serif" w:hAnsi="Times New Roman;sans-serif"/>
          <w:b w:val="false"/>
          <w:color w:val="000000"/>
          <w:sz w:val="24"/>
          <w:u w:val="single"/>
        </w:rPr>
        <w:t>Current Assets</w:t>
      </w:r>
      <w:r>
        <w:rPr>
          <w:color w:val="000000"/>
        </w:rPr>
        <w:t xml:space="preserve">” </w:t>
      </w:r>
      <w:r>
        <w:rPr>
          <w:rFonts w:ascii="Times New Roman;sans-serif" w:hAnsi="Times New Roman;sans-serif"/>
          <w:b w:val="false"/>
          <w:color w:val="000000"/>
          <w:sz w:val="24"/>
        </w:rPr>
        <w:t>shall mean, with respect to the Borrower and the Subsidiaries on a consolidated basis at any date of determination, the sum of all assets (other than cash or Cash Equivalents) that would, in accordance with GAAP, be classified on a consolidated balance sheet of the Borrower and the Subsidiaries as current assets at such date of determination, other than amounts related to current or deferred Taxes based on income or profits.</w:t>
      </w:r>
    </w:p>
    <w:p>
      <w:pPr>
        <w:pStyle w:val="TextBody"/>
        <w:bidi w:val="0"/>
        <w:spacing w:lineRule="auto" w:line="240" w:before="241" w:after="283"/>
        <w:ind w:left="0" w:right="0" w:firstLine="720"/>
        <w:jc w:val="both"/>
        <w:rPr/>
      </w:pPr>
      <w:r>
        <w:rPr>
          <w:color w:val="000000"/>
        </w:rPr>
        <w:t>“</w:t>
      </w:r>
      <w:r>
        <w:rPr>
          <w:rFonts w:ascii="Times New Roman;sans-serif" w:hAnsi="Times New Roman;sans-serif"/>
          <w:b w:val="false"/>
          <w:color w:val="000000"/>
          <w:sz w:val="24"/>
          <w:u w:val="single"/>
        </w:rPr>
        <w:t>Current Liabilities</w:t>
      </w:r>
      <w:r>
        <w:rPr>
          <w:color w:val="000000"/>
        </w:rPr>
        <w:t xml:space="preserve">” </w:t>
      </w:r>
      <w:r>
        <w:rPr>
          <w:rFonts w:ascii="Times New Roman;sans-serif" w:hAnsi="Times New Roman;sans-serif"/>
          <w:b w:val="false"/>
          <w:color w:val="000000"/>
          <w:sz w:val="24"/>
        </w:rPr>
        <w:t>shall mean, with respect to the Borrower and the Subsidiaries on a consolidated basis at any date of determination, all liabilities that would, in accordance with GAAP, be classified on a consolidated balance sheet of the Borrower and the Subsidiaries as current liabilities at such date of determination, other than (a) the current portion of any Indebtedness, (b) accruals of interest expense (excluding interest expense that is due and unpaid),</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(c) accruals for current or deferred Taxes based on income or profits and (d) accruals, if any, of transaction costs resulting from the Transactions.</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480175" cy="781050"/>
                <wp:effectExtent l="0" t="0" r="0" b="0"/>
                <wp:wrapNone/>
                <wp:docPr id="231" name="Frame230"/>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jc w:val="both"/>
        <w:rPr/>
      </w:pPr>
      <w:r>
        <w:rPr>
          <w:color w:val="000000"/>
        </w:rPr>
        <w:t>“</w:t>
      </w:r>
      <w:r>
        <w:rPr>
          <w:rFonts w:ascii="Times New Roman;sans-serif" w:hAnsi="Times New Roman;sans-serif"/>
          <w:b w:val="false"/>
          <w:color w:val="000000"/>
          <w:sz w:val="24"/>
          <w:u w:val="single"/>
        </w:rPr>
        <w:t>Daily Simple SOFR</w:t>
      </w:r>
      <w:r>
        <w:rPr>
          <w:color w:val="000000"/>
        </w:rPr>
        <w:t xml:space="preserve">” </w:t>
      </w:r>
      <w:r>
        <w:rPr>
          <w:rFonts w:ascii="Times New Roman;sans-serif" w:hAnsi="Times New Roman;sans-serif"/>
          <w:b w:val="false"/>
          <w:color w:val="000000"/>
          <w:sz w:val="24"/>
        </w:rPr>
        <w:t>shall have the meaning assigned to such term in Section 2.14.</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val="false"/>
          <w:color w:val="000000"/>
          <w:sz w:val="24"/>
          <w:u w:val="single"/>
        </w:rPr>
        <w:t>Debtor Relief Laws</w:t>
      </w:r>
      <w:r>
        <w:rPr>
          <w:color w:val="000000"/>
        </w:rPr>
        <w:t xml:space="preserve">” </w:t>
      </w:r>
      <w:r>
        <w:rPr>
          <w:rFonts w:ascii="Times New Roman;sans-serif" w:hAnsi="Times New Roman;sans-serif"/>
          <w:b w:val="false"/>
          <w:color w:val="000000"/>
          <w:sz w:val="24"/>
        </w:rPr>
        <w:t>shall mean the Bankruptcy Code and all other liquidation, conservatorship, bankruptcy, assignment for the benefit of creditors, moratorium, rearrangement, receivership, insolvency, reorganization, or similar debtor relief laws of the United States of America or other applicable jurisdictions from time to time in effect.</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val="false"/>
          <w:color w:val="000000"/>
          <w:sz w:val="24"/>
          <w:u w:val="single"/>
        </w:rPr>
        <w:t>Declined Prepayment Amount</w:t>
      </w:r>
      <w:r>
        <w:rPr>
          <w:color w:val="000000"/>
        </w:rPr>
        <w:t xml:space="preserve">” </w:t>
      </w:r>
      <w:r>
        <w:rPr>
          <w:rFonts w:ascii="Times New Roman;sans-serif" w:hAnsi="Times New Roman;sans-serif"/>
          <w:b w:val="false"/>
          <w:color w:val="000000"/>
          <w:sz w:val="24"/>
        </w:rPr>
        <w:t>shall have the meaning assigned to such term in Section 2.10(d).</w:t>
      </w:r>
    </w:p>
    <w:p>
      <w:pPr>
        <w:pStyle w:val="TextBody"/>
        <w:bidi w:val="0"/>
        <w:spacing w:lineRule="auto" w:line="592" w:before="6" w:after="283"/>
        <w:jc w:val="both"/>
        <w:rPr/>
      </w:pPr>
      <w:r>
        <w:rPr>
          <w:color w:val="000000"/>
        </w:rPr>
        <w:t>“</w:t>
      </w:r>
      <w:r>
        <w:rPr>
          <w:rFonts w:ascii="Times New Roman;sans-serif" w:hAnsi="Times New Roman;sans-serif"/>
          <w:b w:val="false"/>
          <w:color w:val="000000"/>
          <w:sz w:val="24"/>
          <w:u w:val="single"/>
        </w:rPr>
        <w:t>Declining Term Lender</w:t>
      </w:r>
      <w:r>
        <w:rPr>
          <w:color w:val="000000"/>
        </w:rPr>
        <w:t xml:space="preserve">” </w:t>
      </w:r>
      <w:r>
        <w:rPr>
          <w:rFonts w:ascii="Times New Roman;sans-serif" w:hAnsi="Times New Roman;sans-serif"/>
          <w:b w:val="false"/>
          <w:color w:val="000000"/>
          <w:sz w:val="24"/>
        </w:rPr>
        <w:t>shall have the meaning assigned to such term in Section 2.10(d). “</w:t>
      </w:r>
      <w:r>
        <w:rPr>
          <w:rFonts w:ascii="Times New Roman;sans-serif" w:hAnsi="Times New Roman;sans-serif"/>
          <w:b w:val="false"/>
          <w:color w:val="000000"/>
          <w:sz w:val="24"/>
          <w:u w:val="single"/>
        </w:rPr>
        <w:t>Default</w:t>
      </w:r>
      <w:r>
        <w:rPr>
          <w:color w:val="000000"/>
        </w:rPr>
        <w:t xml:space="preserve">” </w:t>
      </w:r>
      <w:r>
        <w:rPr>
          <w:rFonts w:ascii="Times New Roman;sans-serif" w:hAnsi="Times New Roman;sans-serif"/>
          <w:b w:val="false"/>
          <w:color w:val="000000"/>
          <w:sz w:val="24"/>
        </w:rPr>
        <w:t>shall mean any event or condition that upon notice, lapse of time or both would</w:t>
      </w:r>
    </w:p>
    <w:p>
      <w:pPr>
        <w:pStyle w:val="TextBody"/>
        <w:bidi w:val="0"/>
        <w:spacing w:lineRule="auto" w:line="240" w:before="6" w:after="283"/>
        <w:jc w:val="both"/>
        <w:rPr>
          <w:rFonts w:ascii="Times New Roman;sans-serif" w:hAnsi="Times New Roman;sans-serif"/>
          <w:b w:val="false"/>
          <w:color w:val="000000"/>
          <w:sz w:val="24"/>
        </w:rPr>
      </w:pPr>
      <w:r>
        <w:rPr>
          <w:rFonts w:ascii="Times New Roman;sans-serif" w:hAnsi="Times New Roman;sans-serif"/>
          <w:b w:val="false"/>
          <w:color w:val="000000"/>
          <w:sz w:val="24"/>
        </w:rPr>
        <w:t>constitute an Event of Default.</w:t>
      </w:r>
    </w:p>
    <w:p>
      <w:pPr>
        <w:pStyle w:val="TextBody"/>
        <w:bidi w:val="0"/>
        <w:spacing w:lineRule="auto" w:line="592" w:before="6" w:after="283"/>
        <w:jc w:val="both"/>
        <w:rPr/>
      </w:pPr>
      <w:r>
        <w:rPr>
          <w:color w:val="000000"/>
        </w:rPr>
        <w:t>“</w:t>
      </w:r>
      <w:r>
        <w:rPr>
          <w:rFonts w:ascii="Times New Roman;sans-serif" w:hAnsi="Times New Roman;sans-serif"/>
          <w:b w:val="false"/>
          <w:color w:val="000000"/>
          <w:sz w:val="24"/>
          <w:u w:val="single"/>
        </w:rPr>
        <w:t>Default Actions</w:t>
      </w:r>
      <w:r>
        <w:rPr>
          <w:color w:val="000000"/>
        </w:rPr>
        <w:t xml:space="preserve">” </w:t>
      </w:r>
      <w:r>
        <w:rPr>
          <w:rFonts w:ascii="Times New Roman;sans-serif" w:hAnsi="Times New Roman;sans-serif"/>
          <w:b w:val="false"/>
          <w:color w:val="000000"/>
          <w:sz w:val="24"/>
        </w:rPr>
        <w:t>shall have the meaning assigned to such term in Section 9.26. “</w:t>
      </w:r>
      <w:r>
        <w:rPr>
          <w:rFonts w:ascii="Times New Roman;sans-serif" w:hAnsi="Times New Roman;sans-serif"/>
          <w:b w:val="false"/>
          <w:color w:val="000000"/>
          <w:sz w:val="24"/>
          <w:u w:val="single"/>
        </w:rPr>
        <w:t>Defaulting Lender</w:t>
      </w:r>
      <w:r>
        <w:rPr>
          <w:color w:val="000000"/>
        </w:rPr>
        <w:t xml:space="preserve">” </w:t>
      </w:r>
      <w:r>
        <w:rPr>
          <w:rFonts w:ascii="Times New Roman;sans-serif" w:hAnsi="Times New Roman;sans-serif"/>
          <w:b w:val="false"/>
          <w:color w:val="000000"/>
          <w:sz w:val="24"/>
        </w:rPr>
        <w:t>shall mean, subject to Section 2.24, any Lender that (a) has failed to</w:t>
      </w:r>
    </w:p>
    <w:p>
      <w:pPr>
        <w:pStyle w:val="TextBody"/>
        <w:bidi w:val="0"/>
        <w:spacing w:lineRule="auto" w:line="240" w:before="6" w:after="283"/>
        <w:jc w:val="both"/>
        <w:rPr/>
      </w:pPr>
      <w:r>
        <w:rPr>
          <w:rFonts w:ascii="Times New Roman;sans-serif" w:hAnsi="Times New Roman;sans-serif"/>
          <w:b w:val="false"/>
          <w:color w:val="000000"/>
          <w:sz w:val="24"/>
        </w:rPr>
        <w:t>(i) fund all or any portion of its Loans within two (2) Business Days of the date such Loans were required to be funded hereunder or (ii) pay to the Administrative Agent, any Issuing Bank, the Swingline Lender or any other Lender any other amount required to be paid by it hereunder (including in respect of its participation in Letters of Credit or Swingline Loans) within two (2) Business Days of the date when due, (b) has notified the Borrower, the Swingline Lender, the Administrative Agent or any Issuing Bank in writing that it does not intend or expect to comply with its funding obligations hereunder or generally under other agreements in which it commits to extend credit, or has made a public statement to that effect, (c) has failed, within three (3) Business Days after written request by the Administrative Agent or the Borrower, to confirm in writing to the Administrative Agent and the Borrower that it will comply with its prospective funding obligations hereunder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such Lender shall cease to be a Defaulting Lender pursuant to this clause (c) upon receipt of such written confirmation by the Administrative Agent and the Borrower) or (d) has, or has a direct or indirect parent company that has, (i) become the subject of a case or proceeding under any Debtor Relief Law,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of America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clauses (a) through (d) above shall be conclusive and binding absent manifest error, and such Lender shall be deemed to be a Defaulting Lender (subject to Section 2.24) upon delivery of written notice of such determination to the Borrower, each Issuing Bank, the Swingline Lender and each Lender.</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480175" cy="781050"/>
                <wp:effectExtent l="0" t="0" r="0" b="0"/>
                <wp:wrapNone/>
                <wp:docPr id="232" name="Frame231"/>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30</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ind w:left="0" w:right="0" w:firstLine="720"/>
        <w:jc w:val="both"/>
        <w:rPr/>
      </w:pPr>
      <w:r>
        <w:rPr>
          <w:color w:val="000000"/>
        </w:rPr>
        <w:t>“</w:t>
      </w:r>
      <w:r>
        <w:rPr>
          <w:rFonts w:ascii="Times New Roman;sans-serif" w:hAnsi="Times New Roman;sans-serif"/>
          <w:b w:val="false"/>
          <w:color w:val="000000"/>
          <w:sz w:val="24"/>
          <w:u w:val="single"/>
        </w:rPr>
        <w:t>Designated Non-Cash Consideration</w:t>
      </w:r>
      <w:r>
        <w:rPr>
          <w:color w:val="000000"/>
        </w:rPr>
        <w:t xml:space="preserve">” </w:t>
      </w:r>
      <w:r>
        <w:rPr>
          <w:rFonts w:ascii="Times New Roman;sans-serif" w:hAnsi="Times New Roman;sans-serif"/>
          <w:b w:val="false"/>
          <w:color w:val="000000"/>
          <w:sz w:val="24"/>
        </w:rPr>
        <w:t>shall mean the Fair Market Value of non-cash consideration received by the Borrower or one of its Subsidiaries in connection with an Asset Sale that is so designated as Designated Non-Cash Consideration pursuant to a certificate of a Responsible Officer of the Borrower, setting forth such valuation, less the amount of cash or cash equivalents received in connection with a subsequent disposition of such Designated Non-Cash Consideration.</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val="false"/>
          <w:color w:val="000000"/>
          <w:sz w:val="24"/>
          <w:u w:val="single"/>
        </w:rPr>
        <w:t>Disinterested Director</w:t>
      </w:r>
      <w:r>
        <w:rPr>
          <w:color w:val="000000"/>
        </w:rPr>
        <w:t xml:space="preserve">” </w:t>
      </w:r>
      <w:r>
        <w:rPr>
          <w:rFonts w:ascii="Times New Roman;sans-serif" w:hAnsi="Times New Roman;sans-serif"/>
          <w:b w:val="false"/>
          <w:color w:val="000000"/>
          <w:sz w:val="24"/>
        </w:rPr>
        <w:t>shall mean, with respect to any person and transaction, a member of the Board of Directors of such person who does not have any material direct or indirect financial interest in or with respect to such transaction.</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val="false"/>
          <w:color w:val="000000"/>
          <w:sz w:val="24"/>
          <w:u w:val="single"/>
        </w:rPr>
        <w:t>Dispose</w:t>
      </w:r>
      <w:r>
        <w:rPr>
          <w:color w:val="000000"/>
        </w:rPr>
        <w:t xml:space="preserve">” </w:t>
      </w:r>
      <w:r>
        <w:rPr>
          <w:rFonts w:ascii="Times New Roman;sans-serif" w:hAnsi="Times New Roman;sans-serif"/>
          <w:b w:val="false"/>
          <w:color w:val="000000"/>
          <w:sz w:val="24"/>
        </w:rPr>
        <w:t>or “</w:t>
      </w:r>
      <w:r>
        <w:rPr>
          <w:rFonts w:ascii="Times New Roman;sans-serif" w:hAnsi="Times New Roman;sans-serif"/>
          <w:b w:val="false"/>
          <w:color w:val="000000"/>
          <w:sz w:val="24"/>
          <w:u w:val="single"/>
        </w:rPr>
        <w:t>Disposed of</w:t>
      </w:r>
      <w:r>
        <w:rPr>
          <w:color w:val="000000"/>
        </w:rPr>
        <w:t xml:space="preserve">” </w:t>
      </w:r>
      <w:r>
        <w:rPr>
          <w:rFonts w:ascii="Times New Roman;sans-serif" w:hAnsi="Times New Roman;sans-serif"/>
          <w:b w:val="false"/>
          <w:color w:val="000000"/>
          <w:sz w:val="24"/>
        </w:rPr>
        <w:t>shall mean to convey, sell, lease, assign, transfer or otherwise dispose of any property, business or asset. The term “</w:t>
      </w:r>
      <w:r>
        <w:rPr>
          <w:rFonts w:ascii="Times New Roman;sans-serif" w:hAnsi="Times New Roman;sans-serif"/>
          <w:b w:val="false"/>
          <w:color w:val="000000"/>
          <w:sz w:val="24"/>
          <w:u w:val="single"/>
        </w:rPr>
        <w:t>Disposition</w:t>
      </w:r>
      <w:r>
        <w:rPr>
          <w:color w:val="000000"/>
        </w:rPr>
        <w:t xml:space="preserve">” </w:t>
      </w:r>
      <w:r>
        <w:rPr>
          <w:rFonts w:ascii="Times New Roman;sans-serif" w:hAnsi="Times New Roman;sans-serif"/>
          <w:b w:val="false"/>
          <w:color w:val="000000"/>
          <w:sz w:val="24"/>
        </w:rPr>
        <w:t>shall have a correlative meaning to the foregoing.</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val="false"/>
          <w:color w:val="000000"/>
          <w:sz w:val="24"/>
          <w:u w:val="single"/>
        </w:rPr>
        <w:t>Disqualified Equity Interests</w:t>
      </w:r>
      <w:r>
        <w:rPr>
          <w:color w:val="000000"/>
        </w:rPr>
        <w:t xml:space="preserve">” </w:t>
      </w:r>
      <w:r>
        <w:rPr>
          <w:rFonts w:ascii="Times New Roman;sans-serif" w:hAnsi="Times New Roman;sans-serif"/>
          <w:b w:val="false"/>
          <w:color w:val="000000"/>
          <w:sz w:val="24"/>
        </w:rPr>
        <w:t>shall mean, with respect to any person, any Equity Interests of such person that, by its terms (or by the terms of any security or other Equity Interests into which it is convertible or for which it is exchangeable), or upon the happening of any event or condition (a) matures or is mandatorily redeemable (other than solely for Qualified Equity Interests of the Borrower or any Subsidiary), pursuant to a sinking fund obligation or otherwise, (b) is redeemable at the option of the holder thereof (other than solely for Qualified Equity Interests of the Borrower or any Subsidiary), in whole or in part, (c) provides for the scheduled, mandatory payments of dividends in cash or (d) is or becomes convertible into or exchangeable for Indebtedness or any other Equity Interests that would constitute Disqualified Equity Interests, in the case of each of the foregoing clauses (a), (b), (c) and (d), prior to the date that is ninety-one</w:t>
      </w:r>
    </w:p>
    <w:p>
      <w:pPr>
        <w:pStyle w:val="TextBody"/>
        <w:bidi w:val="0"/>
        <w:spacing w:lineRule="auto" w:line="240" w:before="1" w:after="283"/>
        <w:jc w:val="both"/>
        <w:rPr/>
      </w:pPr>
      <w:r>
        <w:rPr>
          <w:rFonts w:ascii="Times New Roman;sans-serif" w:hAnsi="Times New Roman;sans-serif"/>
          <w:b w:val="false"/>
          <w:color w:val="000000"/>
          <w:sz w:val="24"/>
        </w:rPr>
        <w:t>(91) days after the Latest Maturity Date in effect at the time of issuance thereof and except as a result of a change of control or asset sale so long as any rights of the holders thereof upon the occurrence of a change of control or asset sale event shall be subject to the prior repayment in full of the Loans and all other Loan Obligations that are accrued and payable and the termination of the Commitments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that only the portion of the Equity Interests that so mature or are mandatorily redeemable, are so convertible or exchangeable or are so redeemable at the option of the holder thereof prior to such date shall be deemed to be Disqualified Equity Interests). Notwithstanding the foregoing: (i) any Equity Interests issued to any employee or to any plan for the benefit of employees of the Borrower or the Subsidiaries or by any such plan to such employees shall not constitute Disqualified Equity Interests solely because they may be required to be repurchased by the Borrower in order to satisfy applicable statutory or regulatory obligations or as a result of such employee’s termination, death or disability and (ii) any class of Equity Interests of such person that by its terms authorizes such person to satisfy its obligations thereunder by delivery of Equity Interests that are not Disqualified Equity Interests shall not be deemed to be Disqualified Equity Interests.</w:t>
      </w:r>
    </w:p>
    <w:p>
      <w:pPr>
        <w:pStyle w:val="TextBody"/>
        <w:bidi w:val="0"/>
        <w:spacing w:lineRule="auto" w:line="240" w:before="239" w:after="283"/>
        <w:ind w:left="0" w:right="0" w:firstLine="720"/>
        <w:jc w:val="both"/>
        <w:rPr/>
      </w:pPr>
      <w:r>
        <w:rPr>
          <w:color w:val="000000"/>
        </w:rPr>
        <w:t>“</w:t>
      </w:r>
      <w:r>
        <w:rPr>
          <w:rFonts w:ascii="Times New Roman;sans-serif" w:hAnsi="Times New Roman;sans-serif"/>
          <w:b w:val="false"/>
          <w:color w:val="000000"/>
          <w:sz w:val="24"/>
          <w:u w:val="single"/>
        </w:rPr>
        <w:t>Disqualified Lender</w:t>
      </w:r>
      <w:r>
        <w:rPr>
          <w:color w:val="000000"/>
        </w:rPr>
        <w:t xml:space="preserve">” </w:t>
      </w:r>
      <w:r>
        <w:rPr>
          <w:rFonts w:ascii="Times New Roman;sans-serif" w:hAnsi="Times New Roman;sans-serif"/>
          <w:b w:val="false"/>
          <w:color w:val="000000"/>
          <w:sz w:val="24"/>
        </w:rPr>
        <w:t xml:space="preserve">shall mean, collectively, those persons that are competitors (or Affiliates of such competitors clearly identifiable as Affiliates of such competitors on the basis of such Affiliates’ names) of the Borrower or its Subsidiaries identified in writing to the Administrative Agent from time to time;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the foregoing shall not apply retroactively to disqualify any assignment to the extent such assignment was acquired by a party that was not a Disqualified Lender at the time of such assignment;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that a “competitor” or an</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6480175" cy="781050"/>
                <wp:effectExtent l="0" t="0" r="0" b="0"/>
                <wp:wrapNone/>
                <wp:docPr id="233" name="Frame232"/>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jc w:val="both"/>
        <w:rPr>
          <w:rFonts w:ascii="Times New Roman;sans-serif" w:hAnsi="Times New Roman;sans-serif"/>
          <w:b w:val="false"/>
          <w:color w:val="000000"/>
          <w:sz w:val="24"/>
        </w:rPr>
      </w:pPr>
      <w:r>
        <w:rPr>
          <w:rFonts w:ascii="Times New Roman;sans-serif" w:hAnsi="Times New Roman;sans-serif"/>
          <w:b w:val="false"/>
          <w:color w:val="000000"/>
          <w:sz w:val="24"/>
        </w:rPr>
        <w:t>Affiliate of a competitor shall not include any bona fide debt fund or investment vehicle that is engaged in making, purchasing or holding commercial loans and similar extensions of credit in the ordinary course of business and for which no personnel involved with the relevant competitor</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 makes investment decisions or (B) has access to non-public information relating to the Borrower or any person that forms part of the Borrower’s business.</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val="false"/>
          <w:color w:val="000000"/>
          <w:sz w:val="24"/>
          <w:u w:val="single"/>
        </w:rPr>
        <w:t>Dollar Equivalent</w:t>
      </w:r>
      <w:r>
        <w:rPr>
          <w:color w:val="000000"/>
        </w:rPr>
        <w:t xml:space="preserve">” </w:t>
      </w:r>
      <w:r>
        <w:rPr>
          <w:rFonts w:ascii="Times New Roman;sans-serif" w:hAnsi="Times New Roman;sans-serif"/>
          <w:b w:val="false"/>
          <w:color w:val="000000"/>
          <w:sz w:val="24"/>
        </w:rPr>
        <w:t>means, for any amount, at the time of determination thereof, (a) if such amount is expressed in dollars, such amount and (b) if such amount is expressed in a Permitted Foreign Currency, the equivalent of such amount in dollars determined by using the rate of exchange for the purchase of dollars with the Permitted Foreign Currency last provided (either by publication or otherwise provided to the Administrative Agent) by Reuters on the Business Day (New York City time) immediately preceding the date of determination or if such service ceases to be available or ceases to provide a rate of exchange for the purchase of dollars with the Permitted Foreign Currency, as provided by such other publicly available information service which provides that rate of exchange at such time in place of Reuters chosen by the Administrative Agent in its sole discretion (or if such service ceases to be available or ceases to provide such rate of exchange, the equivalent of such amount in dollars as determined by the Administrative Agent using any method of determination it deems appropriate in its sole discretion).</w:t>
      </w:r>
    </w:p>
    <w:p>
      <w:pPr>
        <w:pStyle w:val="TextBody"/>
        <w:bidi w:val="0"/>
        <w:spacing w:lineRule="auto" w:line="520" w:before="240" w:after="283"/>
        <w:jc w:val="left"/>
        <w:rPr/>
      </w:pPr>
      <w:r>
        <w:rPr>
          <w:color w:val="000000"/>
        </w:rPr>
        <w:t>“</w:t>
      </w:r>
      <w:r>
        <w:rPr>
          <w:rFonts w:ascii="Times New Roman;sans-serif" w:hAnsi="Times New Roman;sans-serif"/>
          <w:b w:val="false"/>
          <w:color w:val="000000"/>
          <w:sz w:val="24"/>
          <w:u w:val="single"/>
        </w:rPr>
        <w:t>Dollars</w:t>
      </w:r>
      <w:r>
        <w:rPr>
          <w:color w:val="000000"/>
        </w:rPr>
        <w:t xml:space="preserve">” </w:t>
      </w:r>
      <w:r>
        <w:rPr>
          <w:rFonts w:ascii="Times New Roman;sans-serif" w:hAnsi="Times New Roman;sans-serif"/>
          <w:b w:val="false"/>
          <w:color w:val="000000"/>
          <w:sz w:val="24"/>
        </w:rPr>
        <w:t>or “</w:t>
      </w:r>
      <w:r>
        <w:rPr>
          <w:rFonts w:ascii="Times New Roman;sans-serif" w:hAnsi="Times New Roman;sans-serif"/>
          <w:b w:val="false"/>
          <w:color w:val="000000"/>
          <w:sz w:val="24"/>
          <w:u w:val="single"/>
        </w:rPr>
        <w:t>$</w:t>
      </w:r>
      <w:r>
        <w:rPr>
          <w:color w:val="000000"/>
        </w:rPr>
        <w:t xml:space="preserve">” </w:t>
      </w:r>
      <w:r>
        <w:rPr>
          <w:rFonts w:ascii="Times New Roman;sans-serif" w:hAnsi="Times New Roman;sans-serif"/>
          <w:b w:val="false"/>
          <w:color w:val="000000"/>
          <w:sz w:val="24"/>
        </w:rPr>
        <w:t>shall mean lawful money of the United States of America. “</w:t>
      </w:r>
      <w:r>
        <w:rPr>
          <w:rFonts w:ascii="Times New Roman;sans-serif" w:hAnsi="Times New Roman;sans-serif"/>
          <w:b w:val="false"/>
          <w:color w:val="000000"/>
          <w:sz w:val="24"/>
          <w:u w:val="single"/>
        </w:rPr>
        <w:t>Domestic Subsidiary</w:t>
      </w:r>
      <w:r>
        <w:rPr>
          <w:color w:val="000000"/>
        </w:rPr>
        <w:t xml:space="preserve">” </w:t>
      </w:r>
      <w:r>
        <w:rPr>
          <w:rFonts w:ascii="Times New Roman;sans-serif" w:hAnsi="Times New Roman;sans-serif"/>
          <w:b w:val="false"/>
          <w:color w:val="000000"/>
          <w:sz w:val="24"/>
        </w:rPr>
        <w:t>shall mean any Subsidiary that is not a Foreign Subsidiary. “</w:t>
      </w:r>
      <w:r>
        <w:rPr>
          <w:rFonts w:ascii="Times New Roman;sans-serif" w:hAnsi="Times New Roman;sans-serif"/>
          <w:b w:val="false"/>
          <w:color w:val="000000"/>
          <w:sz w:val="24"/>
          <w:u w:val="single"/>
        </w:rPr>
        <w:t>DQ List</w:t>
      </w:r>
      <w:r>
        <w:rPr>
          <w:color w:val="000000"/>
        </w:rPr>
        <w:t xml:space="preserve">” </w:t>
      </w:r>
      <w:r>
        <w:rPr>
          <w:rFonts w:ascii="Times New Roman;sans-serif" w:hAnsi="Times New Roman;sans-serif"/>
          <w:b w:val="false"/>
          <w:color w:val="000000"/>
          <w:sz w:val="24"/>
        </w:rPr>
        <w:t>shall have the meaning assigned to such term in Section 9.04(h).</w:t>
      </w:r>
    </w:p>
    <w:p>
      <w:pPr>
        <w:pStyle w:val="TextBody"/>
        <w:bidi w:val="0"/>
        <w:spacing w:lineRule="auto" w:line="240" w:before="0" w:after="0"/>
        <w:ind w:left="0" w:right="0" w:firstLine="720"/>
        <w:jc w:val="left"/>
        <w:rPr/>
      </w:pPr>
      <w:r>
        <w:rPr>
          <w:color w:val="000000"/>
        </w:rPr>
        <w:t>“</w:t>
      </w:r>
      <w:r>
        <w:rPr>
          <w:rFonts w:ascii="Times New Roman;sans-serif" w:hAnsi="Times New Roman;sans-serif"/>
          <w:b w:val="false"/>
          <w:color w:val="000000"/>
          <w:sz w:val="24"/>
          <w:u w:val="single"/>
        </w:rPr>
        <w:t>EBITDA</w:t>
      </w:r>
      <w:r>
        <w:rPr>
          <w:color w:val="000000"/>
        </w:rPr>
        <w:t xml:space="preserve">” </w:t>
      </w:r>
      <w:r>
        <w:rPr>
          <w:rFonts w:ascii="Times New Roman;sans-serif" w:hAnsi="Times New Roman;sans-serif"/>
          <w:b w:val="false"/>
          <w:color w:val="000000"/>
          <w:sz w:val="24"/>
        </w:rPr>
        <w:t>shall mean, with respect to any Person and its Subsidiaries on a consolidated basis for any period, the sum of:</w:t>
      </w:r>
    </w:p>
    <w:p>
      <w:pPr>
        <w:pStyle w:val="TextBody"/>
        <w:bidi w:val="0"/>
        <w:spacing w:lineRule="auto" w:line="240" w:before="240" w:after="283"/>
        <w:ind w:left="0" w:right="0" w:hanging="719"/>
        <w:jc w:val="left"/>
        <w:rPr/>
      </w:pPr>
      <w:r>
        <w:rPr>
          <w:rFonts w:ascii="Times New Roman;sans-serif" w:hAnsi="Times New Roman;sans-serif"/>
          <w:b w:val="false"/>
          <w:color w:val="000000"/>
          <w:sz w:val="24"/>
        </w:rPr>
        <w:t xml:space="preserve">(a)Consolidated Net Income for such period; </w:t>
      </w:r>
      <w:r>
        <w:rPr>
          <w:rFonts w:ascii="Times New Roman;sans-serif" w:hAnsi="Times New Roman;sans-serif"/>
          <w:b w:val="false"/>
          <w:color w:val="000000"/>
          <w:sz w:val="24"/>
          <w:u w:val="single"/>
        </w:rPr>
        <w:t>plus</w:t>
      </w:r>
    </w:p>
    <w:p>
      <w:pPr>
        <w:pStyle w:val="TextBody"/>
        <w:bidi w:val="0"/>
        <w:spacing w:lineRule="auto" w:line="240" w:before="240"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(b)without duplication, and, to the extent already deducted (and not added back) in arriving at such Consolidated Net Income, the sum of the following amounts for such period:</w:t>
      </w:r>
    </w:p>
    <w:p>
      <w:pPr>
        <w:pStyle w:val="TextBody"/>
        <w:bidi w:val="0"/>
        <w:spacing w:lineRule="auto" w:line="240" w:before="239"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(i)total interest expense and, to the extent not reflected in such total interest expense, any losses on hedging obligations or other derivative instruments entered into for the purpose of hedging interest rate risk, and bank and letter of credit, letter of guaranty and bankers’ acceptance fees and costs of surety bonds in connection with financing activities;</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(ii)Taxes paid and any provision for Taxes, including income, capital, profit, revenue, state, foreign, provincial, franchise, excise and similar Taxes, property Taxes, foreign withholding Taxes and foreign unreimbursed value added Taxes (including penalties and interest related to any such Tax or arising from any Tax examination, pursuant to any Tax sharing arrangement or as a result of any Tax distribution and in respect of repatriated funds) of such Person paid or accrued during such period;</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480175" cy="781050"/>
                <wp:effectExtent l="0" t="0" r="0" b="0"/>
                <wp:wrapNone/>
                <wp:docPr id="234" name="Frame233"/>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32</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(iii)(A) depreciation and (B) amortization (including amortization of goodwill, software, internal labor costs, deferred financing fees or costs and other intangible assets);</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(iv)any non-cash GAAP Charge, including the excess of GAAP rent expense over actual cash rent paid during such period due to the use of straight line rent for GAAP purposes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(x) to the extent that any such non-cash GAAP Charge represents an accrual or reserve for any potential cash item in any future period, (A) such Person may elect not to add back such non-cash GAAP Charge in the current period and (B) to the extent such Person elects to add back such non-cash GAAP Charge, the cash payment in respect thereof in such future period shall be subtracted from EBITDA (as a deduction in calculating net income or otherwise) to such extent and (y) any non-cash GAAP Charge representing amortization of a prepaid cash item that was paid and not expensed in a prior period shall be excluded);</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(v)(A) any GAAP Charge incurred as a result of, in connection with or pursuant to, any management equity plan, profits interest or stock option plan or any other management or employee benefit plan or agreement, any pension plan (including any post-employment benefit scheme to which the relevant pension trustee has agreed), any stock subscription or shareholder agreement, any employee benefit trust, any employee benefit scheme or any similar equity plan or agreement (including any deferred compensation arrangement), including any payment made to option holders in connection with, or as a result of, any distribution being made to, or share repurchase from, a shareholder, which payments are being made to compensate option holders as though they were shareholders at the time of, and entitled to share in, such distribution or share repurchase and (B) any GAAP Charge incurred in connection with the rollover, acceleration or payout of Equity Interests held by management of such Person (or any parent company thereof), the Borrower and/or any subsidiary;</w:t>
      </w:r>
    </w:p>
    <w:p>
      <w:pPr>
        <w:pStyle w:val="TextBody"/>
        <w:bidi w:val="0"/>
        <w:spacing w:lineRule="auto" w:line="240" w:before="239"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(vi)the amount of any GAAP Charge or deduction associated with any subsidiary that is attributable to any non-controlling interest and/or minority interest of any third party;</w:t>
      </w:r>
    </w:p>
    <w:p>
      <w:pPr>
        <w:pStyle w:val="TextBody"/>
        <w:bidi w:val="0"/>
        <w:spacing w:lineRule="auto" w:line="240" w:before="241"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(vii)the amount of any contingent payments in connection with the licensing of intellectual property or other assets;</w:t>
      </w:r>
    </w:p>
    <w:p>
      <w:pPr>
        <w:pStyle w:val="TextBody"/>
        <w:bidi w:val="0"/>
        <w:spacing w:lineRule="auto" w:line="240" w:before="240" w:after="283"/>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(viii)[reserved];</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(ix)the amount of fees, expense reimbursements and indemnities paid to directors, including directors of the Borrower;</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(x)the amount of any GAAP Charge incurred or accrued in connection with sales of receivables and related assets in connection with any Permitted Receivables Financing;</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6480175" cy="781050"/>
                <wp:effectExtent l="0" t="0" r="0" b="0"/>
                <wp:wrapNone/>
                <wp:docPr id="235" name="Frame234"/>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33</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(xi)any net pension or other post-employment benefit costs representing amortization of unrecognized prior service costs, actuarial losses, including amortization of such amounts arising in prior periods, amortization of the unrecognized net obligation (and loss or cost) existing at the date of initial application of FASB Accounting Standards Codification 715, and any other items of a similar nature;</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(xii)any impairment charge or asset write-off pursuant to Financial Accounting Standards Board Statement No. 142 or No. 144;</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(xiii)expenses incurred in connection with business interruption and event cancelation insurance;</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(xiv)any expenses or charges (other than depreciation or amortization expense) related to any equity offering, Investment, acquisition, disposition or recapitalization permitted hereunder or the incurrence of Indebtedness permitted to be incurred hereunder (including a refinancing thereof) (whether or not successful) (including such expenses or charges reimbursed or actually paid by a Person that is not the Borrower or one of its Subsidiaries or covered by indemnification or reimbursement provisions), including (A) Transaction Costs, (B) such fees, expenses or charges related to the incurrence of the Loans and any other credit facilities or the offering of debt securities and (C) any amendment or other modification of this Agreement and any other credit facilities or the offering of debt securities;</w:t>
      </w:r>
    </w:p>
    <w:p>
      <w:pPr>
        <w:pStyle w:val="TextBody"/>
        <w:bidi w:val="0"/>
        <w:spacing w:lineRule="auto" w:line="240" w:before="241"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(xv)expenses, charges and losses in the form of earn-out obligations and contingent consideration obligations (including to the extent accounted for as performance and retention bonuses, compensation or otherwise) and adjustments thereof and purchase price adjustments, in each case paid or payable in connection with Permitted Business Acquisitions, other Investments, acquisitions or Capital Expenditures;</w:t>
      </w:r>
    </w:p>
    <w:p>
      <w:pPr>
        <w:pStyle w:val="TextBody"/>
        <w:bidi w:val="0"/>
        <w:spacing w:lineRule="auto" w:line="240" w:before="238" w:after="283"/>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(xvi)[reserved];</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(xvii)the amount of any restructuring charge or provision (whether or not classified as a restructuring charge or provision under GAAP), integration cost or other business optimization expense or cost, including any one-time costs incurred in connection with acquisitions or divestitures after the Closing Date, any recruiting expenses and costs related to the closure and/or consolidation of facilities and to exiting lines of business and any reconstruction, recommissioning or reconfiguring of fixed assets for alternative use;</w:t>
      </w:r>
    </w:p>
    <w:p>
      <w:pPr>
        <w:pStyle w:val="TextBody"/>
        <w:bidi w:val="0"/>
        <w:spacing w:lineRule="auto" w:line="240" w:before="241" w:after="283"/>
        <w:ind w:left="0" w:right="0" w:firstLine="720"/>
        <w:jc w:val="both"/>
        <w:rPr/>
      </w:pPr>
      <w:r>
        <w:rPr>
          <w:rFonts w:ascii="Times New Roman;sans-serif" w:hAnsi="Times New Roman;sans-serif"/>
          <w:b w:val="false"/>
          <w:color w:val="000000"/>
          <w:sz w:val="24"/>
        </w:rPr>
        <w:t>(xviii)any other non-cash charges, write-downs, expenses, losses or items reducing Consolidated Net Income for such period including any impairment charges or the impact of purchase accounting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in connection with any such noncash charge, write-down or item required or anticipated to be made, to the extent it represents an accrual or reserve for a cash expenditure for a future period</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6480175" cy="781050"/>
                <wp:effectExtent l="0" t="0" r="0" b="0"/>
                <wp:wrapNone/>
                <wp:docPr id="236" name="Frame235"/>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34</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jc w:val="both"/>
        <w:rPr>
          <w:rFonts w:ascii="Times New Roman;sans-serif" w:hAnsi="Times New Roman;sans-serif"/>
          <w:b w:val="false"/>
          <w:color w:val="000000"/>
          <w:sz w:val="24"/>
        </w:rPr>
      </w:pPr>
      <w:r>
        <w:rPr>
          <w:rFonts w:ascii="Times New Roman;sans-serif" w:hAnsi="Times New Roman;sans-serif"/>
          <w:b w:val="false"/>
          <w:color w:val="000000"/>
          <w:sz w:val="24"/>
        </w:rPr>
        <w:t>such Person may determine not to addback such non-cash charges, write-downs, expenses, losses or items in the current period and, to the extent such Person does decide to addback such charges, write-downs, expenses, losses or items in respect thereof in such future period such charges, write-downs, expenses, losses or items will not be added back to EBITDA to the extent of such adjustment previously added back) or other items classified by such Person as special items less other non- cash items of income increasing Consolidated Net Income (excluding any such noncash item of income to the extent it represents a receipt of cash in any future period);</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(xix)realized foreign exchange losses resulting from the impact of foreign currency changes on the valuation of assets or liabilities on the balance sheet of such Person and its subsidiaries;</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(xx)net realized losses from Swap Obligations or embedded derivatives that require similar accounting treatment;</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(xxi)any costs or expenses incurred relating to environmental remediation, litigation or other disputes in respect of events and exposures; and</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 xml:space="preserve">(xxii)any charge, loss or expense (including non-cash charges) relating to any Permitted Reorganization, including the amount of incremental amortization or depreciation arising as a result of any adjustments to inventory, equipment and other assets arising as a result of the consummation of, and any other charge, loss or expense arising from other accounting effects of the consummation of, such Permitted Reorganization; </w:t>
      </w:r>
      <w:r>
        <w:rPr>
          <w:rFonts w:ascii="Times New Roman;sans-serif" w:hAnsi="Times New Roman;sans-serif"/>
          <w:b w:val="false"/>
          <w:color w:val="000000"/>
          <w:sz w:val="24"/>
          <w:u w:val="single"/>
        </w:rPr>
        <w:t>plus</w:t>
      </w:r>
    </w:p>
    <w:p>
      <w:pPr>
        <w:pStyle w:val="TextBody"/>
        <w:bidi w:val="0"/>
        <w:spacing w:lineRule="auto" w:line="240" w:before="241" w:after="283"/>
        <w:ind w:left="0" w:right="0" w:firstLine="1440"/>
        <w:jc w:val="both"/>
        <w:rPr/>
      </w:pPr>
      <w:r>
        <w:rPr>
          <w:rFonts w:ascii="Times New Roman;sans-serif" w:hAnsi="Times New Roman;sans-serif"/>
          <w:b w:val="false"/>
          <w:color w:val="000000"/>
          <w:sz w:val="24"/>
        </w:rPr>
        <w:t>(c)without duplication, the amount of “run rate” cost savings, operating expense reductions and synergies (collectively, “</w:t>
      </w:r>
      <w:r>
        <w:rPr>
          <w:rFonts w:ascii="Times New Roman;sans-serif" w:hAnsi="Times New Roman;sans-serif"/>
          <w:b w:val="false"/>
          <w:color w:val="000000"/>
          <w:sz w:val="24"/>
          <w:u w:val="single"/>
        </w:rPr>
        <w:t>Expected Cost Savings</w:t>
      </w:r>
      <w:r>
        <w:rPr>
          <w:color w:val="000000"/>
        </w:rPr>
        <w:t>”</w:t>
      </w:r>
      <w:r>
        <w:rPr>
          <w:rFonts w:ascii="Times New Roman;sans-serif" w:hAnsi="Times New Roman;sans-serif"/>
          <w:b w:val="false"/>
          <w:color w:val="000000"/>
          <w:sz w:val="24"/>
        </w:rPr>
        <w:t>) related to any Permitted Business Acquisition, Investment, Disposition, operating improvement, restructuring, cost savings initiative and/or any similar transaction or initiative (any such operating improvement, restructuring, cost savings initiative or similar transaction or initiative, a “</w:t>
      </w:r>
      <w:r>
        <w:rPr>
          <w:rFonts w:ascii="Times New Roman;sans-serif" w:hAnsi="Times New Roman;sans-serif"/>
          <w:b w:val="false"/>
          <w:color w:val="000000"/>
          <w:sz w:val="24"/>
          <w:u w:val="single"/>
        </w:rPr>
        <w:t>Cost Saving Initiative</w:t>
      </w:r>
      <w:r>
        <w:rPr>
          <w:color w:val="000000"/>
        </w:rPr>
        <w:t>”</w:t>
      </w:r>
      <w:r>
        <w:rPr>
          <w:rFonts w:ascii="Times New Roman;sans-serif" w:hAnsi="Times New Roman;sans-serif"/>
          <w:b w:val="false"/>
          <w:color w:val="000000"/>
          <w:sz w:val="24"/>
        </w:rPr>
        <w:t xml:space="preserve">) projected by such Person in good faith and certified by a Responsible Officer of such Person to be realized as a result of actions that have been taken or initiated, are expected to be taken or with respect to which substantial steps have been taken or are expected to be taken (in each case in the good faith determination of such Person), including any cost savings, expenses and GAAP Charges (including restructuring and integration charges) in connection with, or incurred by or on behalf of, any joint venture of such Person or any of the subsidiaries (whether accounted for on the financial statements of any such joint venture or such Person in an amount proportionate to the percentage of Equity Interests of such joint venture that are beneficially owned by the Borrower) within 24 months after such Cost Saving Initiative (which Expected Cost Savings shall be added to EBITDA until fully realized and calculated on a Pro Forma Basis as though such Expected Cost Savings had been realized on the first day of the relevant period), net of the amount of actual benefits realized from such actions;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such cost savings are reasonably identifiable and factually supportable; </w:t>
      </w:r>
      <w:r>
        <w:rPr>
          <w:rFonts w:ascii="Times New Roman;sans-serif" w:hAnsi="Times New Roman;sans-serif"/>
          <w:b w:val="false"/>
          <w:color w:val="000000"/>
          <w:sz w:val="24"/>
          <w:u w:val="single"/>
        </w:rPr>
        <w:t>plus</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6480175" cy="781050"/>
                <wp:effectExtent l="0" t="0" r="0" b="0"/>
                <wp:wrapNone/>
                <wp:docPr id="237" name="Frame236"/>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35</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(d)to the extent not included in Consolidated Net Income for such period, the net income of any non-Wholly-Owned Subsidiary up to the amount of cash or Cash Equivalents</w:t>
      </w:r>
    </w:p>
    <w:p>
      <w:pPr>
        <w:pStyle w:val="TextBody"/>
        <w:bidi w:val="0"/>
        <w:spacing w:lineRule="auto" w:line="240" w:before="0" w:after="0"/>
        <w:jc w:val="both"/>
        <w:rPr/>
      </w:pPr>
      <w:r>
        <w:rPr>
          <w:rFonts w:ascii="Times New Roman;sans-serif" w:hAnsi="Times New Roman;sans-serif"/>
          <w:b w:val="false"/>
          <w:color w:val="000000"/>
          <w:sz w:val="24"/>
        </w:rPr>
        <w:t xml:space="preserve">(x) actually distributed by such Person to a Loan Party or a Wholly-Owned Subsidiary or (y) that could have been distributed as a dividend or other distribution or return on investment by such Person to a Loan Party or a Wholly-Owned Subsidiary; </w:t>
      </w:r>
      <w:r>
        <w:rPr>
          <w:rFonts w:ascii="Times New Roman;sans-serif" w:hAnsi="Times New Roman;sans-serif"/>
          <w:b w:val="false"/>
          <w:color w:val="000000"/>
          <w:sz w:val="24"/>
          <w:u w:val="single"/>
        </w:rPr>
        <w:t>plus</w:t>
      </w:r>
    </w:p>
    <w:p>
      <w:pPr>
        <w:pStyle w:val="TextBody"/>
        <w:bidi w:val="0"/>
        <w:spacing w:lineRule="auto" w:line="240" w:before="240" w:after="283"/>
        <w:ind w:left="0" w:right="0" w:firstLine="1440"/>
        <w:jc w:val="both"/>
        <w:rPr/>
      </w:pPr>
      <w:r>
        <w:rPr>
          <w:rFonts w:ascii="Times New Roman;sans-serif" w:hAnsi="Times New Roman;sans-serif"/>
          <w:b w:val="false"/>
          <w:color w:val="000000"/>
          <w:sz w:val="24"/>
        </w:rPr>
        <w:t xml:space="preserve">(e)without duplication, adjustments identified in the Borrower’s financial model prepared in connection with the Transactions and delivered to the Arrangers on or around January 4, 2024; </w:t>
      </w:r>
      <w:r>
        <w:rPr>
          <w:rFonts w:ascii="Times New Roman;sans-serif" w:hAnsi="Times New Roman;sans-serif"/>
          <w:b w:val="false"/>
          <w:color w:val="000000"/>
          <w:sz w:val="24"/>
          <w:u w:val="single"/>
        </w:rPr>
        <w:t>plus</w:t>
      </w:r>
    </w:p>
    <w:p>
      <w:pPr>
        <w:pStyle w:val="TextBody"/>
        <w:bidi w:val="0"/>
        <w:spacing w:lineRule="auto" w:line="240" w:before="240" w:after="283"/>
        <w:ind w:left="0" w:right="0" w:firstLine="1440"/>
        <w:jc w:val="both"/>
        <w:rPr/>
      </w:pPr>
      <w:r>
        <w:rPr>
          <w:rFonts w:ascii="Times New Roman;sans-serif" w:hAnsi="Times New Roman;sans-serif"/>
          <w:b w:val="false"/>
          <w:color w:val="000000"/>
          <w:sz w:val="24"/>
        </w:rPr>
        <w:t xml:space="preserve">(f)without duplication, to the extent not included in Consolidated Net Income for such period, cash actually received (or any netting arrangement resulting in reduced cash expenditures) during such period so long as the non-cash gain relating to the relevant cash receipt or netting arrangement was deducted in the calculation of EBITDA pursuant to clause (h) below for any previous period and not added back; </w:t>
      </w:r>
      <w:r>
        <w:rPr>
          <w:rFonts w:ascii="Times New Roman;sans-serif" w:hAnsi="Times New Roman;sans-serif"/>
          <w:b w:val="false"/>
          <w:color w:val="000000"/>
          <w:sz w:val="24"/>
          <w:u w:val="single"/>
        </w:rPr>
        <w:t>minus</w:t>
      </w:r>
    </w:p>
    <w:p>
      <w:pPr>
        <w:pStyle w:val="TextBody"/>
        <w:bidi w:val="0"/>
        <w:spacing w:lineRule="auto" w:line="240" w:before="240" w:after="283"/>
        <w:ind w:left="0" w:right="0" w:firstLine="1440"/>
        <w:jc w:val="both"/>
        <w:rPr/>
      </w:pPr>
      <w:r>
        <w:rPr>
          <w:rFonts w:ascii="Times New Roman;sans-serif" w:hAnsi="Times New Roman;sans-serif"/>
          <w:b w:val="false"/>
          <w:color w:val="000000"/>
          <w:sz w:val="24"/>
        </w:rPr>
        <w:t>(g)any amount which, in the determination of Consolidated Net Income for such period, has been included for any non-cash income or non-cash gain, all as determined in accordance with GAAP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if any non-cash income or non-cash gain represents an accrual or deferred income in respect of potential cash items in any future period, such Person may determine not to deduct the relevant non-cash gain or income in the then-current period); </w:t>
      </w:r>
      <w:r>
        <w:rPr>
          <w:rFonts w:ascii="Times New Roman;sans-serif" w:hAnsi="Times New Roman;sans-serif"/>
          <w:b w:val="false"/>
          <w:color w:val="000000"/>
          <w:sz w:val="24"/>
          <w:u w:val="single"/>
        </w:rPr>
        <w:t>minus</w:t>
      </w:r>
    </w:p>
    <w:p>
      <w:pPr>
        <w:pStyle w:val="TextBody"/>
        <w:bidi w:val="0"/>
        <w:spacing w:lineRule="auto" w:line="240" w:before="240" w:after="283"/>
        <w:ind w:left="0" w:right="0" w:firstLine="1440"/>
        <w:jc w:val="both"/>
        <w:rPr/>
      </w:pPr>
      <w:r>
        <w:rPr>
          <w:rFonts w:ascii="Times New Roman;sans-serif" w:hAnsi="Times New Roman;sans-serif"/>
          <w:b w:val="false"/>
          <w:color w:val="000000"/>
          <w:sz w:val="24"/>
        </w:rPr>
        <w:t xml:space="preserve">(h)the amount of any cash payment made during such period in respect of any non-cash accrual, reserve or other non-cash GAAP Charge that is accounted for in a prior period and that was added to Consolidated Net Income to determine EBITDA for such prior period and that does not otherwise reduce Consolidated Net Income for the current period; </w:t>
      </w:r>
      <w:r>
        <w:rPr>
          <w:rFonts w:ascii="Times New Roman;sans-serif" w:hAnsi="Times New Roman;sans-serif"/>
          <w:b w:val="false"/>
          <w:color w:val="000000"/>
          <w:sz w:val="24"/>
          <w:u w:val="single"/>
        </w:rPr>
        <w:t>minus</w:t>
      </w:r>
    </w:p>
    <w:p>
      <w:pPr>
        <w:pStyle w:val="TextBody"/>
        <w:bidi w:val="0"/>
        <w:spacing w:lineRule="auto" w:line="240" w:before="241"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(i)to the extent not deducted in arriving at such Consolidated Net Income, the excess of actual cash rent paid over rent expense during such period due to the use of straight-line rent for GAAP purposes.</w:t>
      </w:r>
    </w:p>
    <w:p>
      <w:pPr>
        <w:pStyle w:val="TextBody"/>
        <w:bidi w:val="0"/>
        <w:spacing w:lineRule="auto" w:line="240" w:before="238"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Notwithstanding the foregoing, but subject to any adjustment set forth above, EBITDA shall be $71,812,679, $30,205,408, $44,743,583 and $47,920,926 for the fiscal quarters ended December 31, 2022, March 31, 2023, June 30, 2023, and September 30, 2023. In addition, unless otherwise specified or unless the context otherwise requires, EBITDA shall refer to the EBITDA of the Borrower and its Subsidiaries.</w:t>
      </w:r>
    </w:p>
    <w:p>
      <w:pPr>
        <w:pStyle w:val="TextBody"/>
        <w:bidi w:val="0"/>
        <w:spacing w:lineRule="auto" w:line="240" w:before="241" w:after="283"/>
        <w:ind w:left="0" w:right="0" w:firstLine="720"/>
        <w:jc w:val="both"/>
        <w:rPr/>
      </w:pPr>
      <w:r>
        <w:rPr>
          <w:color w:val="000000"/>
        </w:rPr>
        <w:t>“</w:t>
      </w:r>
      <w:r>
        <w:rPr>
          <w:rFonts w:ascii="Times New Roman;sans-serif" w:hAnsi="Times New Roman;sans-serif"/>
          <w:b w:val="false"/>
          <w:color w:val="000000"/>
          <w:sz w:val="24"/>
          <w:u w:val="single"/>
        </w:rPr>
        <w:t>EEA Financial Institution</w:t>
      </w:r>
      <w:r>
        <w:rPr>
          <w:color w:val="000000"/>
        </w:rPr>
        <w:t xml:space="preserve">” </w:t>
      </w:r>
      <w:r>
        <w:rPr>
          <w:rFonts w:ascii="Times New Roman;sans-serif" w:hAnsi="Times New Roman;sans-serif"/>
          <w:b w:val="false"/>
          <w:color w:val="000000"/>
          <w:sz w:val="24"/>
        </w:rPr>
        <w:t>shall mean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 (a) or (b) of this definition and is subject to consolidated supervision with its parent;</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val="false"/>
          <w:color w:val="000000"/>
          <w:sz w:val="24"/>
          <w:u w:val="single"/>
        </w:rPr>
        <w:t>EEA Member Country</w:t>
      </w:r>
      <w:r>
        <w:rPr>
          <w:color w:val="000000"/>
        </w:rPr>
        <w:t xml:space="preserve">” </w:t>
      </w:r>
      <w:r>
        <w:rPr>
          <w:rFonts w:ascii="Times New Roman;sans-serif" w:hAnsi="Times New Roman;sans-serif"/>
          <w:b w:val="false"/>
          <w:color w:val="000000"/>
          <w:sz w:val="24"/>
        </w:rPr>
        <w:t>shall mean any of the member states of the European Union, Iceland, Liechtenstein and Norway.</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480175" cy="781050"/>
                <wp:effectExtent l="0" t="0" r="0" b="0"/>
                <wp:wrapNone/>
                <wp:docPr id="238" name="Frame237"/>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36</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ind w:left="0" w:right="0" w:firstLine="720"/>
        <w:jc w:val="both"/>
        <w:rPr/>
      </w:pPr>
      <w:r>
        <w:rPr>
          <w:color w:val="000000"/>
        </w:rPr>
        <w:t>“</w:t>
      </w:r>
      <w:r>
        <w:rPr>
          <w:rFonts w:ascii="Times New Roman;sans-serif" w:hAnsi="Times New Roman;sans-serif"/>
          <w:b w:val="false"/>
          <w:color w:val="000000"/>
          <w:sz w:val="24"/>
          <w:u w:val="single"/>
        </w:rPr>
        <w:t>EEA Resolution Authority</w:t>
      </w:r>
      <w:r>
        <w:rPr>
          <w:color w:val="000000"/>
        </w:rPr>
        <w:t xml:space="preserve">” </w:t>
      </w:r>
      <w:r>
        <w:rPr>
          <w:rFonts w:ascii="Times New Roman;sans-serif" w:hAnsi="Times New Roman;sans-serif"/>
          <w:b w:val="false"/>
          <w:color w:val="000000"/>
          <w:sz w:val="24"/>
        </w:rPr>
        <w:t>shall mean any public administrative authority or any person entrusted with public administrative authority of any EEA Member Country (including any delegee) having responsibility for the resolution of any EEA Financial Institution.</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val="false"/>
          <w:color w:val="000000"/>
          <w:sz w:val="24"/>
          <w:u w:val="single"/>
        </w:rPr>
        <w:t>Engagement Letter</w:t>
      </w:r>
      <w:r>
        <w:rPr>
          <w:color w:val="000000"/>
        </w:rPr>
        <w:t xml:space="preserve">” </w:t>
      </w:r>
      <w:r>
        <w:rPr>
          <w:rFonts w:ascii="Times New Roman;sans-serif" w:hAnsi="Times New Roman;sans-serif"/>
          <w:b w:val="false"/>
          <w:color w:val="000000"/>
          <w:sz w:val="24"/>
        </w:rPr>
        <w:t>shall mean that certain Engagement Letter dated as of January 8, 2024 by and among the Borrower, Morgan Stanley and Citibank (as such Engagement Letter may be amended, restated, supplemented or otherwise modified).</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val="false"/>
          <w:color w:val="000000"/>
          <w:sz w:val="24"/>
          <w:u w:val="single"/>
        </w:rPr>
        <w:t>Environment</w:t>
      </w:r>
      <w:r>
        <w:rPr>
          <w:color w:val="000000"/>
        </w:rPr>
        <w:t xml:space="preserve">” </w:t>
      </w:r>
      <w:r>
        <w:rPr>
          <w:rFonts w:ascii="Times New Roman;sans-serif" w:hAnsi="Times New Roman;sans-serif"/>
          <w:b w:val="false"/>
          <w:color w:val="000000"/>
          <w:sz w:val="24"/>
        </w:rPr>
        <w:t>shall mean any and all environmental media and natural resources, including ambient and indoor air, surface water and groundwater (including potable water, navigable water and wetlands), the land surface or subsurface strata, and flora and fauna.</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val="false"/>
          <w:color w:val="000000"/>
          <w:sz w:val="24"/>
          <w:u w:val="single"/>
        </w:rPr>
        <w:t>Environmental Laws</w:t>
      </w:r>
      <w:r>
        <w:rPr>
          <w:color w:val="000000"/>
        </w:rPr>
        <w:t xml:space="preserve">” </w:t>
      </w:r>
      <w:r>
        <w:rPr>
          <w:rFonts w:ascii="Times New Roman;sans-serif" w:hAnsi="Times New Roman;sans-serif"/>
          <w:b w:val="false"/>
          <w:color w:val="000000"/>
          <w:sz w:val="24"/>
        </w:rPr>
        <w:t>shall mean all applicable laws (including common law), rules, regulations, codes, ordinances, orders, agreements binding on Borrower or its Subsidiaries, decrees or judgments, promulgated or entered into by or with any Governmental Authority, relating in any way to the Environment, preservation or reclamation of natural resources, any Hazardous Materials or to public or employee health and safety matters (to the extent relating to the Environment or Hazardous Materials).</w:t>
      </w:r>
    </w:p>
    <w:p>
      <w:pPr>
        <w:pStyle w:val="TextBody"/>
        <w:bidi w:val="0"/>
        <w:spacing w:lineRule="auto" w:line="592" w:before="6" w:after="283"/>
        <w:jc w:val="both"/>
        <w:rPr/>
      </w:pPr>
      <w:r>
        <w:rPr>
          <w:color w:val="000000"/>
        </w:rPr>
        <w:t>“</w:t>
      </w:r>
      <w:r>
        <w:rPr>
          <w:rFonts w:ascii="Times New Roman;sans-serif" w:hAnsi="Times New Roman;sans-serif"/>
          <w:b w:val="false"/>
          <w:color w:val="000000"/>
          <w:sz w:val="24"/>
          <w:u w:val="single"/>
        </w:rPr>
        <w:t>Environmental Permits</w:t>
      </w:r>
      <w:r>
        <w:rPr>
          <w:color w:val="000000"/>
        </w:rPr>
        <w:t xml:space="preserve">” </w:t>
      </w:r>
      <w:r>
        <w:rPr>
          <w:rFonts w:ascii="Times New Roman;sans-serif" w:hAnsi="Times New Roman;sans-serif"/>
          <w:b w:val="false"/>
          <w:color w:val="000000"/>
          <w:sz w:val="24"/>
        </w:rPr>
        <w:t>shall have the meaning assigned to such term in Section 3.16(b). “</w:t>
      </w:r>
      <w:r>
        <w:rPr>
          <w:rFonts w:ascii="Times New Roman;sans-serif" w:hAnsi="Times New Roman;sans-serif"/>
          <w:b w:val="false"/>
          <w:color w:val="000000"/>
          <w:sz w:val="24"/>
          <w:u w:val="single"/>
        </w:rPr>
        <w:t>Equity Interests</w:t>
      </w:r>
      <w:r>
        <w:rPr>
          <w:color w:val="000000"/>
        </w:rPr>
        <w:t xml:space="preserve">” </w:t>
      </w:r>
      <w:r>
        <w:rPr>
          <w:rFonts w:ascii="Times New Roman;sans-serif" w:hAnsi="Times New Roman;sans-serif"/>
          <w:b w:val="false"/>
          <w:color w:val="000000"/>
          <w:sz w:val="24"/>
        </w:rPr>
        <w:t>of any person shall mean any and all shares, interests, rights to purchase</w:t>
      </w:r>
    </w:p>
    <w:p>
      <w:pPr>
        <w:pStyle w:val="TextBody"/>
        <w:bidi w:val="0"/>
        <w:spacing w:lineRule="auto" w:line="240" w:before="6" w:after="283"/>
        <w:jc w:val="both"/>
        <w:rPr>
          <w:rFonts w:ascii="Times New Roman;sans-serif" w:hAnsi="Times New Roman;sans-serif"/>
          <w:b w:val="false"/>
          <w:color w:val="000000"/>
          <w:sz w:val="24"/>
        </w:rPr>
      </w:pPr>
      <w:r>
        <w:rPr>
          <w:rFonts w:ascii="Times New Roman;sans-serif" w:hAnsi="Times New Roman;sans-serif"/>
          <w:b w:val="false"/>
          <w:color w:val="000000"/>
          <w:sz w:val="24"/>
        </w:rPr>
        <w:t>or otherwise acquire, warrants, options, participations or other equivalents of or interests in (however designated) equity or ownership of such person, including any preferred stock (including any preferred equity certificates (and any other similar instruments)), any limited or general partnership interest and any limited liability company membership interest, and any securities or other rights or interests convertible into or exchangeable for any of the foregoing, but excluding debt securities convertible or exchangeable into any of the foregoing.</w:t>
      </w:r>
    </w:p>
    <w:p>
      <w:pPr>
        <w:pStyle w:val="TextBody"/>
        <w:bidi w:val="0"/>
        <w:spacing w:lineRule="auto" w:line="240" w:before="241" w:after="283"/>
        <w:jc w:val="both"/>
        <w:rPr/>
      </w:pPr>
      <w:r>
        <w:rPr>
          <w:color w:val="000000"/>
        </w:rPr>
        <w:t>“</w:t>
      </w:r>
      <w:r>
        <w:rPr>
          <w:rFonts w:ascii="Times New Roman;sans-serif" w:hAnsi="Times New Roman;sans-serif"/>
          <w:b w:val="false"/>
          <w:color w:val="000000"/>
          <w:sz w:val="24"/>
          <w:u w:val="single"/>
        </w:rPr>
        <w:t>ERISA</w:t>
      </w:r>
      <w:r>
        <w:rPr>
          <w:color w:val="000000"/>
        </w:rPr>
        <w:t xml:space="preserve">” </w:t>
      </w:r>
      <w:r>
        <w:rPr>
          <w:rFonts w:ascii="Times New Roman;sans-serif" w:hAnsi="Times New Roman;sans-serif"/>
          <w:b w:val="false"/>
          <w:color w:val="000000"/>
          <w:sz w:val="24"/>
        </w:rPr>
        <w:t>shall mean the Employee Retirement Income Security Act of 1974, as amended.</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val="false"/>
          <w:color w:val="000000"/>
          <w:sz w:val="24"/>
          <w:u w:val="single"/>
        </w:rPr>
        <w:t>ERISA Affiliate</w:t>
      </w:r>
      <w:r>
        <w:rPr>
          <w:color w:val="000000"/>
        </w:rPr>
        <w:t xml:space="preserve">” </w:t>
      </w:r>
      <w:r>
        <w:rPr>
          <w:rFonts w:ascii="Times New Roman;sans-serif" w:hAnsi="Times New Roman;sans-serif"/>
          <w:b w:val="false"/>
          <w:color w:val="000000"/>
          <w:sz w:val="24"/>
        </w:rPr>
        <w:t>shall mean any trade or business (whether or not incorporated) that, together with the Borrower or a Subsidiary, is treated as a single employer under Section 414(b) or (c) of the Code, or, solely for purposes of Section 302 of ERISA and Section 412 of the Code, is treated as a single employer under Section 414 of the Code.</w:t>
      </w:r>
    </w:p>
    <w:p>
      <w:pPr>
        <w:pStyle w:val="TextBody"/>
        <w:bidi w:val="0"/>
        <w:spacing w:lineRule="auto" w:line="240" w:before="238" w:after="283"/>
        <w:ind w:left="0" w:right="0" w:firstLine="720"/>
        <w:jc w:val="both"/>
        <w:rPr/>
      </w:pPr>
      <w:r>
        <w:rPr>
          <w:color w:val="000000"/>
        </w:rPr>
        <w:t>“</w:t>
      </w:r>
      <w:r>
        <w:rPr>
          <w:rFonts w:ascii="Times New Roman;sans-serif" w:hAnsi="Times New Roman;sans-serif"/>
          <w:b w:val="false"/>
          <w:color w:val="000000"/>
          <w:sz w:val="24"/>
          <w:u w:val="single"/>
        </w:rPr>
        <w:t>ERISA Event</w:t>
      </w:r>
      <w:r>
        <w:rPr>
          <w:color w:val="000000"/>
        </w:rPr>
        <w:t xml:space="preserve">” </w:t>
      </w:r>
      <w:r>
        <w:rPr>
          <w:rFonts w:ascii="Times New Roman;sans-serif" w:hAnsi="Times New Roman;sans-serif"/>
          <w:b w:val="false"/>
          <w:color w:val="000000"/>
          <w:sz w:val="24"/>
        </w:rPr>
        <w:t>shall mean (a) any Reportable Event or the requirements of Section 4043(b) of ERISA apply with respect to a Plan; (b) with respect to any Plan, the failure to satisfy the minimum funding standard under Section 412 of the Code or Section 302 of ERISA, whether or not waived; (c) a determination that any Plan is, or is expected to be, in “at-risk” status (as defined in Section 303(i)(4) of ERISA or Section 430(i)(4) of the Code); (d) the filing pursuant to Section 412(c) of the Code or Section 302(c) of ERISA of an application for a waiver of the minimum funding standard with respect to any Plan; (e) the failure to make by its due date a required installment under Section 430(j) of the Code with respect to any Plan or the failure to make by its due date any required contribution to a Multiemployer Plan; (f) the incurrence by the Borrower, a Subsidiary or any ERISA Affiliate of any liability under Title IV of ERISA with respect to the termination of any Plan or Multiemployer Plan; (g) the receipt by the Borrower, a Subsidiary or any ERISA Affiliate from the PBGC or a plan administrator of any notice relating</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6480175" cy="781050"/>
                <wp:effectExtent l="0" t="0" r="0" b="0"/>
                <wp:wrapNone/>
                <wp:docPr id="239" name="Frame238"/>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37</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jc w:val="both"/>
        <w:rPr>
          <w:rFonts w:ascii="Times New Roman;sans-serif" w:hAnsi="Times New Roman;sans-serif"/>
          <w:b w:val="false"/>
          <w:color w:val="000000"/>
          <w:sz w:val="24"/>
        </w:rPr>
      </w:pPr>
      <w:r>
        <w:rPr>
          <w:rFonts w:ascii="Times New Roman;sans-serif" w:hAnsi="Times New Roman;sans-serif"/>
          <w:b w:val="false"/>
          <w:color w:val="000000"/>
          <w:sz w:val="24"/>
        </w:rPr>
        <w:t>to an intention to terminate any Plan or to appoint a trustee to administer any Plan under Section 4042 of ERISA; (h) the incurrence by the Borrower, a Subsidiary or any ERISA Affiliate of any liability with respect to the withdrawal or partial withdrawal from any Plan or Multiemployer Plan; (i) the receipt by the Borrower, a Subsidiary or any ERISA Affiliate of any notice, or the receipt by any Multiemployer Plan from the Borrower, a Subsidiary or any ERISA Affiliate of any notice, concerning the imposition of Withdrawal Liability or a determination that a Multiemployer Plan is, or is expected to be, insolvent or in reorganization, within the meaning of Title IV of ERISA, or in “endangered” or “critical” status, within the meaning of Section 432 of the Code or Section 305 of ERISA; (j) a failure by the Borrower, a Subsidiary or any ERISA Affiliate to pay when due (after expiration of any applicable grace period) any installment payment with respect to withdrawal liability under Section 4201 of ERISA; (k) the conditions for imposition of a lien under Section 303(k) of ERISA shall have been met with respect to any Plan; or (l) the withdrawal of any of the Borrower, a Subsidiary or any ERISA Affiliate from a Plan subject to Section 4063 of ERISA during a plan year in which such entity was a “substantial employer” as defined in Section 4001(a)(2) of ERISA or a cessation of operations that is treated as such a withdrawal under Section 4062(e) of ERISA.</w:t>
      </w:r>
    </w:p>
    <w:p>
      <w:pPr>
        <w:pStyle w:val="TextBody"/>
        <w:bidi w:val="0"/>
        <w:spacing w:lineRule="auto" w:line="520" w:before="240" w:after="283"/>
        <w:jc w:val="left"/>
        <w:rPr/>
      </w:pPr>
      <w:r>
        <w:rPr>
          <w:color w:val="000000"/>
        </w:rPr>
        <w:t>“</w:t>
      </w:r>
      <w:r>
        <w:rPr>
          <w:rFonts w:ascii="Times New Roman;sans-serif" w:hAnsi="Times New Roman;sans-serif"/>
          <w:b w:val="false"/>
          <w:color w:val="000000"/>
          <w:sz w:val="24"/>
          <w:u w:val="single"/>
        </w:rPr>
        <w:t>Erroneous Payment</w:t>
      </w:r>
      <w:r>
        <w:rPr>
          <w:color w:val="000000"/>
        </w:rPr>
        <w:t xml:space="preserve">” </w:t>
      </w:r>
      <w:r>
        <w:rPr>
          <w:rFonts w:ascii="Times New Roman;sans-serif" w:hAnsi="Times New Roman;sans-serif"/>
          <w:b w:val="false"/>
          <w:color w:val="000000"/>
          <w:sz w:val="24"/>
        </w:rPr>
        <w:t>shall have the meaning assigned to such term in Section 8.16. “</w:t>
      </w:r>
      <w:r>
        <w:rPr>
          <w:rFonts w:ascii="Times New Roman;sans-serif" w:hAnsi="Times New Roman;sans-serif"/>
          <w:b w:val="false"/>
          <w:color w:val="000000"/>
          <w:sz w:val="24"/>
          <w:u w:val="single"/>
        </w:rPr>
        <w:t>Erroneous Payment Notice</w:t>
      </w:r>
      <w:r>
        <w:rPr>
          <w:color w:val="000000"/>
        </w:rPr>
        <w:t xml:space="preserve">” </w:t>
      </w:r>
      <w:r>
        <w:rPr>
          <w:rFonts w:ascii="Times New Roman;sans-serif" w:hAnsi="Times New Roman;sans-serif"/>
          <w:b w:val="false"/>
          <w:color w:val="000000"/>
          <w:sz w:val="24"/>
        </w:rPr>
        <w:t>shall have the meaning assigned to such term in Section 8.16. “</w:t>
      </w:r>
      <w:r>
        <w:rPr>
          <w:rFonts w:ascii="Times New Roman;sans-serif" w:hAnsi="Times New Roman;sans-serif"/>
          <w:b w:val="false"/>
          <w:color w:val="000000"/>
          <w:sz w:val="24"/>
          <w:u w:val="single"/>
        </w:rPr>
        <w:t>Escrow</w:t>
      </w:r>
      <w:r>
        <w:rPr>
          <w:color w:val="000000"/>
        </w:rPr>
        <w:t xml:space="preserve">” </w:t>
      </w:r>
      <w:r>
        <w:rPr>
          <w:rFonts w:ascii="Times New Roman;sans-serif" w:hAnsi="Times New Roman;sans-serif"/>
          <w:b w:val="false"/>
          <w:color w:val="000000"/>
          <w:sz w:val="24"/>
        </w:rPr>
        <w:t>has the meaning specified in the definition of “Indebtedness.”</w:t>
      </w:r>
    </w:p>
    <w:p>
      <w:pPr>
        <w:pStyle w:val="TextBody"/>
        <w:bidi w:val="0"/>
        <w:spacing w:lineRule="auto" w:line="240" w:before="0" w:after="0"/>
        <w:ind w:left="0" w:right="0" w:firstLine="720"/>
        <w:jc w:val="both"/>
        <w:rPr/>
      </w:pPr>
      <w:r>
        <w:rPr>
          <w:color w:val="000000"/>
        </w:rPr>
        <w:t>“</w:t>
      </w:r>
      <w:r>
        <w:rPr>
          <w:rFonts w:ascii="Times New Roman;sans-serif" w:hAnsi="Times New Roman;sans-serif"/>
          <w:b w:val="false"/>
          <w:color w:val="000000"/>
          <w:sz w:val="24"/>
          <w:u w:val="single"/>
        </w:rPr>
        <w:t>Escrowed Proceeds</w:t>
      </w:r>
      <w:r>
        <w:rPr>
          <w:color w:val="000000"/>
        </w:rPr>
        <w:t xml:space="preserve">” </w:t>
      </w:r>
      <w:r>
        <w:rPr>
          <w:rFonts w:ascii="Times New Roman;sans-serif" w:hAnsi="Times New Roman;sans-serif"/>
          <w:b w:val="false"/>
          <w:color w:val="000000"/>
          <w:sz w:val="24"/>
        </w:rPr>
        <w:t>means the proceeds from the offering of any debt securities or other Indebtedness paid into an escrow account with an independent escrow agent on the date of the applicable offering or incurrence pursuant to escrow arrangements that permit the release of amounts on deposit in such escrow account upon satisfaction of certain conditions or the occurrence of certain events. The term “Escrowed Proceeds” shall include any interest earned on the amounts held in escrow.</w:t>
      </w:r>
    </w:p>
    <w:p>
      <w:pPr>
        <w:pStyle w:val="TextBody"/>
        <w:bidi w:val="0"/>
        <w:spacing w:lineRule="auto" w:line="240" w:before="239" w:after="283"/>
        <w:ind w:left="0" w:right="0" w:firstLine="720"/>
        <w:jc w:val="both"/>
        <w:rPr/>
      </w:pPr>
      <w:r>
        <w:rPr>
          <w:color w:val="000000"/>
        </w:rPr>
        <w:t>“</w:t>
      </w:r>
      <w:r>
        <w:rPr>
          <w:rFonts w:ascii="Times New Roman;sans-serif" w:hAnsi="Times New Roman;sans-serif"/>
          <w:b w:val="false"/>
          <w:color w:val="000000"/>
          <w:sz w:val="24"/>
          <w:u w:val="single"/>
        </w:rPr>
        <w:t>EU Bail-In Legislation Schedule</w:t>
      </w:r>
      <w:r>
        <w:rPr>
          <w:color w:val="000000"/>
        </w:rPr>
        <w:t xml:space="preserve">” </w:t>
      </w:r>
      <w:r>
        <w:rPr>
          <w:rFonts w:ascii="Times New Roman;sans-serif" w:hAnsi="Times New Roman;sans-serif"/>
          <w:b w:val="false"/>
          <w:color w:val="000000"/>
          <w:sz w:val="24"/>
        </w:rPr>
        <w:t>shall mean the EU Bail-In Legislation Schedule published by the Loan Market Association (or any successor person), as in effect from time to time.</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val="false"/>
          <w:color w:val="000000"/>
          <w:sz w:val="24"/>
          <w:u w:val="single"/>
        </w:rPr>
        <w:t>Euro</w:t>
      </w:r>
      <w:r>
        <w:rPr>
          <w:color w:val="000000"/>
        </w:rPr>
        <w:t xml:space="preserve">” </w:t>
      </w:r>
      <w:r>
        <w:rPr>
          <w:rFonts w:ascii="Times New Roman;sans-serif" w:hAnsi="Times New Roman;sans-serif"/>
          <w:b w:val="false"/>
          <w:color w:val="000000"/>
          <w:sz w:val="24"/>
        </w:rPr>
        <w:t>or “</w:t>
      </w:r>
      <w:r>
        <w:rPr>
          <w:color w:val="000000"/>
          <w:u w:val="single"/>
        </w:rPr>
        <w:t>€</w:t>
      </w:r>
      <w:r>
        <w:rPr>
          <w:color w:val="000000"/>
        </w:rPr>
        <w:t xml:space="preserve">” </w:t>
      </w:r>
      <w:r>
        <w:rPr>
          <w:rFonts w:ascii="Times New Roman;sans-serif" w:hAnsi="Times New Roman;sans-serif"/>
          <w:b w:val="false"/>
          <w:color w:val="000000"/>
          <w:sz w:val="24"/>
        </w:rPr>
        <w:t>shall mean the single currency of the European Union as constituted by the Treaty on European Union and adopted as lawful currency by certain member states under legislation of the European Union for European Monetary Union.</w:t>
      </w:r>
    </w:p>
    <w:p>
      <w:pPr>
        <w:pStyle w:val="TextBody"/>
        <w:bidi w:val="0"/>
        <w:spacing w:lineRule="auto" w:line="240" w:before="240" w:after="283"/>
        <w:jc w:val="center"/>
        <w:rPr/>
      </w:pPr>
      <w:r>
        <w:rPr>
          <w:color w:val="000000"/>
        </w:rPr>
        <w:t>“</w:t>
      </w:r>
      <w:r>
        <w:rPr>
          <w:rFonts w:ascii="Times New Roman;sans-serif" w:hAnsi="Times New Roman;sans-serif"/>
          <w:b w:val="false"/>
          <w:color w:val="000000"/>
          <w:sz w:val="24"/>
          <w:u w:val="single"/>
        </w:rPr>
        <w:t>Event of Default</w:t>
      </w:r>
      <w:r>
        <w:rPr>
          <w:color w:val="000000"/>
        </w:rPr>
        <w:t xml:space="preserve">” </w:t>
      </w:r>
      <w:r>
        <w:rPr>
          <w:rFonts w:ascii="Times New Roman;sans-serif" w:hAnsi="Times New Roman;sans-serif"/>
          <w:b w:val="false"/>
          <w:color w:val="000000"/>
          <w:sz w:val="24"/>
        </w:rPr>
        <w:t>shall have the meaning assigned to such term in Section 7.01.</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val="false"/>
          <w:color w:val="000000"/>
          <w:sz w:val="24"/>
          <w:u w:val="single"/>
        </w:rPr>
        <w:t>Excess Cash Flow</w:t>
      </w:r>
      <w:r>
        <w:rPr>
          <w:color w:val="000000"/>
        </w:rPr>
        <w:t xml:space="preserve">” </w:t>
      </w:r>
      <w:r>
        <w:rPr>
          <w:rFonts w:ascii="Times New Roman;sans-serif" w:hAnsi="Times New Roman;sans-serif"/>
          <w:b w:val="false"/>
          <w:color w:val="000000"/>
          <w:sz w:val="24"/>
        </w:rPr>
        <w:t>shall mean, for any Excess Cash Flow Period, any amount (if positive) equal to:</w:t>
      </w:r>
    </w:p>
    <w:p>
      <w:pPr>
        <w:pStyle w:val="TextBody"/>
        <w:bidi w:val="0"/>
        <w:spacing w:lineRule="auto" w:line="240" w:before="240" w:after="283"/>
        <w:ind w:left="0" w:right="0" w:hanging="720"/>
        <w:jc w:val="left"/>
        <w:rPr/>
      </w:pPr>
      <w:r>
        <w:rPr>
          <w:rFonts w:ascii="Times New Roman;sans-serif" w:hAnsi="Times New Roman;sans-serif"/>
          <w:b w:val="false"/>
          <w:color w:val="000000"/>
          <w:sz w:val="24"/>
        </w:rPr>
        <w:t xml:space="preserve">(a)Consolidated Net Income for such Excess Cash Flow Period; </w:t>
      </w:r>
      <w:r>
        <w:rPr>
          <w:rFonts w:ascii="Times New Roman;sans-serif" w:hAnsi="Times New Roman;sans-serif"/>
          <w:b w:val="false"/>
          <w:color w:val="000000"/>
          <w:sz w:val="24"/>
          <w:u w:val="single"/>
        </w:rPr>
        <w:t>plus</w:t>
      </w:r>
    </w:p>
    <w:p>
      <w:pPr>
        <w:pStyle w:val="TextBody"/>
        <w:bidi w:val="0"/>
        <w:spacing w:lineRule="auto" w:line="240" w:before="240" w:after="283"/>
        <w:ind w:left="0" w:right="0" w:firstLine="1440"/>
        <w:jc w:val="both"/>
        <w:rPr/>
      </w:pPr>
      <w:r>
        <w:rPr>
          <w:rFonts w:ascii="Times New Roman;sans-serif" w:hAnsi="Times New Roman;sans-serif"/>
          <w:b w:val="false"/>
          <w:color w:val="000000"/>
          <w:sz w:val="24"/>
        </w:rPr>
        <w:t>(b)an amount equal to the amount of all non-cash charges to the extent deducted in arriving at such Consolidated Net Income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in each case, that if any non-cash charge represents an accrual or reserve for cash items in any future period, the cash payment in</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6480175" cy="781050"/>
                <wp:effectExtent l="0" t="0" r="0" b="0"/>
                <wp:wrapNone/>
                <wp:docPr id="240" name="Frame239"/>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38</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jc w:val="left"/>
        <w:rPr/>
      </w:pPr>
      <w:r>
        <w:rPr>
          <w:rFonts w:ascii="Times New Roman;sans-serif" w:hAnsi="Times New Roman;sans-serif"/>
          <w:b w:val="false"/>
          <w:color w:val="000000"/>
          <w:sz w:val="24"/>
        </w:rPr>
        <w:t xml:space="preserve">respect thereof in such future period shall be subtracted from Excess Cash Flow for such Excess Cash Flow Period in such future period); </w:t>
      </w:r>
      <w:r>
        <w:rPr>
          <w:rFonts w:ascii="Times New Roman;sans-serif" w:hAnsi="Times New Roman;sans-serif"/>
          <w:b w:val="false"/>
          <w:color w:val="000000"/>
          <w:sz w:val="24"/>
          <w:u w:val="single"/>
        </w:rPr>
        <w:t>plus</w:t>
      </w:r>
    </w:p>
    <w:p>
      <w:pPr>
        <w:pStyle w:val="TextBody"/>
        <w:bidi w:val="0"/>
        <w:spacing w:lineRule="auto" w:line="240" w:before="240" w:after="283"/>
        <w:ind w:left="0" w:right="0" w:firstLine="1440"/>
        <w:jc w:val="both"/>
        <w:rPr/>
      </w:pPr>
      <w:r>
        <w:rPr>
          <w:rFonts w:ascii="Times New Roman;sans-serif" w:hAnsi="Times New Roman;sans-serif"/>
          <w:b w:val="false"/>
          <w:color w:val="000000"/>
          <w:sz w:val="24"/>
        </w:rPr>
        <w:t xml:space="preserve">(c)the decreases, if any, in Consolidated Working Capital from the first day to the last day of such Excess Cash Flow Period, but excluding any such decrease in Consolidated Working Capital arising from (i) the acquisition or Disposition of any Person by the Borrower or any Subsidiary or any Unrestricted Subsidiary designation, (ii) the reclassification during such period of current assets to long term assets or current liabilities to long term liabilities, (iii) the application of acquisition method, purchase and/or recapitalization accounting and/or (iv) the effect of any fluctuation in the amount of accrued and contingent obligations under any Hedging Agreement; </w:t>
      </w:r>
      <w:r>
        <w:rPr>
          <w:rFonts w:ascii="Times New Roman;sans-serif" w:hAnsi="Times New Roman;sans-serif"/>
          <w:b w:val="false"/>
          <w:color w:val="000000"/>
          <w:sz w:val="24"/>
          <w:u w:val="single"/>
        </w:rPr>
        <w:t>plus</w:t>
      </w:r>
    </w:p>
    <w:p>
      <w:pPr>
        <w:pStyle w:val="TextBody"/>
        <w:bidi w:val="0"/>
        <w:spacing w:lineRule="auto" w:line="240" w:before="240" w:after="283"/>
        <w:ind w:left="0" w:right="0" w:firstLine="1440"/>
        <w:jc w:val="both"/>
        <w:rPr/>
      </w:pPr>
      <w:r>
        <w:rPr>
          <w:rFonts w:ascii="Times New Roman;sans-serif" w:hAnsi="Times New Roman;sans-serif"/>
          <w:b w:val="false"/>
          <w:color w:val="000000"/>
          <w:sz w:val="24"/>
        </w:rPr>
        <w:t xml:space="preserve">(d)an amount equal to the aggregate net non-cash loss on Dispositions by the Borrower and the Subsidiaries during such Excess Cash Flow Period (other than Dispositions in the ordinary course of business) to the extent deducted in arriving at such Consolidated Net Income; </w:t>
      </w:r>
      <w:r>
        <w:rPr>
          <w:rFonts w:ascii="Times New Roman;sans-serif" w:hAnsi="Times New Roman;sans-serif"/>
          <w:b w:val="false"/>
          <w:color w:val="000000"/>
          <w:sz w:val="24"/>
          <w:u w:val="single"/>
        </w:rPr>
        <w:t>minus</w:t>
      </w:r>
    </w:p>
    <w:p>
      <w:pPr>
        <w:pStyle w:val="TextBody"/>
        <w:bidi w:val="0"/>
        <w:spacing w:lineRule="auto" w:line="240" w:before="240" w:after="283"/>
        <w:ind w:left="0" w:right="0" w:firstLine="1440"/>
        <w:jc w:val="both"/>
        <w:rPr/>
      </w:pPr>
      <w:r>
        <w:rPr>
          <w:rFonts w:ascii="Times New Roman;sans-serif" w:hAnsi="Times New Roman;sans-serif"/>
          <w:b w:val="false"/>
          <w:color w:val="000000"/>
          <w:sz w:val="24"/>
        </w:rPr>
        <w:t xml:space="preserve">(e)an amount equal to the amount of all non-cash gains for such Excess Cash Flow Period included in arriving at such Consolidated Net Income (including any amounts included in Consolidated Net Income pursuant to the last sentence of the definition of “Consolidated Net Income” to the extent such amounts are due but not received during such period;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such amounts are added to Excess Cash Flow in the period received) and cash charges included in clauses (a) through (p) of the definition of “Consolidated Net Income” to the extent financed with internally generated cash flow of the Borrower or the Subsidiaries; </w:t>
      </w:r>
      <w:r>
        <w:rPr>
          <w:rFonts w:ascii="Times New Roman;sans-serif" w:hAnsi="Times New Roman;sans-serif"/>
          <w:b w:val="false"/>
          <w:color w:val="000000"/>
          <w:sz w:val="24"/>
          <w:u w:val="single"/>
        </w:rPr>
        <w:t>minus</w:t>
      </w:r>
    </w:p>
    <w:p>
      <w:pPr>
        <w:pStyle w:val="TextBody"/>
        <w:bidi w:val="0"/>
        <w:spacing w:lineRule="auto" w:line="240" w:before="241" w:after="283"/>
        <w:ind w:left="0" w:right="0" w:firstLine="1440"/>
        <w:jc w:val="both"/>
        <w:rPr/>
      </w:pPr>
      <w:r>
        <w:rPr>
          <w:rFonts w:ascii="Times New Roman;sans-serif" w:hAnsi="Times New Roman;sans-serif"/>
          <w:b w:val="false"/>
          <w:color w:val="000000"/>
          <w:sz w:val="24"/>
        </w:rPr>
        <w:t xml:space="preserve">(f)without duplication of the deductions set forth in Section 2.11(c), the amount of Capital Expenditures made in cash during such period by (or committed during such period to be used for such purposes within the succeeding twelve-month period, subject to reversal of such deduction if any such committed amount is not actually expended within such twelve- month period) the Borrower and its Subsidiaries, except to the extent that such Capital Expenditures or acquisitions were financed with the proceeds of Indebtedness of the Borrower or the Subsidiaries (other than under any revolving indebtedness); </w:t>
      </w:r>
      <w:r>
        <w:rPr>
          <w:rFonts w:ascii="Times New Roman;sans-serif" w:hAnsi="Times New Roman;sans-serif"/>
          <w:b w:val="false"/>
          <w:color w:val="000000"/>
          <w:sz w:val="24"/>
          <w:u w:val="single"/>
        </w:rPr>
        <w:t>minus</w:t>
      </w:r>
    </w:p>
    <w:p>
      <w:pPr>
        <w:pStyle w:val="TextBody"/>
        <w:bidi w:val="0"/>
        <w:spacing w:lineRule="auto" w:line="240" w:before="238"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(g)without duplication of the deductions set forth in Section 2.11(c), the aggregate amount of all principal payments of Indebtedness of the Borrower and the Subsidiaries (including (A) the principal component of payments in respect of Capitalized Lease Obligations,</w:t>
      </w:r>
    </w:p>
    <w:p>
      <w:pPr>
        <w:pStyle w:val="TextBody"/>
        <w:bidi w:val="0"/>
        <w:spacing w:lineRule="auto" w:line="240" w:before="1" w:after="283"/>
        <w:jc w:val="both"/>
        <w:rPr/>
      </w:pPr>
      <w:r>
        <w:rPr>
          <w:rFonts w:ascii="Times New Roman;sans-serif" w:hAnsi="Times New Roman;sans-serif"/>
          <w:b w:val="false"/>
          <w:color w:val="000000"/>
          <w:sz w:val="24"/>
        </w:rPr>
        <w:t xml:space="preserve">(B) the amount of any scheduled repayment of Term Loans, any mandatory prepayment of Term Loans from any Asset Sale and other prepayments of Term Loans and (C) prepayments of Revolving Facility Loans to the extent such prepayments of Revolving Facility Loans are accompanied by a permanent and concurrent commitment reduction thereunder);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that deductions for voluntary prepayments pursuant this clause (g) shall not apply to the extent such voluntary prepayment is financed with the proceeds of long-term Indebtedness (other than under any revolving indebtedness);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xml:space="preserve">, that to the extent the amount of prepayments exceeds the amount of prepayments required to be made from Excess Cash Flow for such year, when taken together with other payments required for such year, then such excess amounts may be applied to the next subsequent fiscal year at the option of the Borrower; </w:t>
      </w:r>
      <w:r>
        <w:rPr>
          <w:rFonts w:ascii="Times New Roman;sans-serif" w:hAnsi="Times New Roman;sans-serif"/>
          <w:b w:val="false"/>
          <w:color w:val="000000"/>
          <w:sz w:val="24"/>
          <w:u w:val="single"/>
        </w:rPr>
        <w:t>minus</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6480175" cy="781050"/>
                <wp:effectExtent l="0" t="0" r="0" b="0"/>
                <wp:wrapNone/>
                <wp:docPr id="241" name="Frame240"/>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ind w:left="0" w:right="0" w:firstLine="1440"/>
        <w:jc w:val="both"/>
        <w:rPr/>
      </w:pPr>
      <w:r>
        <w:rPr>
          <w:rFonts w:ascii="Times New Roman;sans-serif" w:hAnsi="Times New Roman;sans-serif"/>
          <w:b w:val="false"/>
          <w:color w:val="000000"/>
          <w:sz w:val="24"/>
        </w:rPr>
        <w:t xml:space="preserve">(h)without duplication of the deductions set forth in Section 2.11(c), the aggregate amount of cash consideration paid by the Borrower and the Subsidiaries (on a consolidated basis) in connection with Investments (including acquisitions) made during such period (or committed during such period to be used for such purposes within the succeeding twelve-month period, subject to reversal of such deduction if any such committed amount is not actually expended within such twelve-month period) pursuant to Section 6.04 to the extent that such Investments were financed with internally generated cash flow of the Borrower and the Subsidiaries; </w:t>
      </w:r>
      <w:r>
        <w:rPr>
          <w:rFonts w:ascii="Times New Roman;sans-serif" w:hAnsi="Times New Roman;sans-serif"/>
          <w:b w:val="false"/>
          <w:color w:val="000000"/>
          <w:sz w:val="24"/>
          <w:u w:val="single"/>
        </w:rPr>
        <w:t>minus</w:t>
      </w:r>
    </w:p>
    <w:p>
      <w:pPr>
        <w:pStyle w:val="TextBody"/>
        <w:bidi w:val="0"/>
        <w:spacing w:lineRule="auto" w:line="240" w:before="240" w:after="283"/>
        <w:ind w:left="0" w:right="0" w:firstLine="1440"/>
        <w:jc w:val="both"/>
        <w:rPr/>
      </w:pPr>
      <w:r>
        <w:rPr>
          <w:rFonts w:ascii="Times New Roman;sans-serif" w:hAnsi="Times New Roman;sans-serif"/>
          <w:b w:val="false"/>
          <w:color w:val="000000"/>
          <w:sz w:val="24"/>
        </w:rPr>
        <w:t xml:space="preserve">(i)the amount of Restricted Payments during such period (on a consolidated basis) by the Borrower and the Subsidiaries (or committed during such period to be used for such purposes within the succeeding twelve-month period, subject to reversal of such deduction if any such committed amount is not actually expended within such twelve-month period) made in compliance with Section 6.03 to the extent such Restricted Payments were financed with internally generated cash flow of the Borrower and the Subsidiaries; </w:t>
      </w:r>
      <w:r>
        <w:rPr>
          <w:rFonts w:ascii="Times New Roman;sans-serif" w:hAnsi="Times New Roman;sans-serif"/>
          <w:b w:val="false"/>
          <w:color w:val="000000"/>
          <w:sz w:val="24"/>
          <w:u w:val="single"/>
        </w:rPr>
        <w:t>minus</w:t>
      </w:r>
    </w:p>
    <w:p>
      <w:pPr>
        <w:pStyle w:val="TextBody"/>
        <w:bidi w:val="0"/>
        <w:spacing w:lineRule="auto" w:line="240" w:before="240" w:after="283"/>
        <w:ind w:left="0" w:right="0" w:firstLine="1440"/>
        <w:jc w:val="both"/>
        <w:rPr/>
      </w:pPr>
      <w:r>
        <w:rPr>
          <w:rFonts w:ascii="Times New Roman;sans-serif" w:hAnsi="Times New Roman;sans-serif"/>
          <w:b w:val="false"/>
          <w:color w:val="000000"/>
          <w:sz w:val="24"/>
        </w:rPr>
        <w:t>(j)without duplication of amounts deducted from Excess Cash Flow in prior periods or deducted pursuant to Section 2.11(c), the aggregate consideration required to be paid in cash by the Borrower or any of the Subsidiaries pursuant to binding contracts (the “</w:t>
      </w:r>
      <w:r>
        <w:rPr>
          <w:rFonts w:ascii="Times New Roman;sans-serif" w:hAnsi="Times New Roman;sans-serif"/>
          <w:b w:val="false"/>
          <w:color w:val="000000"/>
          <w:sz w:val="24"/>
          <w:u w:val="single"/>
        </w:rPr>
        <w:t>Contract</w:t>
      </w:r>
      <w:r>
        <w:rPr>
          <w:color w:val="000000"/>
        </w:rPr>
        <w:t xml:space="preserve"> </w:t>
      </w:r>
      <w:r>
        <w:rPr>
          <w:rFonts w:ascii="Times New Roman;sans-serif" w:hAnsi="Times New Roman;sans-serif"/>
          <w:b w:val="false"/>
          <w:color w:val="000000"/>
          <w:sz w:val="24"/>
          <w:u w:val="single"/>
        </w:rPr>
        <w:t>Consideration</w:t>
      </w:r>
      <w:r>
        <w:rPr>
          <w:color w:val="000000"/>
        </w:rPr>
        <w:t>”</w:t>
      </w:r>
      <w:r>
        <w:rPr>
          <w:rFonts w:ascii="Times New Roman;sans-serif" w:hAnsi="Times New Roman;sans-serif"/>
          <w:b w:val="false"/>
          <w:color w:val="000000"/>
          <w:sz w:val="24"/>
        </w:rPr>
        <w:t xml:space="preserve">) entered into prior to or during such period relating to Permitted Business Acquisitions, Capital Expenditures or other Investments to be consummated or made during the period of four consecutive fiscal quarters of the Borrower following the end of such period,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to the extent the aggregate amount of internally generated cash actually utilized to finance such Permitted Business Acquisitions, Capital Expenditures or other Investments during such period of four consecutive fiscal quarters is less than the Contract Consideration, the amount of such shortfall shall be added to the calculation of Excess Cash Flow at the end of such period of four consecutive fiscal quarters; </w:t>
      </w:r>
      <w:r>
        <w:rPr>
          <w:rFonts w:ascii="Times New Roman;sans-serif" w:hAnsi="Times New Roman;sans-serif"/>
          <w:b w:val="false"/>
          <w:color w:val="000000"/>
          <w:sz w:val="24"/>
          <w:u w:val="single"/>
        </w:rPr>
        <w:t>minus</w:t>
      </w:r>
    </w:p>
    <w:p>
      <w:pPr>
        <w:pStyle w:val="TextBody"/>
        <w:bidi w:val="0"/>
        <w:spacing w:lineRule="auto" w:line="240" w:before="239" w:after="283"/>
        <w:ind w:left="0" w:right="0" w:firstLine="1440"/>
        <w:jc w:val="both"/>
        <w:rPr/>
      </w:pPr>
      <w:r>
        <w:rPr>
          <w:rFonts w:ascii="Times New Roman;sans-serif" w:hAnsi="Times New Roman;sans-serif"/>
          <w:b w:val="false"/>
          <w:color w:val="000000"/>
          <w:sz w:val="24"/>
        </w:rPr>
        <w:t xml:space="preserve">(k)an amount equal to the aggregate net non-cash gain on Dispositions by the Borrower and the Subsidiaries during such Excess Cash Flow Period (other than Dispositions in the ordinary course of business) to the extent included in arriving at such Consolidated Net Income; </w:t>
      </w:r>
      <w:r>
        <w:rPr>
          <w:rFonts w:ascii="Times New Roman;sans-serif" w:hAnsi="Times New Roman;sans-serif"/>
          <w:b w:val="false"/>
          <w:color w:val="000000"/>
          <w:sz w:val="24"/>
          <w:u w:val="single"/>
        </w:rPr>
        <w:t>minus</w:t>
      </w:r>
    </w:p>
    <w:p>
      <w:pPr>
        <w:pStyle w:val="TextBody"/>
        <w:bidi w:val="0"/>
        <w:spacing w:lineRule="auto" w:line="240" w:before="241" w:after="283"/>
        <w:ind w:left="0" w:right="0" w:firstLine="1440"/>
        <w:jc w:val="both"/>
        <w:rPr/>
      </w:pPr>
      <w:r>
        <w:rPr>
          <w:rFonts w:ascii="Times New Roman;sans-serif" w:hAnsi="Times New Roman;sans-serif"/>
          <w:b w:val="false"/>
          <w:color w:val="000000"/>
          <w:sz w:val="24"/>
        </w:rPr>
        <w:t xml:space="preserve">(l)increases in Consolidated Working Capital from the first day to the last day of such Excess Cash Flow Period but excluding any such increase in Consolidated Working Capital arising from (i) the acquisition or Disposition of any Person by the Borrower or any Subsidiary or any Unrestricted Subsidiary designation, (ii) the reclassification during such period of current assets to long term assets or current liabilities to long term liabilities, (iii) the application of acquisition method, purchase and/or recapitalization accounting and (iv) the effect of any fluctuation in the amount of accrued and contingent obligations under any Hedging Agreement; </w:t>
      </w:r>
      <w:r>
        <w:rPr>
          <w:rFonts w:ascii="Times New Roman;sans-serif" w:hAnsi="Times New Roman;sans-serif"/>
          <w:b w:val="false"/>
          <w:color w:val="000000"/>
          <w:sz w:val="24"/>
          <w:u w:val="single"/>
        </w:rPr>
        <w:t>minus</w:t>
      </w:r>
    </w:p>
    <w:p>
      <w:pPr>
        <w:pStyle w:val="TextBody"/>
        <w:bidi w:val="0"/>
        <w:spacing w:lineRule="auto" w:line="240" w:before="240"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(m)cash payments by the Borrower and the Subsidiaries during such Excess Cash Flow Period in respect of purchase price holdbacks, earn out obligations or long-term liabilities of the Borrower and the Subsidiaries other than Indebtedness to the extent such payments are not expensed during such Excess Cash Flow Period or are not deducted in arriving at such</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6480175" cy="781050"/>
                <wp:effectExtent l="0" t="0" r="0" b="0"/>
                <wp:wrapNone/>
                <wp:docPr id="242" name="Frame241"/>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40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40</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jc w:val="left"/>
        <w:rPr/>
      </w:pPr>
      <w:r>
        <w:rPr>
          <w:rFonts w:ascii="Times New Roman;sans-serif" w:hAnsi="Times New Roman;sans-serif"/>
          <w:b w:val="false"/>
          <w:color w:val="000000"/>
          <w:sz w:val="24"/>
        </w:rPr>
        <w:t xml:space="preserve">Consolidated Net Income to the extent financed with internally generated cash flow of the Borrower or any Subsidiaries; </w:t>
      </w:r>
      <w:r>
        <w:rPr>
          <w:rFonts w:ascii="Times New Roman;sans-serif" w:hAnsi="Times New Roman;sans-serif"/>
          <w:b w:val="false"/>
          <w:color w:val="000000"/>
          <w:sz w:val="24"/>
          <w:u w:val="single"/>
        </w:rPr>
        <w:t>minus</w:t>
      </w:r>
    </w:p>
    <w:p>
      <w:pPr>
        <w:pStyle w:val="TextBody"/>
        <w:bidi w:val="0"/>
        <w:spacing w:lineRule="auto" w:line="240" w:before="240" w:after="283"/>
        <w:ind w:left="0" w:right="0" w:firstLine="1440"/>
        <w:jc w:val="both"/>
        <w:rPr/>
      </w:pPr>
      <w:r>
        <w:rPr>
          <w:rFonts w:ascii="Times New Roman;sans-serif" w:hAnsi="Times New Roman;sans-serif"/>
          <w:b w:val="false"/>
          <w:color w:val="000000"/>
          <w:sz w:val="24"/>
        </w:rPr>
        <w:t xml:space="preserve">(n)the aggregate amount of expenditures actually made by the Borrower and any Subsidiary in cash during such Excess Cash Flow Period (including expenditures for the payment of financing fees and cash restructuring charges) to the extent that such expenditures are not expensed during such Excess Cash Flow Period or are not deducted in arriving at such Consolidated Net Income, to the extent that such expenditure was financed with internally generated cash flow of the Borrower or any Subsidiaries; </w:t>
      </w:r>
      <w:r>
        <w:rPr>
          <w:rFonts w:ascii="Times New Roman;sans-serif" w:hAnsi="Times New Roman;sans-serif"/>
          <w:b w:val="false"/>
          <w:color w:val="000000"/>
          <w:sz w:val="24"/>
          <w:u w:val="single"/>
        </w:rPr>
        <w:t>minus</w:t>
      </w:r>
    </w:p>
    <w:p>
      <w:pPr>
        <w:pStyle w:val="TextBody"/>
        <w:bidi w:val="0"/>
        <w:spacing w:lineRule="auto" w:line="240" w:before="240" w:after="283"/>
        <w:ind w:left="0" w:right="0" w:firstLine="1440"/>
        <w:jc w:val="both"/>
        <w:rPr/>
      </w:pPr>
      <w:r>
        <w:rPr>
          <w:rFonts w:ascii="Times New Roman;sans-serif" w:hAnsi="Times New Roman;sans-serif"/>
          <w:b w:val="false"/>
          <w:color w:val="000000"/>
          <w:sz w:val="24"/>
        </w:rPr>
        <w:t xml:space="preserve">(o)the amount of Taxes (including penalties and interest) paid in cash and/or Tax reserves set aside or payable (without duplication) in such Excess Cash Flow Period to the extent they exceed the amount of Tax expense deducted in arriving at such Consolidated Net Income for such Excess Cash Flow Period; </w:t>
      </w:r>
      <w:r>
        <w:rPr>
          <w:rFonts w:ascii="Times New Roman;sans-serif" w:hAnsi="Times New Roman;sans-serif"/>
          <w:b w:val="false"/>
          <w:color w:val="000000"/>
          <w:sz w:val="24"/>
          <w:u w:val="single"/>
        </w:rPr>
        <w:t>minus</w:t>
      </w:r>
    </w:p>
    <w:p>
      <w:pPr>
        <w:pStyle w:val="TextBody"/>
        <w:bidi w:val="0"/>
        <w:spacing w:lineRule="auto" w:line="240" w:before="240" w:after="283"/>
        <w:ind w:left="0" w:right="0" w:firstLine="1440"/>
        <w:jc w:val="both"/>
        <w:rPr/>
      </w:pPr>
      <w:r>
        <w:rPr>
          <w:rFonts w:ascii="Times New Roman;sans-serif" w:hAnsi="Times New Roman;sans-serif"/>
          <w:b w:val="false"/>
          <w:color w:val="000000"/>
          <w:sz w:val="24"/>
        </w:rPr>
        <w:t xml:space="preserve">(p)amounts excluded under clause (g) of the definition of “Consolidated Net Income” for such Excess Cash Flow Period, to the extent the relevant indemnification, reimbursement or insurance proceeds have not yet been received; </w:t>
      </w:r>
      <w:r>
        <w:rPr>
          <w:rFonts w:ascii="Times New Roman;sans-serif" w:hAnsi="Times New Roman;sans-serif"/>
          <w:b w:val="false"/>
          <w:color w:val="000000"/>
          <w:sz w:val="24"/>
          <w:u w:val="single"/>
        </w:rPr>
        <w:t>minus</w:t>
      </w:r>
    </w:p>
    <w:p>
      <w:pPr>
        <w:pStyle w:val="TextBody"/>
        <w:bidi w:val="0"/>
        <w:spacing w:lineRule="auto" w:line="240" w:before="240"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(q)cash expenditures in respect of Hedging Agreements during such Excess Cash Flow Period to the extent not deducted in arriving at such Consolidated Net Income.</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For purposes of this definition of “Excess Cash Flow,” (i) “deducted in arriving at such Consolidated Net Income” shall mean deducted in calculating the net income (loss) of the Borrower and the Subsidiaries and not thereafter excluded pursuant to the definition of Consolidated Net Income, (ii) “included in arriving at such Consolidated Net Income” shall mean included in calculating the net income (loss) of the Borrower and the Subsidiaries and not thereafter excluded pursuant to the definition of Consolidated Net Income and (iii) amounts shall be deducted from, or added to, Consolidated Net Income without duplication.</w:t>
      </w:r>
    </w:p>
    <w:p>
      <w:pPr>
        <w:pStyle w:val="TextBody"/>
        <w:bidi w:val="0"/>
        <w:spacing w:lineRule="auto" w:line="240" w:before="241" w:after="283"/>
        <w:ind w:left="0" w:right="0" w:firstLine="720"/>
        <w:jc w:val="both"/>
        <w:rPr/>
      </w:pPr>
      <w:r>
        <w:rPr>
          <w:color w:val="000000"/>
        </w:rPr>
        <w:t>“</w:t>
      </w:r>
      <w:r>
        <w:rPr>
          <w:rFonts w:ascii="Times New Roman;sans-serif" w:hAnsi="Times New Roman;sans-serif"/>
          <w:b w:val="false"/>
          <w:color w:val="000000"/>
          <w:sz w:val="24"/>
          <w:u w:val="single"/>
        </w:rPr>
        <w:t>Excess Cash Flow Period</w:t>
      </w:r>
      <w:r>
        <w:rPr>
          <w:color w:val="000000"/>
        </w:rPr>
        <w:t xml:space="preserve">” </w:t>
      </w:r>
      <w:r>
        <w:rPr>
          <w:rFonts w:ascii="Times New Roman;sans-serif" w:hAnsi="Times New Roman;sans-serif"/>
          <w:b w:val="false"/>
          <w:color w:val="000000"/>
          <w:sz w:val="24"/>
        </w:rPr>
        <w:t>shall mean each fiscal year of the Borrower, commencing with the fiscal year of the Borrower ending December 31, 2025.</w:t>
      </w:r>
    </w:p>
    <w:p>
      <w:pPr>
        <w:pStyle w:val="TextBody"/>
        <w:bidi w:val="0"/>
        <w:spacing w:lineRule="auto" w:line="240" w:before="238" w:after="283"/>
        <w:jc w:val="center"/>
        <w:rPr/>
      </w:pPr>
      <w:r>
        <w:rPr>
          <w:color w:val="000000"/>
        </w:rPr>
        <w:t>“</w:t>
      </w:r>
      <w:r>
        <w:rPr>
          <w:rFonts w:ascii="Times New Roman;sans-serif" w:hAnsi="Times New Roman;sans-serif"/>
          <w:b w:val="false"/>
          <w:color w:val="000000"/>
          <w:sz w:val="24"/>
          <w:u w:val="single"/>
        </w:rPr>
        <w:t>Exchange Act</w:t>
      </w:r>
      <w:r>
        <w:rPr>
          <w:color w:val="000000"/>
        </w:rPr>
        <w:t xml:space="preserve">” </w:t>
      </w:r>
      <w:r>
        <w:rPr>
          <w:rFonts w:ascii="Times New Roman;sans-serif" w:hAnsi="Times New Roman;sans-serif"/>
          <w:b w:val="false"/>
          <w:color w:val="000000"/>
          <w:sz w:val="24"/>
        </w:rPr>
        <w:t>shall mean the Securities Exchange Act of 1934, as amended.</w:t>
      </w:r>
    </w:p>
    <w:p>
      <w:pPr>
        <w:pStyle w:val="TextBody"/>
        <w:bidi w:val="0"/>
        <w:spacing w:lineRule="auto" w:line="240" w:before="240" w:after="283"/>
        <w:ind w:left="0" w:right="0" w:firstLine="759"/>
        <w:jc w:val="both"/>
        <w:rPr/>
      </w:pPr>
      <w:r>
        <w:rPr>
          <w:color w:val="000000"/>
        </w:rPr>
        <w:t>“</w:t>
      </w:r>
      <w:r>
        <w:rPr>
          <w:rFonts w:ascii="Times New Roman;sans-serif" w:hAnsi="Times New Roman;sans-serif"/>
          <w:b w:val="false"/>
          <w:color w:val="000000"/>
          <w:sz w:val="24"/>
          <w:u w:val="single"/>
        </w:rPr>
        <w:t>Excluded Affiliates</w:t>
      </w:r>
      <w:r>
        <w:rPr>
          <w:color w:val="000000"/>
        </w:rPr>
        <w:t xml:space="preserve">” </w:t>
      </w:r>
      <w:r>
        <w:rPr>
          <w:rFonts w:ascii="Times New Roman;sans-serif" w:hAnsi="Times New Roman;sans-serif"/>
          <w:b w:val="false"/>
          <w:color w:val="000000"/>
          <w:sz w:val="24"/>
        </w:rPr>
        <w:t>shall mean Affiliates of the Lenders that are engaged as principals primarily in private equity, mezzanine financing or venture capital or any of such Affiliate’s respective officers, directors, employees, attorneys, accountants, advisors and other representatives (other than, in each case, such Persons directly engaged by the Borrower or its Affiliates as part of the Transactions and a limited number of senior employees who are required, in accordance with industry regulations or such Lenders’ (or its Affiliates’) internal policies and procedures, to act in a supervisory capacity and such Lenders’ internal legal, compliance, risk management, credit or investment committee members).</w:t>
      </w:r>
    </w:p>
    <w:p>
      <w:pPr>
        <w:pStyle w:val="TextBody"/>
        <w:bidi w:val="0"/>
        <w:spacing w:lineRule="auto" w:line="240" w:before="241" w:after="283"/>
        <w:ind w:left="0" w:right="0" w:firstLine="720"/>
        <w:jc w:val="both"/>
        <w:rPr/>
      </w:pPr>
      <w:r>
        <w:rPr>
          <w:color w:val="000000"/>
        </w:rPr>
        <w:t>“</w:t>
      </w:r>
      <w:r>
        <w:rPr>
          <w:rFonts w:ascii="Times New Roman;sans-serif" w:hAnsi="Times New Roman;sans-serif"/>
          <w:b w:val="false"/>
          <w:color w:val="000000"/>
          <w:sz w:val="24"/>
          <w:u w:val="single"/>
        </w:rPr>
        <w:t>Excluded Incremental Facility</w:t>
      </w:r>
      <w:r>
        <w:rPr>
          <w:color w:val="000000"/>
        </w:rPr>
        <w:t xml:space="preserve">” </w:t>
      </w:r>
      <w:r>
        <w:rPr>
          <w:rFonts w:ascii="Times New Roman;sans-serif" w:hAnsi="Times New Roman;sans-serif"/>
          <w:b w:val="false"/>
          <w:color w:val="000000"/>
          <w:sz w:val="24"/>
        </w:rPr>
        <w:t>means any Incremental Facility (a) that has a stated final maturity date at the time of incurrence thereof that is more than twelve (12) months after the Latest Maturity Date at the time of incurrence thereof or (b) is incurred in connection with a permitted</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6480175" cy="781050"/>
                <wp:effectExtent l="0" t="0" r="0" b="0"/>
                <wp:wrapNone/>
                <wp:docPr id="243" name="Frame242"/>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41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41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Investment (including any subsequent refinancing of Indebtedness acquired, assumed or incurred in connection with a permitted Investment).</w:t>
      </w:r>
    </w:p>
    <w:p>
      <w:pPr>
        <w:pStyle w:val="TextBody"/>
        <w:bidi w:val="0"/>
        <w:spacing w:lineRule="auto" w:line="240" w:before="240" w:after="283"/>
        <w:jc w:val="left"/>
        <w:rPr/>
      </w:pPr>
      <w:r>
        <w:rPr>
          <w:color w:val="000000"/>
        </w:rPr>
        <w:t>“</w:t>
      </w:r>
      <w:r>
        <w:rPr>
          <w:rFonts w:ascii="Times New Roman;sans-serif" w:hAnsi="Times New Roman;sans-serif"/>
          <w:b w:val="false"/>
          <w:color w:val="000000"/>
          <w:sz w:val="24"/>
          <w:u w:val="single"/>
        </w:rPr>
        <w:t>Excluded Indebtedness</w:t>
      </w:r>
      <w:r>
        <w:rPr>
          <w:color w:val="000000"/>
        </w:rPr>
        <w:t xml:space="preserve">” </w:t>
      </w:r>
      <w:r>
        <w:rPr>
          <w:rFonts w:ascii="Times New Roman;sans-serif" w:hAnsi="Times New Roman;sans-serif"/>
          <w:b w:val="false"/>
          <w:color w:val="000000"/>
          <w:sz w:val="24"/>
        </w:rPr>
        <w:t>shall mean all Indebtedness not incurred in violation of Section</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6.01.</w:t>
      </w:r>
    </w:p>
    <w:p>
      <w:pPr>
        <w:pStyle w:val="TextBody"/>
        <w:bidi w:val="0"/>
        <w:spacing w:lineRule="auto" w:line="520" w:before="240" w:after="283"/>
        <w:jc w:val="left"/>
        <w:rPr/>
      </w:pPr>
      <w:r>
        <w:rPr>
          <w:color w:val="000000"/>
        </w:rPr>
        <w:t>“</w:t>
      </w:r>
      <w:r>
        <w:rPr>
          <w:rFonts w:ascii="Times New Roman;sans-serif" w:hAnsi="Times New Roman;sans-serif"/>
          <w:b w:val="false"/>
          <w:color w:val="000000"/>
          <w:sz w:val="24"/>
          <w:u w:val="single"/>
        </w:rPr>
        <w:t>Excluded Property</w:t>
      </w:r>
      <w:r>
        <w:rPr>
          <w:color w:val="000000"/>
        </w:rPr>
        <w:t xml:space="preserve">” </w:t>
      </w:r>
      <w:r>
        <w:rPr>
          <w:rFonts w:ascii="Times New Roman;sans-serif" w:hAnsi="Times New Roman;sans-serif"/>
          <w:b w:val="false"/>
          <w:color w:val="000000"/>
          <w:sz w:val="24"/>
        </w:rPr>
        <w:t>shall have the meaning assigned to such term in Section 5.10. “</w:t>
      </w:r>
      <w:r>
        <w:rPr>
          <w:rFonts w:ascii="Times New Roman;sans-serif" w:hAnsi="Times New Roman;sans-serif"/>
          <w:b w:val="false"/>
          <w:color w:val="000000"/>
          <w:sz w:val="24"/>
          <w:u w:val="single"/>
        </w:rPr>
        <w:t>Excluded Securities</w:t>
      </w:r>
      <w:r>
        <w:rPr>
          <w:color w:val="000000"/>
        </w:rPr>
        <w:t xml:space="preserve">” </w:t>
      </w:r>
      <w:r>
        <w:rPr>
          <w:rFonts w:ascii="Times New Roman;sans-serif" w:hAnsi="Times New Roman;sans-serif"/>
          <w:b w:val="false"/>
          <w:color w:val="000000"/>
          <w:sz w:val="24"/>
        </w:rPr>
        <w:t>shall mean any of the following:</w:t>
      </w:r>
    </w:p>
    <w:p>
      <w:pPr>
        <w:pStyle w:val="TextBody"/>
        <w:bidi w:val="0"/>
        <w:spacing w:lineRule="auto" w:line="240" w:before="0" w:after="0"/>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(a)any Equity Interests or Indebtedness with respect to which the Collateral</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Agent and the Borrower reasonably agree that the cost or other consequences of pledging such Equity Interests or Indebtedness in favor of the Secured Parties under the Security Documents (including Tax consequences) are likely to be excessive in relation to the value to be afforded thereby;</w:t>
      </w:r>
    </w:p>
    <w:p>
      <w:pPr>
        <w:pStyle w:val="TextBody"/>
        <w:bidi w:val="0"/>
        <w:spacing w:lineRule="auto" w:line="240" w:before="240"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(b)any Equity Interests or Indebtedness to the extent, and for so long as, the pledge thereof would be prohibited by any Requirement of Law (other than to the extent such prohibition is rendered ineffective under the Uniform Commercial Code or any other Requirement of Law notwithstanding such prohibition);</w:t>
      </w:r>
    </w:p>
    <w:p>
      <w:pPr>
        <w:pStyle w:val="TextBody"/>
        <w:bidi w:val="0"/>
        <w:spacing w:lineRule="auto" w:line="240" w:before="240" w:after="283"/>
        <w:ind w:left="0" w:right="0" w:firstLine="1440"/>
        <w:jc w:val="both"/>
        <w:rPr/>
      </w:pPr>
      <w:r>
        <w:rPr>
          <w:rFonts w:ascii="Times New Roman;sans-serif" w:hAnsi="Times New Roman;sans-serif"/>
          <w:b w:val="false"/>
          <w:color w:val="000000"/>
          <w:sz w:val="24"/>
        </w:rPr>
        <w:t xml:space="preserve">(c)any Equity Interests of any person that is not the Borrower or a Wholly- Owned Subsidiary to the extent (A) that a pledge thereof to secure the Secured Obligations (as defined in the Collateral Agreement) is prohibited by (i) any applicable organizational documents, joint venture agreement, shareholder agreement or similar agreement or (ii) any other contractual obligation with an unaffiliated third party not in violation of Section 6.08 that was existing on the Closing Date or at the time of the acquisition of such subsidiary and was not created in contemplation of such acquisition, but, in the case of this subclause (A), only to the extent, and for so long as, such prohibition is not terminated or rendered unenforceable or otherwise deemed ineffective by the Uniform Commercial Code or any other Requirement of Law, (B) any organizational documents, joint venture agreement, shareholder agreement or similar agreement (or other contractual obligation referred to in subclause (A)(ii) above) prohibits such a pledge without the consent of any other party;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that this clause (B) shall not apply if (1) such other party is a Loan Party or a Wholly-Owned Subsidiary, (2) consent has been obtained to consummate such pledge (it being understood that the foregoing shall not be deemed to obligate the Borrower or any Subsidiary to obtain any such consent) and for so long as such organizational documents, joint venture agreement, shareholder agreement or similar agreement (or other contractual obligation referred to in subclause (A)(ii) above) or replacement or renewal thereof is in effect or (3) such prohibition is terminated or rendered unenforceable or otherwise deemed ineffective by the Uniform Commercial Code or any other Requirement of Law, or (C) a pledge thereof to secure the Secured Obligations would give any other party (other than a Loan Party or a Wholly-Owned Subsidiary) to any organizational documents, joint venture agreement, shareholder agreement or similar agreement governing such Equity Interests the right to terminate its obligations thereunder, but only to the extent, and for so long as, such right of termination is not terminated or rendered unenforceable or otherwise deemed ineffective by the Uniform Commercial Code or any other Requirement of Law;</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6480175" cy="781050"/>
                <wp:effectExtent l="0" t="0" r="0" b="0"/>
                <wp:wrapNone/>
                <wp:docPr id="244" name="Frame243"/>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42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42</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(d)any Equity Interests of any Immaterial Subsidiary (except to the extent perfected by filing of a UCC financing statement), Insurance Subsidiary or Unrestricted Subsidiary;</w:t>
      </w:r>
    </w:p>
    <w:p>
      <w:pPr>
        <w:pStyle w:val="TextBody"/>
        <w:bidi w:val="0"/>
        <w:spacing w:lineRule="auto" w:line="240" w:before="240" w:after="283"/>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(e)any Margin Stock;</w:t>
      </w:r>
    </w:p>
    <w:p>
      <w:pPr>
        <w:pStyle w:val="TextBody"/>
        <w:bidi w:val="0"/>
        <w:spacing w:lineRule="auto" w:line="240" w:before="240"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(f)(i) voting Equity Interests (and any other interests constituting “voting stock” within the meaning of Treasury Regulation Section 1.956-2(c)(2)) in excess of 65% of all such voting Equity Interests in any CFC or FSHCO directly owned by the Borrower or a Guarantor; and</w:t>
      </w:r>
    </w:p>
    <w:p>
      <w:pPr>
        <w:pStyle w:val="TextBody"/>
        <w:bidi w:val="0"/>
        <w:spacing w:lineRule="auto" w:line="240" w:before="240"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(g)voting Equity Interests (and any other interests constituting “voting stock” within the meaning of Treasury Regulation Section 1.956-2(c)(2)) constituting more than (i) 65% of the voting Equity Interests and (ii) 100% of non-voting Equity Interests, in each case of any entity that is treated as a “disregarded entity” and is a FSHCO.</w:t>
      </w:r>
    </w:p>
    <w:p>
      <w:pPr>
        <w:pStyle w:val="TextBody"/>
        <w:bidi w:val="0"/>
        <w:spacing w:lineRule="auto" w:line="240" w:before="240" w:after="283"/>
        <w:jc w:val="left"/>
        <w:rPr/>
      </w:pPr>
      <w:r>
        <w:rPr>
          <w:color w:val="000000"/>
        </w:rPr>
        <w:t>“</w:t>
      </w:r>
      <w:r>
        <w:rPr>
          <w:rFonts w:ascii="Times New Roman;sans-serif" w:hAnsi="Times New Roman;sans-serif"/>
          <w:b w:val="false"/>
          <w:color w:val="000000"/>
          <w:sz w:val="24"/>
          <w:u w:val="single"/>
        </w:rPr>
        <w:t>Excluded Subsidiary</w:t>
      </w:r>
      <w:r>
        <w:rPr>
          <w:color w:val="000000"/>
        </w:rPr>
        <w:t xml:space="preserve">” </w:t>
      </w:r>
      <w:r>
        <w:rPr>
          <w:rFonts w:ascii="Times New Roman;sans-serif" w:hAnsi="Times New Roman;sans-serif"/>
          <w:b w:val="false"/>
          <w:color w:val="000000"/>
          <w:sz w:val="24"/>
        </w:rPr>
        <w:t>shall mean any of the following:</w:t>
      </w:r>
    </w:p>
    <w:p>
      <w:pPr>
        <w:pStyle w:val="TextBody"/>
        <w:bidi w:val="0"/>
        <w:spacing w:lineRule="auto" w:line="240" w:before="240" w:after="283"/>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(a)each Immaterial Subsidiary,</w:t>
      </w:r>
    </w:p>
    <w:p>
      <w:pPr>
        <w:pStyle w:val="TextBody"/>
        <w:bidi w:val="0"/>
        <w:spacing w:lineRule="auto" w:line="240" w:before="240"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(b)each Domestic Subsidiary that is a non-Wholly-Owned Subsidiary (for so long as such Subsidiary remains a non-Wholly-Owned Subsidiary),</w:t>
      </w:r>
    </w:p>
    <w:p>
      <w:pPr>
        <w:pStyle w:val="TextBody"/>
        <w:bidi w:val="0"/>
        <w:spacing w:lineRule="auto" w:line="240" w:before="240"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(c)each Domestic Subsidiary that is prohibited from Guaranteeing or granting Liens to secure the Obligations by any Requirement of Law or that would require consent, approval, license or authorization of a Governmental Authority or other third party (other than the Borrower or a Wholly-Owned Subsidiary) to Guarantee or grant Liens to secure the Obligations (unless such consent, approval, license or authorization has been received, it being understood that the Borrower and its Subsidiaries shall have no obligation to obtain any such consent, approval, license or authorization),</w:t>
      </w:r>
    </w:p>
    <w:p>
      <w:pPr>
        <w:pStyle w:val="TextBody"/>
        <w:bidi w:val="0"/>
        <w:spacing w:lineRule="auto" w:line="240" w:before="241"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(d)each Domestic Subsidiary acquired pursuant to a Permitted Business Acquisition or other Investment permitted hereunder that, at the time of such Permitted Business Acquisition or other Investment, has assumed Indebtedness not incurred in contemplation of such Permitted Business Acquisition or other Investment and each subsidiary that is a subsidiary thereof that guarantees such Indebtedness, in each case, to the extent such Indebtedness prohibits such Subsidiary from becoming a Guarantor,</w:t>
      </w:r>
    </w:p>
    <w:p>
      <w:pPr>
        <w:pStyle w:val="TextBody"/>
        <w:bidi w:val="0"/>
        <w:spacing w:lineRule="auto" w:line="240" w:before="239" w:after="283"/>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(e)any Foreign Subsidiary (including for the avoidance of doubt any CFC),</w:t>
      </w:r>
    </w:p>
    <w:p>
      <w:pPr>
        <w:pStyle w:val="TextBody"/>
        <w:bidi w:val="0"/>
        <w:spacing w:lineRule="auto" w:line="240" w:before="240"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(f)any Domestic Subsidiary that is a subsidiary of a Foreign Subsidiary that is either a CFC or a FSHCO,</w:t>
      </w:r>
    </w:p>
    <w:p>
      <w:pPr>
        <w:pStyle w:val="TextBody"/>
        <w:bidi w:val="0"/>
        <w:spacing w:lineRule="auto" w:line="240" w:before="240" w:after="283"/>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(g)any Subsidiary that is a FSHCO,</w:t>
      </w:r>
    </w:p>
    <w:p>
      <w:pPr>
        <w:pStyle w:val="TextBody"/>
        <w:bidi w:val="0"/>
        <w:spacing w:lineRule="auto" w:line="240" w:before="240"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(h)any other Domestic Subsidiary with respect to which the Collateral Agent and the Borrower reasonably agree that the cost or other consequences (including Tax</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6480175" cy="781050"/>
                <wp:effectExtent l="0" t="0" r="0" b="0"/>
                <wp:wrapNone/>
                <wp:docPr id="245" name="Frame244"/>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43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43</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consequences) of providing a Guarantee to secure the Obligations are likely to be excessive in relation to the value to be afforded thereby,</w:t>
      </w:r>
    </w:p>
    <w:p>
      <w:pPr>
        <w:pStyle w:val="TextBody"/>
        <w:bidi w:val="0"/>
        <w:spacing w:lineRule="auto" w:line="240" w:before="240" w:after="283"/>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(i)each Unrestricted Subsidiary,</w:t>
      </w:r>
    </w:p>
    <w:p>
      <w:pPr>
        <w:pStyle w:val="TextBody"/>
        <w:bidi w:val="0"/>
        <w:spacing w:lineRule="auto" w:line="240" w:before="240" w:after="283"/>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(j)each Insurance Subsidiary,</w:t>
      </w:r>
    </w:p>
    <w:p>
      <w:pPr>
        <w:pStyle w:val="TextBody"/>
        <w:bidi w:val="0"/>
        <w:spacing w:lineRule="auto" w:line="240" w:before="240" w:after="283"/>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(k)each special purpose entity,</w:t>
      </w:r>
    </w:p>
    <w:p>
      <w:pPr>
        <w:pStyle w:val="TextBody"/>
        <w:bidi w:val="0"/>
        <w:spacing w:lineRule="auto" w:line="240" w:before="240" w:after="283"/>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(l)each not-for-profit subsidiary,</w:t>
      </w:r>
    </w:p>
    <w:p>
      <w:pPr>
        <w:pStyle w:val="TextBody"/>
        <w:bidi w:val="0"/>
        <w:spacing w:lineRule="auto" w:line="240" w:before="240" w:after="283"/>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(m)each receivables subsidiary, and</w:t>
      </w:r>
    </w:p>
    <w:p>
      <w:pPr>
        <w:pStyle w:val="TextBody"/>
        <w:bidi w:val="0"/>
        <w:spacing w:lineRule="auto" w:line="240" w:before="240" w:after="283"/>
        <w:ind w:left="0" w:right="0" w:hanging="720"/>
        <w:jc w:val="left"/>
        <w:rPr/>
      </w:pPr>
      <w:r>
        <w:rPr>
          <w:rFonts w:ascii="Times New Roman;sans-serif" w:hAnsi="Times New Roman;sans-serif"/>
          <w:b w:val="false"/>
          <w:color w:val="000000"/>
          <w:sz w:val="24"/>
        </w:rPr>
        <w:t xml:space="preserve">(n)each Subsidiary listed on </w:t>
      </w:r>
      <w:r>
        <w:rPr>
          <w:rFonts w:ascii="Times New Roman;sans-serif" w:hAnsi="Times New Roman;sans-serif"/>
          <w:b w:val="false"/>
          <w:color w:val="000000"/>
          <w:sz w:val="24"/>
          <w:u w:val="single"/>
        </w:rPr>
        <w:t>Schedule 1.01A</w:t>
      </w:r>
      <w:r>
        <w:rPr>
          <w:color w:val="000000"/>
        </w:rPr>
        <w:t xml:space="preserve"> </w:t>
      </w:r>
      <w:r>
        <w:rPr>
          <w:rFonts w:ascii="Times New Roman;sans-serif" w:hAnsi="Times New Roman;sans-serif"/>
          <w:b w:val="false"/>
          <w:color w:val="000000"/>
          <w:sz w:val="24"/>
        </w:rPr>
        <w:t>hereto.</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val="false"/>
          <w:color w:val="000000"/>
          <w:sz w:val="24"/>
          <w:u w:val="single"/>
        </w:rPr>
        <w:t>Excluded Swap Obligation</w:t>
      </w:r>
      <w:r>
        <w:rPr>
          <w:color w:val="000000"/>
        </w:rPr>
        <w:t xml:space="preserve">” </w:t>
      </w:r>
      <w:r>
        <w:rPr>
          <w:rFonts w:ascii="Times New Roman;sans-serif" w:hAnsi="Times New Roman;sans-serif"/>
          <w:b w:val="false"/>
          <w:color w:val="000000"/>
          <w:sz w:val="24"/>
        </w:rPr>
        <w:t>shall mean, with respect to any Guarantor, any Swap Obligation if, and to the extent that, all or a portion of the Guarantee of such Guarantor of, or the grant by such Guarantor of a security interest to secure, such Swap Obligation (or any Guarantee thereof) is or becomes illegal under the Commodity Exchange Act or any rule, regulation or order of the Commodity Futures Trading Commission (or the application or official interpretation of any thereof) by virtue of (a) such Guarantor’s failure for any reason to constitute an “eligible contract participant” as defined in the Commodity Exchange Act and the regulations thereunder or (b) in the case of a Swap Obligation subject to a clearing requirement pursuant to Section 2(h) of the Commodity Exchange Act (or any successor provision thereto), because such Guarantor is a “financial entity,” as defined in Section 2(h)(7)(C)(i) of the Commodity Exchange Act (or any successor provision thereto), in each case at the time the Guarantee of such Guarantor or the grant of such security interest becomes effective with respect to such Swap Obligation, unless otherwise agreed between the Collateral Agent and the Borrower. If a Swap Obligation arises under a master agreement governing more than one swap, such exclusion shall apply only to the portion of such Swap Obligation that is attributable to swaps for which such Guarantee or security interest is or becomes illegal.</w:t>
      </w:r>
    </w:p>
    <w:p>
      <w:pPr>
        <w:pStyle w:val="TextBody"/>
        <w:bidi w:val="0"/>
        <w:spacing w:lineRule="auto" w:line="240" w:before="241" w:after="283"/>
        <w:ind w:left="0" w:right="0" w:firstLine="720"/>
        <w:jc w:val="both"/>
        <w:rPr/>
      </w:pPr>
      <w:r>
        <w:rPr>
          <w:color w:val="000000"/>
        </w:rPr>
        <w:t>“</w:t>
      </w:r>
      <w:r>
        <w:rPr>
          <w:rFonts w:ascii="Times New Roman;sans-serif" w:hAnsi="Times New Roman;sans-serif"/>
          <w:b w:val="false"/>
          <w:color w:val="000000"/>
          <w:sz w:val="24"/>
          <w:u w:val="single"/>
        </w:rPr>
        <w:t>Excluded Taxes</w:t>
      </w:r>
      <w:r>
        <w:rPr>
          <w:color w:val="000000"/>
        </w:rPr>
        <w:t xml:space="preserve">” </w:t>
      </w:r>
      <w:r>
        <w:rPr>
          <w:rFonts w:ascii="Times New Roman;sans-serif" w:hAnsi="Times New Roman;sans-serif"/>
          <w:b w:val="false"/>
          <w:color w:val="000000"/>
          <w:sz w:val="24"/>
        </w:rPr>
        <w:t>shall mean, with respect to the Administrative Agent, any Lender, any Issuing Bank or any other recipient of any payment to be made by or on account of any obligation of any Loan Party hereunder or under any other Loan Document, any of the following Taxes imposed on or with respect to any such recipient or required to be withheld or deducted from a payment to any such recipient: (i) Taxes imposed on or measured by its net income (however denominated), franchise and similar Taxes, and branch profits Taxes, in each case imposed by a jurisdiction (including any political subdivision thereof) as a result of such recipient being organized in, having its principal office in, being engaged in a trade or business in, or in the case of any Lender, having its applicable Lending Office in, such jurisdiction, or as a result of any other present or former connection with such jurisdiction (other than any such connection arising solely from any Loan Document or any transactions pursuant to any Loan Document), (ii) any branch profits Taxes or similar Taxes imposed by any jurisdiction in which the Borrower is located or carries on a trade or business, (iii) in the case of a Lender, U.S. federal withholding Tax imposed on amounts payable to or for the account of such Lender with respect to an applicable interest in a Loan or a Commitment pursuant to laws in force at the time such Lender acquires such interest in the Loan or Commitment or, to the extent a Lender acquires an interest in a Loan not funded</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6480175" cy="781050"/>
                <wp:effectExtent l="0" t="0" r="0" b="0"/>
                <wp:wrapNone/>
                <wp:docPr id="246" name="Frame245"/>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44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44</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jc w:val="both"/>
        <w:rPr>
          <w:rFonts w:ascii="Times New Roman;sans-serif" w:hAnsi="Times New Roman;sans-serif"/>
          <w:b w:val="false"/>
          <w:color w:val="000000"/>
          <w:sz w:val="24"/>
        </w:rPr>
      </w:pPr>
      <w:r>
        <w:rPr>
          <w:rFonts w:ascii="Times New Roman;sans-serif" w:hAnsi="Times New Roman;sans-serif"/>
          <w:b w:val="false"/>
          <w:color w:val="000000"/>
          <w:sz w:val="24"/>
        </w:rPr>
        <w:t>pursuant to a prior Commitment, acquires such interest in such Loan (other than to the extent such Lender is an assignee pursuant to a request by the Borrower under Section 2.19(b) or 2.19(c)) or designates a new Lending Office, except in each case to the extent that such Lender (or its assignor, if any) was entitled, immediately prior to the designation of a new Lending Office (or assignment), to receive additional amounts or indemnification payments from any Loan Party with respect to such withholding Tax pursuant to Section 2.17, (iv) any Tax attributable to the Administrative Agent’s, any Lender’s, any Issuing Bank’s or any other recipient’s failure to comply with Section 2.17(d) or Section 2.17(f) and (v) any Tax imposed under FATCA.</w:t>
      </w:r>
    </w:p>
    <w:p>
      <w:pPr>
        <w:pStyle w:val="TextBody"/>
        <w:bidi w:val="0"/>
        <w:spacing w:lineRule="auto" w:line="592" w:before="6" w:after="283"/>
        <w:jc w:val="both"/>
        <w:rPr/>
      </w:pPr>
      <w:r>
        <w:rPr>
          <w:color w:val="000000"/>
        </w:rPr>
        <w:t>“</w:t>
      </w:r>
      <w:r>
        <w:rPr>
          <w:rFonts w:ascii="Times New Roman;sans-serif" w:hAnsi="Times New Roman;sans-serif"/>
          <w:b w:val="false"/>
          <w:color w:val="000000"/>
          <w:sz w:val="24"/>
          <w:u w:val="single"/>
        </w:rPr>
        <w:t>Existing Class Loans</w:t>
      </w:r>
      <w:r>
        <w:rPr>
          <w:color w:val="000000"/>
        </w:rPr>
        <w:t xml:space="preserve">” </w:t>
      </w:r>
      <w:r>
        <w:rPr>
          <w:rFonts w:ascii="Times New Roman;sans-serif" w:hAnsi="Times New Roman;sans-serif"/>
          <w:b w:val="false"/>
          <w:color w:val="000000"/>
          <w:sz w:val="24"/>
        </w:rPr>
        <w:t>shall have the meaning assigned to such term in Section 9.08(f). “</w:t>
      </w:r>
      <w:r>
        <w:rPr>
          <w:rFonts w:ascii="Times New Roman;sans-serif" w:hAnsi="Times New Roman;sans-serif"/>
          <w:b w:val="false"/>
          <w:color w:val="000000"/>
          <w:sz w:val="24"/>
          <w:u w:val="single"/>
        </w:rPr>
        <w:t>Existing Letters of Credit</w:t>
      </w:r>
      <w:r>
        <w:rPr>
          <w:color w:val="000000"/>
        </w:rPr>
        <w:t xml:space="preserve">” </w:t>
      </w:r>
      <w:r>
        <w:rPr>
          <w:rFonts w:ascii="Times New Roman;sans-serif" w:hAnsi="Times New Roman;sans-serif"/>
          <w:b w:val="false"/>
          <w:color w:val="000000"/>
          <w:sz w:val="24"/>
        </w:rPr>
        <w:t>shall have the meaning assigned to such term in Section</w:t>
      </w:r>
    </w:p>
    <w:p>
      <w:pPr>
        <w:pStyle w:val="TextBody"/>
        <w:bidi w:val="0"/>
        <w:spacing w:lineRule="auto" w:line="240" w:before="6" w:after="283"/>
        <w:jc w:val="left"/>
        <w:rPr>
          <w:rFonts w:ascii="Times New Roman;sans-serif" w:hAnsi="Times New Roman;sans-serif"/>
          <w:b w:val="false"/>
          <w:color w:val="000000"/>
          <w:sz w:val="24"/>
        </w:rPr>
      </w:pPr>
      <w:r>
        <w:rPr>
          <w:rFonts w:ascii="Times New Roman;sans-serif" w:hAnsi="Times New Roman;sans-serif"/>
          <w:b w:val="false"/>
          <w:color w:val="000000"/>
          <w:sz w:val="24"/>
        </w:rPr>
        <w:t>2.05(a)(i).</w:t>
      </w:r>
    </w:p>
    <w:p>
      <w:pPr>
        <w:pStyle w:val="TextBody"/>
        <w:bidi w:val="0"/>
        <w:spacing w:lineRule="auto" w:line="240" w:before="240" w:after="283"/>
        <w:ind w:left="0" w:right="0" w:firstLine="720"/>
        <w:jc w:val="left"/>
        <w:rPr/>
      </w:pPr>
      <w:r>
        <w:rPr>
          <w:color w:val="000000"/>
        </w:rPr>
        <w:t>“</w:t>
      </w:r>
      <w:r>
        <w:rPr>
          <w:rFonts w:ascii="Times New Roman;sans-serif" w:hAnsi="Times New Roman;sans-serif"/>
          <w:b w:val="false"/>
          <w:color w:val="000000"/>
          <w:sz w:val="24"/>
          <w:u w:val="single"/>
        </w:rPr>
        <w:t>Expected Cost Savings</w:t>
      </w:r>
      <w:r>
        <w:rPr>
          <w:color w:val="000000"/>
        </w:rPr>
        <w:t xml:space="preserve">” </w:t>
      </w:r>
      <w:r>
        <w:rPr>
          <w:rFonts w:ascii="Times New Roman;sans-serif" w:hAnsi="Times New Roman;sans-serif"/>
          <w:b w:val="false"/>
          <w:color w:val="000000"/>
          <w:sz w:val="24"/>
        </w:rPr>
        <w:t>shall have the meaning assigned to such term in the definition of the term “EBITDA”.</w:t>
      </w:r>
    </w:p>
    <w:p>
      <w:pPr>
        <w:pStyle w:val="TextBody"/>
        <w:bidi w:val="0"/>
        <w:spacing w:lineRule="auto" w:line="240" w:before="240" w:after="283"/>
        <w:ind w:left="0" w:right="0" w:firstLine="720"/>
        <w:jc w:val="left"/>
        <w:rPr/>
      </w:pPr>
      <w:r>
        <w:rPr>
          <w:color w:val="000000"/>
        </w:rPr>
        <w:t>“</w:t>
      </w:r>
      <w:r>
        <w:rPr>
          <w:rFonts w:ascii="Times New Roman;sans-serif" w:hAnsi="Times New Roman;sans-serif"/>
          <w:b w:val="false"/>
          <w:color w:val="000000"/>
          <w:sz w:val="24"/>
          <w:u w:val="single"/>
        </w:rPr>
        <w:t>Extended Revolving Facility Commitment</w:t>
      </w:r>
      <w:r>
        <w:rPr>
          <w:color w:val="000000"/>
        </w:rPr>
        <w:t xml:space="preserve">” </w:t>
      </w:r>
      <w:r>
        <w:rPr>
          <w:rFonts w:ascii="Times New Roman;sans-serif" w:hAnsi="Times New Roman;sans-serif"/>
          <w:b w:val="false"/>
          <w:color w:val="000000"/>
          <w:sz w:val="24"/>
        </w:rPr>
        <w:t>shall have the meaning assigned to such term in Section 2.22(a).</w:t>
      </w:r>
    </w:p>
    <w:p>
      <w:pPr>
        <w:pStyle w:val="TextBody"/>
        <w:bidi w:val="0"/>
        <w:spacing w:lineRule="auto" w:line="240" w:before="240" w:after="283"/>
        <w:ind w:left="0" w:right="0" w:firstLine="720"/>
        <w:jc w:val="left"/>
        <w:rPr/>
      </w:pPr>
      <w:r>
        <w:rPr>
          <w:color w:val="000000"/>
        </w:rPr>
        <w:t>“</w:t>
      </w:r>
      <w:r>
        <w:rPr>
          <w:rFonts w:ascii="Times New Roman;sans-serif" w:hAnsi="Times New Roman;sans-serif"/>
          <w:b w:val="false"/>
          <w:color w:val="000000"/>
          <w:sz w:val="24"/>
          <w:u w:val="single"/>
        </w:rPr>
        <w:t>Extended Revolving Loan</w:t>
      </w:r>
      <w:r>
        <w:rPr>
          <w:color w:val="000000"/>
        </w:rPr>
        <w:t xml:space="preserve">” </w:t>
      </w:r>
      <w:r>
        <w:rPr>
          <w:rFonts w:ascii="Times New Roman;sans-serif" w:hAnsi="Times New Roman;sans-serif"/>
          <w:b w:val="false"/>
          <w:color w:val="000000"/>
          <w:sz w:val="24"/>
        </w:rPr>
        <w:t>shall have the meaning assigned to such term in Section 2.22(a).</w:t>
      </w:r>
    </w:p>
    <w:p>
      <w:pPr>
        <w:pStyle w:val="TextBody"/>
        <w:bidi w:val="0"/>
        <w:spacing w:lineRule="auto" w:line="520" w:before="240" w:after="283"/>
        <w:jc w:val="left"/>
        <w:rPr/>
      </w:pPr>
      <w:r>
        <w:rPr>
          <w:color w:val="000000"/>
        </w:rPr>
        <w:t>“</w:t>
      </w:r>
      <w:r>
        <w:rPr>
          <w:rFonts w:ascii="Times New Roman;sans-serif" w:hAnsi="Times New Roman;sans-serif"/>
          <w:b w:val="false"/>
          <w:color w:val="000000"/>
          <w:sz w:val="24"/>
          <w:u w:val="single"/>
        </w:rPr>
        <w:t>Extended Term Loan</w:t>
      </w:r>
      <w:r>
        <w:rPr>
          <w:color w:val="000000"/>
        </w:rPr>
        <w:t xml:space="preserve">” </w:t>
      </w:r>
      <w:r>
        <w:rPr>
          <w:rFonts w:ascii="Times New Roman;sans-serif" w:hAnsi="Times New Roman;sans-serif"/>
          <w:b w:val="false"/>
          <w:color w:val="000000"/>
          <w:sz w:val="24"/>
        </w:rPr>
        <w:t>shall have the meaning assigned to such term in Section 2.22(a). “</w:t>
      </w:r>
      <w:r>
        <w:rPr>
          <w:rFonts w:ascii="Times New Roman;sans-serif" w:hAnsi="Times New Roman;sans-serif"/>
          <w:b w:val="false"/>
          <w:color w:val="000000"/>
          <w:sz w:val="24"/>
          <w:u w:val="single"/>
        </w:rPr>
        <w:t>Extending Lender</w:t>
      </w:r>
      <w:r>
        <w:rPr>
          <w:color w:val="000000"/>
        </w:rPr>
        <w:t xml:space="preserve">” </w:t>
      </w:r>
      <w:r>
        <w:rPr>
          <w:rFonts w:ascii="Times New Roman;sans-serif" w:hAnsi="Times New Roman;sans-serif"/>
          <w:b w:val="false"/>
          <w:color w:val="000000"/>
          <w:sz w:val="24"/>
        </w:rPr>
        <w:t>shall have the meaning assigned to such term in Section 2.22(a). “</w:t>
      </w:r>
      <w:r>
        <w:rPr>
          <w:rFonts w:ascii="Times New Roman;sans-serif" w:hAnsi="Times New Roman;sans-serif"/>
          <w:b w:val="false"/>
          <w:color w:val="000000"/>
          <w:sz w:val="24"/>
          <w:u w:val="single"/>
        </w:rPr>
        <w:t>Extension</w:t>
      </w:r>
      <w:r>
        <w:rPr>
          <w:color w:val="000000"/>
        </w:rPr>
        <w:t xml:space="preserve">” </w:t>
      </w:r>
      <w:r>
        <w:rPr>
          <w:rFonts w:ascii="Times New Roman;sans-serif" w:hAnsi="Times New Roman;sans-serif"/>
          <w:b w:val="false"/>
          <w:color w:val="000000"/>
          <w:sz w:val="24"/>
        </w:rPr>
        <w:t>shall have the meaning assigned to such term in Section 2.22(a).</w:t>
      </w:r>
    </w:p>
    <w:p>
      <w:pPr>
        <w:pStyle w:val="TextBody"/>
        <w:bidi w:val="0"/>
        <w:spacing w:lineRule="auto" w:line="276" w:before="0" w:after="0"/>
        <w:jc w:val="left"/>
        <w:rPr/>
      </w:pPr>
      <w:r>
        <w:rPr>
          <w:color w:val="000000"/>
        </w:rPr>
        <w:t>“</w:t>
      </w:r>
      <w:r>
        <w:rPr>
          <w:rFonts w:ascii="Times New Roman;sans-serif" w:hAnsi="Times New Roman;sans-serif"/>
          <w:b w:val="false"/>
          <w:color w:val="000000"/>
          <w:sz w:val="24"/>
          <w:u w:val="single"/>
        </w:rPr>
        <w:t>Extension Amendment</w:t>
      </w:r>
      <w:r>
        <w:rPr>
          <w:color w:val="000000"/>
        </w:rPr>
        <w:t xml:space="preserve">” </w:t>
      </w:r>
      <w:r>
        <w:rPr>
          <w:rFonts w:ascii="Times New Roman;sans-serif" w:hAnsi="Times New Roman;sans-serif"/>
          <w:b w:val="false"/>
          <w:color w:val="000000"/>
          <w:sz w:val="24"/>
        </w:rPr>
        <w:t>shall have the meaning assigned to that term in Section 2.22(b).</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val="false"/>
          <w:color w:val="000000"/>
          <w:sz w:val="24"/>
          <w:u w:val="single"/>
        </w:rPr>
        <w:t>Facility</w:t>
      </w:r>
      <w:r>
        <w:rPr>
          <w:color w:val="000000"/>
        </w:rPr>
        <w:t xml:space="preserve">” </w:t>
      </w:r>
      <w:r>
        <w:rPr>
          <w:rFonts w:ascii="Times New Roman;sans-serif" w:hAnsi="Times New Roman;sans-serif"/>
          <w:b w:val="false"/>
          <w:color w:val="000000"/>
          <w:sz w:val="24"/>
        </w:rPr>
        <w:t>shall mean the respective facility and commitments utilized in making Loans and credit extensions hereunder, it being understood that, as of the Closing Date there are two Facilities (i.e., the Initial Term Facility and the Revolving Facility) and thereafter, the term “Facility” may include any other Class of Commitments and the extensions of credit thereunder or, without duplication, Term Loans.</w:t>
      </w:r>
    </w:p>
    <w:p>
      <w:pPr>
        <w:pStyle w:val="TextBody"/>
        <w:bidi w:val="0"/>
        <w:spacing w:lineRule="auto" w:line="240" w:before="239" w:after="283"/>
        <w:ind w:left="0" w:right="0" w:firstLine="720"/>
        <w:jc w:val="both"/>
        <w:rPr/>
      </w:pPr>
      <w:r>
        <w:rPr>
          <w:color w:val="000000"/>
        </w:rPr>
        <w:t>“</w:t>
      </w:r>
      <w:r>
        <w:rPr>
          <w:rFonts w:ascii="Times New Roman;sans-serif" w:hAnsi="Times New Roman;sans-serif"/>
          <w:b w:val="false"/>
          <w:color w:val="000000"/>
          <w:sz w:val="24"/>
          <w:u w:val="single"/>
        </w:rPr>
        <w:t>Fair Market Value</w:t>
      </w:r>
      <w:r>
        <w:rPr>
          <w:color w:val="000000"/>
        </w:rPr>
        <w:t xml:space="preserve">” </w:t>
      </w:r>
      <w:r>
        <w:rPr>
          <w:rFonts w:ascii="Times New Roman;sans-serif" w:hAnsi="Times New Roman;sans-serif"/>
          <w:b w:val="false"/>
          <w:color w:val="000000"/>
          <w:sz w:val="24"/>
        </w:rPr>
        <w:t>shall mean, with respect to any asset or property, the price that could be negotiated in an arms’-length transaction between a willing seller and a willing buyer, neither of whom is under undue pressure or compulsion to complete the transaction (as determined in good faith by the management of the Borrower), including, at the option of the Borrower, reliance on the most recent real property Tax bill or assessment in the case of Real Property.</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val="false"/>
          <w:color w:val="000000"/>
          <w:sz w:val="24"/>
          <w:u w:val="single"/>
        </w:rPr>
        <w:t>FATCA</w:t>
      </w:r>
      <w:r>
        <w:rPr>
          <w:color w:val="000000"/>
        </w:rPr>
        <w:t xml:space="preserve">” </w:t>
      </w:r>
      <w:r>
        <w:rPr>
          <w:rFonts w:ascii="Times New Roman;sans-serif" w:hAnsi="Times New Roman;sans-serif"/>
          <w:b w:val="false"/>
          <w:color w:val="000000"/>
          <w:sz w:val="24"/>
        </w:rPr>
        <w:t>shall mean Sections 1471 through 1474 of the Code, as of the date of this Agreement (or any amended or successor version that is substantively comparable and not materially more onerous to comply with), any current or future Treasury regulations promulgated thereunder or official administrative interpretations thereof, any agreements entered into pursuant to Section 1471(b)(1) of the Code, or any legislation, rules or practices adopted pursuant to any</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6480175" cy="781050"/>
                <wp:effectExtent l="0" t="0" r="0" b="0"/>
                <wp:wrapNone/>
                <wp:docPr id="247" name="Frame246"/>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45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45</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intergovernmental agreement, treaty or convention entered into in connection with the implementation of such Sections of the Code.</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val="false"/>
          <w:color w:val="000000"/>
          <w:sz w:val="24"/>
          <w:u w:val="single"/>
        </w:rPr>
        <w:t>Federal Funds Rate</w:t>
      </w:r>
      <w:r>
        <w:rPr>
          <w:color w:val="000000"/>
        </w:rPr>
        <w:t xml:space="preserve">” </w:t>
      </w:r>
      <w:r>
        <w:rPr>
          <w:rFonts w:ascii="Times New Roman;sans-serif" w:hAnsi="Times New Roman;sans-serif"/>
          <w:b w:val="false"/>
          <w:color w:val="000000"/>
          <w:sz w:val="24"/>
        </w:rPr>
        <w:t xml:space="preserve">shall mean, for any day, the rate per annum equal to the weighted average of the rates on overnight Federal funds transactions with members of the Federal Reserve System, as published by the Federal Reserve Bank of New York on the Business Day next succeeding such day;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(a) if such day is not a Business Day, the Federal Funds Rate for such day shall be such rate on such transactions on the next preceding Business Day as so published on the next succeeding Business Day, and (b) if no such rate is so published on such next succeeding Business Day, the Federal Funds Rate for such day shall be the average rate (rounded upward, if necessary, to a whole multiple of 1/100 of 1%) charged to the Administrative Agent on such day on such transactions as determined by the Administrative Agent;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if the Federal Funds Rate on any day would otherwise be less than 0%, then the Federal Funds Rate on such day shall be deemed to be 0%.</w:t>
      </w:r>
    </w:p>
    <w:p>
      <w:pPr>
        <w:pStyle w:val="TextBody"/>
        <w:bidi w:val="0"/>
        <w:spacing w:lineRule="auto" w:line="240" w:before="240" w:after="283"/>
        <w:ind w:left="0" w:right="0" w:firstLine="720"/>
        <w:jc w:val="left"/>
        <w:rPr/>
      </w:pPr>
      <w:r>
        <w:rPr>
          <w:color w:val="000000"/>
        </w:rPr>
        <w:t>“</w:t>
      </w:r>
      <w:r>
        <w:rPr>
          <w:rFonts w:ascii="Times New Roman;sans-serif" w:hAnsi="Times New Roman;sans-serif"/>
          <w:b w:val="false"/>
          <w:color w:val="000000"/>
          <w:sz w:val="24"/>
          <w:u w:val="single"/>
        </w:rPr>
        <w:t>Fees</w:t>
      </w:r>
      <w:r>
        <w:rPr>
          <w:color w:val="000000"/>
        </w:rPr>
        <w:t xml:space="preserve">” </w:t>
      </w:r>
      <w:r>
        <w:rPr>
          <w:rFonts w:ascii="Times New Roman;sans-serif" w:hAnsi="Times New Roman;sans-serif"/>
          <w:b w:val="false"/>
          <w:color w:val="000000"/>
          <w:sz w:val="24"/>
        </w:rPr>
        <w:t>shall mean the Commitment Fees, the L/C Participation Fees, the Issuing Bank Fees and the Administrative Agent Fees.</w:t>
      </w:r>
    </w:p>
    <w:p>
      <w:pPr>
        <w:pStyle w:val="TextBody"/>
        <w:bidi w:val="0"/>
        <w:spacing w:lineRule="auto" w:line="592" w:before="6" w:after="283"/>
        <w:jc w:val="left"/>
        <w:rPr/>
      </w:pPr>
      <w:r>
        <w:rPr>
          <w:color w:val="000000"/>
        </w:rPr>
        <w:t>“</w:t>
      </w:r>
      <w:r>
        <w:rPr>
          <w:rFonts w:ascii="Times New Roman;sans-serif" w:hAnsi="Times New Roman;sans-serif"/>
          <w:b w:val="false"/>
          <w:color w:val="000000"/>
          <w:sz w:val="24"/>
          <w:u w:val="single"/>
        </w:rPr>
        <w:t>Financial Covenant</w:t>
      </w:r>
      <w:r>
        <w:rPr>
          <w:color w:val="000000"/>
        </w:rPr>
        <w:t xml:space="preserve">” </w:t>
      </w:r>
      <w:r>
        <w:rPr>
          <w:rFonts w:ascii="Times New Roman;sans-serif" w:hAnsi="Times New Roman;sans-serif"/>
          <w:b w:val="false"/>
          <w:color w:val="000000"/>
          <w:sz w:val="24"/>
        </w:rPr>
        <w:t>shall mean the covenant of the Borrower set forth in Section 6.10. “</w:t>
      </w:r>
      <w:r>
        <w:rPr>
          <w:rFonts w:ascii="Times New Roman;sans-serif" w:hAnsi="Times New Roman;sans-serif"/>
          <w:b w:val="false"/>
          <w:color w:val="000000"/>
          <w:sz w:val="24"/>
          <w:u w:val="single"/>
        </w:rPr>
        <w:t>Financial Officer</w:t>
      </w:r>
      <w:r>
        <w:rPr>
          <w:color w:val="000000"/>
        </w:rPr>
        <w:t xml:space="preserve">” </w:t>
      </w:r>
      <w:r>
        <w:rPr>
          <w:rFonts w:ascii="Times New Roman;sans-serif" w:hAnsi="Times New Roman;sans-serif"/>
          <w:b w:val="false"/>
          <w:color w:val="000000"/>
          <w:sz w:val="24"/>
        </w:rPr>
        <w:t>of any person shall mean the Chief Financial Officer, principal</w:t>
      </w:r>
    </w:p>
    <w:p>
      <w:pPr>
        <w:pStyle w:val="TextBody"/>
        <w:bidi w:val="0"/>
        <w:spacing w:lineRule="auto" w:line="240" w:before="6" w:after="283"/>
        <w:jc w:val="left"/>
        <w:rPr>
          <w:rFonts w:ascii="Times New Roman;sans-serif" w:hAnsi="Times New Roman;sans-serif"/>
          <w:b w:val="false"/>
          <w:color w:val="000000"/>
          <w:sz w:val="24"/>
        </w:rPr>
      </w:pPr>
      <w:r>
        <w:rPr>
          <w:rFonts w:ascii="Times New Roman;sans-serif" w:hAnsi="Times New Roman;sans-serif"/>
          <w:b w:val="false"/>
          <w:color w:val="000000"/>
          <w:sz w:val="24"/>
        </w:rPr>
        <w:t>accounting officer, Treasurer, Assistant Treasurer, Controller or other executive responsible for the financial affairs of such person.</w:t>
      </w:r>
    </w:p>
    <w:p>
      <w:pPr>
        <w:pStyle w:val="TextBody"/>
        <w:bidi w:val="0"/>
        <w:spacing w:lineRule="auto" w:line="240" w:before="240" w:after="283"/>
        <w:jc w:val="both"/>
        <w:rPr/>
      </w:pPr>
      <w:r>
        <w:rPr>
          <w:color w:val="000000"/>
        </w:rPr>
        <w:t>“</w:t>
      </w:r>
      <w:r>
        <w:rPr>
          <w:rFonts w:ascii="Times New Roman;sans-serif" w:hAnsi="Times New Roman;sans-serif"/>
          <w:b w:val="false"/>
          <w:color w:val="000000"/>
          <w:sz w:val="24"/>
          <w:u w:val="single"/>
        </w:rPr>
        <w:t>First Lien Net Leverage Ratio</w:t>
      </w:r>
      <w:r>
        <w:rPr>
          <w:color w:val="000000"/>
        </w:rPr>
        <w:t xml:space="preserve">” </w:t>
      </w:r>
      <w:r>
        <w:rPr>
          <w:rFonts w:ascii="Times New Roman;sans-serif" w:hAnsi="Times New Roman;sans-serif"/>
          <w:b w:val="false"/>
          <w:color w:val="000000"/>
          <w:sz w:val="24"/>
        </w:rPr>
        <w:t>shall mean, as of any date of determination, the ratio of</w:t>
      </w:r>
    </w:p>
    <w:p>
      <w:pPr>
        <w:pStyle w:val="TextBody"/>
        <w:bidi w:val="0"/>
        <w:spacing w:lineRule="auto" w:line="240" w:before="0" w:after="0"/>
        <w:jc w:val="both"/>
        <w:rPr/>
      </w:pPr>
      <w:r>
        <w:rPr>
          <w:rFonts w:ascii="Times New Roman;sans-serif" w:hAnsi="Times New Roman;sans-serif"/>
          <w:b w:val="false"/>
          <w:color w:val="000000"/>
          <w:sz w:val="24"/>
        </w:rPr>
        <w:t xml:space="preserve">(i)Consolidated Total Debt that is secured by a Lien on any assets of the Borrower or any of its Subsidiaries (other than if secured by Junior Liens) to (ii) EBITDA of the Borrower and its Subsidiaries for the most recently ended Test Period on or prior to such date, all determined on a consolidated basis in accordance with GAAP;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that the First Lien Net Leverage Ratio shall be determined on a Pro Forma Basis.</w:t>
      </w:r>
    </w:p>
    <w:p>
      <w:pPr>
        <w:pStyle w:val="TextBody"/>
        <w:bidi w:val="0"/>
        <w:spacing w:lineRule="auto" w:line="520" w:before="241" w:after="283"/>
        <w:jc w:val="both"/>
        <w:rPr/>
      </w:pPr>
      <w:r>
        <w:rPr>
          <w:color w:val="000000"/>
        </w:rPr>
        <w:t>“</w:t>
      </w:r>
      <w:r>
        <w:rPr>
          <w:rFonts w:ascii="Times New Roman;sans-serif" w:hAnsi="Times New Roman;sans-serif"/>
          <w:b w:val="false"/>
          <w:color w:val="000000"/>
          <w:sz w:val="24"/>
          <w:u w:val="single"/>
        </w:rPr>
        <w:t>Fixed Amounts</w:t>
      </w:r>
      <w:r>
        <w:rPr>
          <w:color w:val="000000"/>
        </w:rPr>
        <w:t xml:space="preserve">” </w:t>
      </w:r>
      <w:r>
        <w:rPr>
          <w:rFonts w:ascii="Times New Roman;sans-serif" w:hAnsi="Times New Roman;sans-serif"/>
          <w:b w:val="false"/>
          <w:color w:val="000000"/>
          <w:sz w:val="24"/>
        </w:rPr>
        <w:t>shall have the meaning assigned to such term in Section 1.09. “</w:t>
      </w:r>
      <w:r>
        <w:rPr>
          <w:rFonts w:ascii="Times New Roman;sans-serif" w:hAnsi="Times New Roman;sans-serif"/>
          <w:b w:val="false"/>
          <w:color w:val="000000"/>
          <w:sz w:val="24"/>
          <w:u w:val="single"/>
        </w:rPr>
        <w:t>Fixed Incremental Amount</w:t>
      </w:r>
      <w:r>
        <w:rPr>
          <w:color w:val="000000"/>
        </w:rPr>
        <w:t xml:space="preserve">” </w:t>
      </w:r>
      <w:r>
        <w:rPr>
          <w:rFonts w:ascii="Times New Roman;sans-serif" w:hAnsi="Times New Roman;sans-serif"/>
          <w:b w:val="false"/>
          <w:color w:val="000000"/>
          <w:sz w:val="24"/>
        </w:rPr>
        <w:t>shall mean, at any time, the sum of:</w:t>
      </w:r>
    </w:p>
    <w:p>
      <w:pPr>
        <w:pStyle w:val="TextBody"/>
        <w:bidi w:val="0"/>
        <w:spacing w:lineRule="auto" w:line="240" w:before="0" w:after="0"/>
        <w:ind w:left="0" w:right="0" w:firstLine="1440"/>
        <w:jc w:val="both"/>
        <w:rPr/>
      </w:pPr>
      <w:r>
        <w:rPr>
          <w:rFonts w:ascii="Times New Roman;sans-serif" w:hAnsi="Times New Roman;sans-serif"/>
          <w:b w:val="false"/>
          <w:color w:val="000000"/>
          <w:sz w:val="24"/>
        </w:rPr>
        <w:t xml:space="preserve">(a)the greater of $195,000,000 and 100% of EBITDA calculated on a Pro Forma Basis, for the most recently ended Test Period of the Borrower, </w:t>
      </w:r>
      <w:r>
        <w:rPr>
          <w:rFonts w:ascii="Times New Roman;sans-serif" w:hAnsi="Times New Roman;sans-serif"/>
          <w:b w:val="false"/>
          <w:color w:val="000000"/>
          <w:sz w:val="24"/>
          <w:u w:val="single"/>
        </w:rPr>
        <w:t>plus</w:t>
      </w:r>
    </w:p>
    <w:p>
      <w:pPr>
        <w:pStyle w:val="TextBody"/>
        <w:bidi w:val="0"/>
        <w:spacing w:lineRule="auto" w:line="240" w:before="238" w:after="283"/>
        <w:ind w:left="0" w:right="0" w:firstLine="1440"/>
        <w:jc w:val="both"/>
        <w:rPr/>
      </w:pPr>
      <w:r>
        <w:rPr>
          <w:rFonts w:ascii="Times New Roman;sans-serif" w:hAnsi="Times New Roman;sans-serif"/>
          <w:b w:val="false"/>
          <w:color w:val="000000"/>
          <w:sz w:val="24"/>
        </w:rPr>
        <w:t xml:space="preserve">(b)the amount of any optional prepayment of any Term Loan in accordance with Section 2.11(a), all voluntary prepayments of Revolving Facility Loans accompanied by corresponding voluntary permanent reductions of Revolving Facility Commitments, any Incremental Facilities or Incremental Equivalent Debt, and any Other First Lien Debt, so long as, in the case of any such optional prepayment or assignment, the relevant prepayment or assignment and/or purchase was not funded with the proceeds of any long-term Indebtedness other than Indebtedness under any revolving credit facility, </w:t>
      </w:r>
      <w:r>
        <w:rPr>
          <w:rFonts w:ascii="Times New Roman;sans-serif" w:hAnsi="Times New Roman;sans-serif"/>
          <w:b w:val="false"/>
          <w:color w:val="000000"/>
          <w:sz w:val="24"/>
          <w:u w:val="single"/>
        </w:rPr>
        <w:t>plus</w:t>
      </w:r>
    </w:p>
    <w:p>
      <w:pPr>
        <w:pStyle w:val="TextBody"/>
        <w:bidi w:val="0"/>
        <w:spacing w:lineRule="auto" w:line="240" w:before="240"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(c)the aggregate principal amount of any Term Loan reduction resulting from any assignment of such Term Loan to (and/or purchase of such Term Loan by) the Borrower and/or</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6480175" cy="781050"/>
                <wp:effectExtent l="0" t="0" r="0" b="0"/>
                <wp:wrapNone/>
                <wp:docPr id="248" name="Frame247"/>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46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46</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jc w:val="both"/>
        <w:rPr/>
      </w:pPr>
      <w:r>
        <w:rPr>
          <w:rFonts w:ascii="Times New Roman;sans-serif" w:hAnsi="Times New Roman;sans-serif"/>
          <w:b w:val="false"/>
          <w:color w:val="000000"/>
          <w:sz w:val="24"/>
        </w:rPr>
        <w:t xml:space="preserve">any Subsidiary (limited, in the case of purchases made at a discount to par value, to the actual purchase price of such Term Loan paid in cash), limited, in the case of Incremental Facilities or Incremental Equivalent Debt, to Incremental Facilities or Incremental Equivalent Debt incurred in reliance upon the Fixed Incremental Amount, so long as, in the case of any such optional prepayment or assignment, the relevant prepayment or assignment and/or purchase was not funded with the proceeds of any long-term Indebtedness other than Indebtedness under any revolving credit facility; </w:t>
      </w:r>
      <w:r>
        <w:rPr>
          <w:rFonts w:ascii="Times New Roman;sans-serif" w:hAnsi="Times New Roman;sans-serif"/>
          <w:b w:val="false"/>
          <w:color w:val="000000"/>
          <w:sz w:val="24"/>
          <w:u w:val="single"/>
        </w:rPr>
        <w:t>minus</w:t>
      </w:r>
    </w:p>
    <w:p>
      <w:pPr>
        <w:pStyle w:val="TextBody"/>
        <w:bidi w:val="0"/>
        <w:spacing w:lineRule="auto" w:line="240" w:before="240"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(d)the aggregate outstanding principal amount of all Incremental Facilities and/or Incremental Equivalent Debt incurred or issued in reliance on the Fixed Incremental Amount.</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val="false"/>
          <w:color w:val="000000"/>
          <w:sz w:val="24"/>
          <w:u w:val="single"/>
        </w:rPr>
        <w:t>Flood Insurance Laws</w:t>
      </w:r>
      <w:r>
        <w:rPr>
          <w:color w:val="000000"/>
        </w:rPr>
        <w:t xml:space="preserve">” </w:t>
      </w:r>
      <w:r>
        <w:rPr>
          <w:rFonts w:ascii="Times New Roman;sans-serif" w:hAnsi="Times New Roman;sans-serif"/>
          <w:b w:val="false"/>
          <w:color w:val="000000"/>
          <w:sz w:val="24"/>
        </w:rPr>
        <w:t>shall mean, collectively, (i) the National Flood Insurance Act of 1968, (ii) the Flood Disaster Protection Act of 1973, (iii) the National Flood Insurance Reform Act of 1994, (iv) the Flood Insurance Reform Act of 2004 and (v) the Biggert-Waters Flood Insurance Reform Act of 2012, each as now or hereafter in effect or any successor statute thereto, and in each case, together with all statutory and regulatory provisions consolidating, amending, replacing, supplementing, implementing or interpreting any of the foregoing, as amended or modified from time to time.</w:t>
      </w:r>
    </w:p>
    <w:p>
      <w:pPr>
        <w:pStyle w:val="TextBody"/>
        <w:bidi w:val="0"/>
        <w:spacing w:lineRule="auto" w:line="240" w:before="240" w:after="283"/>
        <w:jc w:val="left"/>
        <w:rPr/>
      </w:pPr>
      <w:r>
        <w:rPr>
          <w:color w:val="000000"/>
        </w:rPr>
        <w:t>“</w:t>
      </w:r>
      <w:r>
        <w:rPr>
          <w:rFonts w:ascii="Times New Roman;sans-serif" w:hAnsi="Times New Roman;sans-serif"/>
          <w:b w:val="false"/>
          <w:color w:val="000000"/>
          <w:sz w:val="24"/>
          <w:u w:val="single"/>
        </w:rPr>
        <w:t>Foreign Lender</w:t>
      </w:r>
      <w:r>
        <w:rPr>
          <w:color w:val="000000"/>
        </w:rPr>
        <w:t xml:space="preserve">” </w:t>
      </w:r>
      <w:r>
        <w:rPr>
          <w:rFonts w:ascii="Times New Roman;sans-serif" w:hAnsi="Times New Roman;sans-serif"/>
          <w:b w:val="false"/>
          <w:color w:val="000000"/>
          <w:sz w:val="24"/>
        </w:rPr>
        <w:t>shall mean a Lender that is not a U.S. Person.</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val="false"/>
          <w:color w:val="000000"/>
          <w:sz w:val="24"/>
          <w:u w:val="single"/>
        </w:rPr>
        <w:t>Foreign Subsidiary</w:t>
      </w:r>
      <w:r>
        <w:rPr>
          <w:color w:val="000000"/>
        </w:rPr>
        <w:t xml:space="preserve">” </w:t>
      </w:r>
      <w:r>
        <w:rPr>
          <w:rFonts w:ascii="Times New Roman;sans-serif" w:hAnsi="Times New Roman;sans-serif"/>
          <w:b w:val="false"/>
          <w:color w:val="000000"/>
          <w:sz w:val="24"/>
        </w:rPr>
        <w:t>shall mean any Subsidiary that is incorporated or organized under the laws of any jurisdiction other than the United States of America, any state thereof or the District of Columbia.</w:t>
      </w:r>
    </w:p>
    <w:p>
      <w:pPr>
        <w:pStyle w:val="TextBody"/>
        <w:bidi w:val="0"/>
        <w:spacing w:lineRule="auto" w:line="240" w:before="241" w:after="283"/>
        <w:ind w:left="0" w:right="0" w:firstLine="720"/>
        <w:jc w:val="both"/>
        <w:rPr/>
      </w:pPr>
      <w:r>
        <w:rPr>
          <w:color w:val="000000"/>
        </w:rPr>
        <w:t>“</w:t>
      </w:r>
      <w:r>
        <w:rPr>
          <w:rFonts w:ascii="Times New Roman;sans-serif" w:hAnsi="Times New Roman;sans-serif"/>
          <w:b w:val="false"/>
          <w:color w:val="000000"/>
          <w:sz w:val="24"/>
          <w:u w:val="single"/>
        </w:rPr>
        <w:t>Fronting Exposure</w:t>
      </w:r>
      <w:r>
        <w:rPr>
          <w:color w:val="000000"/>
        </w:rPr>
        <w:t xml:space="preserve">” </w:t>
      </w:r>
      <w:r>
        <w:rPr>
          <w:rFonts w:ascii="Times New Roman;sans-serif" w:hAnsi="Times New Roman;sans-serif"/>
          <w:b w:val="false"/>
          <w:color w:val="000000"/>
          <w:sz w:val="24"/>
        </w:rPr>
        <w:t>shall mean, at any time there is a Defaulting Lender, (a) with respect to any Issuing Bank, such Defaulting Lender’s Revolving Facility Percentage of Revolving L/C Exposure with respect to Letters of Credit issued by such Issuing Bank other than such Revolving L/C Exposure as to which such Defaulting Lender’s participation obligation has been reallocated to other Lenders or Cash Collateralized in accordance with the terms hereof and (b) with respect to the Swingline Lender, such Defaulting Lender’s Swingline Exposure other than Swingline Loans as to which such Defaulting Lender’s participation obligation has been reallocated to other Lenders.</w:t>
      </w:r>
    </w:p>
    <w:p>
      <w:pPr>
        <w:pStyle w:val="TextBody"/>
        <w:bidi w:val="0"/>
        <w:spacing w:lineRule="auto" w:line="240" w:before="239" w:after="283"/>
        <w:ind w:left="0" w:right="0" w:firstLine="720"/>
        <w:jc w:val="both"/>
        <w:rPr/>
      </w:pPr>
      <w:r>
        <w:rPr>
          <w:color w:val="000000"/>
        </w:rPr>
        <w:t>“</w:t>
      </w:r>
      <w:r>
        <w:rPr>
          <w:rFonts w:ascii="Times New Roman;sans-serif" w:hAnsi="Times New Roman;sans-serif"/>
          <w:b w:val="false"/>
          <w:color w:val="000000"/>
          <w:sz w:val="24"/>
          <w:u w:val="single"/>
        </w:rPr>
        <w:t>FSHCO</w:t>
      </w:r>
      <w:r>
        <w:rPr>
          <w:color w:val="000000"/>
        </w:rPr>
        <w:t xml:space="preserve">” </w:t>
      </w:r>
      <w:r>
        <w:rPr>
          <w:rFonts w:ascii="Times New Roman;sans-serif" w:hAnsi="Times New Roman;sans-serif"/>
          <w:b w:val="false"/>
          <w:color w:val="000000"/>
          <w:sz w:val="24"/>
        </w:rPr>
        <w:t>shall mean any Subsidiary substantially all of the assets of which (directly or through one or more disregarded entities for U.S. federal income tax purposes) consist of Indebtedness and/or Equity Interests (including, for this purpose, any debt or other instrument treated as equity for U.S. federal income tax purposes) of one or more Foreign Subsidiaries that are CFCs.</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val="false"/>
          <w:color w:val="000000"/>
          <w:sz w:val="24"/>
          <w:u w:val="single"/>
        </w:rPr>
        <w:t>GAAP</w:t>
      </w:r>
      <w:r>
        <w:rPr>
          <w:color w:val="000000"/>
        </w:rPr>
        <w:t xml:space="preserve">” </w:t>
      </w:r>
      <w:r>
        <w:rPr>
          <w:rFonts w:ascii="Times New Roman;sans-serif" w:hAnsi="Times New Roman;sans-serif"/>
          <w:b w:val="false"/>
          <w:color w:val="000000"/>
          <w:sz w:val="24"/>
        </w:rPr>
        <w:t>shall mean generally accepted accounting principles in effect from time to time in the United States of America, applied on a consistent basis, subject to the provisions of Section 1.02.</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val="false"/>
          <w:color w:val="000000"/>
          <w:sz w:val="24"/>
          <w:u w:val="single"/>
        </w:rPr>
        <w:t>GAAP Charge</w:t>
      </w:r>
      <w:r>
        <w:rPr>
          <w:color w:val="000000"/>
        </w:rPr>
        <w:t xml:space="preserve">” </w:t>
      </w:r>
      <w:r>
        <w:rPr>
          <w:rFonts w:ascii="Times New Roman;sans-serif" w:hAnsi="Times New Roman;sans-serif"/>
          <w:b w:val="false"/>
          <w:color w:val="000000"/>
          <w:sz w:val="24"/>
        </w:rPr>
        <w:t>shall mean any fee (including third party consultant fees and other similar fees), loss, charge, expense, cost, accrual or reserve of any kind (in each case, if applicable, as defined under GAAP).</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6480175" cy="781050"/>
                <wp:effectExtent l="0" t="0" r="0" b="0"/>
                <wp:wrapNone/>
                <wp:docPr id="249" name="Frame248"/>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47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47</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ind w:left="0" w:right="0" w:firstLine="720"/>
        <w:jc w:val="both"/>
        <w:rPr/>
      </w:pPr>
      <w:r>
        <w:rPr>
          <w:color w:val="000000"/>
        </w:rPr>
        <w:t>“</w:t>
      </w:r>
      <w:r>
        <w:rPr>
          <w:rFonts w:ascii="Times New Roman;sans-serif" w:hAnsi="Times New Roman;sans-serif"/>
          <w:b w:val="false"/>
          <w:color w:val="000000"/>
          <w:sz w:val="24"/>
          <w:u w:val="single"/>
        </w:rPr>
        <w:t>Governmental Authority</w:t>
      </w:r>
      <w:r>
        <w:rPr>
          <w:color w:val="000000"/>
        </w:rPr>
        <w:t xml:space="preserve">” </w:t>
      </w:r>
      <w:r>
        <w:rPr>
          <w:rFonts w:ascii="Times New Roman;sans-serif" w:hAnsi="Times New Roman;sans-serif"/>
          <w:b w:val="false"/>
          <w:color w:val="000000"/>
          <w:sz w:val="24"/>
        </w:rPr>
        <w:t>shall mean any federal, state, local or foreign court or governmental agency, authority, instrumentality or regulatory or legislative body.</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val="false"/>
          <w:color w:val="000000"/>
          <w:sz w:val="24"/>
          <w:u w:val="single"/>
        </w:rPr>
        <w:t>Guarantee</w:t>
      </w:r>
      <w:r>
        <w:rPr>
          <w:color w:val="000000"/>
        </w:rPr>
        <w:t xml:space="preserve">” </w:t>
      </w:r>
      <w:r>
        <w:rPr>
          <w:rFonts w:ascii="Times New Roman;sans-serif" w:hAnsi="Times New Roman;sans-serif"/>
          <w:b w:val="false"/>
          <w:color w:val="000000"/>
          <w:sz w:val="24"/>
        </w:rPr>
        <w:t>of or by any person (the “</w:t>
      </w:r>
      <w:r>
        <w:rPr>
          <w:rFonts w:ascii="Times New Roman;sans-serif" w:hAnsi="Times New Roman;sans-serif"/>
          <w:b w:val="false"/>
          <w:color w:val="000000"/>
          <w:sz w:val="24"/>
          <w:u w:val="single"/>
        </w:rPr>
        <w:t>guarantor</w:t>
      </w:r>
      <w:r>
        <w:rPr>
          <w:color w:val="000000"/>
        </w:rPr>
        <w:t>”</w:t>
      </w:r>
      <w:r>
        <w:rPr>
          <w:rFonts w:ascii="Times New Roman;sans-serif" w:hAnsi="Times New Roman;sans-serif"/>
          <w:b w:val="false"/>
          <w:color w:val="000000"/>
          <w:sz w:val="24"/>
        </w:rPr>
        <w:t>) shall mean (a) any obligation, contingent or otherwise, of the guarantor guaranteeing or having the economic effect of guaranteeing any Indebtedness or other monetary obligation payable or performable by another person (the “</w:t>
      </w:r>
      <w:r>
        <w:rPr>
          <w:rFonts w:ascii="Times New Roman;sans-serif" w:hAnsi="Times New Roman;sans-serif"/>
          <w:b w:val="false"/>
          <w:color w:val="000000"/>
          <w:sz w:val="24"/>
          <w:u w:val="single"/>
        </w:rPr>
        <w:t>primary</w:t>
      </w:r>
      <w:r>
        <w:rPr>
          <w:color w:val="000000"/>
        </w:rPr>
        <w:t xml:space="preserve"> </w:t>
      </w:r>
      <w:r>
        <w:rPr>
          <w:rFonts w:ascii="Times New Roman;sans-serif" w:hAnsi="Times New Roman;sans-serif"/>
          <w:b w:val="false"/>
          <w:color w:val="000000"/>
          <w:sz w:val="24"/>
          <w:u w:val="single"/>
        </w:rPr>
        <w:t>obligor</w:t>
      </w:r>
      <w:r>
        <w:rPr>
          <w:color w:val="000000"/>
        </w:rPr>
        <w:t>”</w:t>
      </w:r>
      <w:r>
        <w:rPr>
          <w:rFonts w:ascii="Times New Roman;sans-serif" w:hAnsi="Times New Roman;sans-serif"/>
          <w:b w:val="false"/>
          <w:color w:val="000000"/>
          <w:sz w:val="24"/>
        </w:rPr>
        <w:t xml:space="preserve">) in any manner, whether directly or indirectly, and including any obligation of the guarantor, direct or indirect, (i) to purchase or pay (or advance or supply funds for the purchase or payment of) such Indebtedness or other obligation, (ii) to purchase or lease property, securities or services for the purpose of assuring the owner of such Indebtedness or other obligation of the payment thereof, (iii) to maintain working capital, equity capital or any other financial statement condition or liquidity of the primary obligor so as to enable the primary obligor to pay such Indebtedness or other obligation or (iv) entered into for the purpose of assuring in any other manner the holders of such Indebtedness or other obligation of the payment thereof or to protect such holders against loss in respect thereof (in whole or in part), or (b) any Lien on any assets of the guarantor securing any Indebtedness or other obligation (or any existing right, contingent or otherwise, of the holder of Indebtedness or other obligation to be secured by such a Lien) of any other person, whether or not such Indebtedness or other obligation is assumed by the guarantor (other than Liens on Equity Interests of Unrestricted Subsidiaries securing Indebtedness of such Unrestricted Subsidiaries);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the term “Guarantee” shall not include endorsements of instruments for deposit or collection in the ordinary course of business or customary and reasonable indemnity obligations in effect on the Closing Date or entered into in connection with any acquisition or Disposition of assets permitted by this Agreement (other than such obligations with respect to Indebtedness). The amount of any Guarantee shall be deemed to be an amount equal to the stated or determinable amount of the Indebtedness or other obligation in respect of which such Guarantee is made or, if not stated or determinable, the maximum reasonably anticipated liability in respect thereof as determined by such person in good faith. The amount of the Indebtedness or other obligation subject to any Guarantee provided by any person for purposes of clause (b) above shall (unless the applicable Indebtedness has been assumed by such person or is otherwise recourse to such person) be deemed to be equal to the lesser of (A) the aggregate unpaid amount of such Indebtedness or other obligation and (B) the Fair Market Value of the property encumbered thereby. “</w:t>
      </w:r>
      <w:r>
        <w:rPr>
          <w:rFonts w:ascii="Times New Roman;sans-serif" w:hAnsi="Times New Roman;sans-serif"/>
          <w:b w:val="false"/>
          <w:color w:val="000000"/>
          <w:sz w:val="24"/>
          <w:u w:val="single"/>
        </w:rPr>
        <w:t>Guaranteed</w:t>
      </w:r>
      <w:r>
        <w:rPr>
          <w:color w:val="000000"/>
        </w:rPr>
        <w:t xml:space="preserve">” </w:t>
      </w:r>
      <w:r>
        <w:rPr>
          <w:rFonts w:ascii="Times New Roman;sans-serif" w:hAnsi="Times New Roman;sans-serif"/>
          <w:b w:val="false"/>
          <w:color w:val="000000"/>
          <w:sz w:val="24"/>
        </w:rPr>
        <w:t>and “</w:t>
      </w:r>
      <w:r>
        <w:rPr>
          <w:rFonts w:ascii="Times New Roman;sans-serif" w:hAnsi="Times New Roman;sans-serif"/>
          <w:b w:val="false"/>
          <w:color w:val="000000"/>
          <w:sz w:val="24"/>
          <w:u w:val="single"/>
        </w:rPr>
        <w:t>Guaranteeing</w:t>
      </w:r>
      <w:r>
        <w:rPr>
          <w:color w:val="000000"/>
        </w:rPr>
        <w:t xml:space="preserve">” </w:t>
      </w:r>
      <w:r>
        <w:rPr>
          <w:rFonts w:ascii="Times New Roman;sans-serif" w:hAnsi="Times New Roman;sans-serif"/>
          <w:b w:val="false"/>
          <w:color w:val="000000"/>
          <w:sz w:val="24"/>
        </w:rPr>
        <w:t>shall have meanings correlative thereto.</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val="false"/>
          <w:color w:val="000000"/>
          <w:sz w:val="24"/>
          <w:u w:val="single"/>
        </w:rPr>
        <w:t>Guarantee Agreement</w:t>
      </w:r>
      <w:r>
        <w:rPr>
          <w:color w:val="000000"/>
        </w:rPr>
        <w:t xml:space="preserve">” </w:t>
      </w:r>
      <w:r>
        <w:rPr>
          <w:rFonts w:ascii="Times New Roman;sans-serif" w:hAnsi="Times New Roman;sans-serif"/>
          <w:b w:val="false"/>
          <w:color w:val="000000"/>
          <w:sz w:val="24"/>
        </w:rPr>
        <w:t xml:space="preserve">shall mean the Guarantee Agreement substantially in the form of </w:t>
      </w:r>
      <w:r>
        <w:rPr>
          <w:rFonts w:ascii="Times New Roman;sans-serif" w:hAnsi="Times New Roman;sans-serif"/>
          <w:b w:val="false"/>
          <w:color w:val="000000"/>
          <w:sz w:val="24"/>
          <w:u w:val="single"/>
        </w:rPr>
        <w:t>Exhibit M</w:t>
      </w:r>
      <w:r>
        <w:rPr>
          <w:color w:val="000000"/>
        </w:rPr>
        <w:t xml:space="preserve"> </w:t>
      </w:r>
      <w:r>
        <w:rPr>
          <w:rFonts w:ascii="Times New Roman;sans-serif" w:hAnsi="Times New Roman;sans-serif"/>
          <w:b w:val="false"/>
          <w:color w:val="000000"/>
          <w:sz w:val="24"/>
        </w:rPr>
        <w:t>if and when entered into after the Closing Date pursuant to the Collateral and Guarantee Requirement, as may be amended, restated, supplemented or otherwise modified from time to time, among the Borrower, each Guarantor and the Revolving Facility Administrative Agent and Term Facility Administrative Agent.</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val="false"/>
          <w:color w:val="000000"/>
          <w:sz w:val="24"/>
          <w:u w:val="single"/>
        </w:rPr>
        <w:t>guarantor</w:t>
      </w:r>
      <w:r>
        <w:rPr>
          <w:color w:val="000000"/>
        </w:rPr>
        <w:t xml:space="preserve">” </w:t>
      </w:r>
      <w:r>
        <w:rPr>
          <w:rFonts w:ascii="Times New Roman;sans-serif" w:hAnsi="Times New Roman;sans-serif"/>
          <w:b w:val="false"/>
          <w:color w:val="000000"/>
          <w:sz w:val="24"/>
        </w:rPr>
        <w:t>shall have the meaning assigned to such term in the definition of the term “Guarantee.”</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val="false"/>
          <w:color w:val="000000"/>
          <w:sz w:val="24"/>
          <w:u w:val="single"/>
        </w:rPr>
        <w:t>Guarantors</w:t>
      </w:r>
      <w:r>
        <w:rPr>
          <w:color w:val="000000"/>
        </w:rPr>
        <w:t xml:space="preserve">” </w:t>
      </w:r>
      <w:r>
        <w:rPr>
          <w:rFonts w:ascii="Times New Roman;sans-serif" w:hAnsi="Times New Roman;sans-serif"/>
          <w:b w:val="false"/>
          <w:color w:val="000000"/>
          <w:sz w:val="24"/>
        </w:rPr>
        <w:t>shall mean each Subsidiary of the Borrower that becomes a Loan Party pursuant to Section 5.10(c), whether existing on the Closing Date or established, created or acquired after the Closing Date, unless and until such time as the respective Subsidiary is released</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6480175" cy="781050"/>
                <wp:effectExtent l="0" t="0" r="0" b="0"/>
                <wp:wrapNone/>
                <wp:docPr id="250" name="Frame249"/>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48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48</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jc w:val="left"/>
        <w:rPr/>
      </w:pPr>
      <w:r>
        <w:rPr>
          <w:rFonts w:ascii="Times New Roman;sans-serif" w:hAnsi="Times New Roman;sans-serif"/>
          <w:b w:val="false"/>
          <w:color w:val="000000"/>
          <w:sz w:val="24"/>
        </w:rPr>
        <w:t xml:space="preserve">from its obligations under the Guarantee Agreement in accordance with the terms and provisions hereof or thereof;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no Excluded Subsidiary shall be a Guarantor.</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val="false"/>
          <w:color w:val="000000"/>
          <w:sz w:val="24"/>
          <w:u w:val="single"/>
        </w:rPr>
        <w:t>Hazardous Materials</w:t>
      </w:r>
      <w:r>
        <w:rPr>
          <w:color w:val="000000"/>
        </w:rPr>
        <w:t xml:space="preserve">” </w:t>
      </w:r>
      <w:r>
        <w:rPr>
          <w:rFonts w:ascii="Times New Roman;sans-serif" w:hAnsi="Times New Roman;sans-serif"/>
          <w:b w:val="false"/>
          <w:color w:val="000000"/>
          <w:sz w:val="24"/>
        </w:rPr>
        <w:t>shall mean all pollutants, contaminants, wastes, chemicals, materials, substances and constituents, including explosive or radioactive substances or petroleum by products or petroleum distillates, asbestos or asbestos-containing materials, polychlorinated biphenyls, radon gas or pesticides, fungicides, fertilizers or other agricultural chemicals, of any nature subject to regulation or which can give rise to liability under any Environmental Law.</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val="false"/>
          <w:color w:val="000000"/>
          <w:sz w:val="24"/>
          <w:u w:val="single"/>
        </w:rPr>
        <w:t>Hedge Bank</w:t>
      </w:r>
      <w:r>
        <w:rPr>
          <w:color w:val="000000"/>
        </w:rPr>
        <w:t xml:space="preserve">” </w:t>
      </w:r>
      <w:r>
        <w:rPr>
          <w:rFonts w:ascii="Times New Roman;sans-serif" w:hAnsi="Times New Roman;sans-serif"/>
          <w:b w:val="false"/>
          <w:color w:val="000000"/>
          <w:sz w:val="24"/>
        </w:rPr>
        <w:t>shall mean any person that is (or any Affiliate of any person that is) an Agent, an Arranger or a Lender on the Closing Date (or any person that becomes an Agent, Arranger or Lender or Affiliate thereof after the Closing Date) and that enters into or has entered into a Hedging Agreement with the Borrower or any Subsidiary, in each case, in its capacity as a party to such Hedging Agreement.</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val="false"/>
          <w:color w:val="000000"/>
          <w:sz w:val="24"/>
          <w:u w:val="single"/>
        </w:rPr>
        <w:t>Hedge Termination Value</w:t>
      </w:r>
      <w:r>
        <w:rPr>
          <w:color w:val="000000"/>
        </w:rPr>
        <w:t xml:space="preserve">” </w:t>
      </w:r>
      <w:r>
        <w:rPr>
          <w:rFonts w:ascii="Times New Roman;sans-serif" w:hAnsi="Times New Roman;sans-serif"/>
          <w:b w:val="false"/>
          <w:color w:val="000000"/>
          <w:sz w:val="24"/>
        </w:rPr>
        <w:t>shall mean, in respect of any one or more Hedging Agreements, after taking into account the effect of any legally enforceable netting agreement relating to such Hedging Agreement, (a) for any date on or after the date such Hedging Agreements have been closed out and termination value(s) determined in accordance therewith, such termination value(s), and (b) for any date prior to the date referenced in clause (a), the amount(s) determined as the mark to market value(s) for such Hedging Agreement, as determined by the Hedge Bank (or the Borrower, if no Hedge Bank is party to such Hedging Agreement) in accordance with the terms thereof and in accordance with customary methods for calculating mark- to-market values under similar arrangements by the Hedge Bank (or the Borrower, if no Hedge Bank is party to such Hedging Agreement).</w:t>
      </w:r>
    </w:p>
    <w:p>
      <w:pPr>
        <w:pStyle w:val="TextBody"/>
        <w:bidi w:val="0"/>
        <w:spacing w:lineRule="auto" w:line="240" w:before="241" w:after="283"/>
        <w:ind w:left="0" w:right="0" w:firstLine="720"/>
        <w:jc w:val="both"/>
        <w:rPr/>
      </w:pPr>
      <w:r>
        <w:rPr>
          <w:color w:val="000000"/>
        </w:rPr>
        <w:t>“</w:t>
      </w:r>
      <w:r>
        <w:rPr>
          <w:rFonts w:ascii="Times New Roman;sans-serif" w:hAnsi="Times New Roman;sans-serif"/>
          <w:b w:val="false"/>
          <w:color w:val="000000"/>
          <w:sz w:val="24"/>
          <w:u w:val="single"/>
        </w:rPr>
        <w:t>Hedging Agreement</w:t>
      </w:r>
      <w:r>
        <w:rPr>
          <w:color w:val="000000"/>
        </w:rPr>
        <w:t xml:space="preserve">” </w:t>
      </w:r>
      <w:r>
        <w:rPr>
          <w:rFonts w:ascii="Times New Roman;sans-serif" w:hAnsi="Times New Roman;sans-serif"/>
          <w:b w:val="false"/>
          <w:color w:val="000000"/>
          <w:sz w:val="24"/>
        </w:rPr>
        <w:t xml:space="preserve">shall mean any agreement with respect to any swap, forward, future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credit spread transaction, repurchase transaction, reserve repurchase transaction, securities lending transaction, weather index transaction, spot contracts, fixed price physical delivery contracts, or any similar transaction or any combination of these transactions, in each case of the foregoing, whether or not exchange traded;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“Hedging Agreement” shall not include (i) convertible Indebtedness or any Permitted Convertible Indebtedness Call Transaction, (ii) any accelerated share repurchase contract, share call option or similar contract with respect to the Borrower’s Equity Interests entered into to consummate a repurchase of such Equity Interests, (iii) any forward sale contract with respect to the Borrower’s Equity Interests or (iv) put and call options and forward arrangements entered into in connection with joint ventures and other business investments, acquisitions and dispositions permitted under this Agreement.</w:t>
      </w:r>
    </w:p>
    <w:p>
      <w:pPr>
        <w:pStyle w:val="TextBody"/>
        <w:bidi w:val="0"/>
        <w:spacing w:lineRule="auto" w:line="516" w:before="50" w:after="283"/>
        <w:jc w:val="both"/>
        <w:rPr/>
      </w:pPr>
      <w:r>
        <w:rPr>
          <w:color w:val="000000"/>
        </w:rPr>
        <w:t>“</w:t>
      </w:r>
      <w:r>
        <w:rPr>
          <w:rFonts w:ascii="Times New Roman;sans-serif" w:hAnsi="Times New Roman;sans-serif"/>
          <w:b w:val="false"/>
          <w:color w:val="000000"/>
          <w:sz w:val="24"/>
          <w:u w:val="single"/>
        </w:rPr>
        <w:t>Honor Date</w:t>
      </w:r>
      <w:r>
        <w:rPr>
          <w:color w:val="000000"/>
        </w:rPr>
        <w:t xml:space="preserve">” </w:t>
      </w:r>
      <w:r>
        <w:rPr>
          <w:rFonts w:ascii="Times New Roman;sans-serif" w:hAnsi="Times New Roman;sans-serif"/>
          <w:b w:val="false"/>
          <w:color w:val="000000"/>
          <w:sz w:val="24"/>
        </w:rPr>
        <w:t>shall have the meaning assigned to such term in Section 2.05(c)(i). “</w:t>
      </w:r>
      <w:r>
        <w:rPr>
          <w:rFonts w:ascii="Times New Roman;sans-serif" w:hAnsi="Times New Roman;sans-serif"/>
          <w:b w:val="false"/>
          <w:color w:val="000000"/>
          <w:sz w:val="24"/>
          <w:u w:val="single"/>
        </w:rPr>
        <w:t>Immaterial Subsidiary</w:t>
      </w:r>
      <w:r>
        <w:rPr>
          <w:color w:val="000000"/>
        </w:rPr>
        <w:t xml:space="preserve">” </w:t>
      </w:r>
      <w:r>
        <w:rPr>
          <w:rFonts w:ascii="Times New Roman;sans-serif" w:hAnsi="Times New Roman;sans-serif"/>
          <w:b w:val="false"/>
          <w:color w:val="000000"/>
          <w:sz w:val="24"/>
        </w:rPr>
        <w:t>shall mean any Subsidiary that did not, as of the last day of the</w:t>
      </w:r>
    </w:p>
    <w:p>
      <w:pPr>
        <w:pStyle w:val="TextBody"/>
        <w:bidi w:val="0"/>
        <w:spacing w:lineRule="auto" w:line="22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fiscal quarter of the Borrower and its Subsidiaries most recently ended for which financial</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statements (or pro forma financial statements, as applicable) have been (or were required to be) delivered pursuant to Section 4.01(i), 5.04(a) or 5.04(b), have (x) assets with a value equal to or in</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6480175" cy="781050"/>
                <wp:effectExtent l="0" t="0" r="0" b="0"/>
                <wp:wrapNone/>
                <wp:docPr id="251" name="Frame250"/>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49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49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60" w:after="283"/>
        <w:jc w:val="both"/>
        <w:rPr>
          <w:rFonts w:ascii="Times New Roman;sans-serif" w:hAnsi="Times New Roman;sans-serif"/>
          <w:b w:val="false"/>
          <w:color w:val="000000"/>
          <w:sz w:val="24"/>
        </w:rPr>
      </w:pPr>
      <w:r>
        <w:rPr>
          <w:rFonts w:ascii="Times New Roman;sans-serif" w:hAnsi="Times New Roman;sans-serif"/>
          <w:b w:val="false"/>
          <w:color w:val="000000"/>
          <w:sz w:val="24"/>
        </w:rPr>
        <w:t>excess of 2.5% of Consolidated Total Assets or (y) operating revenue which is equal to or greater than 2.5% of the consolidated operating revenues of the Borrower and its Subsidiaries on such date. Notwithstanding the foregoing, if at any time all Immaterial Subsidiaries, taken as a whole,</w:t>
      </w:r>
    </w:p>
    <w:p>
      <w:pPr>
        <w:pStyle w:val="TextBody"/>
        <w:bidi w:val="0"/>
        <w:spacing w:lineRule="auto" w:line="240" w:before="0" w:after="0"/>
        <w:jc w:val="both"/>
        <w:rPr/>
      </w:pPr>
      <w:r>
        <w:rPr>
          <w:rFonts w:ascii="Times New Roman;sans-serif" w:hAnsi="Times New Roman;sans-serif"/>
          <w:b w:val="false"/>
          <w:color w:val="000000"/>
          <w:sz w:val="24"/>
        </w:rPr>
        <w:t xml:space="preserve">(i) have total assets at such time exceeding 5.0% of the Consolidated Total Assets of the Borrower and its subsidiaries on such date or (ii) have operating revenue which is greater than 5.0% of the consolidated operating revenues of the Borrower and its Subsidiaries on such date, then the Borrower shall designate which of such Subsidiaries shall no longer constitute “Immaterial Subsidiaries” for purposes of this Agreement to the extent necessary to cause such excess to be eliminated;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that if no such designation is made by the Borrower, then one or more of such Immaterial Subsidiaries shall be deemed not to be Immaterial Subsidiaries in descending order based on the amounts of their Consolidated Total Assets or operating revenue, as applicable, until such excess shall have been eliminated.</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val="false"/>
          <w:color w:val="000000"/>
          <w:sz w:val="24"/>
          <w:u w:val="single"/>
        </w:rPr>
        <w:t>Increased Amount</w:t>
      </w:r>
      <w:r>
        <w:rPr>
          <w:color w:val="000000"/>
        </w:rPr>
        <w:t xml:space="preserve">” </w:t>
      </w:r>
      <w:r>
        <w:rPr>
          <w:rFonts w:ascii="Times New Roman;sans-serif" w:hAnsi="Times New Roman;sans-serif"/>
          <w:b w:val="false"/>
          <w:color w:val="000000"/>
          <w:sz w:val="24"/>
        </w:rPr>
        <w:t>of any Indebtedness shall mean any increase in the amount of such Indebtedness in connection with any accrual of interest, the accretion of accreted value, the amortization of original issue discount, the payment of interest in the form of additional Indebtedness or in the form of common stock of the Borrower, the accretion of original issue discount or liquidation preference and increases in the amount of Indebtedness outstanding solely as a result of fluctuations in the exchange rate of currencies.</w:t>
      </w:r>
    </w:p>
    <w:p>
      <w:pPr>
        <w:pStyle w:val="TextBody"/>
        <w:bidi w:val="0"/>
        <w:spacing w:lineRule="auto" w:line="240" w:before="240" w:after="283"/>
        <w:jc w:val="left"/>
        <w:rPr/>
      </w:pPr>
      <w:r>
        <w:rPr>
          <w:color w:val="000000"/>
        </w:rPr>
        <w:t>“</w:t>
      </w:r>
      <w:r>
        <w:rPr>
          <w:rFonts w:ascii="Times New Roman;sans-serif" w:hAnsi="Times New Roman;sans-serif"/>
          <w:b w:val="false"/>
          <w:color w:val="000000"/>
          <w:sz w:val="24"/>
          <w:u w:val="single"/>
        </w:rPr>
        <w:t>Incremental Amount</w:t>
      </w:r>
      <w:r>
        <w:rPr>
          <w:color w:val="000000"/>
        </w:rPr>
        <w:t xml:space="preserve">” </w:t>
      </w:r>
      <w:r>
        <w:rPr>
          <w:rFonts w:ascii="Times New Roman;sans-serif" w:hAnsi="Times New Roman;sans-serif"/>
          <w:b w:val="false"/>
          <w:color w:val="000000"/>
          <w:sz w:val="24"/>
        </w:rPr>
        <w:t>shall mean, at any time, the sum of:</w:t>
      </w:r>
    </w:p>
    <w:p>
      <w:pPr>
        <w:pStyle w:val="TextBody"/>
        <w:bidi w:val="0"/>
        <w:spacing w:lineRule="auto" w:line="240" w:before="240" w:after="283"/>
        <w:ind w:left="0" w:right="0" w:hanging="720"/>
        <w:jc w:val="left"/>
        <w:rPr/>
      </w:pPr>
      <w:r>
        <w:rPr>
          <w:rFonts w:ascii="Times New Roman;sans-serif" w:hAnsi="Times New Roman;sans-serif"/>
          <w:b w:val="false"/>
          <w:color w:val="000000"/>
          <w:sz w:val="24"/>
        </w:rPr>
        <w:t xml:space="preserve">(a)the Fixed Incremental Amount; </w:t>
      </w:r>
      <w:r>
        <w:rPr>
          <w:rFonts w:ascii="Times New Roman;sans-serif" w:hAnsi="Times New Roman;sans-serif"/>
          <w:b w:val="false"/>
          <w:color w:val="000000"/>
          <w:sz w:val="24"/>
          <w:u w:val="single"/>
        </w:rPr>
        <w:t>plus</w:t>
      </w:r>
    </w:p>
    <w:p>
      <w:pPr>
        <w:pStyle w:val="TextBody"/>
        <w:bidi w:val="0"/>
        <w:spacing w:lineRule="auto" w:line="240" w:before="241" w:after="283"/>
        <w:ind w:left="0" w:right="0" w:firstLine="1440"/>
        <w:jc w:val="both"/>
        <w:rPr/>
      </w:pPr>
      <w:r>
        <w:rPr>
          <w:rFonts w:ascii="Times New Roman;sans-serif" w:hAnsi="Times New Roman;sans-serif"/>
          <w:b w:val="false"/>
          <w:color w:val="000000"/>
          <w:sz w:val="24"/>
        </w:rPr>
        <w:t>(b)an unlimited amount (such amount, the “</w:t>
      </w:r>
      <w:r>
        <w:rPr>
          <w:rFonts w:ascii="Times New Roman;sans-serif" w:hAnsi="Times New Roman;sans-serif"/>
          <w:b w:val="false"/>
          <w:color w:val="000000"/>
          <w:sz w:val="24"/>
          <w:u w:val="single"/>
        </w:rPr>
        <w:t>Ratio Incremental Amount</w:t>
      </w:r>
      <w:r>
        <w:rPr>
          <w:color w:val="000000"/>
        </w:rPr>
        <w:t>”</w:t>
      </w:r>
      <w:r>
        <w:rPr>
          <w:rFonts w:ascii="Times New Roman;sans-serif" w:hAnsi="Times New Roman;sans-serif"/>
          <w:b w:val="false"/>
          <w:color w:val="000000"/>
          <w:sz w:val="24"/>
        </w:rPr>
        <w:t>) so long as, immediately after giving effect to the relevant Incremental Facility or Incremental Equivalent Debt:</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 xml:space="preserve">(i)in the case of any Incremental Facility or Incremental Equivalent Debt secured by Liens on the Collateral ranking </w:t>
      </w:r>
      <w:r>
        <w:rPr>
          <w:rFonts w:ascii="Times New Roman;sans-serif" w:hAnsi="Times New Roman;sans-serif"/>
          <w:b w:val="false"/>
          <w:i/>
          <w:color w:val="000000"/>
          <w:sz w:val="24"/>
        </w:rPr>
        <w:t xml:space="preserve">pari passu </w:t>
      </w:r>
      <w:r>
        <w:rPr>
          <w:rFonts w:ascii="Times New Roman;sans-serif" w:hAnsi="Times New Roman;sans-serif"/>
          <w:b w:val="false"/>
          <w:color w:val="000000"/>
          <w:sz w:val="24"/>
        </w:rPr>
        <w:t>with the Liens securing the Loan Obligations (without regard to control of remedies), on a Pro Forma Basis after giving effect to such Incremental Facility or Incremental Equivalent Debt and the use of the proceeds thereof, the First Lien Net Leverage Ratio does not exceed</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(x) 3.00:1.00 or (y) solely in the case of any such Incremental Facility or Incremental Equivalent Debt being incurred to finance a Permitted Business Acquisition or other similar Investment permitted hereunder, the First Lien Net Leverage Ratio as of the last day of the most recently ended Test Period;</w:t>
      </w:r>
    </w:p>
    <w:p>
      <w:pPr>
        <w:pStyle w:val="TextBody"/>
        <w:bidi w:val="0"/>
        <w:spacing w:lineRule="auto" w:line="240" w:before="239"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(ii)in the case of any Incremental Facility or Incremental Equivalent Debt secured by Liens on the Collateral ranking junior to the Liens securing the Loan Obligations, on a Pro Forma Basis after giving effect to such Incremental Facility or Incremental Equivalent Debt and the use of the proceeds thereof, the Secured Net Leverage Ratio does not exceed (x) 3.00:1.00 or (y) solely in the case of any such Incremental Facility or Incremental Equivalent Debt being incurred to finance a Permitted Business Acquisition or other similar Investment permitted hereunder, the Secured Net Leverage Ratio as of the last day of the most recently ended Test Period; or</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6480175" cy="781050"/>
                <wp:effectExtent l="0" t="0" r="0" b="0"/>
                <wp:wrapNone/>
                <wp:docPr id="252" name="Frame251"/>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50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50</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(iii)in the case of any Incremental Facility or Incremental Equivalent Debt that is unsecured, on a Pro Forma Basis after giving effect to such Incremental Facility or Incremental Equivalent Debt and the use of the proceeds thereof, either</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 the Consolidated Interest Coverage Ratio is at least equal to either (x) 2.00:1.00 or (y) solely in the case of any such Incremental Facility or Incremental Equivalent Debt being incurred to finance a Permitted Business Acquisition or other similar Investment permitted hereunder, the Consolidated Interest Coverage Ratio as of the most recently ended Test Period, or (B) the Total Net Leverage Ratio does not exceed either (x) 5.00:1.00 or (y) solely in the case of any such Incremental Facility or Incremental Equivalent Debt being incurred to finance a Permitted Business Acquisition or other similar Investment permitted hereunder, the Total Net Leverage Ratio as of the most recently ended Test Period;</w:t>
      </w:r>
    </w:p>
    <w:p>
      <w:pPr>
        <w:pStyle w:val="TextBody"/>
        <w:bidi w:val="0"/>
        <w:spacing w:lineRule="auto" w:line="240" w:before="240" w:after="283"/>
        <w:jc w:val="both"/>
        <w:rPr/>
      </w:pP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(x) the Borrower may elect to use the Ratio Incremental Amount (to the extent compliant therewith) prior to the Fixed Incremental Amount regardless of whether there is capacity under the Fixed Incremental Amount, and if the Fixed Incremental Amount, on the one hand, and the Ratio Incremental Amount, on the other hand, are available and the Borrower does not make an election, the Borrower will be deemed to have elected the Ratio Incremental Amount (to the extent compliant therewith), with the balance being incurred under clauses (b) and (c) of the Fixed Incremental Amount and, thereafter, under clause (a) of the Fixed Incremental Amount and (y) the Borrower may elect to use capacity under the Fixed Incremental Amount on the same date that the Borrower uses capacity under the Ratio Incremental Amount, by first calculating the capacity under clause (i), (ii) or (iii) of the Ratio Incremental Amount, as applicable, without regard to the any use of capacity under the Fixed Incremental Amount;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that all or any portion of any such Indebtedness originally designated as incurred pursuant to the Fixed Incremental Amount shall be automatically redesignated as incurred pursuant to the Ratio Incremental Amount at such time as the Borrower would be permitted to incur such Incremental Facility or Incremental Equivalent Debt under the Ratio Incremental Amount (for purposes of clarity, with any such redesignation having the effect of increasing the Borrower’s ability to incur indebtedness under the Fixed Incremental Amount as of the date of such redesignation by the amount of such Indebtedness so redesignated). For purposes of any determination under this definition, the calculation of compliance with the First Lien Net Leverage Ratio, the Secured Net Leverage Ratio, the Total Net Leverage Ratio and the Consolidated Interest Coverage Ratio (and the relevant components thereof, including “Consolidated Total Debt”, “EBITDA”, “Consolidated Net Income” and “Consolidated Interest Expense”) for purposes of incurring any Indebtedness hereunder, (x) in the case of an incurrence of Incremental Revolving Facility Commitments, such calculation shall be made assuming that such then incurred Incremental Revolving Facility Commitments are fully drawn and (y) with respect to the amount of any Indebtedness in a currency other than Dollars, the equivalent amount in Dollars of Indebtedness in any currency other than Dollars shall be calculated based on the arithmetic mean of the average monthly spot exchange rates quoted by the Bloomberg Foreign Exchange Rates &amp; World Currencies Page (or any successor page thereto, or in the event such rate does not appear on any Bloomberg Page, by reference to such other publicly available service for displaying exchange rates as may be agreed upon by the Administrative Agent and the Borrower) for each month within the most recently ended Test Period.</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6480175" cy="781050"/>
                <wp:effectExtent l="0" t="0" r="0" b="0"/>
                <wp:wrapNone/>
                <wp:docPr id="253" name="Frame252"/>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51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51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ind w:left="0" w:right="0" w:firstLine="720"/>
        <w:jc w:val="both"/>
        <w:rPr/>
      </w:pPr>
      <w:r>
        <w:rPr>
          <w:color w:val="000000"/>
        </w:rPr>
        <w:t>“</w:t>
      </w:r>
      <w:r>
        <w:rPr>
          <w:rFonts w:ascii="Times New Roman;sans-serif" w:hAnsi="Times New Roman;sans-serif"/>
          <w:b w:val="false"/>
          <w:color w:val="000000"/>
          <w:sz w:val="24"/>
          <w:u w:val="single"/>
        </w:rPr>
        <w:t>Incremental Assumption Agreement</w:t>
      </w:r>
      <w:r>
        <w:rPr>
          <w:color w:val="000000"/>
        </w:rPr>
        <w:t xml:space="preserve">” </w:t>
      </w:r>
      <w:r>
        <w:rPr>
          <w:rFonts w:ascii="Times New Roman;sans-serif" w:hAnsi="Times New Roman;sans-serif"/>
          <w:b w:val="false"/>
          <w:color w:val="000000"/>
          <w:sz w:val="24"/>
        </w:rPr>
        <w:t>shall mean an Incremental Assumption Agreement in form and substance reasonably satisfactory to the Administrative Agent, among the Borrower, the Administrative Agent and, if applicable, one or more Incremental Term Lenders and/or Incremental Revolving Facility Lenders.</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val="false"/>
          <w:color w:val="000000"/>
          <w:sz w:val="24"/>
          <w:u w:val="single"/>
        </w:rPr>
        <w:t>Incremental Commitment</w:t>
      </w:r>
      <w:r>
        <w:rPr>
          <w:color w:val="000000"/>
        </w:rPr>
        <w:t xml:space="preserve">” </w:t>
      </w:r>
      <w:r>
        <w:rPr>
          <w:rFonts w:ascii="Times New Roman;sans-serif" w:hAnsi="Times New Roman;sans-serif"/>
          <w:b w:val="false"/>
          <w:color w:val="000000"/>
          <w:sz w:val="24"/>
        </w:rPr>
        <w:t>shall mean an Incremental Term Loan Commitment or an Incremental Revolving Facility Commitment.</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val="false"/>
          <w:color w:val="000000"/>
          <w:sz w:val="24"/>
          <w:u w:val="single"/>
        </w:rPr>
        <w:t>Incremental Equivalent Debt</w:t>
      </w:r>
      <w:r>
        <w:rPr>
          <w:color w:val="000000"/>
        </w:rPr>
        <w:t xml:space="preserve">” </w:t>
      </w:r>
      <w:r>
        <w:rPr>
          <w:rFonts w:ascii="Times New Roman;sans-serif" w:hAnsi="Times New Roman;sans-serif"/>
          <w:b w:val="false"/>
          <w:color w:val="000000"/>
          <w:sz w:val="24"/>
        </w:rPr>
        <w:t>shall have the meaning assigned to such term in Section 6.01(q)(i).</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val="false"/>
          <w:color w:val="000000"/>
          <w:sz w:val="24"/>
          <w:u w:val="single"/>
        </w:rPr>
        <w:t>Incremental Facility</w:t>
      </w:r>
      <w:r>
        <w:rPr>
          <w:color w:val="000000"/>
        </w:rPr>
        <w:t xml:space="preserve">” </w:t>
      </w:r>
      <w:r>
        <w:rPr>
          <w:rFonts w:ascii="Times New Roman;sans-serif" w:hAnsi="Times New Roman;sans-serif"/>
          <w:b w:val="false"/>
          <w:color w:val="000000"/>
          <w:sz w:val="24"/>
        </w:rPr>
        <w:t>shall mean the Incremental Commitments and the Incremental Loans made thereunder.</w:t>
      </w:r>
    </w:p>
    <w:p>
      <w:pPr>
        <w:pStyle w:val="TextBody"/>
        <w:bidi w:val="0"/>
        <w:spacing w:lineRule="auto" w:line="240" w:before="240" w:after="283"/>
        <w:jc w:val="left"/>
        <w:rPr/>
      </w:pPr>
      <w:r>
        <w:rPr>
          <w:color w:val="000000"/>
        </w:rPr>
        <w:t>“</w:t>
      </w:r>
      <w:r>
        <w:rPr>
          <w:rFonts w:ascii="Times New Roman;sans-serif" w:hAnsi="Times New Roman;sans-serif"/>
          <w:b w:val="false"/>
          <w:color w:val="000000"/>
          <w:sz w:val="24"/>
          <w:u w:val="single"/>
        </w:rPr>
        <w:t>Incremental Loan</w:t>
      </w:r>
      <w:r>
        <w:rPr>
          <w:color w:val="000000"/>
        </w:rPr>
        <w:t xml:space="preserve">” </w:t>
      </w:r>
      <w:r>
        <w:rPr>
          <w:rFonts w:ascii="Times New Roman;sans-serif" w:hAnsi="Times New Roman;sans-serif"/>
          <w:b w:val="false"/>
          <w:color w:val="000000"/>
          <w:sz w:val="24"/>
        </w:rPr>
        <w:t>shall mean an Incremental Term Loan or an Incremental Revolving</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Loan.</w:t>
      </w:r>
    </w:p>
    <w:p>
      <w:pPr>
        <w:pStyle w:val="TextBody"/>
        <w:bidi w:val="0"/>
        <w:spacing w:lineRule="auto" w:line="240" w:before="240" w:after="283"/>
        <w:jc w:val="left"/>
        <w:rPr/>
      </w:pPr>
      <w:r>
        <w:rPr>
          <w:color w:val="000000"/>
        </w:rPr>
        <w:t>“</w:t>
      </w:r>
      <w:r>
        <w:rPr>
          <w:rFonts w:ascii="Times New Roman;sans-serif" w:hAnsi="Times New Roman;sans-serif"/>
          <w:b w:val="false"/>
          <w:color w:val="000000"/>
          <w:sz w:val="24"/>
          <w:u w:val="single"/>
        </w:rPr>
        <w:t>Incremental Revolving Facility Commitment</w:t>
      </w:r>
      <w:r>
        <w:rPr>
          <w:color w:val="000000"/>
        </w:rPr>
        <w:t xml:space="preserve">” </w:t>
      </w:r>
      <w:r>
        <w:rPr>
          <w:rFonts w:ascii="Times New Roman;sans-serif" w:hAnsi="Times New Roman;sans-serif"/>
          <w:b w:val="false"/>
          <w:color w:val="000000"/>
          <w:sz w:val="24"/>
        </w:rPr>
        <w:t>shall mean the commitment of any Lender,</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established pursuant to Section 2.21, to make Revolving Facility Loans to the Borrower and to acquire risk participations in Letters of Credit and Swingline Loans as provided herein.</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val="false"/>
          <w:color w:val="000000"/>
          <w:sz w:val="24"/>
          <w:u w:val="single"/>
        </w:rPr>
        <w:t>Incremental Revolving Facility Lender</w:t>
      </w:r>
      <w:r>
        <w:rPr>
          <w:color w:val="000000"/>
        </w:rPr>
        <w:t xml:space="preserve">” </w:t>
      </w:r>
      <w:r>
        <w:rPr>
          <w:rFonts w:ascii="Times New Roman;sans-serif" w:hAnsi="Times New Roman;sans-serif"/>
          <w:b w:val="false"/>
          <w:color w:val="000000"/>
          <w:sz w:val="24"/>
        </w:rPr>
        <w:t>shall mean a Lender with an Incremental Revolving Facility Commitment or an outstanding Incremental Revolving Loan.</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val="false"/>
          <w:color w:val="000000"/>
          <w:sz w:val="24"/>
          <w:u w:val="single"/>
        </w:rPr>
        <w:t>Incremental Revolving Loan</w:t>
      </w:r>
      <w:r>
        <w:rPr>
          <w:color w:val="000000"/>
        </w:rPr>
        <w:t xml:space="preserve">” </w:t>
      </w:r>
      <w:r>
        <w:rPr>
          <w:rFonts w:ascii="Times New Roman;sans-serif" w:hAnsi="Times New Roman;sans-serif"/>
          <w:b w:val="false"/>
          <w:color w:val="000000"/>
          <w:sz w:val="24"/>
        </w:rPr>
        <w:t>shall mean Revolving Facility Loans made by one or more Revolving Facility Lenders to the Borrower pursuant to an Incremental Revolving Facility Commitment.</w:t>
      </w:r>
    </w:p>
    <w:p>
      <w:pPr>
        <w:pStyle w:val="TextBody"/>
        <w:bidi w:val="0"/>
        <w:spacing w:lineRule="auto" w:line="240" w:before="241" w:after="283"/>
        <w:ind w:left="0" w:right="0" w:firstLine="720"/>
        <w:jc w:val="both"/>
        <w:rPr/>
      </w:pPr>
      <w:r>
        <w:rPr>
          <w:color w:val="000000"/>
        </w:rPr>
        <w:t>“</w:t>
      </w:r>
      <w:r>
        <w:rPr>
          <w:rFonts w:ascii="Times New Roman;sans-serif" w:hAnsi="Times New Roman;sans-serif"/>
          <w:b w:val="false"/>
          <w:color w:val="000000"/>
          <w:sz w:val="24"/>
          <w:u w:val="single"/>
        </w:rPr>
        <w:t>Incremental Term Lender</w:t>
      </w:r>
      <w:r>
        <w:rPr>
          <w:color w:val="000000"/>
        </w:rPr>
        <w:t xml:space="preserve">” </w:t>
      </w:r>
      <w:r>
        <w:rPr>
          <w:rFonts w:ascii="Times New Roman;sans-serif" w:hAnsi="Times New Roman;sans-serif"/>
          <w:b w:val="false"/>
          <w:color w:val="000000"/>
          <w:sz w:val="24"/>
        </w:rPr>
        <w:t>shall mean a Lender with an Incremental Term Loan Commitment or an outstanding Incremental Term Loan.</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val="false"/>
          <w:color w:val="000000"/>
          <w:sz w:val="24"/>
          <w:u w:val="single"/>
        </w:rPr>
        <w:t>Incremental Term Loan Commitment</w:t>
      </w:r>
      <w:r>
        <w:rPr>
          <w:color w:val="000000"/>
        </w:rPr>
        <w:t xml:space="preserve">” </w:t>
      </w:r>
      <w:r>
        <w:rPr>
          <w:rFonts w:ascii="Times New Roman;sans-serif" w:hAnsi="Times New Roman;sans-serif"/>
          <w:b w:val="false"/>
          <w:color w:val="000000"/>
          <w:sz w:val="24"/>
        </w:rPr>
        <w:t>shall mean the commitment of any Lender, established pursuant to Section 2.21, to make Incremental Term Loans to the Borrower.</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val="false"/>
          <w:color w:val="000000"/>
          <w:sz w:val="24"/>
          <w:u w:val="single"/>
        </w:rPr>
        <w:t>Incremental Term Loans</w:t>
      </w:r>
      <w:r>
        <w:rPr>
          <w:color w:val="000000"/>
        </w:rPr>
        <w:t xml:space="preserve">” </w:t>
      </w:r>
      <w:r>
        <w:rPr>
          <w:rFonts w:ascii="Times New Roman;sans-serif" w:hAnsi="Times New Roman;sans-serif"/>
          <w:b w:val="false"/>
          <w:color w:val="000000"/>
          <w:sz w:val="24"/>
        </w:rPr>
        <w:t>shall mean, to the extent permitted by Section 2.21 and provided for in the relevant Incremental Assumption Agreement, additional Initial Term Loans or Other Incremental Term Loans.</w:t>
      </w:r>
    </w:p>
    <w:p>
      <w:pPr>
        <w:pStyle w:val="TextBody"/>
        <w:bidi w:val="0"/>
        <w:spacing w:lineRule="auto" w:line="516" w:before="50" w:after="283"/>
        <w:jc w:val="both"/>
        <w:rPr/>
      </w:pPr>
      <w:r>
        <w:rPr>
          <w:color w:val="000000"/>
        </w:rPr>
        <w:t>“</w:t>
      </w:r>
      <w:r>
        <w:rPr>
          <w:rFonts w:ascii="Times New Roman;sans-serif" w:hAnsi="Times New Roman;sans-serif"/>
          <w:b w:val="false"/>
          <w:color w:val="000000"/>
          <w:sz w:val="24"/>
          <w:u w:val="single"/>
        </w:rPr>
        <w:t>Incurrence-Based Amounts</w:t>
      </w:r>
      <w:r>
        <w:rPr>
          <w:color w:val="000000"/>
        </w:rPr>
        <w:t xml:space="preserve">” </w:t>
      </w:r>
      <w:r>
        <w:rPr>
          <w:rFonts w:ascii="Times New Roman;sans-serif" w:hAnsi="Times New Roman;sans-serif"/>
          <w:b w:val="false"/>
          <w:color w:val="000000"/>
          <w:sz w:val="24"/>
        </w:rPr>
        <w:t>shall have the meaning assigned to such term in Section 1.09. “</w:t>
      </w:r>
      <w:r>
        <w:rPr>
          <w:rFonts w:ascii="Times New Roman;sans-serif" w:hAnsi="Times New Roman;sans-serif"/>
          <w:b w:val="false"/>
          <w:color w:val="000000"/>
          <w:sz w:val="24"/>
          <w:u w:val="single"/>
        </w:rPr>
        <w:t>Indebtedness</w:t>
      </w:r>
      <w:r>
        <w:rPr>
          <w:color w:val="000000"/>
        </w:rPr>
        <w:t xml:space="preserve">” </w:t>
      </w:r>
      <w:r>
        <w:rPr>
          <w:rFonts w:ascii="Times New Roman;sans-serif" w:hAnsi="Times New Roman;sans-serif"/>
          <w:b w:val="false"/>
          <w:color w:val="000000"/>
          <w:sz w:val="24"/>
        </w:rPr>
        <w:t>of any person shall mean, without duplication, (a) all obligations of such</w:t>
      </w:r>
    </w:p>
    <w:p>
      <w:pPr>
        <w:pStyle w:val="TextBody"/>
        <w:bidi w:val="0"/>
        <w:spacing w:lineRule="auto" w:line="225"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person for borrowed money, (b) all obligations of such person evidenced by bonds, debentures,</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notes or similar instruments (except any such obligation issued in the ordinary course of business with a maturity date of no more than six months in a transaction intended to extend payment terms of trade payables or similar obligations to trade creditors incurred in the ordinary course of business), (c) all obligations of such person under conditional sale or other title retention agreements relating to property or assets purchased by such person (except any such obligation that constitutes a trade payable or similar obligation to a trade creditor incurred in the ordinary</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6480175" cy="781050"/>
                <wp:effectExtent l="0" t="0" r="0" b="0"/>
                <wp:wrapNone/>
                <wp:docPr id="254" name="Frame253"/>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52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52</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jc w:val="both"/>
        <w:rPr>
          <w:rFonts w:ascii="Times New Roman;sans-serif" w:hAnsi="Times New Roman;sans-serif"/>
          <w:b w:val="false"/>
          <w:color w:val="000000"/>
          <w:sz w:val="24"/>
        </w:rPr>
      </w:pPr>
      <w:r>
        <w:rPr>
          <w:rFonts w:ascii="Times New Roman;sans-serif" w:hAnsi="Times New Roman;sans-serif"/>
          <w:b w:val="false"/>
          <w:color w:val="000000"/>
          <w:sz w:val="24"/>
        </w:rPr>
        <w:t>course of business), (d) all obligations of such person issued or assumed as the deferred purchase price of property or services (except any such balance that (i) constitutes a trade payable or similar obligation to a trade creditor incurred in the ordinary course of business, (ii) any earnout obligations until such obligation becomes a liability on the balance sheet of such person in accordance with GAAP, (iii) any such obligations incurred under ERISA and (iv) liabilities accrued in the ordinary course of business) which purchase price is due more than six months after the date of placing the property in service or taking delivery and title thereto, (e) all Guarantees by such person of Indebtedness of others described in clauses (a) through (d) above, (f) all Capitalized Lease Obligations of such person, (g) the net obligations of any person under any Hedging Agreements, to the extent the foregoing would appear on a balance sheet of such person as a liability in accordance with GAAP, (h) the principal component of all unreimbursed obligations of such person as an account party in respect of drawn letters of credit, (i) the principal component of all unreimbursed obligations of such person in respect of drawn bankers’ acceptances, (j) the amount of all obligations of such person with respect to the redemption, repayment or other repurchase of any Disqualified Equity Interests (excluding accrued dividends that have not increased the liquidation preference of such Disqualified Equity Interests) and (k) all Indebtedness of others secured by (or for which the holder of such Indebtedness has an existing right, contingent or otherwise, to be secured by) any Lien on property owned or acquired by such person (other than Liens on Equity Interests of Unrestricted Subsidiaries securing Indebtedness of such Unrestricted Subsidiaries), whether or not the Indebtedness secured thereby has been assumed.</w:t>
      </w:r>
    </w:p>
    <w:p>
      <w:pPr>
        <w:pStyle w:val="TextBody"/>
        <w:bidi w:val="0"/>
        <w:spacing w:lineRule="auto" w:line="240" w:before="241"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Notwithstanding the foregoing, and where applicable, “Indebtedness” will not include:</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(i)all intercompany Indebtedness and any obligations arising from intercompany transfer pricing arrangements having a term not exceeding 364 days (inclusive of any roll-over or extensions of terms) and made in the ordinary course of business;</w:t>
      </w:r>
    </w:p>
    <w:p>
      <w:pPr>
        <w:pStyle w:val="TextBody"/>
        <w:bidi w:val="0"/>
        <w:spacing w:lineRule="auto" w:line="240" w:before="238"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(ii)the amount of any net obligation under any Hedging Agreement on any date shall be deemed to be the Hedge Termination Value thereof as of such date;</w:t>
      </w:r>
    </w:p>
    <w:p>
      <w:pPr>
        <w:pStyle w:val="TextBody"/>
        <w:bidi w:val="0"/>
        <w:spacing w:lineRule="auto" w:line="240" w:before="241" w:after="283"/>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(iii)contingent obligations incurred in the ordinary course of business;</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 xml:space="preserve">(iv)in connection with any Permitted Business Acquisition or other Investment, any post-closing payment adjustments to which the seller may become entitled to the extent such payment is determined by a final closing balance sheet or such payment depends on the performance of the Person or assets acquired after the closing;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to the extent such payment becomes fixed and determined, the amount is paid within ninety (90) days thereafter;</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(v)deferred compensation payable to directors, officers, employees or consultants and any obligations in respect of workers’ compensation claims, early retirement obligations, pension fund obligations or contributions or social security or wage Taxes;</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6480175" cy="781050"/>
                <wp:effectExtent l="0" t="0" r="0" b="0"/>
                <wp:wrapNone/>
                <wp:docPr id="255" name="Frame254"/>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53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53</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(vi)any Indebtedness that has been defeased in accordance with GAAP or defeased pursuant to the deposit of cash or Cash Equivalents (in any amount sufficient to satisfy all such Indebtedness obligations at maturity or redemption, as applicable, and all payments of interest and premium, if any) in a trust or account created or pledged for the sole benefit of the holders of such Indebtedness, and subject to no other Liens, and the other applicable terms of the instrument governing such Indebtedness;</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(vii)current and long term deferred income, current and deferred income taxes payable, capitalized payments in lieu of property taxes in accordance with GAAP, in each case accrued in the ordinary course of business;</w:t>
      </w:r>
    </w:p>
    <w:p>
      <w:pPr>
        <w:pStyle w:val="TextBody"/>
        <w:bidi w:val="0"/>
        <w:spacing w:lineRule="auto" w:line="240" w:before="240" w:after="283"/>
        <w:ind w:left="0" w:right="0" w:hanging="721"/>
        <w:jc w:val="left"/>
        <w:rPr>
          <w:rFonts w:ascii="Times New Roman;sans-serif" w:hAnsi="Times New Roman;sans-serif"/>
          <w:b w:val="false"/>
          <w:color w:val="000000"/>
          <w:sz w:val="24"/>
        </w:rPr>
      </w:pPr>
      <w:r>
        <w:rPr>
          <w:rFonts w:ascii="Times New Roman;sans-serif" w:hAnsi="Times New Roman;sans-serif"/>
          <w:b w:val="false"/>
          <w:color w:val="000000"/>
          <w:sz w:val="24"/>
        </w:rPr>
        <w:t>(viii)deferred or prepaid revenues;</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(ix)prepayments or deposits received from clients or customers in the ordinary course of business;</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(x)obligations in respect of letters of credit and bank guarantees provided by the Borrower or any of its Subsidiaries in the ordinary course of business, to the extent such letters of credit or bank guarantees are not drawn upon or, if and to the extent drawn upon, are reimbursed no later than the tenth (10th) Business Day following receipt by such Person of a demand for reimbursement following such drawing;</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(xi)obligations under any license, permit or other approval (or guarantees given in respect of such obligations) incurred prior to the Closing Date or in the ordinary course of business;</w:t>
      </w:r>
    </w:p>
    <w:p>
      <w:pPr>
        <w:pStyle w:val="TextBody"/>
        <w:bidi w:val="0"/>
        <w:spacing w:lineRule="auto" w:line="240" w:before="241"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(xii)obligations in respect of performance, completion, surety, Tax, appeal, judgment, advance payment, customs, guarantees or similar instruments provided by the Borrower or any Subsidiaries in the ordinary course of business;</w:t>
      </w:r>
    </w:p>
    <w:p>
      <w:pPr>
        <w:pStyle w:val="TextBody"/>
        <w:bidi w:val="0"/>
        <w:spacing w:lineRule="auto" w:line="240" w:before="238" w:after="283"/>
        <w:ind w:left="0" w:right="0" w:firstLine="720"/>
        <w:jc w:val="both"/>
        <w:rPr/>
      </w:pPr>
      <w:r>
        <w:rPr>
          <w:rFonts w:ascii="Times New Roman;sans-serif" w:hAnsi="Times New Roman;sans-serif"/>
          <w:b w:val="false"/>
          <w:color w:val="000000"/>
          <w:sz w:val="24"/>
        </w:rPr>
        <w:t>(xiii)Escrowed Proceeds and other obligations which would otherwise constitute Indebtedness but which have been cash collateralized and obligations incurred in advance of, and the proceeds of which are to be applied in connection with, the consummation of a transaction solely to the extent that the proceeds thereof are and continue to be held in an escrow, trust, collateral or similar account or arrangement (collectively, an “</w:t>
      </w:r>
      <w:r>
        <w:rPr>
          <w:rFonts w:ascii="Times New Roman;sans-serif" w:hAnsi="Times New Roman;sans-serif"/>
          <w:b w:val="false"/>
          <w:color w:val="000000"/>
          <w:sz w:val="24"/>
          <w:u w:val="single"/>
        </w:rPr>
        <w:t>Escrow</w:t>
      </w:r>
      <w:r>
        <w:rPr>
          <w:color w:val="000000"/>
        </w:rPr>
        <w:t>”</w:t>
      </w:r>
      <w:r>
        <w:rPr>
          <w:rFonts w:ascii="Times New Roman;sans-serif" w:hAnsi="Times New Roman;sans-serif"/>
          <w:b w:val="false"/>
          <w:color w:val="000000"/>
          <w:sz w:val="24"/>
        </w:rPr>
        <w:t>) and are not otherwise made available for any other purpose and are used for such purpose (it being understood that in any event, any such proceeds held in such Escrow shall be not deemed to be unrestricted cash), and</w:t>
      </w:r>
    </w:p>
    <w:p>
      <w:pPr>
        <w:pStyle w:val="TextBody"/>
        <w:bidi w:val="0"/>
        <w:spacing w:lineRule="auto" w:line="240" w:before="241" w:after="283"/>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(xiv)any Increased Amount.</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amount of Indebtedness of any person for purposes of clause (k) above shall (unless such Indebtedness has been assumed by such person or is otherwise recourse to such person) be deemed to be equal to the lesser of (A) the aggregate unpaid amount of such Indebtedness and (B) the Fair Market Value of the property encumbered thereby.</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6480175" cy="781050"/>
                <wp:effectExtent l="0" t="0" r="0" b="0"/>
                <wp:wrapNone/>
                <wp:docPr id="256" name="Frame255"/>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54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54</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Notwithstanding anything in this Agreement to the contrary, Indebtedness shall not include, and shall be calculated without giving effect to, the effects of Financial Accounting Standards Board Accounting Standards Codification 825 and related interpretations to the extent such effects would otherwise increase or decrease an amount of Indebtedness for any purpose under this Agreement as a result of accounting for any embedded derivatives created by the terms of such Indebtedness and any such amounts that would have constituted Indebtedness for purposes of this Agreement but for the application of this sentence shall not be deemed an incurrence of Indebtedness for purposes of this Agreement.</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val="false"/>
          <w:color w:val="000000"/>
          <w:sz w:val="24"/>
          <w:u w:val="single"/>
        </w:rPr>
        <w:t>Indemnified Taxes</w:t>
      </w:r>
      <w:r>
        <w:rPr>
          <w:color w:val="000000"/>
        </w:rPr>
        <w:t xml:space="preserve">” </w:t>
      </w:r>
      <w:r>
        <w:rPr>
          <w:rFonts w:ascii="Times New Roman;sans-serif" w:hAnsi="Times New Roman;sans-serif"/>
          <w:b w:val="false"/>
          <w:color w:val="000000"/>
          <w:sz w:val="24"/>
        </w:rPr>
        <w:t>shall mean all Taxes imposed on or with respect to any payment by or on account of any obligation of any Loan Party hereunder or under any other Loan Document other than (a) Excluded Taxes and (b) Other Taxes.</w:t>
      </w:r>
    </w:p>
    <w:p>
      <w:pPr>
        <w:pStyle w:val="TextBody"/>
        <w:bidi w:val="0"/>
        <w:spacing w:lineRule="auto" w:line="520" w:before="240" w:after="283"/>
        <w:jc w:val="both"/>
        <w:rPr/>
      </w:pPr>
      <w:r>
        <w:rPr>
          <w:color w:val="000000"/>
        </w:rPr>
        <w:t>“</w:t>
      </w:r>
      <w:r>
        <w:rPr>
          <w:rFonts w:ascii="Times New Roman;sans-serif" w:hAnsi="Times New Roman;sans-serif"/>
          <w:b w:val="false"/>
          <w:color w:val="000000"/>
          <w:sz w:val="24"/>
          <w:u w:val="single"/>
        </w:rPr>
        <w:t>Indemnitee</w:t>
      </w:r>
      <w:r>
        <w:rPr>
          <w:color w:val="000000"/>
        </w:rPr>
        <w:t xml:space="preserve">” </w:t>
      </w:r>
      <w:r>
        <w:rPr>
          <w:rFonts w:ascii="Times New Roman;sans-serif" w:hAnsi="Times New Roman;sans-serif"/>
          <w:b w:val="false"/>
          <w:color w:val="000000"/>
          <w:sz w:val="24"/>
        </w:rPr>
        <w:t>shall have the meaning assigned to such term in Section 9.05(b). “</w:t>
      </w:r>
      <w:r>
        <w:rPr>
          <w:rFonts w:ascii="Times New Roman;sans-serif" w:hAnsi="Times New Roman;sans-serif"/>
          <w:b w:val="false"/>
          <w:color w:val="000000"/>
          <w:sz w:val="24"/>
          <w:u w:val="single"/>
        </w:rPr>
        <w:t>Information</w:t>
      </w:r>
      <w:r>
        <w:rPr>
          <w:color w:val="000000"/>
        </w:rPr>
        <w:t xml:space="preserve">” </w:t>
      </w:r>
      <w:r>
        <w:rPr>
          <w:rFonts w:ascii="Times New Roman;sans-serif" w:hAnsi="Times New Roman;sans-serif"/>
          <w:b w:val="false"/>
          <w:color w:val="000000"/>
          <w:sz w:val="24"/>
        </w:rPr>
        <w:t>shall have the meaning assigned to such term in Section 3.14(a).</w:t>
      </w:r>
    </w:p>
    <w:p>
      <w:pPr>
        <w:pStyle w:val="TextBody"/>
        <w:bidi w:val="0"/>
        <w:spacing w:lineRule="auto" w:line="240" w:before="0" w:after="0"/>
        <w:ind w:left="0" w:right="0" w:firstLine="720"/>
        <w:jc w:val="both"/>
        <w:rPr/>
      </w:pPr>
      <w:r>
        <w:rPr>
          <w:color w:val="000000"/>
        </w:rPr>
        <w:t>“</w:t>
      </w:r>
      <w:r>
        <w:rPr>
          <w:rFonts w:ascii="Times New Roman;sans-serif" w:hAnsi="Times New Roman;sans-serif"/>
          <w:b w:val="false"/>
          <w:color w:val="000000"/>
          <w:sz w:val="24"/>
          <w:u w:val="single"/>
        </w:rPr>
        <w:t>Initial Revolving Loan</w:t>
      </w:r>
      <w:r>
        <w:rPr>
          <w:color w:val="000000"/>
        </w:rPr>
        <w:t xml:space="preserve">” </w:t>
      </w:r>
      <w:r>
        <w:rPr>
          <w:rFonts w:ascii="Times New Roman;sans-serif" w:hAnsi="Times New Roman;sans-serif"/>
          <w:b w:val="false"/>
          <w:color w:val="000000"/>
          <w:sz w:val="24"/>
        </w:rPr>
        <w:t>shall mean a Revolving Facility Loan made (i) pursuant to the Revolving Facility Commitments in effect on the Closing Date (as the same may be amended from time to time in accordance with this Agreement) or (ii) pursuant to any Incremental Revolving Facility Commitment on the same terms as (and forming a single Class with) the Revolving Facility Commitments referred to in clause (i) of this definition.</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val="false"/>
          <w:color w:val="000000"/>
          <w:sz w:val="24"/>
          <w:u w:val="single"/>
        </w:rPr>
        <w:t>Initial Term Facility</w:t>
      </w:r>
      <w:r>
        <w:rPr>
          <w:color w:val="000000"/>
        </w:rPr>
        <w:t xml:space="preserve">” </w:t>
      </w:r>
      <w:r>
        <w:rPr>
          <w:rFonts w:ascii="Times New Roman;sans-serif" w:hAnsi="Times New Roman;sans-serif"/>
          <w:b w:val="false"/>
          <w:color w:val="000000"/>
          <w:sz w:val="24"/>
        </w:rPr>
        <w:t>shall mean the Initial Term Loan Commitments and the Initial Term Loans made hereunder.</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val="false"/>
          <w:color w:val="000000"/>
          <w:sz w:val="24"/>
          <w:u w:val="single"/>
        </w:rPr>
        <w:t>Initial Term Lender</w:t>
      </w:r>
      <w:r>
        <w:rPr>
          <w:color w:val="000000"/>
        </w:rPr>
        <w:t xml:space="preserve">” </w:t>
      </w:r>
      <w:r>
        <w:rPr>
          <w:rFonts w:ascii="Times New Roman;sans-serif" w:hAnsi="Times New Roman;sans-serif"/>
          <w:b w:val="false"/>
          <w:color w:val="000000"/>
          <w:sz w:val="24"/>
        </w:rPr>
        <w:t>shall mean, at any time, any Lender that holds an Initial Term Loan Commitment or Initial Term Loans at such time.</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val="false"/>
          <w:color w:val="000000"/>
          <w:sz w:val="24"/>
          <w:u w:val="single"/>
        </w:rPr>
        <w:t>Initial Term Loan Commitment</w:t>
      </w:r>
      <w:r>
        <w:rPr>
          <w:color w:val="000000"/>
        </w:rPr>
        <w:t xml:space="preserve">” </w:t>
      </w:r>
      <w:r>
        <w:rPr>
          <w:rFonts w:ascii="Times New Roman;sans-serif" w:hAnsi="Times New Roman;sans-serif"/>
          <w:b w:val="false"/>
          <w:color w:val="000000"/>
          <w:sz w:val="24"/>
        </w:rPr>
        <w:t xml:space="preserve">shall mean, with respect to each Term Lender, the commitment of such Term Lender to make Initial Term Loans hereunder. The amount of each Term Lender’s Initial Term Loan Commitment as of the Closing Date is set forth on </w:t>
      </w:r>
      <w:r>
        <w:rPr>
          <w:rFonts w:ascii="Times New Roman;sans-serif" w:hAnsi="Times New Roman;sans-serif"/>
          <w:b w:val="false"/>
          <w:color w:val="000000"/>
          <w:sz w:val="24"/>
          <w:u w:val="single"/>
        </w:rPr>
        <w:t>Schedule 2.01</w:t>
      </w:r>
      <w:r>
        <w:rPr>
          <w:rFonts w:ascii="Times New Roman;sans-serif" w:hAnsi="Times New Roman;sans-serif"/>
          <w:b w:val="false"/>
          <w:color w:val="000000"/>
          <w:sz w:val="24"/>
        </w:rPr>
        <w:t>. The aggregate amount of the Initial Term Loan Commitments as of the Closing Date is</w:t>
      </w:r>
    </w:p>
    <w:p>
      <w:pPr>
        <w:pStyle w:val="TextBody"/>
        <w:bidi w:val="0"/>
        <w:spacing w:lineRule="auto" w:line="276"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$365,000,000.</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val="false"/>
          <w:color w:val="000000"/>
          <w:sz w:val="24"/>
          <w:u w:val="single"/>
        </w:rPr>
        <w:t>Initial Term Loan Installment Date</w:t>
      </w:r>
      <w:r>
        <w:rPr>
          <w:color w:val="000000"/>
        </w:rPr>
        <w:t xml:space="preserve">” </w:t>
      </w:r>
      <w:r>
        <w:rPr>
          <w:rFonts w:ascii="Times New Roman;sans-serif" w:hAnsi="Times New Roman;sans-serif"/>
          <w:b w:val="false"/>
          <w:color w:val="000000"/>
          <w:sz w:val="24"/>
        </w:rPr>
        <w:t>shall have the meaning assigned to such term in Section 2.10(a)(i).</w:t>
      </w:r>
    </w:p>
    <w:p>
      <w:pPr>
        <w:pStyle w:val="TextBody"/>
        <w:bidi w:val="0"/>
        <w:spacing w:lineRule="auto" w:line="240" w:before="240" w:after="283"/>
        <w:jc w:val="both"/>
        <w:rPr/>
      </w:pPr>
      <w:r>
        <w:rPr>
          <w:color w:val="000000"/>
        </w:rPr>
        <w:t>“</w:t>
      </w:r>
      <w:r>
        <w:rPr>
          <w:rFonts w:ascii="Times New Roman;sans-serif" w:hAnsi="Times New Roman;sans-serif"/>
          <w:b w:val="false"/>
          <w:color w:val="000000"/>
          <w:sz w:val="24"/>
          <w:u w:val="single"/>
        </w:rPr>
        <w:t>Initial Term Loan Maturity Date</w:t>
      </w:r>
      <w:r>
        <w:rPr>
          <w:color w:val="000000"/>
        </w:rPr>
        <w:t xml:space="preserve">” </w:t>
      </w:r>
      <w:r>
        <w:rPr>
          <w:rFonts w:ascii="Times New Roman;sans-serif" w:hAnsi="Times New Roman;sans-serif"/>
          <w:b w:val="false"/>
          <w:color w:val="000000"/>
          <w:sz w:val="24"/>
        </w:rPr>
        <w:t>shall mean February 6, 2031.</w:t>
      </w:r>
    </w:p>
    <w:p>
      <w:pPr>
        <w:pStyle w:val="TextBody"/>
        <w:bidi w:val="0"/>
        <w:spacing w:lineRule="auto" w:line="240" w:before="240" w:after="283"/>
        <w:ind w:left="0" w:right="0" w:firstLine="720"/>
        <w:jc w:val="left"/>
        <w:rPr/>
      </w:pPr>
      <w:r>
        <w:rPr>
          <w:color w:val="000000"/>
        </w:rPr>
        <w:t>“</w:t>
      </w:r>
      <w:r>
        <w:rPr>
          <w:rFonts w:ascii="Times New Roman;sans-serif" w:hAnsi="Times New Roman;sans-serif"/>
          <w:b w:val="false"/>
          <w:color w:val="000000"/>
          <w:sz w:val="24"/>
          <w:u w:val="single"/>
        </w:rPr>
        <w:t>Initial Term Loans</w:t>
      </w:r>
      <w:r>
        <w:rPr>
          <w:color w:val="000000"/>
        </w:rPr>
        <w:t xml:space="preserve">” </w:t>
      </w:r>
      <w:r>
        <w:rPr>
          <w:rFonts w:ascii="Times New Roman;sans-serif" w:hAnsi="Times New Roman;sans-serif"/>
          <w:b w:val="false"/>
          <w:color w:val="000000"/>
          <w:sz w:val="24"/>
        </w:rPr>
        <w:t>shall mean the term loans made by the Term Lenders to the Borrower on the Closing Date pursuant to Section 2.01(a).</w:t>
      </w:r>
    </w:p>
    <w:p>
      <w:pPr>
        <w:pStyle w:val="TextBody"/>
        <w:bidi w:val="0"/>
        <w:spacing w:lineRule="auto" w:line="592" w:before="6" w:after="283"/>
        <w:jc w:val="left"/>
        <w:rPr/>
      </w:pPr>
      <w:r>
        <w:rPr>
          <w:color w:val="000000"/>
        </w:rPr>
        <w:t>“</w:t>
      </w:r>
      <w:r>
        <w:rPr>
          <w:rFonts w:ascii="Times New Roman;sans-serif" w:hAnsi="Times New Roman;sans-serif"/>
          <w:b w:val="false"/>
          <w:color w:val="000000"/>
          <w:sz w:val="24"/>
          <w:u w:val="single"/>
        </w:rPr>
        <w:t>Insurance Subsidiary</w:t>
      </w:r>
      <w:r>
        <w:rPr>
          <w:color w:val="000000"/>
        </w:rPr>
        <w:t xml:space="preserve">” </w:t>
      </w:r>
      <w:r>
        <w:rPr>
          <w:rFonts w:ascii="Times New Roman;sans-serif" w:hAnsi="Times New Roman;sans-serif"/>
          <w:b w:val="false"/>
          <w:color w:val="000000"/>
          <w:sz w:val="24"/>
        </w:rPr>
        <w:t>shall have the meaning assigned to such term in Section 6.04(x). “</w:t>
      </w:r>
      <w:r>
        <w:rPr>
          <w:rFonts w:ascii="Times New Roman;sans-serif" w:hAnsi="Times New Roman;sans-serif"/>
          <w:b w:val="false"/>
          <w:color w:val="000000"/>
          <w:sz w:val="24"/>
          <w:u w:val="single"/>
        </w:rPr>
        <w:t>Intellectual Property</w:t>
      </w:r>
      <w:r>
        <w:rPr>
          <w:color w:val="000000"/>
        </w:rPr>
        <w:t xml:space="preserve">” </w:t>
      </w:r>
      <w:r>
        <w:rPr>
          <w:rFonts w:ascii="Times New Roman;sans-serif" w:hAnsi="Times New Roman;sans-serif"/>
          <w:b w:val="false"/>
          <w:color w:val="000000"/>
          <w:sz w:val="24"/>
        </w:rPr>
        <w:t>shall mean the following intellectual property rights, including both</w:t>
      </w:r>
    </w:p>
    <w:p>
      <w:pPr>
        <w:pStyle w:val="TextBody"/>
        <w:bidi w:val="0"/>
        <w:spacing w:lineRule="auto" w:line="240" w:before="6" w:after="283"/>
        <w:jc w:val="left"/>
        <w:rPr>
          <w:rFonts w:ascii="Times New Roman;sans-serif" w:hAnsi="Times New Roman;sans-serif"/>
          <w:b w:val="false"/>
          <w:color w:val="000000"/>
          <w:sz w:val="24"/>
        </w:rPr>
      </w:pPr>
      <w:r>
        <w:rPr>
          <w:rFonts w:ascii="Times New Roman;sans-serif" w:hAnsi="Times New Roman;sans-serif"/>
          <w:b w:val="false"/>
          <w:color w:val="000000"/>
          <w:sz w:val="24"/>
        </w:rPr>
        <w:t>statutory and common law rights, if applicable: (a) copyrights, registrations and applications for registration thereof, (b) trademarks, service marks, trade names, slogans, domain names, logos,</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6480175" cy="781050"/>
                <wp:effectExtent l="0" t="0" r="0" b="0"/>
                <wp:wrapNone/>
                <wp:docPr id="257" name="Frame256"/>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55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55</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60" w:after="283"/>
        <w:jc w:val="both"/>
        <w:rPr>
          <w:rFonts w:ascii="Times New Roman;sans-serif" w:hAnsi="Times New Roman;sans-serif"/>
          <w:b w:val="false"/>
          <w:color w:val="000000"/>
          <w:sz w:val="24"/>
        </w:rPr>
      </w:pPr>
      <w:r>
        <w:rPr>
          <w:rFonts w:ascii="Times New Roman;sans-serif" w:hAnsi="Times New Roman;sans-serif"/>
          <w:b w:val="false"/>
          <w:color w:val="000000"/>
          <w:sz w:val="24"/>
        </w:rPr>
        <w:t>trade dress and registrations and applications of registrations thereof, (c) patents, as well as any reissued and reexamined patents and any patent applications, as well as any related continuation, continuation in part and divisional applications and patents issuing therefrom and (d) trade secrets and confidential information, including designs, concepts, compilations of information, methods, techniques, procedures, processes and other knowhow, whether or not patentable.</w:t>
      </w:r>
    </w:p>
    <w:p>
      <w:pPr>
        <w:pStyle w:val="TextBody"/>
        <w:bidi w:val="0"/>
        <w:spacing w:lineRule="auto" w:line="592" w:before="6" w:after="283"/>
        <w:jc w:val="both"/>
        <w:rPr/>
      </w:pPr>
      <w:r>
        <w:rPr>
          <w:color w:val="000000"/>
        </w:rPr>
        <w:t>“</w:t>
      </w:r>
      <w:r>
        <w:rPr>
          <w:rFonts w:ascii="Times New Roman;sans-serif" w:hAnsi="Times New Roman;sans-serif"/>
          <w:b w:val="false"/>
          <w:color w:val="000000"/>
          <w:sz w:val="24"/>
          <w:u w:val="single"/>
        </w:rPr>
        <w:t>Intercreditor Agreement</w:t>
      </w:r>
      <w:r>
        <w:rPr>
          <w:color w:val="000000"/>
        </w:rPr>
        <w:t xml:space="preserve">” </w:t>
      </w:r>
      <w:r>
        <w:rPr>
          <w:rFonts w:ascii="Times New Roman;sans-serif" w:hAnsi="Times New Roman;sans-serif"/>
          <w:b w:val="false"/>
          <w:color w:val="000000"/>
          <w:sz w:val="24"/>
        </w:rPr>
        <w:t>shall have the meaning assigned to such term in Section 8.11. “</w:t>
      </w:r>
      <w:r>
        <w:rPr>
          <w:rFonts w:ascii="Times New Roman;sans-serif" w:hAnsi="Times New Roman;sans-serif"/>
          <w:b w:val="false"/>
          <w:color w:val="000000"/>
          <w:sz w:val="24"/>
          <w:u w:val="single"/>
        </w:rPr>
        <w:t>Interest Election Request</w:t>
      </w:r>
      <w:r>
        <w:rPr>
          <w:color w:val="000000"/>
        </w:rPr>
        <w:t xml:space="preserve">” </w:t>
      </w:r>
      <w:r>
        <w:rPr>
          <w:rFonts w:ascii="Times New Roman;sans-serif" w:hAnsi="Times New Roman;sans-serif"/>
          <w:b w:val="false"/>
          <w:color w:val="000000"/>
          <w:sz w:val="24"/>
        </w:rPr>
        <w:t>shall mean a request by the Borrower to convert or continue a</w:t>
      </w:r>
    </w:p>
    <w:p>
      <w:pPr>
        <w:pStyle w:val="TextBody"/>
        <w:bidi w:val="0"/>
        <w:spacing w:lineRule="auto" w:line="240" w:before="6" w:after="283"/>
        <w:jc w:val="both"/>
        <w:rPr/>
      </w:pPr>
      <w:r>
        <w:rPr>
          <w:rFonts w:ascii="Times New Roman;sans-serif" w:hAnsi="Times New Roman;sans-serif"/>
          <w:b w:val="false"/>
          <w:color w:val="000000"/>
          <w:sz w:val="24"/>
        </w:rPr>
        <w:t xml:space="preserve">Borrowing in accordance with Section 2.07 and substantially in the form of </w:t>
      </w:r>
      <w:r>
        <w:rPr>
          <w:rFonts w:ascii="Times New Roman;sans-serif" w:hAnsi="Times New Roman;sans-serif"/>
          <w:b w:val="false"/>
          <w:color w:val="000000"/>
          <w:sz w:val="24"/>
          <w:u w:val="single"/>
        </w:rPr>
        <w:t>Exhibit E</w:t>
      </w:r>
      <w:r>
        <w:rPr>
          <w:color w:val="000000"/>
        </w:rPr>
        <w:t xml:space="preserve"> </w:t>
      </w:r>
      <w:r>
        <w:rPr>
          <w:rFonts w:ascii="Times New Roman;sans-serif" w:hAnsi="Times New Roman;sans-serif"/>
          <w:b w:val="false"/>
          <w:color w:val="000000"/>
          <w:sz w:val="24"/>
        </w:rPr>
        <w:t>or another form (including any form on an electronic platform or electronic transmission system as shall be approved by the Administrative Agent) approved by the Administrative Agent.</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val="false"/>
          <w:color w:val="000000"/>
          <w:sz w:val="24"/>
          <w:u w:val="single"/>
        </w:rPr>
        <w:t>Interest Payment Date</w:t>
      </w:r>
      <w:r>
        <w:rPr>
          <w:color w:val="000000"/>
        </w:rPr>
        <w:t xml:space="preserve">” </w:t>
      </w:r>
      <w:r>
        <w:rPr>
          <w:rFonts w:ascii="Times New Roman;sans-serif" w:hAnsi="Times New Roman;sans-serif"/>
          <w:b w:val="false"/>
          <w:color w:val="000000"/>
          <w:sz w:val="24"/>
        </w:rPr>
        <w:t xml:space="preserve">shall mean, (a) as to any Term SOFR Loan, the last day of each Interest Period applicable to such Loan and the Maturity Date of the Facility under which such Loan was made;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if any Interest Period for a Term SOFR Loan exceeds three months, the respective dates that fall every three months after the beginning of such Interest Period shall also be Interest Payment Dates; and (b) as to any ABR Loan or Swingline Loan, the last Business Day of each March, June, September and December and the Maturity Date of the applicable Facility under which such Loan was made.</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val="false"/>
          <w:color w:val="000000"/>
          <w:sz w:val="24"/>
          <w:u w:val="single"/>
        </w:rPr>
        <w:t>Interest Period</w:t>
      </w:r>
      <w:r>
        <w:rPr>
          <w:color w:val="000000"/>
        </w:rPr>
        <w:t xml:space="preserve">” </w:t>
      </w:r>
      <w:r>
        <w:rPr>
          <w:rFonts w:ascii="Times New Roman;sans-serif" w:hAnsi="Times New Roman;sans-serif"/>
          <w:b w:val="false"/>
          <w:color w:val="000000"/>
          <w:sz w:val="24"/>
        </w:rPr>
        <w:t xml:space="preserve">shall mean, as to each Term SOFR Loan, the period commencing on the date such Term SOFR Loan is disbursed or converted to or continued as a Term SOFR Loan and ending on the date one, three or six months thereafter, as selected by the Borrower in its Borrowing Request or Interest Election Request or such other period that is requested by the Borrower and consented to by the Administrative Agent and all applicable Lenders;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w:t>
      </w:r>
    </w:p>
    <w:p>
      <w:pPr>
        <w:pStyle w:val="TextBody"/>
        <w:bidi w:val="0"/>
        <w:spacing w:lineRule="auto" w:line="240" w:before="241"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(a)any Interest Period that would otherwise end on a day that is not a Business Day shall be extended to the next succeeding Business Day unless, in the case of a Term SOFR Loan, such Business Day falls in another calendar month, in which case such Interest Period shall end on the next preceding Business Day;</w:t>
      </w:r>
    </w:p>
    <w:p>
      <w:pPr>
        <w:pStyle w:val="TextBody"/>
        <w:bidi w:val="0"/>
        <w:spacing w:lineRule="auto" w:line="240" w:before="238"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(b)any Interest Period pertaining to a Term SOFR Loan that begins on the last Business Day of a calendar month (or on a day for which there is no numerically corresponding day in the calendar month at the end of such Interest Period) shall end on the last Business Day of the calendar month at the end of such Interest Period;</w:t>
      </w:r>
    </w:p>
    <w:p>
      <w:pPr>
        <w:pStyle w:val="TextBody"/>
        <w:bidi w:val="0"/>
        <w:spacing w:lineRule="auto" w:line="240" w:before="240"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(c)no Interest Period for any Loan shall extend beyond the Maturity Date of the Facility under which such Loan was made; and</w:t>
      </w:r>
    </w:p>
    <w:p>
      <w:pPr>
        <w:pStyle w:val="TextBody"/>
        <w:bidi w:val="0"/>
        <w:spacing w:lineRule="auto" w:line="240" w:before="241"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(d)no tenor that has been removed from this definition pursuant to Section 2.14(d) shall be available for specification in such Borrowing Request or Interest Election Request.</w:t>
      </w:r>
    </w:p>
    <w:p>
      <w:pPr>
        <w:pStyle w:val="TextBody"/>
        <w:bidi w:val="0"/>
        <w:spacing w:lineRule="auto" w:line="520" w:before="240" w:after="283"/>
        <w:jc w:val="left"/>
        <w:rPr/>
      </w:pPr>
      <w:r>
        <w:rPr>
          <w:color w:val="000000"/>
        </w:rPr>
        <w:t>“</w:t>
      </w:r>
      <w:r>
        <w:rPr>
          <w:rFonts w:ascii="Times New Roman;sans-serif" w:hAnsi="Times New Roman;sans-serif"/>
          <w:b w:val="false"/>
          <w:color w:val="000000"/>
          <w:sz w:val="24"/>
          <w:u w:val="single"/>
        </w:rPr>
        <w:t>Investment</w:t>
      </w:r>
      <w:r>
        <w:rPr>
          <w:color w:val="000000"/>
        </w:rPr>
        <w:t xml:space="preserve">” </w:t>
      </w:r>
      <w:r>
        <w:rPr>
          <w:rFonts w:ascii="Times New Roman;sans-serif" w:hAnsi="Times New Roman;sans-serif"/>
          <w:b w:val="false"/>
          <w:color w:val="000000"/>
          <w:sz w:val="24"/>
        </w:rPr>
        <w:t>shall have the meaning assigned to such term in Section 6.04. “</w:t>
      </w:r>
      <w:r>
        <w:rPr>
          <w:rFonts w:ascii="Times New Roman;sans-serif" w:hAnsi="Times New Roman;sans-serif"/>
          <w:b w:val="false"/>
          <w:color w:val="000000"/>
          <w:sz w:val="24"/>
          <w:u w:val="single"/>
        </w:rPr>
        <w:t>IRS</w:t>
      </w:r>
      <w:r>
        <w:rPr>
          <w:color w:val="000000"/>
        </w:rPr>
        <w:t xml:space="preserve">” </w:t>
      </w:r>
      <w:r>
        <w:rPr>
          <w:rFonts w:ascii="Times New Roman;sans-serif" w:hAnsi="Times New Roman;sans-serif"/>
          <w:b w:val="false"/>
          <w:color w:val="000000"/>
          <w:sz w:val="24"/>
        </w:rPr>
        <w:t>shall mean the U.S. Internal Revenue Service.</w:t>
      </w:r>
    </w:p>
    <w:p>
      <w:pPr>
        <w:pStyle w:val="TextBody"/>
        <w:bidi w:val="0"/>
        <w:spacing w:lineRule="auto" w:line="240" w:before="0" w:after="0"/>
        <w:jc w:val="left"/>
        <w:rPr/>
      </w:pPr>
      <w:r>
        <w:rPr>
          <w:color w:val="000000"/>
        </w:rPr>
        <w:t>“</w:t>
      </w:r>
      <w:r>
        <w:rPr>
          <w:rFonts w:ascii="Times New Roman;sans-serif" w:hAnsi="Times New Roman;sans-serif"/>
          <w:b w:val="false"/>
          <w:color w:val="000000"/>
          <w:sz w:val="24"/>
          <w:u w:val="single"/>
        </w:rPr>
        <w:t>ISDA CDS Definitions</w:t>
      </w:r>
      <w:r>
        <w:rPr>
          <w:color w:val="000000"/>
        </w:rPr>
        <w:t xml:space="preserve">” </w:t>
      </w:r>
      <w:r>
        <w:rPr>
          <w:rFonts w:ascii="Times New Roman;sans-serif" w:hAnsi="Times New Roman;sans-serif"/>
          <w:b w:val="false"/>
          <w:color w:val="000000"/>
          <w:sz w:val="24"/>
        </w:rPr>
        <w:t>shall have the meaning assigned to such term in Section 9.26.</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6480175" cy="781050"/>
                <wp:effectExtent l="0" t="0" r="0" b="0"/>
                <wp:wrapNone/>
                <wp:docPr id="258" name="Frame257"/>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56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56</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60" w:after="283"/>
        <w:jc w:val="center"/>
        <w:rPr/>
      </w:pPr>
      <w:r>
        <w:rPr>
          <w:color w:val="000000"/>
        </w:rPr>
        <w:t>“</w:t>
      </w:r>
      <w:r>
        <w:rPr>
          <w:rFonts w:ascii="Times New Roman;sans-serif" w:hAnsi="Times New Roman;sans-serif"/>
          <w:b w:val="false"/>
          <w:color w:val="000000"/>
          <w:sz w:val="24"/>
          <w:u w:val="single"/>
        </w:rPr>
        <w:t>ISDA Definitions</w:t>
      </w:r>
      <w:r>
        <w:rPr>
          <w:color w:val="000000"/>
        </w:rPr>
        <w:t xml:space="preserve">” </w:t>
      </w:r>
      <w:r>
        <w:rPr>
          <w:rFonts w:ascii="Times New Roman;sans-serif" w:hAnsi="Times New Roman;sans-serif"/>
          <w:b w:val="false"/>
          <w:color w:val="000000"/>
          <w:sz w:val="24"/>
        </w:rPr>
        <w:t>shall have the meaning assigned to such term in Section 2.14.</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val="false"/>
          <w:color w:val="000000"/>
          <w:sz w:val="24"/>
          <w:u w:val="single"/>
        </w:rPr>
        <w:t>ISP</w:t>
      </w:r>
      <w:r>
        <w:rPr>
          <w:color w:val="000000"/>
        </w:rPr>
        <w:t xml:space="preserve">” </w:t>
      </w:r>
      <w:r>
        <w:rPr>
          <w:rFonts w:ascii="Times New Roman;sans-serif" w:hAnsi="Times New Roman;sans-serif"/>
          <w:b w:val="false"/>
          <w:color w:val="000000"/>
          <w:sz w:val="24"/>
        </w:rPr>
        <w:t>shall mean, with respect to any Letter of Credit, the “International Standby Practices 1998” published by the International Chamber of Commerce, publication number 590 (or such later version thereof as may be in effect at the time of issuance).</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val="false"/>
          <w:color w:val="000000"/>
          <w:sz w:val="24"/>
          <w:u w:val="single"/>
        </w:rPr>
        <w:t>Issuer Documents</w:t>
      </w:r>
      <w:r>
        <w:rPr>
          <w:color w:val="000000"/>
        </w:rPr>
        <w:t xml:space="preserve">” </w:t>
      </w:r>
      <w:r>
        <w:rPr>
          <w:rFonts w:ascii="Times New Roman;sans-serif" w:hAnsi="Times New Roman;sans-serif"/>
          <w:b w:val="false"/>
          <w:color w:val="000000"/>
          <w:sz w:val="24"/>
        </w:rPr>
        <w:t>shall mean with respect to any Letter of Credit, the Letter of Credit Request, and any other document, agreement and instrument entered into by the Issuing Bank and the Borrower (or any Subsidiary) or in favor of the Issuing Bank and relating to such Letter of Credit.</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val="false"/>
          <w:color w:val="000000"/>
          <w:sz w:val="24"/>
          <w:u w:val="single"/>
        </w:rPr>
        <w:t>Issuing Bank</w:t>
      </w:r>
      <w:r>
        <w:rPr>
          <w:color w:val="000000"/>
        </w:rPr>
        <w:t xml:space="preserve">” </w:t>
      </w:r>
      <w:r>
        <w:rPr>
          <w:rFonts w:ascii="Times New Roman;sans-serif" w:hAnsi="Times New Roman;sans-serif"/>
          <w:b w:val="false"/>
          <w:color w:val="000000"/>
          <w:sz w:val="24"/>
        </w:rPr>
        <w:t xml:space="preserve">shall mean (i) each person listed as having a Letter of Credit Commitment on </w:t>
      </w:r>
      <w:r>
        <w:rPr>
          <w:rFonts w:ascii="Times New Roman;sans-serif" w:hAnsi="Times New Roman;sans-serif"/>
          <w:b w:val="false"/>
          <w:color w:val="000000"/>
          <w:sz w:val="24"/>
          <w:u w:val="single"/>
        </w:rPr>
        <w:t>Schedule 2.01</w:t>
      </w:r>
      <w:r>
        <w:rPr>
          <w:color w:val="000000"/>
        </w:rPr>
        <w:t xml:space="preserve"> </w:t>
      </w:r>
      <w:r>
        <w:rPr>
          <w:rFonts w:ascii="Times New Roman;sans-serif" w:hAnsi="Times New Roman;sans-serif"/>
          <w:b w:val="false"/>
          <w:color w:val="000000"/>
          <w:sz w:val="24"/>
        </w:rPr>
        <w:t>and (ii) each other Issuing Bank designated pursuant to Section 2.05(k), in each case in its capacity as an issuer of Letters of Credit hereunder, and its successors in such capacity. An Issuing Bank may, in its discretion, arrange for one or more Letters of Credit to be issued by Affiliates of such Issuing Bank, in which case the term “Issuing Bank” shall include any such Affiliate with respect to Letters of Credit issued by such Affiliate.</w:t>
      </w:r>
    </w:p>
    <w:p>
      <w:pPr>
        <w:pStyle w:val="TextBody"/>
        <w:bidi w:val="0"/>
        <w:spacing w:lineRule="auto" w:line="592" w:before="6" w:after="283"/>
        <w:jc w:val="both"/>
        <w:rPr/>
      </w:pPr>
      <w:r>
        <w:rPr>
          <w:color w:val="000000"/>
        </w:rPr>
        <w:t>“</w:t>
      </w:r>
      <w:r>
        <w:rPr>
          <w:rFonts w:ascii="Times New Roman;sans-serif" w:hAnsi="Times New Roman;sans-serif"/>
          <w:b w:val="false"/>
          <w:color w:val="000000"/>
          <w:sz w:val="24"/>
          <w:u w:val="single"/>
        </w:rPr>
        <w:t>Issuing Bank Fees</w:t>
      </w:r>
      <w:r>
        <w:rPr>
          <w:color w:val="000000"/>
        </w:rPr>
        <w:t xml:space="preserve">” </w:t>
      </w:r>
      <w:r>
        <w:rPr>
          <w:rFonts w:ascii="Times New Roman;sans-serif" w:hAnsi="Times New Roman;sans-serif"/>
          <w:b w:val="false"/>
          <w:color w:val="000000"/>
          <w:sz w:val="24"/>
        </w:rPr>
        <w:t>shall have the meaning assigned to such term in Section 2.12(b). “</w:t>
      </w:r>
      <w:r>
        <w:rPr>
          <w:rFonts w:ascii="Times New Roman;sans-serif" w:hAnsi="Times New Roman;sans-serif"/>
          <w:b w:val="false"/>
          <w:color w:val="000000"/>
          <w:sz w:val="24"/>
          <w:u w:val="single"/>
        </w:rPr>
        <w:t>Junior Liens</w:t>
      </w:r>
      <w:r>
        <w:rPr>
          <w:color w:val="000000"/>
        </w:rPr>
        <w:t xml:space="preserve">” </w:t>
      </w:r>
      <w:r>
        <w:rPr>
          <w:rFonts w:ascii="Times New Roman;sans-serif" w:hAnsi="Times New Roman;sans-serif"/>
          <w:b w:val="false"/>
          <w:color w:val="000000"/>
          <w:sz w:val="24"/>
        </w:rPr>
        <w:t>shall mean Liens on the Collateral that are junior to the Liens thereon</w:t>
      </w:r>
    </w:p>
    <w:p>
      <w:pPr>
        <w:pStyle w:val="TextBody"/>
        <w:bidi w:val="0"/>
        <w:spacing w:lineRule="auto" w:line="240" w:before="6" w:after="283"/>
        <w:jc w:val="both"/>
        <w:rPr>
          <w:rFonts w:ascii="Times New Roman;sans-serif" w:hAnsi="Times New Roman;sans-serif"/>
          <w:b w:val="false"/>
          <w:color w:val="000000"/>
          <w:sz w:val="24"/>
        </w:rPr>
      </w:pPr>
      <w:r>
        <w:rPr>
          <w:rFonts w:ascii="Times New Roman;sans-serif" w:hAnsi="Times New Roman;sans-serif"/>
          <w:b w:val="false"/>
          <w:color w:val="000000"/>
          <w:sz w:val="24"/>
        </w:rPr>
        <w:t>securing the Loan Obligations.</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val="false"/>
          <w:color w:val="000000"/>
          <w:sz w:val="24"/>
          <w:u w:val="single"/>
        </w:rPr>
        <w:t>Latest Maturity Date</w:t>
      </w:r>
      <w:r>
        <w:rPr>
          <w:color w:val="000000"/>
        </w:rPr>
        <w:t xml:space="preserve">” </w:t>
      </w:r>
      <w:r>
        <w:rPr>
          <w:rFonts w:ascii="Times New Roman;sans-serif" w:hAnsi="Times New Roman;sans-serif"/>
          <w:b w:val="false"/>
          <w:color w:val="000000"/>
          <w:sz w:val="24"/>
        </w:rPr>
        <w:t>shall mean, at any date of determination, the latest Maturity Date then in effect on such date of determination.</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val="false"/>
          <w:color w:val="000000"/>
          <w:sz w:val="24"/>
          <w:u w:val="single"/>
        </w:rPr>
        <w:t>L/C Advance</w:t>
      </w:r>
      <w:r>
        <w:rPr>
          <w:color w:val="000000"/>
        </w:rPr>
        <w:t xml:space="preserve">” </w:t>
      </w:r>
      <w:r>
        <w:rPr>
          <w:rFonts w:ascii="Times New Roman;sans-serif" w:hAnsi="Times New Roman;sans-serif"/>
          <w:b w:val="false"/>
          <w:color w:val="000000"/>
          <w:sz w:val="24"/>
        </w:rPr>
        <w:t>shall mean, with respect to each Revolving Facility Lender, such Lender’s funding of its participation in any L/C Borrowing in accordance with its Revolving Facility Percentage.</w:t>
      </w:r>
    </w:p>
    <w:p>
      <w:pPr>
        <w:pStyle w:val="TextBody"/>
        <w:bidi w:val="0"/>
        <w:spacing w:lineRule="auto" w:line="240" w:before="241" w:after="283"/>
        <w:ind w:left="0" w:right="0" w:firstLine="720"/>
        <w:jc w:val="both"/>
        <w:rPr/>
      </w:pPr>
      <w:r>
        <w:rPr>
          <w:color w:val="000000"/>
        </w:rPr>
        <w:t>“</w:t>
      </w:r>
      <w:r>
        <w:rPr>
          <w:rFonts w:ascii="Times New Roman;sans-serif" w:hAnsi="Times New Roman;sans-serif"/>
          <w:b w:val="false"/>
          <w:color w:val="000000"/>
          <w:sz w:val="24"/>
          <w:u w:val="single"/>
        </w:rPr>
        <w:t>L/C Borrowing</w:t>
      </w:r>
      <w:r>
        <w:rPr>
          <w:color w:val="000000"/>
        </w:rPr>
        <w:t xml:space="preserve">” </w:t>
      </w:r>
      <w:r>
        <w:rPr>
          <w:rFonts w:ascii="Times New Roman;sans-serif" w:hAnsi="Times New Roman;sans-serif"/>
          <w:b w:val="false"/>
          <w:color w:val="000000"/>
          <w:sz w:val="24"/>
        </w:rPr>
        <w:t>shall mean an extension of credit resulting from a drawing under any Letter of Credit which has not been reimbursed on the date when made or refinanced as a Revolving Facility Borrowing.</w:t>
      </w:r>
    </w:p>
    <w:p>
      <w:pPr>
        <w:pStyle w:val="TextBody"/>
        <w:bidi w:val="0"/>
        <w:spacing w:lineRule="auto" w:line="240" w:before="238" w:after="283"/>
        <w:ind w:left="0" w:right="0" w:firstLine="720"/>
        <w:jc w:val="both"/>
        <w:rPr/>
      </w:pPr>
      <w:r>
        <w:rPr>
          <w:color w:val="000000"/>
        </w:rPr>
        <w:t>“</w:t>
      </w:r>
      <w:r>
        <w:rPr>
          <w:rFonts w:ascii="Times New Roman;sans-serif" w:hAnsi="Times New Roman;sans-serif"/>
          <w:b w:val="false"/>
          <w:color w:val="000000"/>
          <w:sz w:val="24"/>
          <w:u w:val="single"/>
        </w:rPr>
        <w:t>L/C Credit Extension</w:t>
      </w:r>
      <w:r>
        <w:rPr>
          <w:color w:val="000000"/>
        </w:rPr>
        <w:t xml:space="preserve">” </w:t>
      </w:r>
      <w:r>
        <w:rPr>
          <w:rFonts w:ascii="Times New Roman;sans-serif" w:hAnsi="Times New Roman;sans-serif"/>
          <w:b w:val="false"/>
          <w:color w:val="000000"/>
          <w:sz w:val="24"/>
        </w:rPr>
        <w:t>shall mean, with respect to any Letter of Credit, the issuance thereof or extension of the expiry date thereof, or the increase of the amount thereof.</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val="false"/>
          <w:color w:val="000000"/>
          <w:sz w:val="24"/>
          <w:u w:val="single"/>
        </w:rPr>
        <w:t>L/C Obligations</w:t>
      </w:r>
      <w:r>
        <w:rPr>
          <w:color w:val="000000"/>
        </w:rPr>
        <w:t xml:space="preserve">” </w:t>
      </w:r>
      <w:r>
        <w:rPr>
          <w:rFonts w:ascii="Times New Roman;sans-serif" w:hAnsi="Times New Roman;sans-serif"/>
          <w:b w:val="false"/>
          <w:color w:val="000000"/>
          <w:sz w:val="24"/>
        </w:rPr>
        <w:t xml:space="preserve">shall mean, as at any date of determination, the aggregate amount available to be drawn under all outstanding Letters of Credit </w:t>
      </w:r>
      <w:r>
        <w:rPr>
          <w:rFonts w:ascii="Times New Roman;sans-serif" w:hAnsi="Times New Roman;sans-serif"/>
          <w:b w:val="false"/>
          <w:color w:val="000000"/>
          <w:sz w:val="24"/>
          <w:u w:val="single"/>
        </w:rPr>
        <w:t>plus</w:t>
      </w:r>
      <w:r>
        <w:rPr>
          <w:color w:val="000000"/>
        </w:rPr>
        <w:t xml:space="preserve"> </w:t>
      </w:r>
      <w:r>
        <w:rPr>
          <w:rFonts w:ascii="Times New Roman;sans-serif" w:hAnsi="Times New Roman;sans-serif"/>
          <w:b w:val="false"/>
          <w:color w:val="000000"/>
          <w:sz w:val="24"/>
        </w:rPr>
        <w:t>the aggregate of all Unreimbursed Amounts, including all L/C Borrowings. For purposes of computing the amount available to be drawn under any Letter of Credit, the amount of such Letter of Credit shall be determined in accordance with Section 1.07 (and, in the case of any Letter of Credit denominated in a Permitted Foreign Currency, based on the Dollar Equivalent thereof at such time).</w:t>
      </w:r>
    </w:p>
    <w:p>
      <w:pPr>
        <w:pStyle w:val="TextBody"/>
        <w:bidi w:val="0"/>
        <w:spacing w:lineRule="auto" w:line="520" w:before="241" w:after="283"/>
        <w:jc w:val="both"/>
        <w:rPr/>
      </w:pPr>
      <w:r>
        <w:rPr>
          <w:color w:val="000000"/>
        </w:rPr>
        <w:t>“</w:t>
      </w:r>
      <w:r>
        <w:rPr>
          <w:rFonts w:ascii="Times New Roman;sans-serif" w:hAnsi="Times New Roman;sans-serif"/>
          <w:b w:val="false"/>
          <w:color w:val="000000"/>
          <w:sz w:val="24"/>
          <w:u w:val="single"/>
        </w:rPr>
        <w:t>L/C Participation Fee</w:t>
      </w:r>
      <w:r>
        <w:rPr>
          <w:color w:val="000000"/>
        </w:rPr>
        <w:t xml:space="preserve">” </w:t>
      </w:r>
      <w:r>
        <w:rPr>
          <w:rFonts w:ascii="Times New Roman;sans-serif" w:hAnsi="Times New Roman;sans-serif"/>
          <w:b w:val="false"/>
          <w:color w:val="000000"/>
          <w:sz w:val="24"/>
        </w:rPr>
        <w:t>shall have the meaning assigned to such term in Section 2.12(b). “</w:t>
      </w:r>
      <w:r>
        <w:rPr>
          <w:rFonts w:ascii="Times New Roman;sans-serif" w:hAnsi="Times New Roman;sans-serif"/>
          <w:b w:val="false"/>
          <w:color w:val="000000"/>
          <w:sz w:val="24"/>
          <w:u w:val="single"/>
        </w:rPr>
        <w:t>LCA Election</w:t>
      </w:r>
      <w:r>
        <w:rPr>
          <w:color w:val="000000"/>
        </w:rPr>
        <w:t xml:space="preserve">” </w:t>
      </w:r>
      <w:r>
        <w:rPr>
          <w:rFonts w:ascii="Times New Roman;sans-serif" w:hAnsi="Times New Roman;sans-serif"/>
          <w:b w:val="false"/>
          <w:color w:val="000000"/>
          <w:sz w:val="24"/>
        </w:rPr>
        <w:t>shall have the meaning assigned to such term in Section 1.10.</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6480175" cy="781050"/>
                <wp:effectExtent l="0" t="0" r="0" b="0"/>
                <wp:wrapNone/>
                <wp:docPr id="259" name="Frame258"/>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57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57</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jc w:val="center"/>
        <w:rPr/>
      </w:pPr>
      <w:r>
        <w:rPr>
          <w:color w:val="000000"/>
        </w:rPr>
        <w:t>“</w:t>
      </w:r>
      <w:r>
        <w:rPr>
          <w:rFonts w:ascii="Times New Roman;sans-serif" w:hAnsi="Times New Roman;sans-serif"/>
          <w:b w:val="false"/>
          <w:color w:val="000000"/>
          <w:sz w:val="24"/>
          <w:u w:val="single"/>
        </w:rPr>
        <w:t>LCA Test Date</w:t>
      </w:r>
      <w:r>
        <w:rPr>
          <w:color w:val="000000"/>
        </w:rPr>
        <w:t xml:space="preserve">” </w:t>
      </w:r>
      <w:r>
        <w:rPr>
          <w:rFonts w:ascii="Times New Roman;sans-serif" w:hAnsi="Times New Roman;sans-serif"/>
          <w:b w:val="false"/>
          <w:color w:val="000000"/>
          <w:sz w:val="24"/>
        </w:rPr>
        <w:t>shall have the meaning assigned to such term in Section 1.10.</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val="false"/>
          <w:color w:val="000000"/>
          <w:sz w:val="24"/>
          <w:u w:val="single"/>
        </w:rPr>
        <w:t>Lender</w:t>
      </w:r>
      <w:r>
        <w:rPr>
          <w:color w:val="000000"/>
        </w:rPr>
        <w:t xml:space="preserve">” </w:t>
      </w:r>
      <w:r>
        <w:rPr>
          <w:rFonts w:ascii="Times New Roman;sans-serif" w:hAnsi="Times New Roman;sans-serif"/>
          <w:b w:val="false"/>
          <w:color w:val="000000"/>
          <w:sz w:val="24"/>
        </w:rPr>
        <w:t xml:space="preserve">shall mean each financial institution listed on </w:t>
      </w:r>
      <w:r>
        <w:rPr>
          <w:rFonts w:ascii="Times New Roman;sans-serif" w:hAnsi="Times New Roman;sans-serif"/>
          <w:b w:val="false"/>
          <w:color w:val="000000"/>
          <w:sz w:val="24"/>
          <w:u w:val="single"/>
        </w:rPr>
        <w:t>Schedule 2.01</w:t>
      </w:r>
      <w:r>
        <w:rPr>
          <w:color w:val="000000"/>
        </w:rPr>
        <w:t xml:space="preserve"> </w:t>
      </w:r>
      <w:r>
        <w:rPr>
          <w:rFonts w:ascii="Times New Roman;sans-serif" w:hAnsi="Times New Roman;sans-serif"/>
          <w:b w:val="false"/>
          <w:color w:val="000000"/>
          <w:sz w:val="24"/>
        </w:rPr>
        <w:t>(other than any such person that has ceased to be a party hereto pursuant to an Assignment and Acceptance in accordance with Section 9.04), as well as any person that becomes a “Lender” hereunder pursuant to Section 9.04, Section 2.21, Section 2.22 or Section 2.23. Unless the context clearly indicates otherwise, the term “Lenders” shall include any Swingline Lender.</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val="false"/>
          <w:color w:val="000000"/>
          <w:sz w:val="24"/>
          <w:u w:val="single"/>
        </w:rPr>
        <w:t>Lending Office</w:t>
      </w:r>
      <w:r>
        <w:rPr>
          <w:color w:val="000000"/>
        </w:rPr>
        <w:t xml:space="preserve">” </w:t>
      </w:r>
      <w:r>
        <w:rPr>
          <w:rFonts w:ascii="Times New Roman;sans-serif" w:hAnsi="Times New Roman;sans-serif"/>
          <w:b w:val="false"/>
          <w:color w:val="000000"/>
          <w:sz w:val="24"/>
        </w:rPr>
        <w:t>shall mean, as to any Lender, the applicable branch, office or Affiliate of such Lender designated by such Lender to make Loans.</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val="false"/>
          <w:color w:val="000000"/>
          <w:sz w:val="24"/>
          <w:u w:val="single"/>
        </w:rPr>
        <w:t>Letter of Credit</w:t>
      </w:r>
      <w:r>
        <w:rPr>
          <w:color w:val="000000"/>
        </w:rPr>
        <w:t xml:space="preserve">” </w:t>
      </w:r>
      <w:r>
        <w:rPr>
          <w:rFonts w:ascii="Times New Roman;sans-serif" w:hAnsi="Times New Roman;sans-serif"/>
          <w:b w:val="false"/>
          <w:color w:val="000000"/>
          <w:sz w:val="24"/>
        </w:rPr>
        <w:t>shall mean any letter of credit issued hereunder, providing for the payment of cash upon the honoring of a presentation thereunder and shall include the Existing Letters of Credit.</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val="false"/>
          <w:color w:val="000000"/>
          <w:sz w:val="24"/>
          <w:u w:val="single"/>
        </w:rPr>
        <w:t>Letter of Credit Commitment</w:t>
      </w:r>
      <w:r>
        <w:rPr>
          <w:color w:val="000000"/>
        </w:rPr>
        <w:t xml:space="preserve">” </w:t>
      </w:r>
      <w:r>
        <w:rPr>
          <w:rFonts w:ascii="Times New Roman;sans-serif" w:hAnsi="Times New Roman;sans-serif"/>
          <w:b w:val="false"/>
          <w:color w:val="000000"/>
          <w:sz w:val="24"/>
        </w:rPr>
        <w:t xml:space="preserve">shall mean, as to any Issuing Bank, the amount set forth on </w:t>
      </w:r>
      <w:r>
        <w:rPr>
          <w:rFonts w:ascii="Times New Roman;sans-serif" w:hAnsi="Times New Roman;sans-serif"/>
          <w:b w:val="false"/>
          <w:color w:val="000000"/>
          <w:sz w:val="24"/>
          <w:u w:val="single"/>
        </w:rPr>
        <w:t>Schedule 2.01</w:t>
      </w:r>
      <w:r>
        <w:rPr>
          <w:color w:val="000000"/>
        </w:rPr>
        <w:t xml:space="preserve"> </w:t>
      </w:r>
      <w:r>
        <w:rPr>
          <w:rFonts w:ascii="Times New Roman;sans-serif" w:hAnsi="Times New Roman;sans-serif"/>
          <w:b w:val="false"/>
          <w:color w:val="000000"/>
          <w:sz w:val="24"/>
        </w:rPr>
        <w:t xml:space="preserve">opposite such Issuing Bank’s name or, in the case of an Issuing Bank that becomes an Issuing Bank after the Closing Date, the amount notified in writing to the Administrative Agent by the Borrower and such Issuing Bank;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the Letter of Credit Commitment of any Issuing Bank may be increased or decreased if agreed in writing between the Borrower and such Issuing Bank (each acting in its sole discretion) and notified in writing to the Administrative Agent by such persons.</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val="false"/>
          <w:color w:val="000000"/>
          <w:sz w:val="24"/>
          <w:u w:val="single"/>
        </w:rPr>
        <w:t>Letter of Credit Facility Expiration Date</w:t>
      </w:r>
      <w:r>
        <w:rPr>
          <w:color w:val="000000"/>
        </w:rPr>
        <w:t xml:space="preserve">” </w:t>
      </w:r>
      <w:r>
        <w:rPr>
          <w:rFonts w:ascii="Times New Roman;sans-serif" w:hAnsi="Times New Roman;sans-serif"/>
          <w:b w:val="false"/>
          <w:color w:val="000000"/>
          <w:sz w:val="24"/>
        </w:rPr>
        <w:t>shall mean, with respect to any Revolving Facility, the fifth Business Day prior to the Revolving Facility Maturity Date for such Revolving Facility.</w:t>
      </w:r>
    </w:p>
    <w:p>
      <w:pPr>
        <w:pStyle w:val="TextBody"/>
        <w:bidi w:val="0"/>
        <w:spacing w:lineRule="auto" w:line="240" w:before="241" w:after="283"/>
        <w:ind w:left="0" w:right="0" w:firstLine="720"/>
        <w:jc w:val="both"/>
        <w:rPr/>
      </w:pPr>
      <w:r>
        <w:rPr>
          <w:color w:val="000000"/>
        </w:rPr>
        <w:t>“</w:t>
      </w:r>
      <w:r>
        <w:rPr>
          <w:rFonts w:ascii="Times New Roman;sans-serif" w:hAnsi="Times New Roman;sans-serif"/>
          <w:b w:val="false"/>
          <w:color w:val="000000"/>
          <w:sz w:val="24"/>
          <w:u w:val="single"/>
        </w:rPr>
        <w:t>Letter of Credit Request</w:t>
      </w:r>
      <w:r>
        <w:rPr>
          <w:color w:val="000000"/>
        </w:rPr>
        <w:t xml:space="preserve">” </w:t>
      </w:r>
      <w:r>
        <w:rPr>
          <w:rFonts w:ascii="Times New Roman;sans-serif" w:hAnsi="Times New Roman;sans-serif"/>
          <w:b w:val="false"/>
          <w:color w:val="000000"/>
          <w:sz w:val="24"/>
        </w:rPr>
        <w:t xml:space="preserve">shall mean a request by the Borrower substantially in the form of </w:t>
      </w:r>
      <w:r>
        <w:rPr>
          <w:rFonts w:ascii="Times New Roman;sans-serif" w:hAnsi="Times New Roman;sans-serif"/>
          <w:b w:val="false"/>
          <w:color w:val="000000"/>
          <w:sz w:val="24"/>
          <w:u w:val="single"/>
        </w:rPr>
        <w:t>Exhibit D-3</w:t>
      </w:r>
      <w:r>
        <w:rPr>
          <w:color w:val="000000"/>
        </w:rPr>
        <w:t xml:space="preserve"> </w:t>
      </w:r>
      <w:r>
        <w:rPr>
          <w:rFonts w:ascii="Times New Roman;sans-serif" w:hAnsi="Times New Roman;sans-serif"/>
          <w:b w:val="false"/>
          <w:color w:val="000000"/>
          <w:sz w:val="24"/>
        </w:rPr>
        <w:t>or such other form (including any form on an electronic platform or electronic transmission system as shall be approved by the applicable Issuing Bank) as shall be approved by the applicable Issuing Bank.</w:t>
      </w:r>
    </w:p>
    <w:p>
      <w:pPr>
        <w:pStyle w:val="TextBody"/>
        <w:bidi w:val="0"/>
        <w:spacing w:lineRule="auto" w:line="240" w:before="238" w:after="283"/>
        <w:ind w:left="0" w:right="0" w:firstLine="720"/>
        <w:jc w:val="both"/>
        <w:rPr/>
      </w:pPr>
      <w:r>
        <w:rPr>
          <w:color w:val="000000"/>
        </w:rPr>
        <w:t>“</w:t>
      </w:r>
      <w:r>
        <w:rPr>
          <w:rFonts w:ascii="Times New Roman;sans-serif" w:hAnsi="Times New Roman;sans-serif"/>
          <w:b w:val="false"/>
          <w:color w:val="000000"/>
          <w:sz w:val="24"/>
          <w:u w:val="single"/>
        </w:rPr>
        <w:t>Letter of Credit Sublimit</w:t>
      </w:r>
      <w:r>
        <w:rPr>
          <w:color w:val="000000"/>
        </w:rPr>
        <w:t xml:space="preserve">” </w:t>
      </w:r>
      <w:r>
        <w:rPr>
          <w:rFonts w:ascii="Times New Roman;sans-serif" w:hAnsi="Times New Roman;sans-serif"/>
          <w:b w:val="false"/>
          <w:color w:val="000000"/>
          <w:sz w:val="24"/>
        </w:rPr>
        <w:t>shall mean $20,000,000, as such amount may be reduced pursuant to Section 2.08. The Letter of Credit Sublimit is part of, and not in addition to, the Revolving Facility.</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val="false"/>
          <w:color w:val="000000"/>
          <w:sz w:val="24"/>
          <w:u w:val="single"/>
        </w:rPr>
        <w:t>Lien</w:t>
      </w:r>
      <w:r>
        <w:rPr>
          <w:color w:val="000000"/>
        </w:rPr>
        <w:t xml:space="preserve">” </w:t>
      </w:r>
      <w:r>
        <w:rPr>
          <w:rFonts w:ascii="Times New Roman;sans-serif" w:hAnsi="Times New Roman;sans-serif"/>
          <w:b w:val="false"/>
          <w:color w:val="000000"/>
          <w:sz w:val="24"/>
        </w:rPr>
        <w:t xml:space="preserve">shall mean any mortgage, pledge, hypothecation, assignment, encumbrance, lien (statutory or other), charge or other security interest of any kind or nature whatsoever (including any conditional sale or other title retention agreement, any easement, right of way or other encumbrance on title to real property, and any capital lease that would constitute a Capitalized Lease Obligation having substantially the same economic effect as any of the foregoing), in each case, in the nature of security;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in no event shall an operating lease be deemed to constitute a Lien.</w:t>
      </w:r>
    </w:p>
    <w:p>
      <w:pPr>
        <w:pStyle w:val="TextBody"/>
        <w:bidi w:val="0"/>
        <w:spacing w:lineRule="auto" w:line="240" w:before="241" w:after="283"/>
        <w:ind w:left="0" w:right="0" w:firstLine="720"/>
        <w:jc w:val="both"/>
        <w:rPr/>
      </w:pPr>
      <w:r>
        <w:rPr>
          <w:color w:val="000000"/>
        </w:rPr>
        <w:t>“</w:t>
      </w:r>
      <w:r>
        <w:rPr>
          <w:rFonts w:ascii="Times New Roman;sans-serif" w:hAnsi="Times New Roman;sans-serif"/>
          <w:b w:val="false"/>
          <w:color w:val="000000"/>
          <w:sz w:val="24"/>
          <w:u w:val="single"/>
        </w:rPr>
        <w:t>Limited Condition Transaction</w:t>
      </w:r>
      <w:r>
        <w:rPr>
          <w:color w:val="000000"/>
        </w:rPr>
        <w:t xml:space="preserve">” </w:t>
      </w:r>
      <w:r>
        <w:rPr>
          <w:rFonts w:ascii="Times New Roman;sans-serif" w:hAnsi="Times New Roman;sans-serif"/>
          <w:b w:val="false"/>
          <w:color w:val="000000"/>
          <w:sz w:val="24"/>
        </w:rPr>
        <w:t>shall mean (i) any Permitted Business Acquisition or other Investment, including by means of a merger, amalgamation or consolidation, by the Borrower or one or more of its Subsidiaries, the consummation of which is not conditioned upon the availability of, or on obtaining, third party financing or in connection with which any fee or</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6480175" cy="781050"/>
                <wp:effectExtent l="0" t="0" r="0" b="0"/>
                <wp:wrapNone/>
                <wp:docPr id="260" name="Frame259"/>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58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58</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jc w:val="both"/>
        <w:rPr>
          <w:rFonts w:ascii="Times New Roman;sans-serif" w:hAnsi="Times New Roman;sans-serif"/>
          <w:b w:val="false"/>
          <w:color w:val="000000"/>
          <w:sz w:val="24"/>
        </w:rPr>
      </w:pPr>
      <w:r>
        <w:rPr>
          <w:rFonts w:ascii="Times New Roman;sans-serif" w:hAnsi="Times New Roman;sans-serif"/>
          <w:b w:val="false"/>
          <w:color w:val="000000"/>
          <w:sz w:val="24"/>
        </w:rPr>
        <w:t>expense would be payable by the Borrower or its Subsidiaries to the seller or target in the event financing to consummate the acquisition is not obtained as contemplated by the definitive acquisition agreement, (ii) any Restricted Payment subject to an irrevocable declaration by the Board of Directors of the Borrower or any Subsidiary that is payable within 60 days of the date of declaration, the consummation of which is not conditioned upon the availability of, or on obtaining, third party financing and/or (iii) any repayment or redemption of Indebtedness of the Borrower or any of its Subsidiaries, the consummation of which is not conditioned upon the availability of, or on obtaining, third party financing.</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val="false"/>
          <w:color w:val="000000"/>
          <w:sz w:val="24"/>
          <w:u w:val="single"/>
        </w:rPr>
        <w:t>Loan Documents</w:t>
      </w:r>
      <w:r>
        <w:rPr>
          <w:color w:val="000000"/>
        </w:rPr>
        <w:t xml:space="preserve">” </w:t>
      </w:r>
      <w:r>
        <w:rPr>
          <w:rFonts w:ascii="Times New Roman;sans-serif" w:hAnsi="Times New Roman;sans-serif"/>
          <w:b w:val="false"/>
          <w:color w:val="000000"/>
          <w:sz w:val="24"/>
        </w:rPr>
        <w:t>shall mean (i) this Agreement, (ii) the Guarantee Agreement, (iii) the Security Documents, (iv) each Incremental Assumption Agreement, (v) each Extension Amendment, (vi) each Refinancing Amendment, (vii) any Intercreditor Agreement and (viii) any Note issued under Section 2.09(e).</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val="false"/>
          <w:color w:val="000000"/>
          <w:sz w:val="24"/>
          <w:u w:val="single"/>
        </w:rPr>
        <w:t>Loan Obligations</w:t>
      </w:r>
      <w:r>
        <w:rPr>
          <w:color w:val="000000"/>
        </w:rPr>
        <w:t xml:space="preserve">” </w:t>
      </w:r>
      <w:r>
        <w:rPr>
          <w:rFonts w:ascii="Times New Roman;sans-serif" w:hAnsi="Times New Roman;sans-serif"/>
          <w:b w:val="false"/>
          <w:color w:val="000000"/>
          <w:sz w:val="24"/>
        </w:rPr>
        <w:t>shall mean (a) the due and punctual payment by the Borrower of (i) the unpaid principal of and interest, fees and expenses (including interest, fees and expenses accruing during the pendency of any bankruptcy, insolvency, receivership or other similar case or proceeding, regardless of whether allowed or allowable in such case or proceeding) on the Loans made to the Borrower under this Agreement, when and as due, whether at maturity, by acceleration, upon one or more dates set for prepayment or otherwise, (ii) each payment required to be made by the Borrower under this Agreement in respect of any Letter of Credit, when and as due, including payments in respect of reimbursement of disbursements, interest, fees and expenses thereon (including interest, fees and expenses accruing during the pendency of any bankruptcy, insolvency, receivership or other similar case or proceeding, regardless of whether allowed or allowable in such case or proceeding) and obligations to provide Cash Collateral and (iii) all other monetary obligations of the Borrower owed under or pursuant to this Agreement and each other Loan Document, including obligations to pay fees, expense reimbursement obligations and indemnification obligations, whether primary, secondary, direct, contingent, fixed or otherwise (including monetary obligations incurred during the pendency of any bankruptcy, insolvency, receivership or other similar case or proceeding, regardless of whether allowed or allowable in such case or proceeding), and (b) the due and punctual payment of all monetary obligations of each other Loan Party under or pursuant to each of the Loan Documents (including monetary obligations incurred during the pendency of any bankruptcy, insolvency, receivership or other similar case or proceeding, regardless of whether allowed or allowable in such case or proceeding).</w:t>
      </w:r>
    </w:p>
    <w:p>
      <w:pPr>
        <w:pStyle w:val="TextBody"/>
        <w:bidi w:val="0"/>
        <w:spacing w:lineRule="auto" w:line="240" w:before="240" w:after="283"/>
        <w:jc w:val="left"/>
        <w:rPr/>
      </w:pPr>
      <w:r>
        <w:rPr>
          <w:color w:val="000000"/>
        </w:rPr>
        <w:t>“</w:t>
      </w:r>
      <w:r>
        <w:rPr>
          <w:rFonts w:ascii="Times New Roman;sans-serif" w:hAnsi="Times New Roman;sans-serif"/>
          <w:b w:val="false"/>
          <w:color w:val="000000"/>
          <w:sz w:val="24"/>
          <w:u w:val="single"/>
        </w:rPr>
        <w:t>Loan Parties</w:t>
      </w:r>
      <w:r>
        <w:rPr>
          <w:color w:val="000000"/>
        </w:rPr>
        <w:t xml:space="preserve">” </w:t>
      </w:r>
      <w:r>
        <w:rPr>
          <w:rFonts w:ascii="Times New Roman;sans-serif" w:hAnsi="Times New Roman;sans-serif"/>
          <w:b w:val="false"/>
          <w:color w:val="000000"/>
          <w:sz w:val="24"/>
        </w:rPr>
        <w:t>shall mean the Borrower and the Guarantors.</w:t>
      </w:r>
    </w:p>
    <w:p>
      <w:pPr>
        <w:pStyle w:val="TextBody"/>
        <w:bidi w:val="0"/>
        <w:spacing w:lineRule="auto" w:line="240" w:before="240" w:after="283"/>
        <w:jc w:val="left"/>
        <w:rPr/>
      </w:pPr>
      <w:r>
        <w:rPr>
          <w:color w:val="000000"/>
        </w:rPr>
        <w:t>“</w:t>
      </w:r>
      <w:r>
        <w:rPr>
          <w:rFonts w:ascii="Times New Roman;sans-serif" w:hAnsi="Times New Roman;sans-serif"/>
          <w:b w:val="false"/>
          <w:color w:val="000000"/>
          <w:sz w:val="24"/>
          <w:u w:val="single"/>
        </w:rPr>
        <w:t>Loans</w:t>
      </w:r>
      <w:r>
        <w:rPr>
          <w:color w:val="000000"/>
        </w:rPr>
        <w:t xml:space="preserve">” </w:t>
      </w:r>
      <w:r>
        <w:rPr>
          <w:rFonts w:ascii="Times New Roman;sans-serif" w:hAnsi="Times New Roman;sans-serif"/>
          <w:b w:val="false"/>
          <w:color w:val="000000"/>
          <w:sz w:val="24"/>
        </w:rPr>
        <w:t>shall mean the Term Loans, the Revolving Facility Loans and the Swingline</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Loans.</w:t>
      </w:r>
    </w:p>
    <w:p>
      <w:pPr>
        <w:pStyle w:val="TextBody"/>
        <w:bidi w:val="0"/>
        <w:spacing w:lineRule="auto" w:line="592" w:before="6" w:after="283"/>
        <w:jc w:val="left"/>
        <w:rPr/>
      </w:pPr>
      <w:r>
        <w:rPr>
          <w:color w:val="000000"/>
        </w:rPr>
        <w:t>“</w:t>
      </w:r>
      <w:r>
        <w:rPr>
          <w:rFonts w:ascii="Times New Roman;sans-serif" w:hAnsi="Times New Roman;sans-serif"/>
          <w:b w:val="false"/>
          <w:color w:val="000000"/>
          <w:sz w:val="24"/>
          <w:u w:val="single"/>
        </w:rPr>
        <w:t>Local Time</w:t>
      </w:r>
      <w:r>
        <w:rPr>
          <w:color w:val="000000"/>
        </w:rPr>
        <w:t xml:space="preserve">” </w:t>
      </w:r>
      <w:r>
        <w:rPr>
          <w:rFonts w:ascii="Times New Roman;sans-serif" w:hAnsi="Times New Roman;sans-serif"/>
          <w:b w:val="false"/>
          <w:color w:val="000000"/>
          <w:sz w:val="24"/>
        </w:rPr>
        <w:t>shall mean New York City time (daylight or standard, as applicable). “</w:t>
      </w:r>
      <w:r>
        <w:rPr>
          <w:rFonts w:ascii="Times New Roman;sans-serif" w:hAnsi="Times New Roman;sans-serif"/>
          <w:b w:val="false"/>
          <w:color w:val="000000"/>
          <w:sz w:val="24"/>
          <w:u w:val="single"/>
        </w:rPr>
        <w:t>Majority Lenders</w:t>
      </w:r>
      <w:r>
        <w:rPr>
          <w:color w:val="000000"/>
        </w:rPr>
        <w:t xml:space="preserve">” </w:t>
      </w:r>
      <w:r>
        <w:rPr>
          <w:rFonts w:ascii="Times New Roman;sans-serif" w:hAnsi="Times New Roman;sans-serif"/>
          <w:b w:val="false"/>
          <w:color w:val="000000"/>
          <w:sz w:val="24"/>
        </w:rPr>
        <w:t>of any Facility shall mean, at any time, Lenders under such Facility</w:t>
      </w:r>
    </w:p>
    <w:p>
      <w:pPr>
        <w:pStyle w:val="TextBody"/>
        <w:bidi w:val="0"/>
        <w:spacing w:lineRule="auto" w:line="240" w:before="6" w:after="283"/>
        <w:jc w:val="both"/>
        <w:rPr>
          <w:rFonts w:ascii="Times New Roman;sans-serif" w:hAnsi="Times New Roman;sans-serif"/>
          <w:b w:val="false"/>
          <w:color w:val="000000"/>
          <w:sz w:val="24"/>
        </w:rPr>
      </w:pPr>
      <w:r>
        <w:rPr>
          <w:rFonts w:ascii="Times New Roman;sans-serif" w:hAnsi="Times New Roman;sans-serif"/>
          <w:b w:val="false"/>
          <w:color w:val="000000"/>
          <w:sz w:val="24"/>
        </w:rPr>
        <w:t>having Term Loans and Revolving Facility Commitments (or, if the Revolving Facility Commitments have terminated, Revolving Facility Credit Exposure) representing more than 50% of the sum of all Term Loans and Revolving Facility Commitments (or, if the Revolving Facility</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6480175" cy="781050"/>
                <wp:effectExtent l="0" t="0" r="0" b="0"/>
                <wp:wrapNone/>
                <wp:docPr id="261" name="Frame260"/>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59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59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Commitments have terminated, Revolving Facility Credit Exposure) under such Facility at such time (subject to the last paragraph of Section 9.08(b)).</w:t>
      </w:r>
    </w:p>
    <w:p>
      <w:pPr>
        <w:pStyle w:val="TextBody"/>
        <w:bidi w:val="0"/>
        <w:spacing w:lineRule="auto" w:line="240" w:before="240" w:after="283"/>
        <w:jc w:val="both"/>
        <w:rPr/>
      </w:pPr>
      <w:r>
        <w:rPr>
          <w:color w:val="000000"/>
        </w:rPr>
        <w:t>“</w:t>
      </w:r>
      <w:r>
        <w:rPr>
          <w:rFonts w:ascii="Times New Roman;sans-serif" w:hAnsi="Times New Roman;sans-serif"/>
          <w:b w:val="false"/>
          <w:color w:val="000000"/>
          <w:sz w:val="24"/>
          <w:u w:val="single"/>
        </w:rPr>
        <w:t>Margin Stock</w:t>
      </w:r>
      <w:r>
        <w:rPr>
          <w:color w:val="000000"/>
        </w:rPr>
        <w:t xml:space="preserve">” </w:t>
      </w:r>
      <w:r>
        <w:rPr>
          <w:rFonts w:ascii="Times New Roman;sans-serif" w:hAnsi="Times New Roman;sans-serif"/>
          <w:b w:val="false"/>
          <w:color w:val="000000"/>
          <w:sz w:val="24"/>
        </w:rPr>
        <w:t>shall have the meaning assigned to such term in Regulation U.</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val="false"/>
          <w:color w:val="000000"/>
          <w:sz w:val="24"/>
          <w:u w:val="single"/>
        </w:rPr>
        <w:t>Material Adverse Effect</w:t>
      </w:r>
      <w:r>
        <w:rPr>
          <w:color w:val="000000"/>
        </w:rPr>
        <w:t xml:space="preserve">” </w:t>
      </w:r>
      <w:r>
        <w:rPr>
          <w:rFonts w:ascii="Times New Roman;sans-serif" w:hAnsi="Times New Roman;sans-serif"/>
          <w:b w:val="false"/>
          <w:color w:val="000000"/>
          <w:sz w:val="24"/>
        </w:rPr>
        <w:t>shall mean a material adverse effect on (a) the business, financial condition or results of operations of the Borrower and its Subsidiaries, taken as a whole,</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(b) the ability of the Borrower and the Guarantors, taken as a whole, to perform their payment obligations under the Facilities or (c) the material rights and material remedies of the Administrative Agent and the Lenders (taken as a whole) under the applicable Loan Documents.</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val="false"/>
          <w:color w:val="000000"/>
          <w:sz w:val="24"/>
          <w:u w:val="single"/>
        </w:rPr>
        <w:t>Material Indebtedness</w:t>
      </w:r>
      <w:r>
        <w:rPr>
          <w:color w:val="000000"/>
        </w:rPr>
        <w:t xml:space="preserve">” </w:t>
      </w:r>
      <w:r>
        <w:rPr>
          <w:rFonts w:ascii="Times New Roman;sans-serif" w:hAnsi="Times New Roman;sans-serif"/>
          <w:b w:val="false"/>
          <w:color w:val="000000"/>
          <w:sz w:val="24"/>
        </w:rPr>
        <w:t>shall mean Indebtedness (other than Indebtedness under this Agreement) of any one or more of the Borrower or any Significant Subsidiary in an aggregate principal amount exceeding the greater of (x) $25,000,000 and (y) 12.5% of EBITDA for the most recently ended Test Period.</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val="false"/>
          <w:color w:val="000000"/>
          <w:sz w:val="24"/>
          <w:u w:val="single"/>
        </w:rPr>
        <w:t>Maturity Date</w:t>
      </w:r>
      <w:r>
        <w:rPr>
          <w:color w:val="000000"/>
        </w:rPr>
        <w:t xml:space="preserve">” </w:t>
      </w:r>
      <w:r>
        <w:rPr>
          <w:rFonts w:ascii="Times New Roman;sans-serif" w:hAnsi="Times New Roman;sans-serif"/>
          <w:b w:val="false"/>
          <w:color w:val="000000"/>
          <w:sz w:val="24"/>
        </w:rPr>
        <w:t>shall mean (i) with respect to any Revolving Facility, the Revolving Facility Maturity Date thereof, and (ii) with respect to any Term Facility, the Term Facility Maturity Date thereof.</w:t>
      </w:r>
    </w:p>
    <w:p>
      <w:pPr>
        <w:pStyle w:val="TextBody"/>
        <w:bidi w:val="0"/>
        <w:spacing w:lineRule="auto" w:line="520" w:before="240" w:after="283"/>
        <w:jc w:val="both"/>
        <w:rPr/>
      </w:pPr>
      <w:r>
        <w:rPr>
          <w:color w:val="000000"/>
        </w:rPr>
        <w:t>“</w:t>
      </w:r>
      <w:r>
        <w:rPr>
          <w:rFonts w:ascii="Times New Roman;sans-serif" w:hAnsi="Times New Roman;sans-serif"/>
          <w:b w:val="false"/>
          <w:color w:val="000000"/>
          <w:sz w:val="24"/>
          <w:u w:val="single"/>
        </w:rPr>
        <w:t>Maximum Rate</w:t>
      </w:r>
      <w:r>
        <w:rPr>
          <w:color w:val="000000"/>
        </w:rPr>
        <w:t xml:space="preserve">” </w:t>
      </w:r>
      <w:r>
        <w:rPr>
          <w:rFonts w:ascii="Times New Roman;sans-serif" w:hAnsi="Times New Roman;sans-serif"/>
          <w:b w:val="false"/>
          <w:color w:val="000000"/>
          <w:sz w:val="24"/>
        </w:rPr>
        <w:t>shall have the meaning assigned to such term in Section 9.09. “</w:t>
      </w:r>
      <w:r>
        <w:rPr>
          <w:rFonts w:ascii="Times New Roman;sans-serif" w:hAnsi="Times New Roman;sans-serif"/>
          <w:b w:val="false"/>
          <w:color w:val="000000"/>
          <w:sz w:val="24"/>
          <w:u w:val="single"/>
        </w:rPr>
        <w:t>MFN Provision</w:t>
      </w:r>
      <w:r>
        <w:rPr>
          <w:color w:val="000000"/>
        </w:rPr>
        <w:t xml:space="preserve">” </w:t>
      </w:r>
      <w:r>
        <w:rPr>
          <w:rFonts w:ascii="Times New Roman;sans-serif" w:hAnsi="Times New Roman;sans-serif"/>
          <w:b w:val="false"/>
          <w:color w:val="000000"/>
          <w:sz w:val="24"/>
        </w:rPr>
        <w:t>shall have the meaning assigned to such term in Section 2.21(b)(v).</w:t>
      </w:r>
    </w:p>
    <w:p>
      <w:pPr>
        <w:pStyle w:val="TextBody"/>
        <w:bidi w:val="0"/>
        <w:spacing w:lineRule="auto" w:line="240" w:before="0" w:after="0"/>
        <w:ind w:left="0" w:right="0" w:firstLine="720"/>
        <w:jc w:val="both"/>
        <w:rPr/>
      </w:pPr>
      <w:r>
        <w:rPr>
          <w:color w:val="000000"/>
        </w:rPr>
        <w:t>“</w:t>
      </w:r>
      <w:r>
        <w:rPr>
          <w:rFonts w:ascii="Times New Roman;sans-serif" w:hAnsi="Times New Roman;sans-serif"/>
          <w:b w:val="false"/>
          <w:color w:val="000000"/>
          <w:sz w:val="24"/>
          <w:u w:val="single"/>
        </w:rPr>
        <w:t>Minimum L/C Collateral Amount</w:t>
      </w:r>
      <w:r>
        <w:rPr>
          <w:color w:val="000000"/>
        </w:rPr>
        <w:t xml:space="preserve">” </w:t>
      </w:r>
      <w:r>
        <w:rPr>
          <w:rFonts w:ascii="Times New Roman;sans-serif" w:hAnsi="Times New Roman;sans-serif"/>
          <w:b w:val="false"/>
          <w:color w:val="000000"/>
          <w:sz w:val="24"/>
        </w:rPr>
        <w:t>shall mean, at any time, in connection with any Letter of Credit, (i) with respect to Cash Collateral consisting of cash or deposit account balances, an amount equal to 102% of the Revolving L/C Exposure with respect to such Letter of Credit at such time and (ii) otherwise, an amount sufficient to provide credit support with respect to such Revolving L/C Exposure as determined by the Administrative Agent and the applicable Issuing Bank in their sole discretion.</w:t>
      </w:r>
    </w:p>
    <w:p>
      <w:pPr>
        <w:pStyle w:val="TextBody"/>
        <w:bidi w:val="0"/>
        <w:spacing w:lineRule="auto" w:line="240" w:before="240" w:after="283"/>
        <w:jc w:val="both"/>
        <w:rPr/>
      </w:pPr>
      <w:r>
        <w:rPr>
          <w:color w:val="000000"/>
        </w:rPr>
        <w:t>“</w:t>
      </w:r>
      <w:r>
        <w:rPr>
          <w:rFonts w:ascii="Times New Roman;sans-serif" w:hAnsi="Times New Roman;sans-serif"/>
          <w:b w:val="false"/>
          <w:color w:val="000000"/>
          <w:sz w:val="24"/>
          <w:u w:val="single"/>
        </w:rPr>
        <w:t>Moody’s</w:t>
      </w:r>
      <w:r>
        <w:rPr>
          <w:color w:val="000000"/>
        </w:rPr>
        <w:t xml:space="preserve">” </w:t>
      </w:r>
      <w:r>
        <w:rPr>
          <w:rFonts w:ascii="Times New Roman;sans-serif" w:hAnsi="Times New Roman;sans-serif"/>
          <w:b w:val="false"/>
          <w:color w:val="000000"/>
          <w:sz w:val="24"/>
        </w:rPr>
        <w:t>shall mean Moody’s Investors Service, Inc.</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val="false"/>
          <w:color w:val="000000"/>
          <w:sz w:val="24"/>
          <w:u w:val="single"/>
        </w:rPr>
        <w:t>Morgan Stanley</w:t>
      </w:r>
      <w:r>
        <w:rPr>
          <w:color w:val="000000"/>
        </w:rPr>
        <w:t xml:space="preserve">” </w:t>
      </w:r>
      <w:r>
        <w:rPr>
          <w:rFonts w:ascii="Times New Roman;sans-serif" w:hAnsi="Times New Roman;sans-serif"/>
          <w:b w:val="false"/>
          <w:color w:val="000000"/>
          <w:sz w:val="24"/>
        </w:rPr>
        <w:t>shall have the meaning assigned to such term in the introductory paragraph of this Agreement.</w:t>
      </w:r>
    </w:p>
    <w:p>
      <w:pPr>
        <w:pStyle w:val="TextBody"/>
        <w:bidi w:val="0"/>
        <w:spacing w:lineRule="auto" w:line="240" w:before="239" w:after="283"/>
        <w:ind w:left="0" w:right="0" w:firstLine="720"/>
        <w:jc w:val="both"/>
        <w:rPr/>
      </w:pPr>
      <w:r>
        <w:rPr>
          <w:color w:val="000000"/>
        </w:rPr>
        <w:t>“</w:t>
      </w:r>
      <w:r>
        <w:rPr>
          <w:rFonts w:ascii="Times New Roman;sans-serif" w:hAnsi="Times New Roman;sans-serif"/>
          <w:b w:val="false"/>
          <w:color w:val="000000"/>
          <w:sz w:val="24"/>
          <w:u w:val="single"/>
        </w:rPr>
        <w:t>Mortgage</w:t>
      </w:r>
      <w:r>
        <w:rPr>
          <w:color w:val="000000"/>
        </w:rPr>
        <w:t xml:space="preserve">” </w:t>
      </w:r>
      <w:r>
        <w:rPr>
          <w:rFonts w:ascii="Times New Roman;sans-serif" w:hAnsi="Times New Roman;sans-serif"/>
          <w:b w:val="false"/>
          <w:color w:val="000000"/>
          <w:sz w:val="24"/>
        </w:rPr>
        <w:t>shall mean any mortgage, deed of trust, deed to secure debt or other agreement which conveys or evidences a Lien in favor of the Collateral Agent, for its benefit and the benefit of the Secured Parties, on any Mortgaged Property constituting Collateral.</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val="false"/>
          <w:color w:val="000000"/>
          <w:sz w:val="24"/>
          <w:u w:val="single"/>
        </w:rPr>
        <w:t>Mortgage Policy</w:t>
      </w:r>
      <w:r>
        <w:rPr>
          <w:color w:val="000000"/>
        </w:rPr>
        <w:t xml:space="preserve">” </w:t>
      </w:r>
      <w:r>
        <w:rPr>
          <w:rFonts w:ascii="Times New Roman;sans-serif" w:hAnsi="Times New Roman;sans-serif"/>
          <w:b w:val="false"/>
          <w:color w:val="000000"/>
          <w:sz w:val="24"/>
        </w:rPr>
        <w:t>has the meaning assigned to such term in the definition of “Collateral and Guarantee Requirement”.</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val="false"/>
          <w:color w:val="000000"/>
          <w:sz w:val="24"/>
          <w:u w:val="single"/>
        </w:rPr>
        <w:t>Mortgaged Property</w:t>
      </w:r>
      <w:r>
        <w:rPr>
          <w:color w:val="000000"/>
        </w:rPr>
        <w:t xml:space="preserve">” </w:t>
      </w:r>
      <w:r>
        <w:rPr>
          <w:rFonts w:ascii="Times New Roman;sans-serif" w:hAnsi="Times New Roman;sans-serif"/>
          <w:b w:val="false"/>
          <w:color w:val="000000"/>
          <w:sz w:val="24"/>
        </w:rPr>
        <w:t xml:space="preserve">shall mean any owned real property that has a fair market value (as determined by the Borrower in good faith) in excess of $2,000,000 (a) as of the Closing Date, with respect to any real property owned by any Loan Party as of the Closing Date or (b) as of the date of acquisition thereof, with respect to any real property acquired by any Loan Party after the Closing Date;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that notwithstanding anything to the contrary herein or in any Security</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6480175" cy="781050"/>
                <wp:effectExtent l="0" t="0" r="0" b="0"/>
                <wp:wrapNone/>
                <wp:docPr id="262" name="Frame261"/>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60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60</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Document or other Loan Document, in no case shall the Mortgaged Property include any Excluded Property.</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val="false"/>
          <w:color w:val="000000"/>
          <w:sz w:val="24"/>
          <w:u w:val="single"/>
        </w:rPr>
        <w:t>Multiemployer Plan</w:t>
      </w:r>
      <w:r>
        <w:rPr>
          <w:color w:val="000000"/>
        </w:rPr>
        <w:t xml:space="preserve">” </w:t>
      </w:r>
      <w:r>
        <w:rPr>
          <w:rFonts w:ascii="Times New Roman;sans-serif" w:hAnsi="Times New Roman;sans-serif"/>
          <w:b w:val="false"/>
          <w:color w:val="000000"/>
          <w:sz w:val="24"/>
        </w:rPr>
        <w:t>shall mean a multiemployer plan as defined in Section 4001(a)(3) of ERISA to which the Borrower or any Subsidiary or any ERISA Affiliate is making or accruing an obligation to make contributions, or has within any of the preceding five plan years made or accrued an obligation to make contributions.</w:t>
      </w:r>
    </w:p>
    <w:p>
      <w:pPr>
        <w:pStyle w:val="TextBody"/>
        <w:bidi w:val="0"/>
        <w:spacing w:lineRule="auto" w:line="240" w:before="240" w:after="283"/>
        <w:jc w:val="left"/>
        <w:rPr/>
      </w:pPr>
      <w:r>
        <w:rPr>
          <w:color w:val="000000"/>
        </w:rPr>
        <w:t>“</w:t>
      </w:r>
      <w:r>
        <w:rPr>
          <w:rFonts w:ascii="Times New Roman;sans-serif" w:hAnsi="Times New Roman;sans-serif"/>
          <w:b w:val="false"/>
          <w:color w:val="000000"/>
          <w:sz w:val="24"/>
          <w:u w:val="single"/>
        </w:rPr>
        <w:t>Net Proceeds</w:t>
      </w:r>
      <w:r>
        <w:rPr>
          <w:color w:val="000000"/>
        </w:rPr>
        <w:t xml:space="preserve">” </w:t>
      </w:r>
      <w:r>
        <w:rPr>
          <w:rFonts w:ascii="Times New Roman;sans-serif" w:hAnsi="Times New Roman;sans-serif"/>
          <w:b w:val="false"/>
          <w:color w:val="000000"/>
          <w:sz w:val="24"/>
        </w:rPr>
        <w:t>shall mean:</w:t>
      </w:r>
    </w:p>
    <w:p>
      <w:pPr>
        <w:pStyle w:val="TextBody"/>
        <w:bidi w:val="0"/>
        <w:spacing w:lineRule="auto" w:line="240" w:before="240"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(a)100% of the cash proceeds actually received by the Borrower or any Subsidiary (including any cash payments received by way of deferred payment of principal pursuant to a note or installment receivable or purchase price adjustment receivable or otherwise, but only as and when received) from any Asset Sale under Sections 6.05(d), 6.05(g), 6.05(m) or 6.05(n) or from any Recovery Event, net of (i) attorneys’ fees, accountants’ fees, investment banking fees, survey costs, title insurance premiums, and related search and recording charges, transfer Taxes, deed or mortgage recording Taxes, other customary expenses and brokerage, consultant and other customary fees actually incurred in connection therewith, (ii) required payments of Indebtedness and required payments of other obligations relating to the applicable asset (other than pursuant to the Loan Documents), (iii) repayments of Other First Lien Debt (limited to its proportionate share of such prepayment, based on the principal amount of such then outstanding debt as a percentage of the aggregate principal amount of all then outstanding Term Loans and Other First Lien Debt), (iv) Taxes paid or payable (in the good faith determination of the Borrower) as a direct result thereof, (v) the amount of any reasonable reserve established in accordance with GAAP against any adjustment to the sale price or any liabilities (other than any Taxes deducted pursuant to clause (i) or (iv) above) (x) related to any of the applicable assets and</w:t>
      </w:r>
    </w:p>
    <w:p>
      <w:pPr>
        <w:pStyle w:val="TextBody"/>
        <w:bidi w:val="0"/>
        <w:spacing w:lineRule="auto" w:line="240" w:before="1" w:after="283"/>
        <w:jc w:val="both"/>
        <w:rPr/>
      </w:pPr>
      <w:r>
        <w:rPr>
          <w:rFonts w:ascii="Times New Roman;sans-serif" w:hAnsi="Times New Roman;sans-serif"/>
          <w:b w:val="false"/>
          <w:color w:val="000000"/>
          <w:sz w:val="24"/>
        </w:rPr>
        <w:t>(y) retained by the Borrower or any of the Subsidiaries including, without limitation, pension and other post-employment benefit liabilities and liabilities related to environmental matters or against any indemnification obligations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(1) the amount of any reduction of such reserve (other than in connection with a payment in respect of any such liability), prior to the date occurring 18 months after the date of the respective Asset Sale, shall be deemed to be cash proceeds of such Asset Sale occurring on the date of such reduction and (2) the amount of any such reserve that is maintained as of the date occurring 18 months after the date of the applicable Asset Sale shall be deemed to be Net Proceeds from such Asset Sale as of such date) and (vi) in the case of any Asset Sale or Recovery Event by any Subsidiary that is not a Guarantor, amounts applied to repay Indebtedness (other than Indebtedness (x) owed to the Borrower or any Subsidiary or (y) under any revolving credit facility except to the extent there is a corresponding reduction in the commitments thereunder);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that, if the Borrower shall deliver a certificate of a Responsible Officer of the Borrower to the Administrative Agent promptly following receipt of any such proceeds setting forth the Borrower’s intention to use any portion of such proceeds, within 18 months of such receipt, to acquire, maintain, develop, construct, improve, upgrade or repair assets useful in the business of the Borrower and/or the Subsidiaries or to make Permitted Business Acquisitions and other Investments permitted hereunder (excluding Investments in Cash Equivalents or intercompany Investments in Subsidiaries) or to reimburse the cost of any of the foregoing incurred on or after the date on which the Asset Sale or Recovery Event, as applicable, then such proceeds shall not constitute Net Proceeds except to the extent not, within 18 months of such receipt, so used or contractually committed to be so used (it being understood that if any</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6480175" cy="781050"/>
                <wp:effectExtent l="0" t="0" r="0" b="0"/>
                <wp:wrapNone/>
                <wp:docPr id="263" name="Frame262"/>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61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61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jc w:val="both"/>
        <w:rPr/>
      </w:pPr>
      <w:r>
        <w:rPr>
          <w:rFonts w:ascii="Times New Roman;sans-serif" w:hAnsi="Times New Roman;sans-serif"/>
          <w:b w:val="false"/>
          <w:color w:val="000000"/>
          <w:sz w:val="24"/>
        </w:rPr>
        <w:t xml:space="preserve">portion of such proceeds are not so used within such 18 month period but within such 18 month period are contractually committed to be used, then such proceeds if not so used within 180 days following the end of such 18 month period shall constitute Net Proceeds as of such date without giving effect to this proviso);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that no net cash proceeds calculated in accordance with the foregoing shall constitute Net Proceeds unless such net cash proceeds realized in a single transaction or series of related transactions shall exceed $10,000,000 or such net cash proceeds shall exceed $25,000,000 in the aggregate in any fiscal year (and thereafter only net cash proceeds in excess of such amount shall constitute Net Proceeds);</w:t>
      </w:r>
    </w:p>
    <w:p>
      <w:pPr>
        <w:pStyle w:val="TextBody"/>
        <w:bidi w:val="0"/>
        <w:spacing w:lineRule="auto" w:line="240" w:before="240" w:after="283"/>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(b)[reserved]; and</w:t>
      </w:r>
    </w:p>
    <w:p>
      <w:pPr>
        <w:pStyle w:val="TextBody"/>
        <w:bidi w:val="0"/>
        <w:spacing w:lineRule="auto" w:line="240" w:before="240"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(c)100% of the cash proceeds from the incurrence, issuance or sale by the Borrower or any Subsidiary of any Indebtedness (other than Excluded Indebtedness, except for Refinancing Notes and Refinancing Term Loans), net of all fees (including investment banking fees), commissions, costs and other expenses, in each case incurred in connection with such issuance or sale.</w:t>
      </w:r>
    </w:p>
    <w:p>
      <w:pPr>
        <w:pStyle w:val="TextBody"/>
        <w:bidi w:val="0"/>
        <w:spacing w:lineRule="auto" w:line="240" w:before="240" w:after="283"/>
        <w:jc w:val="left"/>
        <w:rPr/>
      </w:pPr>
      <w:r>
        <w:rPr>
          <w:color w:val="000000"/>
        </w:rPr>
        <w:t>“</w:t>
      </w:r>
      <w:r>
        <w:rPr>
          <w:rFonts w:ascii="Times New Roman;sans-serif" w:hAnsi="Times New Roman;sans-serif"/>
          <w:b w:val="false"/>
          <w:color w:val="000000"/>
          <w:sz w:val="24"/>
          <w:u w:val="single"/>
        </w:rPr>
        <w:t>Net Short Lender</w:t>
      </w:r>
      <w:r>
        <w:rPr>
          <w:color w:val="000000"/>
        </w:rPr>
        <w:t xml:space="preserve">” </w:t>
      </w:r>
      <w:r>
        <w:rPr>
          <w:rFonts w:ascii="Times New Roman;sans-serif" w:hAnsi="Times New Roman;sans-serif"/>
          <w:b w:val="false"/>
          <w:color w:val="000000"/>
          <w:sz w:val="24"/>
        </w:rPr>
        <w:t>shall have the meaning assigned to such term in Section 9.26.</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val="false"/>
          <w:color w:val="000000"/>
          <w:sz w:val="24"/>
          <w:u w:val="single"/>
        </w:rPr>
        <w:t>Net Short Representation</w:t>
      </w:r>
      <w:r>
        <w:rPr>
          <w:color w:val="000000"/>
        </w:rPr>
        <w:t xml:space="preserve">” </w:t>
      </w:r>
      <w:r>
        <w:rPr>
          <w:rFonts w:ascii="Times New Roman;sans-serif" w:hAnsi="Times New Roman;sans-serif"/>
          <w:b w:val="false"/>
          <w:color w:val="000000"/>
          <w:sz w:val="24"/>
        </w:rPr>
        <w:t>shall mean, with respect to any Lender (other than an Unrestricted Lender) at any time, a representation and warranty (including any deemed representation and warranty, as the case may be) from such Lender to the Borrower that is not a Net Short Lender.</w:t>
      </w:r>
    </w:p>
    <w:p>
      <w:pPr>
        <w:pStyle w:val="TextBody"/>
        <w:bidi w:val="0"/>
        <w:spacing w:lineRule="auto" w:line="592" w:before="6" w:after="283"/>
        <w:jc w:val="left"/>
        <w:rPr/>
      </w:pPr>
      <w:r>
        <w:rPr>
          <w:color w:val="000000"/>
        </w:rPr>
        <w:t>“</w:t>
      </w:r>
      <w:r>
        <w:rPr>
          <w:rFonts w:ascii="Times New Roman;sans-serif" w:hAnsi="Times New Roman;sans-serif"/>
          <w:b w:val="false"/>
          <w:color w:val="000000"/>
          <w:sz w:val="24"/>
          <w:u w:val="single"/>
        </w:rPr>
        <w:t>New Class Loans</w:t>
      </w:r>
      <w:r>
        <w:rPr>
          <w:color w:val="000000"/>
        </w:rPr>
        <w:t xml:space="preserve">” </w:t>
      </w:r>
      <w:r>
        <w:rPr>
          <w:rFonts w:ascii="Times New Roman;sans-serif" w:hAnsi="Times New Roman;sans-serif"/>
          <w:b w:val="false"/>
          <w:color w:val="000000"/>
          <w:sz w:val="24"/>
        </w:rPr>
        <w:t>shall have the meaning assigned to such term in Section 9.08(f). “</w:t>
      </w:r>
      <w:r>
        <w:rPr>
          <w:rFonts w:ascii="Times New Roman;sans-serif" w:hAnsi="Times New Roman;sans-serif"/>
          <w:b w:val="false"/>
          <w:color w:val="000000"/>
          <w:sz w:val="24"/>
          <w:u w:val="single"/>
        </w:rPr>
        <w:t>Non-Consenting Lender</w:t>
      </w:r>
      <w:r>
        <w:rPr>
          <w:color w:val="000000"/>
        </w:rPr>
        <w:t xml:space="preserve">” </w:t>
      </w:r>
      <w:r>
        <w:rPr>
          <w:rFonts w:ascii="Times New Roman;sans-serif" w:hAnsi="Times New Roman;sans-serif"/>
          <w:b w:val="false"/>
          <w:color w:val="000000"/>
          <w:sz w:val="24"/>
        </w:rPr>
        <w:t>shall have the meaning assigned to such term in Section 2.19(c). “</w:t>
      </w:r>
      <w:r>
        <w:rPr>
          <w:rFonts w:ascii="Times New Roman;sans-serif" w:hAnsi="Times New Roman;sans-serif"/>
          <w:b w:val="false"/>
          <w:color w:val="000000"/>
          <w:sz w:val="24"/>
          <w:u w:val="single"/>
        </w:rPr>
        <w:t>Non-Defaulting Lender</w:t>
      </w:r>
      <w:r>
        <w:rPr>
          <w:color w:val="000000"/>
        </w:rPr>
        <w:t xml:space="preserve">” </w:t>
      </w:r>
      <w:r>
        <w:rPr>
          <w:rFonts w:ascii="Times New Roman;sans-serif" w:hAnsi="Times New Roman;sans-serif"/>
          <w:b w:val="false"/>
          <w:color w:val="000000"/>
          <w:sz w:val="24"/>
        </w:rPr>
        <w:t>shall mean, at any time, each Lender that is not a Defaulting</w:t>
      </w:r>
    </w:p>
    <w:p>
      <w:pPr>
        <w:pStyle w:val="TextBody"/>
        <w:bidi w:val="0"/>
        <w:spacing w:lineRule="auto" w:line="240" w:before="12" w:after="283"/>
        <w:jc w:val="left"/>
        <w:rPr>
          <w:rFonts w:ascii="Times New Roman;sans-serif" w:hAnsi="Times New Roman;sans-serif"/>
          <w:b w:val="false"/>
          <w:color w:val="000000"/>
          <w:sz w:val="24"/>
        </w:rPr>
      </w:pPr>
      <w:r>
        <w:rPr>
          <w:rFonts w:ascii="Times New Roman;sans-serif" w:hAnsi="Times New Roman;sans-serif"/>
          <w:b w:val="false"/>
          <w:color w:val="000000"/>
          <w:sz w:val="24"/>
        </w:rPr>
        <w:t>Lender at such time.</w:t>
      </w:r>
    </w:p>
    <w:p>
      <w:pPr>
        <w:pStyle w:val="TextBody"/>
        <w:bidi w:val="0"/>
        <w:spacing w:lineRule="auto" w:line="240" w:before="241" w:after="283"/>
        <w:ind w:left="0" w:right="0" w:firstLine="720"/>
        <w:jc w:val="both"/>
        <w:rPr/>
      </w:pPr>
      <w:r>
        <w:rPr>
          <w:color w:val="000000"/>
        </w:rPr>
        <w:t>“</w:t>
      </w:r>
      <w:r>
        <w:rPr>
          <w:rFonts w:ascii="Times New Roman;sans-serif" w:hAnsi="Times New Roman;sans-serif"/>
          <w:b w:val="false"/>
          <w:color w:val="000000"/>
          <w:sz w:val="24"/>
          <w:u w:val="single"/>
        </w:rPr>
        <w:t>Non-Extension Notice Date</w:t>
      </w:r>
      <w:r>
        <w:rPr>
          <w:color w:val="000000"/>
        </w:rPr>
        <w:t xml:space="preserve">” </w:t>
      </w:r>
      <w:r>
        <w:rPr>
          <w:rFonts w:ascii="Times New Roman;sans-serif" w:hAnsi="Times New Roman;sans-serif"/>
          <w:b w:val="false"/>
          <w:color w:val="000000"/>
          <w:sz w:val="24"/>
        </w:rPr>
        <w:t>shall have the meaning given that term in Section 2.05(b)(iii).</w:t>
      </w:r>
    </w:p>
    <w:p>
      <w:pPr>
        <w:pStyle w:val="TextBody"/>
        <w:bidi w:val="0"/>
        <w:spacing w:lineRule="auto" w:line="240" w:before="238" w:after="283"/>
        <w:ind w:left="0" w:right="0" w:firstLine="720"/>
        <w:jc w:val="both"/>
        <w:rPr/>
      </w:pPr>
      <w:r>
        <w:rPr>
          <w:color w:val="000000"/>
        </w:rPr>
        <w:t>“</w:t>
      </w:r>
      <w:r>
        <w:rPr>
          <w:rFonts w:ascii="Times New Roman;sans-serif" w:hAnsi="Times New Roman;sans-serif"/>
          <w:b w:val="false"/>
          <w:color w:val="000000"/>
          <w:sz w:val="24"/>
          <w:u w:val="single"/>
        </w:rPr>
        <w:t>Non-Recourse Indebtedness</w:t>
      </w:r>
      <w:r>
        <w:rPr>
          <w:color w:val="000000"/>
        </w:rPr>
        <w:t xml:space="preserve">” </w:t>
      </w:r>
      <w:r>
        <w:rPr>
          <w:rFonts w:ascii="Times New Roman;sans-serif" w:hAnsi="Times New Roman;sans-serif"/>
          <w:b w:val="false"/>
          <w:color w:val="000000"/>
          <w:sz w:val="24"/>
        </w:rPr>
        <w:t>means Indebtedness that is non-recourse to the Borrower or any of its Subsidiaries.</w:t>
      </w:r>
    </w:p>
    <w:p>
      <w:pPr>
        <w:pStyle w:val="TextBody"/>
        <w:bidi w:val="0"/>
        <w:spacing w:lineRule="auto" w:line="240" w:before="240" w:after="283"/>
        <w:jc w:val="left"/>
        <w:rPr/>
      </w:pPr>
      <w:r>
        <w:rPr>
          <w:color w:val="000000"/>
        </w:rPr>
        <w:t>“</w:t>
      </w:r>
      <w:r>
        <w:rPr>
          <w:rFonts w:ascii="Times New Roman;sans-serif" w:hAnsi="Times New Roman;sans-serif"/>
          <w:b w:val="false"/>
          <w:color w:val="000000"/>
          <w:sz w:val="24"/>
          <w:u w:val="single"/>
        </w:rPr>
        <w:t>Note</w:t>
      </w:r>
      <w:r>
        <w:rPr>
          <w:color w:val="000000"/>
        </w:rPr>
        <w:t xml:space="preserve">” </w:t>
      </w:r>
      <w:r>
        <w:rPr>
          <w:rFonts w:ascii="Times New Roman;sans-serif" w:hAnsi="Times New Roman;sans-serif"/>
          <w:b w:val="false"/>
          <w:color w:val="000000"/>
          <w:sz w:val="24"/>
        </w:rPr>
        <w:t>shall have the meaning assigned to such term in Section 2.09(e).</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val="false"/>
          <w:color w:val="000000"/>
          <w:sz w:val="24"/>
          <w:u w:val="single"/>
        </w:rPr>
        <w:t>Obligations</w:t>
      </w:r>
      <w:r>
        <w:rPr>
          <w:color w:val="000000"/>
        </w:rPr>
        <w:t xml:space="preserve">” </w:t>
      </w:r>
      <w:r>
        <w:rPr>
          <w:rFonts w:ascii="Times New Roman;sans-serif" w:hAnsi="Times New Roman;sans-serif"/>
          <w:b w:val="false"/>
          <w:color w:val="000000"/>
          <w:sz w:val="24"/>
        </w:rPr>
        <w:t>shall mean, collectively, (a) the Loan Obligations, (b) obligations in respect of any Secured Cash Management Agreement and (c) obligations in respect of any Secured Hedge Agreement (including, in each case, monetary obligations incurred during the pendency of any bankruptcy, insolvency, receivership or other similar case or proceeding, regardless of whether allowed or allowable in such case or proceeding).</w:t>
      </w:r>
    </w:p>
    <w:p>
      <w:pPr>
        <w:pStyle w:val="TextBody"/>
        <w:bidi w:val="0"/>
        <w:spacing w:lineRule="auto" w:line="240" w:before="241" w:after="283"/>
        <w:ind w:left="0" w:right="0" w:firstLine="720"/>
        <w:jc w:val="both"/>
        <w:rPr/>
      </w:pPr>
      <w:r>
        <w:rPr>
          <w:color w:val="000000"/>
        </w:rPr>
        <w:t>“</w:t>
      </w:r>
      <w:r>
        <w:rPr>
          <w:rFonts w:ascii="Times New Roman;sans-serif" w:hAnsi="Times New Roman;sans-serif"/>
          <w:b w:val="false"/>
          <w:color w:val="000000"/>
          <w:sz w:val="24"/>
          <w:u w:val="single"/>
        </w:rPr>
        <w:t>Other First Lien Debt</w:t>
      </w:r>
      <w:r>
        <w:rPr>
          <w:color w:val="000000"/>
        </w:rPr>
        <w:t xml:space="preserve">” </w:t>
      </w:r>
      <w:r>
        <w:rPr>
          <w:rFonts w:ascii="Times New Roman;sans-serif" w:hAnsi="Times New Roman;sans-serif"/>
          <w:b w:val="false"/>
          <w:color w:val="000000"/>
          <w:sz w:val="24"/>
        </w:rPr>
        <w:t>shall mean any obligations secured by Other First Liens (including any Incremental Equivalent Debt or Refinancing Notes secured by Other First Liens).</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6480175" cy="781050"/>
                <wp:effectExtent l="0" t="0" r="0" b="0"/>
                <wp:wrapNone/>
                <wp:docPr id="264" name="Frame263"/>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62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62</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ind w:left="0" w:right="0" w:firstLine="720"/>
        <w:jc w:val="both"/>
        <w:rPr/>
      </w:pPr>
      <w:r>
        <w:rPr>
          <w:color w:val="000000"/>
        </w:rPr>
        <w:t>“</w:t>
      </w:r>
      <w:r>
        <w:rPr>
          <w:rFonts w:ascii="Times New Roman;sans-serif" w:hAnsi="Times New Roman;sans-serif"/>
          <w:b w:val="false"/>
          <w:color w:val="000000"/>
          <w:sz w:val="24"/>
          <w:u w:val="single"/>
        </w:rPr>
        <w:t>Other First Liens</w:t>
      </w:r>
      <w:r>
        <w:rPr>
          <w:color w:val="000000"/>
        </w:rPr>
        <w:t xml:space="preserve">” </w:t>
      </w:r>
      <w:r>
        <w:rPr>
          <w:rFonts w:ascii="Times New Roman;sans-serif" w:hAnsi="Times New Roman;sans-serif"/>
          <w:b w:val="false"/>
          <w:color w:val="000000"/>
          <w:sz w:val="24"/>
        </w:rPr>
        <w:t>shall mean Liens on the Collateral that are equal and ratable with the Liens thereon securing the Loan Obligations (without regard to control of remedies).</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val="false"/>
          <w:color w:val="000000"/>
          <w:sz w:val="24"/>
          <w:u w:val="single"/>
        </w:rPr>
        <w:t>Other Incremental Term Loans</w:t>
      </w:r>
      <w:r>
        <w:rPr>
          <w:color w:val="000000"/>
        </w:rPr>
        <w:t xml:space="preserve">” </w:t>
      </w:r>
      <w:r>
        <w:rPr>
          <w:rFonts w:ascii="Times New Roman;sans-serif" w:hAnsi="Times New Roman;sans-serif"/>
          <w:b w:val="false"/>
          <w:color w:val="000000"/>
          <w:sz w:val="24"/>
        </w:rPr>
        <w:t>shall have the meaning assigned to such term in Section 2.21(a).</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val="false"/>
          <w:color w:val="000000"/>
          <w:sz w:val="24"/>
          <w:u w:val="single"/>
        </w:rPr>
        <w:t>Other Revolving Facility Commitments</w:t>
      </w:r>
      <w:r>
        <w:rPr>
          <w:color w:val="000000"/>
        </w:rPr>
        <w:t xml:space="preserve">” </w:t>
      </w:r>
      <w:r>
        <w:rPr>
          <w:rFonts w:ascii="Times New Roman;sans-serif" w:hAnsi="Times New Roman;sans-serif"/>
          <w:b w:val="false"/>
          <w:color w:val="000000"/>
          <w:sz w:val="24"/>
        </w:rPr>
        <w:t>shall mean, collectively, (a) Extended Revolving Facility Commitments and (b) Replacement Revolving Facility Commitments.</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val="false"/>
          <w:color w:val="000000"/>
          <w:sz w:val="24"/>
          <w:u w:val="single"/>
        </w:rPr>
        <w:t>Other Revolving Loans</w:t>
      </w:r>
      <w:r>
        <w:rPr>
          <w:color w:val="000000"/>
        </w:rPr>
        <w:t xml:space="preserve">” </w:t>
      </w:r>
      <w:r>
        <w:rPr>
          <w:rFonts w:ascii="Times New Roman;sans-serif" w:hAnsi="Times New Roman;sans-serif"/>
          <w:b w:val="false"/>
          <w:color w:val="000000"/>
          <w:sz w:val="24"/>
        </w:rPr>
        <w:t>shall mean, collectively (a) Extended Revolving Loans and (b) Replacement Revolving Loans.</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val="false"/>
          <w:color w:val="000000"/>
          <w:sz w:val="24"/>
          <w:u w:val="single"/>
        </w:rPr>
        <w:t>Other Taxes</w:t>
      </w:r>
      <w:r>
        <w:rPr>
          <w:color w:val="000000"/>
        </w:rPr>
        <w:t xml:space="preserve">” </w:t>
      </w:r>
      <w:r>
        <w:rPr>
          <w:rFonts w:ascii="Times New Roman;sans-serif" w:hAnsi="Times New Roman;sans-serif"/>
          <w:b w:val="false"/>
          <w:color w:val="000000"/>
          <w:sz w:val="24"/>
        </w:rPr>
        <w:t>shall mean any and all present or future stamp, court or documentary, intangible, recording, filing, or similar Taxes arising from any payment made hereunder or under any other Loan Document or from the execution, registration, delivery or enforcement of, consummation or administration of, from the receipt or perfection of security interest under, or otherwise with respect to, the Loan Documents, except any such Taxes imposed as a result of any other present or former connection with such jurisdiction (other than any such connection arising solely from any Loan Document or any transactions pursuant to any Loan Document) imposed with respect to an assignment (other than with respect to an assignment pursuant to a request by the Borrower under Section 2.19(b) or 2.19(c)).</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val="false"/>
          <w:color w:val="000000"/>
          <w:sz w:val="24"/>
          <w:u w:val="single"/>
        </w:rPr>
        <w:t>Other Term Facilities</w:t>
      </w:r>
      <w:r>
        <w:rPr>
          <w:color w:val="000000"/>
        </w:rPr>
        <w:t xml:space="preserve">” </w:t>
      </w:r>
      <w:r>
        <w:rPr>
          <w:rFonts w:ascii="Times New Roman;sans-serif" w:hAnsi="Times New Roman;sans-serif"/>
          <w:b w:val="false"/>
          <w:color w:val="000000"/>
          <w:sz w:val="24"/>
        </w:rPr>
        <w:t>shall mean the Other Term Loan Commitments and the Other Term Loans made thereunder.</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val="false"/>
          <w:color w:val="000000"/>
          <w:sz w:val="24"/>
          <w:u w:val="single"/>
        </w:rPr>
        <w:t>Other Term Loan Commitments</w:t>
      </w:r>
      <w:r>
        <w:rPr>
          <w:color w:val="000000"/>
        </w:rPr>
        <w:t xml:space="preserve">” </w:t>
      </w:r>
      <w:r>
        <w:rPr>
          <w:rFonts w:ascii="Times New Roman;sans-serif" w:hAnsi="Times New Roman;sans-serif"/>
          <w:b w:val="false"/>
          <w:color w:val="000000"/>
          <w:sz w:val="24"/>
        </w:rPr>
        <w:t>shall mean, collectively, (a) Incremental Term Loan Commitments with respect to Other Term Loans and (b) commitments to make Refinancing Term Loans.</w:t>
      </w:r>
    </w:p>
    <w:p>
      <w:pPr>
        <w:pStyle w:val="TextBody"/>
        <w:bidi w:val="0"/>
        <w:spacing w:lineRule="auto" w:line="240" w:before="241" w:after="283"/>
        <w:ind w:left="0" w:right="0" w:firstLine="720"/>
        <w:jc w:val="both"/>
        <w:rPr/>
      </w:pPr>
      <w:r>
        <w:rPr>
          <w:color w:val="000000"/>
        </w:rPr>
        <w:t>“</w:t>
      </w:r>
      <w:r>
        <w:rPr>
          <w:rFonts w:ascii="Times New Roman;sans-serif" w:hAnsi="Times New Roman;sans-serif"/>
          <w:b w:val="false"/>
          <w:color w:val="000000"/>
          <w:sz w:val="24"/>
          <w:u w:val="single"/>
        </w:rPr>
        <w:t>Other Term Loan Installment Date</w:t>
      </w:r>
      <w:r>
        <w:rPr>
          <w:color w:val="000000"/>
        </w:rPr>
        <w:t xml:space="preserve">” </w:t>
      </w:r>
      <w:r>
        <w:rPr>
          <w:rFonts w:ascii="Times New Roman;sans-serif" w:hAnsi="Times New Roman;sans-serif"/>
          <w:b w:val="false"/>
          <w:color w:val="000000"/>
          <w:sz w:val="24"/>
        </w:rPr>
        <w:t>shall have, with respect to any Class of Other Term Loans established pursuant to an Incremental Assumption Agreement, an Extension Amendment or a Refinancing Amendment, the meaning assigned to such term in Section 2.10(a)(ii).</w:t>
      </w:r>
    </w:p>
    <w:p>
      <w:pPr>
        <w:pStyle w:val="TextBody"/>
        <w:bidi w:val="0"/>
        <w:spacing w:lineRule="auto" w:line="240" w:before="238" w:after="283"/>
        <w:jc w:val="left"/>
        <w:rPr/>
      </w:pPr>
      <w:r>
        <w:rPr>
          <w:color w:val="000000"/>
        </w:rPr>
        <w:t>“</w:t>
      </w:r>
      <w:r>
        <w:rPr>
          <w:rFonts w:ascii="Times New Roman;sans-serif" w:hAnsi="Times New Roman;sans-serif"/>
          <w:b w:val="false"/>
          <w:color w:val="000000"/>
          <w:sz w:val="24"/>
          <w:u w:val="single"/>
        </w:rPr>
        <w:t>Other Term Loans</w:t>
      </w:r>
      <w:r>
        <w:rPr>
          <w:color w:val="000000"/>
        </w:rPr>
        <w:t xml:space="preserve">” </w:t>
      </w:r>
      <w:r>
        <w:rPr>
          <w:rFonts w:ascii="Times New Roman;sans-serif" w:hAnsi="Times New Roman;sans-serif"/>
          <w:b w:val="false"/>
          <w:color w:val="000000"/>
          <w:sz w:val="24"/>
        </w:rPr>
        <w:t>shall mean, collectively, (a) Other Incremental Term Loans,</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(b) Extended Term Loans and (c) Refinancing Term Loans.</w:t>
      </w:r>
    </w:p>
    <w:p>
      <w:pPr>
        <w:pStyle w:val="TextBody"/>
        <w:bidi w:val="0"/>
        <w:spacing w:lineRule="auto" w:line="592" w:before="6" w:after="283"/>
        <w:jc w:val="left"/>
        <w:rPr/>
      </w:pPr>
      <w:r>
        <w:rPr>
          <w:color w:val="000000"/>
        </w:rPr>
        <w:t>“</w:t>
      </w:r>
      <w:r>
        <w:rPr>
          <w:rFonts w:ascii="Times New Roman;sans-serif" w:hAnsi="Times New Roman;sans-serif"/>
          <w:b w:val="false"/>
          <w:color w:val="000000"/>
          <w:sz w:val="24"/>
          <w:u w:val="single"/>
        </w:rPr>
        <w:t>Participant</w:t>
      </w:r>
      <w:r>
        <w:rPr>
          <w:color w:val="000000"/>
        </w:rPr>
        <w:t xml:space="preserve">” </w:t>
      </w:r>
      <w:r>
        <w:rPr>
          <w:rFonts w:ascii="Times New Roman;sans-serif" w:hAnsi="Times New Roman;sans-serif"/>
          <w:b w:val="false"/>
          <w:color w:val="000000"/>
          <w:sz w:val="24"/>
        </w:rPr>
        <w:t>shall have the meaning assigned to such term in Section 9.04(c)(i). “</w:t>
      </w:r>
      <w:r>
        <w:rPr>
          <w:rFonts w:ascii="Times New Roman;sans-serif" w:hAnsi="Times New Roman;sans-serif"/>
          <w:b w:val="false"/>
          <w:color w:val="000000"/>
          <w:sz w:val="24"/>
          <w:u w:val="single"/>
        </w:rPr>
        <w:t>Participant Register</w:t>
      </w:r>
      <w:r>
        <w:rPr>
          <w:color w:val="000000"/>
        </w:rPr>
        <w:t xml:space="preserve">” </w:t>
      </w:r>
      <w:r>
        <w:rPr>
          <w:rFonts w:ascii="Times New Roman;sans-serif" w:hAnsi="Times New Roman;sans-serif"/>
          <w:b w:val="false"/>
          <w:color w:val="000000"/>
          <w:sz w:val="24"/>
        </w:rPr>
        <w:t>shall have the meaning assigned to such term in Section 9.04(c)(ii). “</w:t>
      </w:r>
      <w:r>
        <w:rPr>
          <w:rFonts w:ascii="Times New Roman;sans-serif" w:hAnsi="Times New Roman;sans-serif"/>
          <w:b w:val="false"/>
          <w:color w:val="000000"/>
          <w:sz w:val="24"/>
          <w:u w:val="single"/>
        </w:rPr>
        <w:t>PBGC</w:t>
      </w:r>
      <w:r>
        <w:rPr>
          <w:color w:val="000000"/>
        </w:rPr>
        <w:t xml:space="preserve">” </w:t>
      </w:r>
      <w:r>
        <w:rPr>
          <w:rFonts w:ascii="Times New Roman;sans-serif" w:hAnsi="Times New Roman;sans-serif"/>
          <w:b w:val="false"/>
          <w:color w:val="000000"/>
          <w:sz w:val="24"/>
        </w:rPr>
        <w:t>shall mean the Pension Benefit Guaranty Corporation referred to and defined in</w:t>
      </w:r>
    </w:p>
    <w:p>
      <w:pPr>
        <w:pStyle w:val="TextBody"/>
        <w:bidi w:val="0"/>
        <w:spacing w:lineRule="auto" w:line="240" w:before="12" w:after="283"/>
        <w:jc w:val="left"/>
        <w:rPr>
          <w:rFonts w:ascii="Times New Roman;sans-serif" w:hAnsi="Times New Roman;sans-serif"/>
          <w:b w:val="false"/>
          <w:color w:val="000000"/>
          <w:sz w:val="24"/>
        </w:rPr>
      </w:pPr>
      <w:r>
        <w:rPr>
          <w:rFonts w:ascii="Times New Roman;sans-serif" w:hAnsi="Times New Roman;sans-serif"/>
          <w:b w:val="false"/>
          <w:color w:val="000000"/>
          <w:sz w:val="24"/>
        </w:rPr>
        <w:t>ERISA and any successor entity performing similar functions.</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val="false"/>
          <w:color w:val="000000"/>
          <w:sz w:val="24"/>
          <w:u w:val="single"/>
        </w:rPr>
        <w:t>Perfection Certificate</w:t>
      </w:r>
      <w:r>
        <w:rPr>
          <w:color w:val="000000"/>
        </w:rPr>
        <w:t xml:space="preserve">” </w:t>
      </w:r>
      <w:r>
        <w:rPr>
          <w:rFonts w:ascii="Times New Roman;sans-serif" w:hAnsi="Times New Roman;sans-serif"/>
          <w:b w:val="false"/>
          <w:color w:val="000000"/>
          <w:sz w:val="24"/>
        </w:rPr>
        <w:t xml:space="preserve">shall mean the Perfection Certificate with respect to the Borrower and the other Loan Parties in the form attached hereto as </w:t>
      </w:r>
      <w:r>
        <w:rPr>
          <w:rFonts w:ascii="Times New Roman;sans-serif" w:hAnsi="Times New Roman;sans-serif"/>
          <w:b w:val="false"/>
          <w:color w:val="000000"/>
          <w:sz w:val="24"/>
          <w:u w:val="single"/>
        </w:rPr>
        <w:t>Exhibit I</w:t>
      </w:r>
      <w:r>
        <w:rPr>
          <w:rFonts w:ascii="Times New Roman;sans-serif" w:hAnsi="Times New Roman;sans-serif"/>
          <w:b w:val="false"/>
          <w:color w:val="000000"/>
          <w:sz w:val="24"/>
        </w:rPr>
        <w:t>, or such other form as is reasonably satisfactory to the Collateral Agent, as the same may be supplemented from time to time to the extent required by Section 5.04(e).</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6480175" cy="781050"/>
                <wp:effectExtent l="0" t="0" r="0" b="0"/>
                <wp:wrapNone/>
                <wp:docPr id="265" name="Frame264"/>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63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63</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ind w:left="0" w:right="0" w:firstLine="720"/>
        <w:jc w:val="both"/>
        <w:rPr/>
      </w:pPr>
      <w:r>
        <w:rPr>
          <w:color w:val="000000"/>
        </w:rPr>
        <w:t>“</w:t>
      </w:r>
      <w:r>
        <w:rPr>
          <w:rFonts w:ascii="Times New Roman;sans-serif" w:hAnsi="Times New Roman;sans-serif"/>
          <w:b w:val="false"/>
          <w:color w:val="000000"/>
          <w:sz w:val="24"/>
          <w:u w:val="single"/>
        </w:rPr>
        <w:t>Periodic Term SOFR Determination Day</w:t>
      </w:r>
      <w:r>
        <w:rPr>
          <w:color w:val="000000"/>
        </w:rPr>
        <w:t xml:space="preserve">” </w:t>
      </w:r>
      <w:r>
        <w:rPr>
          <w:rFonts w:ascii="Times New Roman;sans-serif" w:hAnsi="Times New Roman;sans-serif"/>
          <w:b w:val="false"/>
          <w:color w:val="000000"/>
          <w:sz w:val="24"/>
        </w:rPr>
        <w:t>has the meaning specified in the definition of “Term SOFR”.</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val="false"/>
          <w:color w:val="000000"/>
          <w:sz w:val="24"/>
          <w:u w:val="single"/>
        </w:rPr>
        <w:t>Permitted Business Acquisition</w:t>
      </w:r>
      <w:r>
        <w:rPr>
          <w:color w:val="000000"/>
        </w:rPr>
        <w:t xml:space="preserve">” </w:t>
      </w:r>
      <w:r>
        <w:rPr>
          <w:rFonts w:ascii="Times New Roman;sans-serif" w:hAnsi="Times New Roman;sans-serif"/>
          <w:b w:val="false"/>
          <w:color w:val="000000"/>
          <w:sz w:val="24"/>
        </w:rPr>
        <w:t>shall mean any acquisition of all or substantially all the assets or business of, or all or a majority of the Equity Interests (other than directors’ qualifying shares) not previously held by the Borrower or its Subsidiaries in, or merger, consolidation or amalgamation with, a person or business unit or division or line of business of a person (or any subsequent investment made in a person or business unit or division or line of business previously acquired in a Permitted Business Acquisition), so long as (i) subject to Section 1.10 for a Limited Condition Transaction, no Event of Default shall have occurred and be continuing immediately after giving effect thereto or would result therefrom; (ii) all transactions related thereto shall be consummated in accordance with applicable material laws; (iii) any acquired or newly formed Subsidiary shall not be liable for any Indebtedness except for Indebtedness permitted by Section 6.01; and (iv) any acquired Equity Interests or any Equity Interests in any entity newly formed in connection with such transactions shall be Equity Interests of a Subsidiary (except as permitted by a provision of Section 6.04 (other than Section 6.04(k))).</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val="false"/>
          <w:color w:val="000000"/>
          <w:sz w:val="24"/>
          <w:u w:val="single"/>
        </w:rPr>
        <w:t>Permitted Convertible Indebtedness Call Transaction</w:t>
      </w:r>
      <w:r>
        <w:rPr>
          <w:color w:val="000000"/>
        </w:rPr>
        <w:t xml:space="preserve">” </w:t>
      </w:r>
      <w:r>
        <w:rPr>
          <w:rFonts w:ascii="Times New Roman;sans-serif" w:hAnsi="Times New Roman;sans-serif"/>
          <w:b w:val="false"/>
          <w:color w:val="000000"/>
          <w:sz w:val="24"/>
        </w:rPr>
        <w:t xml:space="preserve">shall mean any purchase by the Borrower of a call or capped call option (or substantively equivalent derivative transaction) on the Borrower’s common Equity Interests in connection with the issuance of any convertible Indebtedness otherwise permitted hereunder, or any refinancing, refunding, extension or renewal thereof as permitted by Section 6.01, and any sale by the Borrower of a call option or warrant (or substantively equivalent derivative transaction) on the Borrower’s common Equity Interests;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the purchase price for the Permitted Convertible Indebtedness Call Transaction does not exceed the net proceeds from the issuance of such convertible notes issued in connection with the Permitted Convertible Indebtedness Call Transaction or any such refinancing, refunding, extension or renewal thereof as permitted by Section 6.01, as applicable.</w:t>
      </w:r>
    </w:p>
    <w:p>
      <w:pPr>
        <w:pStyle w:val="TextBody"/>
        <w:bidi w:val="0"/>
        <w:spacing w:lineRule="auto" w:line="240" w:before="239" w:after="283"/>
        <w:ind w:left="0" w:right="0" w:firstLine="720"/>
        <w:jc w:val="both"/>
        <w:rPr/>
      </w:pPr>
      <w:r>
        <w:rPr>
          <w:color w:val="000000"/>
        </w:rPr>
        <w:t>“</w:t>
      </w:r>
      <w:r>
        <w:rPr>
          <w:rFonts w:ascii="Times New Roman;sans-serif" w:hAnsi="Times New Roman;sans-serif"/>
          <w:b w:val="false"/>
          <w:color w:val="000000"/>
          <w:sz w:val="24"/>
          <w:u w:val="single"/>
        </w:rPr>
        <w:t>Permitted First Lien Intercreditor Agreement</w:t>
      </w:r>
      <w:r>
        <w:rPr>
          <w:color w:val="000000"/>
        </w:rPr>
        <w:t xml:space="preserve">” </w:t>
      </w:r>
      <w:r>
        <w:rPr>
          <w:rFonts w:ascii="Times New Roman;sans-serif" w:hAnsi="Times New Roman;sans-serif"/>
          <w:b w:val="false"/>
          <w:color w:val="000000"/>
          <w:sz w:val="24"/>
        </w:rPr>
        <w:t xml:space="preserve">shall mean, with respect to any Liens on Collateral that are intended to be </w:t>
      </w:r>
      <w:r>
        <w:rPr>
          <w:rFonts w:ascii="Times New Roman;sans-serif" w:hAnsi="Times New Roman;sans-serif"/>
          <w:b w:val="false"/>
          <w:i/>
          <w:color w:val="000000"/>
          <w:sz w:val="24"/>
        </w:rPr>
        <w:t xml:space="preserve">pari passu </w:t>
      </w:r>
      <w:r>
        <w:rPr>
          <w:rFonts w:ascii="Times New Roman;sans-serif" w:hAnsi="Times New Roman;sans-serif"/>
          <w:b w:val="false"/>
          <w:color w:val="000000"/>
          <w:sz w:val="24"/>
        </w:rPr>
        <w:t>with any Lien securing the Loan Obligations, one or more intercreditor agreements in form and substance reasonably satisfactory to the Administrative Agent and the Borrower.</w:t>
      </w:r>
    </w:p>
    <w:p>
      <w:pPr>
        <w:pStyle w:val="TextBody"/>
        <w:bidi w:val="0"/>
        <w:spacing w:lineRule="auto" w:line="240" w:before="241" w:after="283"/>
        <w:ind w:left="0" w:right="0" w:firstLine="720"/>
        <w:jc w:val="both"/>
        <w:rPr/>
      </w:pPr>
      <w:r>
        <w:rPr>
          <w:color w:val="000000"/>
        </w:rPr>
        <w:t>“</w:t>
      </w:r>
      <w:r>
        <w:rPr>
          <w:rFonts w:ascii="Times New Roman;sans-serif" w:hAnsi="Times New Roman;sans-serif"/>
          <w:b w:val="false"/>
          <w:color w:val="000000"/>
          <w:sz w:val="24"/>
          <w:u w:val="single"/>
        </w:rPr>
        <w:t>Permitted Foreign Currency</w:t>
      </w:r>
      <w:r>
        <w:rPr>
          <w:color w:val="000000"/>
        </w:rPr>
        <w:t xml:space="preserve">” </w:t>
      </w:r>
      <w:r>
        <w:rPr>
          <w:rFonts w:ascii="Times New Roman;sans-serif" w:hAnsi="Times New Roman;sans-serif"/>
          <w:b w:val="false"/>
          <w:color w:val="000000"/>
          <w:sz w:val="24"/>
        </w:rPr>
        <w:t>means, with respect to any Letter of Credit, any foreign currency that is reasonably requested by the Borrower from time to time and that has been agreed to by the applicable Issuing Bank.</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val="false"/>
          <w:color w:val="000000"/>
          <w:sz w:val="24"/>
          <w:u w:val="single"/>
        </w:rPr>
        <w:t>Permitted Junior Intercreditor Agreement</w:t>
      </w:r>
      <w:r>
        <w:rPr>
          <w:color w:val="000000"/>
        </w:rPr>
        <w:t xml:space="preserve">” </w:t>
      </w:r>
      <w:r>
        <w:rPr>
          <w:rFonts w:ascii="Times New Roman;sans-serif" w:hAnsi="Times New Roman;sans-serif"/>
          <w:b w:val="false"/>
          <w:color w:val="000000"/>
          <w:sz w:val="24"/>
        </w:rPr>
        <w:t>shall mean, with respect to any Liens on Collateral that are intended to be junior to any Liens securing the Loan Obligations, one or more intercreditor agreements, each of which shall be in form and substance reasonably satisfactory to the Administrative Agent and the Borrower.</w:t>
      </w:r>
    </w:p>
    <w:p>
      <w:pPr>
        <w:pStyle w:val="TextBody"/>
        <w:bidi w:val="0"/>
        <w:spacing w:lineRule="auto" w:line="592" w:before="6" w:after="283"/>
        <w:jc w:val="both"/>
        <w:rPr/>
      </w:pPr>
      <w:r>
        <w:rPr>
          <w:color w:val="000000"/>
        </w:rPr>
        <w:t>“</w:t>
      </w:r>
      <w:r>
        <w:rPr>
          <w:rFonts w:ascii="Times New Roman;sans-serif" w:hAnsi="Times New Roman;sans-serif"/>
          <w:b w:val="false"/>
          <w:color w:val="000000"/>
          <w:sz w:val="24"/>
          <w:u w:val="single"/>
        </w:rPr>
        <w:t>Permitted Liens</w:t>
      </w:r>
      <w:r>
        <w:rPr>
          <w:color w:val="000000"/>
        </w:rPr>
        <w:t xml:space="preserve">” </w:t>
      </w:r>
      <w:r>
        <w:rPr>
          <w:rFonts w:ascii="Times New Roman;sans-serif" w:hAnsi="Times New Roman;sans-serif"/>
          <w:b w:val="false"/>
          <w:color w:val="000000"/>
          <w:sz w:val="24"/>
        </w:rPr>
        <w:t>shall have the meaning assigned to such term in Section 6.02. “</w:t>
      </w:r>
      <w:r>
        <w:rPr>
          <w:rFonts w:ascii="Times New Roman;sans-serif" w:hAnsi="Times New Roman;sans-serif"/>
          <w:b w:val="false"/>
          <w:color w:val="000000"/>
          <w:sz w:val="24"/>
          <w:u w:val="single"/>
        </w:rPr>
        <w:t>Permitted Receivables Financing</w:t>
      </w:r>
      <w:r>
        <w:rPr>
          <w:color w:val="000000"/>
        </w:rPr>
        <w:t xml:space="preserve">” </w:t>
      </w:r>
      <w:r>
        <w:rPr>
          <w:rFonts w:ascii="Times New Roman;sans-serif" w:hAnsi="Times New Roman;sans-serif"/>
          <w:b w:val="false"/>
          <w:color w:val="000000"/>
          <w:sz w:val="24"/>
        </w:rPr>
        <w:t>shall mean, collectively, any receivables,</w:t>
      </w:r>
    </w:p>
    <w:p>
      <w:pPr>
        <w:pStyle w:val="TextBody"/>
        <w:bidi w:val="0"/>
        <w:spacing w:lineRule="auto" w:line="240" w:before="6" w:after="283"/>
        <w:jc w:val="both"/>
        <w:rPr/>
      </w:pPr>
      <w:r>
        <w:rPr>
          <w:rFonts w:ascii="Times New Roman;sans-serif" w:hAnsi="Times New Roman;sans-serif"/>
          <w:b w:val="false"/>
          <w:color w:val="000000"/>
          <w:sz w:val="24"/>
        </w:rPr>
        <w:t>securitizations or other receivables financing (including any factoring program) in an aggregate outstanding amount not to exceed (solely when incurred or created) $10,000,000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6480175" cy="781050"/>
                <wp:effectExtent l="0" t="0" r="0" b="0"/>
                <wp:wrapNone/>
                <wp:docPr id="266" name="Frame265"/>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64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64</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jc w:val="both"/>
        <w:rPr>
          <w:rFonts w:ascii="Times New Roman;sans-serif" w:hAnsi="Times New Roman;sans-serif"/>
          <w:b w:val="false"/>
          <w:color w:val="000000"/>
          <w:sz w:val="24"/>
        </w:rPr>
      </w:pPr>
      <w:r>
        <w:rPr>
          <w:rFonts w:ascii="Times New Roman;sans-serif" w:hAnsi="Times New Roman;sans-serif"/>
          <w:b w:val="false"/>
          <w:color w:val="000000"/>
          <w:sz w:val="24"/>
        </w:rPr>
        <w:t>with respect to Permitted Receivables Financings incurred in the form of a factoring program, the outstanding amount of such Permitted Receivables Financing for the purposes of this definition shall be deemed to be equal to the Permitted Receivables Net Investment for the most recently ended Test Period) so long as such financings are non-recourse to the Borrower and any of the Subsidiaries (except for (a) recourse to any Foreign Subsidiaries in a manner customary in the relevant local market, (b) any customary limited recourse obligations, (c) any performance undertaking or guarantee that is no more extensive in any material respect than customary performance undertakings or (d) an unsecured parent guarantee, and, in each case, reasonable extensions thereof).</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val="false"/>
          <w:color w:val="000000"/>
          <w:sz w:val="24"/>
          <w:u w:val="single"/>
        </w:rPr>
        <w:t>Permitted Receivables Net Investment</w:t>
      </w:r>
      <w:r>
        <w:rPr>
          <w:color w:val="000000"/>
        </w:rPr>
        <w:t xml:space="preserve">” </w:t>
      </w:r>
      <w:r>
        <w:rPr>
          <w:rFonts w:ascii="Times New Roman;sans-serif" w:hAnsi="Times New Roman;sans-serif"/>
          <w:b w:val="false"/>
          <w:color w:val="000000"/>
          <w:sz w:val="24"/>
        </w:rPr>
        <w:t>shall mean the aggregate cash amount paid by the purchasers under any Permitted Receivables Financing in the form of a factoring program in connection with their purchase of accounts receivable and customary related assets or interests therein, as the same may be reduced from time to time by collections with respect to such accounts receivable and related assets or otherwise in accordance with the terms of such Permitted Receivables Financing (but excluding any such collections used to make payments of commissions, discounts, yield and other fees and charges incurred in connection with any Permitted Receivables Financing in the form of a factoring program which are payable to any Person other than the Borrower or any of the Subsidiaries).</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val="false"/>
          <w:color w:val="000000"/>
          <w:sz w:val="24"/>
          <w:u w:val="single"/>
        </w:rPr>
        <w:t>Permitted Refinancing Indebtedness</w:t>
      </w:r>
      <w:r>
        <w:rPr>
          <w:color w:val="000000"/>
        </w:rPr>
        <w:t xml:space="preserve">” </w:t>
      </w:r>
      <w:r>
        <w:rPr>
          <w:rFonts w:ascii="Times New Roman;sans-serif" w:hAnsi="Times New Roman;sans-serif"/>
          <w:b w:val="false"/>
          <w:color w:val="000000"/>
          <w:sz w:val="24"/>
        </w:rPr>
        <w:t>shall mean any Indebtedness issued in exchange for, or the net proceeds of which are used to extend, refinance, renew, replace, defease or refund (collectively, to “</w:t>
      </w:r>
      <w:r>
        <w:rPr>
          <w:rFonts w:ascii="Times New Roman;sans-serif" w:hAnsi="Times New Roman;sans-serif"/>
          <w:b w:val="false"/>
          <w:color w:val="000000"/>
          <w:sz w:val="24"/>
          <w:u w:val="single"/>
        </w:rPr>
        <w:t>Refinance</w:t>
      </w:r>
      <w:r>
        <w:rPr>
          <w:color w:val="000000"/>
        </w:rPr>
        <w:t>”</w:t>
      </w:r>
      <w:r>
        <w:rPr>
          <w:rFonts w:ascii="Times New Roman;sans-serif" w:hAnsi="Times New Roman;sans-serif"/>
          <w:b w:val="false"/>
          <w:color w:val="000000"/>
          <w:sz w:val="24"/>
        </w:rPr>
        <w:t xml:space="preserve">), any Indebtedness (including successive refinancings thereof);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that (a) the principal amount (or accreted value, if applicable) of such Permitted Refinancing Indebtedness does not exceed the principal amount (or accreted value, if applicable) and an amount equal to any existing revolving commitments unutilized thereof of the Indebtedness so Refinanced (plus unpaid accrued interest and premium (including tender premiums) thereon and underwriting discounts, defeasance costs, fees, commissions and expenses), (b) (i) the final maturity date of such Permitted Refinancing Indebtedness is on or after the final maturity date of the Indebtedness being Refinanced and (ii) the Weighted Average Life to Maturity of such Permitted Refinancing Indebtedness is greater than or equal to the Weighted Average Life to Maturity of the Indebtedness being Refinanced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such Indebtedness may be incurred in the form of a customary “bridge” or other interim credit facility intended to be refinanced or replaced with long-term indebtedness so long as, subject only to customary conditions the failure of which to be satisfied would otherwise result in an Event of Default, it would either be automatically converted into or required to be exchanged for permanent financing which satisfies the requirements of this clause (b)), (c) if the Indebtedness being Refinanced is by its terms subordinated in right of payment to any Obligations, such Permitted Refinancing Indebtedness shall be subordinated in right of payment to such Obligations on terms in the aggregate not materially less favorable to the Lenders as those contained in the documentation governing the Indebtedness being Refinanced (as determined by the Borrower in good faith), (d) no Permitted Refinancing Indebtedness shall have obligors that are not obligors with respect to the Indebtedness being so Refinanced;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if any of the Guarantees of the Indebtedness being Refinanced were subordinated to the Obligations, the Guarantees of the Permitted Refinancing Indebtedness shall be subordinated to the Obligations on no less favorable terms, (e) if the Indebtedness being Refinanced is secured (and permitted to be secured), such Permitted Refinancing Indebtedness may be secured by Liens on the same (or any subset of the) assets as secured (or would have been</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6480175" cy="781050"/>
                <wp:effectExtent l="0" t="0" r="0" b="0"/>
                <wp:wrapNone/>
                <wp:docPr id="267" name="Frame266"/>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65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65</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jc w:val="both"/>
        <w:rPr>
          <w:rFonts w:ascii="Times New Roman;sans-serif" w:hAnsi="Times New Roman;sans-serif"/>
          <w:b w:val="false"/>
          <w:color w:val="000000"/>
          <w:sz w:val="24"/>
        </w:rPr>
      </w:pPr>
      <w:r>
        <w:rPr>
          <w:rFonts w:ascii="Times New Roman;sans-serif" w:hAnsi="Times New Roman;sans-serif"/>
          <w:b w:val="false"/>
          <w:color w:val="000000"/>
          <w:sz w:val="24"/>
        </w:rPr>
        <w:t>required to secure) the Indebtedness being Refinanced, on terms in the aggregate that are no less favorable to the Secured Parties than the Indebtedness being refinanced or on terms otherwise permitted by Section 6.02 (as determined by the Borrower in good faith), and (f) if the Indebtedness being Refinanced was subject to a Permitted First Lien Intercreditor Agreement or a Permitted Junior Intercreditor Agreement, and if the respective Permitted Refinancing Indebtedness is to be secured by the Collateral, the Permitted Refinancing Indebtedness shall likewise be subject to a Permitted First Lien Intercreditor Agreement or a Permitted Junior Intercreditor Agreement, as applicable.</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val="false"/>
          <w:color w:val="000000"/>
          <w:sz w:val="24"/>
          <w:u w:val="single"/>
        </w:rPr>
        <w:t>Permitted Reorganization</w:t>
      </w:r>
      <w:r>
        <w:rPr>
          <w:color w:val="000000"/>
        </w:rPr>
        <w:t xml:space="preserve">” </w:t>
      </w:r>
      <w:r>
        <w:rPr>
          <w:rFonts w:ascii="Times New Roman;sans-serif" w:hAnsi="Times New Roman;sans-serif"/>
          <w:b w:val="false"/>
          <w:color w:val="000000"/>
          <w:sz w:val="24"/>
        </w:rPr>
        <w:t>shall mean any transaction or undertaking, including Investments, in connection with internal reorganizations and or restructurings (including in connection with tax planning and corporate reorganizations), so long as, after giving effect thereto</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(w) the Loan Parties shall comply with the Collateral and Guarantee Requirement as required by Section 5.10, (x) the security interest of the Lenders in the Collateral, taken as a whole, is not materially impaired, (y) any pledges of Equity Interests that are part of the Collateral are maintained or replaced with equivalent pledges and (z) such transaction is not otherwise materially adverse to Lenders.</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val="false"/>
          <w:color w:val="000000"/>
          <w:sz w:val="24"/>
          <w:u w:val="single"/>
        </w:rPr>
        <w:t>Permitted Sale Lease-Back Transaction</w:t>
      </w:r>
      <w:r>
        <w:rPr>
          <w:color w:val="000000"/>
        </w:rPr>
        <w:t xml:space="preserve">” </w:t>
      </w:r>
      <w:r>
        <w:rPr>
          <w:rFonts w:ascii="Times New Roman;sans-serif" w:hAnsi="Times New Roman;sans-serif"/>
          <w:b w:val="false"/>
          <w:color w:val="000000"/>
          <w:sz w:val="24"/>
        </w:rPr>
        <w:t>shall mean (i) any sale and lease-back transaction entered into prior to the Closing Date and (ii) any sale and lease-back transactions by the Borrower and/or any of its Subsidiaries with aggregate net proceeds for all such transactions made pursuant to this clause (ii) not to exceed (calculated at the time of such transaction)</w:t>
      </w:r>
    </w:p>
    <w:p>
      <w:pPr>
        <w:pStyle w:val="TextBody"/>
        <w:bidi w:val="0"/>
        <w:spacing w:lineRule="auto" w:line="240"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$10,000,000.</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val="false"/>
          <w:color w:val="000000"/>
          <w:sz w:val="24"/>
          <w:u w:val="single"/>
        </w:rPr>
        <w:t>Person</w:t>
      </w:r>
      <w:r>
        <w:rPr>
          <w:color w:val="000000"/>
        </w:rPr>
        <w:t xml:space="preserve">” </w:t>
      </w:r>
      <w:r>
        <w:rPr>
          <w:rFonts w:ascii="Times New Roman;sans-serif" w:hAnsi="Times New Roman;sans-serif"/>
          <w:b w:val="false"/>
          <w:color w:val="000000"/>
          <w:sz w:val="24"/>
        </w:rPr>
        <w:t>or “</w:t>
      </w:r>
      <w:r>
        <w:rPr>
          <w:rFonts w:ascii="Times New Roman;sans-serif" w:hAnsi="Times New Roman;sans-serif"/>
          <w:b w:val="false"/>
          <w:color w:val="000000"/>
          <w:sz w:val="24"/>
          <w:u w:val="single"/>
        </w:rPr>
        <w:t>person</w:t>
      </w:r>
      <w:r>
        <w:rPr>
          <w:color w:val="000000"/>
        </w:rPr>
        <w:t xml:space="preserve">” </w:t>
      </w:r>
      <w:r>
        <w:rPr>
          <w:rFonts w:ascii="Times New Roman;sans-serif" w:hAnsi="Times New Roman;sans-serif"/>
          <w:b w:val="false"/>
          <w:color w:val="000000"/>
          <w:sz w:val="24"/>
        </w:rPr>
        <w:t>shall mean any natural person, corporation, business trust, joint venture, association, company, partnership, limited liability company or government, individual or family trusts, or any agency or political subdivision thereof.</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val="false"/>
          <w:color w:val="000000"/>
          <w:sz w:val="24"/>
          <w:u w:val="single"/>
        </w:rPr>
        <w:t>Plan</w:t>
      </w:r>
      <w:r>
        <w:rPr>
          <w:color w:val="000000"/>
        </w:rPr>
        <w:t xml:space="preserve">” </w:t>
      </w:r>
      <w:r>
        <w:rPr>
          <w:rFonts w:ascii="Times New Roman;sans-serif" w:hAnsi="Times New Roman;sans-serif"/>
          <w:b w:val="false"/>
          <w:color w:val="000000"/>
          <w:sz w:val="24"/>
        </w:rPr>
        <w:t>shall mean any employee pension benefit plan (other than a Multiemployer Plan) that is (i) subject to the provisions of Title IV of ERISA or Section 412 of the Code or Section 302 of ERISA, (ii) sponsored or maintained (at the time of determination or at any time within the five years prior thereto) by the Borrower, any Subsidiary or any ERISA Affiliate and (iii) in respect of which the Borrower, any Subsidiary or any ERISA Affiliate is (or, if such plan were terminated, would under Section 4069 of ERISA be deemed to be) an “employer” as defined in Section 3(5) of ERISA.</w:t>
      </w:r>
    </w:p>
    <w:p>
      <w:pPr>
        <w:pStyle w:val="TextBody"/>
        <w:bidi w:val="0"/>
        <w:spacing w:lineRule="auto" w:line="240" w:before="239" w:after="283"/>
        <w:jc w:val="left"/>
        <w:rPr/>
      </w:pPr>
      <w:r>
        <w:rPr>
          <w:color w:val="000000"/>
        </w:rPr>
        <w:t>“</w:t>
      </w:r>
      <w:r>
        <w:rPr>
          <w:rFonts w:ascii="Times New Roman;sans-serif" w:hAnsi="Times New Roman;sans-serif"/>
          <w:b w:val="false"/>
          <w:color w:val="000000"/>
          <w:sz w:val="24"/>
          <w:u w:val="single"/>
        </w:rPr>
        <w:t>Platform</w:t>
      </w:r>
      <w:r>
        <w:rPr>
          <w:color w:val="000000"/>
        </w:rPr>
        <w:t xml:space="preserve">” </w:t>
      </w:r>
      <w:r>
        <w:rPr>
          <w:rFonts w:ascii="Times New Roman;sans-serif" w:hAnsi="Times New Roman;sans-serif"/>
          <w:b w:val="false"/>
          <w:color w:val="000000"/>
          <w:sz w:val="24"/>
        </w:rPr>
        <w:t>shall have the meaning assigned to such term in Section 5.04.</w:t>
      </w:r>
    </w:p>
    <w:p>
      <w:pPr>
        <w:pStyle w:val="TextBody"/>
        <w:bidi w:val="0"/>
        <w:spacing w:lineRule="auto" w:line="240" w:before="240" w:after="283"/>
        <w:ind w:left="0" w:right="0" w:firstLine="720"/>
        <w:jc w:val="left"/>
        <w:rPr/>
      </w:pPr>
      <w:r>
        <w:rPr>
          <w:color w:val="000000"/>
        </w:rPr>
        <w:t>“</w:t>
      </w:r>
      <w:r>
        <w:rPr>
          <w:rFonts w:ascii="Times New Roman;sans-serif" w:hAnsi="Times New Roman;sans-serif"/>
          <w:b w:val="false"/>
          <w:color w:val="000000"/>
          <w:sz w:val="24"/>
          <w:u w:val="single"/>
        </w:rPr>
        <w:t>Pledged Collateral</w:t>
      </w:r>
      <w:r>
        <w:rPr>
          <w:color w:val="000000"/>
        </w:rPr>
        <w:t xml:space="preserve">” </w:t>
      </w:r>
      <w:r>
        <w:rPr>
          <w:rFonts w:ascii="Times New Roman;sans-serif" w:hAnsi="Times New Roman;sans-serif"/>
          <w:b w:val="false"/>
          <w:color w:val="000000"/>
          <w:sz w:val="24"/>
        </w:rPr>
        <w:t>shall have the meaning assigned to such term in the Collateral Agreement.</w:t>
      </w:r>
    </w:p>
    <w:p>
      <w:pPr>
        <w:pStyle w:val="TextBody"/>
        <w:bidi w:val="0"/>
        <w:spacing w:lineRule="auto" w:line="240" w:before="240" w:after="283"/>
        <w:ind w:left="0" w:right="0" w:firstLine="720"/>
        <w:jc w:val="left"/>
        <w:rPr/>
      </w:pPr>
      <w:r>
        <w:rPr>
          <w:color w:val="000000"/>
        </w:rPr>
        <w:t>“</w:t>
      </w:r>
      <w:r>
        <w:rPr>
          <w:rFonts w:ascii="Times New Roman;sans-serif" w:hAnsi="Times New Roman;sans-serif"/>
          <w:b w:val="false"/>
          <w:color w:val="000000"/>
          <w:sz w:val="24"/>
          <w:u w:val="single"/>
        </w:rPr>
        <w:t>Pounds</w:t>
      </w:r>
      <w:r>
        <w:rPr>
          <w:color w:val="000000"/>
        </w:rPr>
        <w:t xml:space="preserve">” </w:t>
      </w:r>
      <w:r>
        <w:rPr>
          <w:rFonts w:ascii="Times New Roman;sans-serif" w:hAnsi="Times New Roman;sans-serif"/>
          <w:b w:val="false"/>
          <w:color w:val="000000"/>
          <w:sz w:val="24"/>
        </w:rPr>
        <w:t>and “</w:t>
      </w:r>
      <w:r>
        <w:rPr>
          <w:rFonts w:ascii="Times New Roman;sans-serif" w:hAnsi="Times New Roman;sans-serif"/>
          <w:b w:val="false"/>
          <w:color w:val="000000"/>
          <w:sz w:val="24"/>
          <w:u w:val="single"/>
        </w:rPr>
        <w:t>£</w:t>
      </w:r>
      <w:r>
        <w:rPr>
          <w:color w:val="000000"/>
        </w:rPr>
        <w:t xml:space="preserve">” </w:t>
      </w:r>
      <w:r>
        <w:rPr>
          <w:rFonts w:ascii="Times New Roman;sans-serif" w:hAnsi="Times New Roman;sans-serif"/>
          <w:b w:val="false"/>
          <w:color w:val="000000"/>
          <w:sz w:val="24"/>
        </w:rPr>
        <w:t>shall mean the lawful currency of the United Kingdom of Great Britain and Northern Ireland.</w:t>
      </w:r>
    </w:p>
    <w:p>
      <w:pPr>
        <w:pStyle w:val="TextBody"/>
        <w:bidi w:val="0"/>
        <w:spacing w:lineRule="auto" w:line="240" w:before="240" w:after="283"/>
        <w:ind w:left="0" w:right="0" w:firstLine="720"/>
        <w:jc w:val="left"/>
        <w:rPr/>
      </w:pPr>
      <w:r>
        <w:rPr>
          <w:color w:val="000000"/>
        </w:rPr>
        <w:t>“</w:t>
      </w:r>
      <w:r>
        <w:rPr>
          <w:rFonts w:ascii="Times New Roman;sans-serif" w:hAnsi="Times New Roman;sans-serif"/>
          <w:b w:val="false"/>
          <w:color w:val="000000"/>
          <w:sz w:val="24"/>
          <w:u w:val="single"/>
        </w:rPr>
        <w:t>primary obligor</w:t>
      </w:r>
      <w:r>
        <w:rPr>
          <w:color w:val="000000"/>
        </w:rPr>
        <w:t xml:space="preserve">” </w:t>
      </w:r>
      <w:r>
        <w:rPr>
          <w:rFonts w:ascii="Times New Roman;sans-serif" w:hAnsi="Times New Roman;sans-serif"/>
          <w:b w:val="false"/>
          <w:color w:val="000000"/>
          <w:sz w:val="24"/>
        </w:rPr>
        <w:t>shall have the meaning assigned to such term in the definition of the term “Guarantee.”</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6480175" cy="781050"/>
                <wp:effectExtent l="0" t="0" r="0" b="0"/>
                <wp:wrapNone/>
                <wp:docPr id="268" name="Frame267"/>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66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66</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60" w:after="283"/>
        <w:ind w:left="0" w:right="0" w:firstLine="720"/>
        <w:jc w:val="both"/>
        <w:rPr/>
      </w:pPr>
      <w:r>
        <w:rPr>
          <w:color w:val="000000"/>
        </w:rPr>
        <w:t>“</w:t>
      </w:r>
      <w:r>
        <w:rPr>
          <w:rFonts w:ascii="Times New Roman;sans-serif" w:hAnsi="Times New Roman;sans-serif"/>
          <w:b w:val="false"/>
          <w:color w:val="000000"/>
          <w:sz w:val="24"/>
          <w:u w:val="single"/>
        </w:rPr>
        <w:t>Pro Forma Basis</w:t>
      </w:r>
      <w:r>
        <w:rPr>
          <w:color w:val="000000"/>
        </w:rPr>
        <w:t xml:space="preserve">” </w:t>
      </w:r>
      <w:r>
        <w:rPr>
          <w:rFonts w:ascii="Times New Roman;sans-serif" w:hAnsi="Times New Roman;sans-serif"/>
          <w:b w:val="false"/>
          <w:color w:val="000000"/>
          <w:sz w:val="24"/>
        </w:rPr>
        <w:t>shall mean, as to any person, for any events as described below that occur subsequent to the commencement of a period for which the financial effect of such events is being calculated, and giving effect to the events for which such calculation is being made, such calculation as will give pro forma effect to such events as if such events occurred on the first day of the most recent Test Period ended on or before the occurrence of such event (the “</w:t>
      </w:r>
      <w:r>
        <w:rPr>
          <w:rFonts w:ascii="Times New Roman;sans-serif" w:hAnsi="Times New Roman;sans-serif"/>
          <w:b w:val="false"/>
          <w:color w:val="000000"/>
          <w:sz w:val="24"/>
          <w:u w:val="single"/>
        </w:rPr>
        <w:t>Reference</w:t>
      </w:r>
      <w:r>
        <w:rPr>
          <w:color w:val="000000"/>
        </w:rPr>
        <w:t xml:space="preserve"> </w:t>
      </w:r>
      <w:r>
        <w:rPr>
          <w:rFonts w:ascii="Times New Roman;sans-serif" w:hAnsi="Times New Roman;sans-serif"/>
          <w:b w:val="false"/>
          <w:color w:val="000000"/>
          <w:sz w:val="24"/>
          <w:u w:val="single"/>
        </w:rPr>
        <w:t>Period</w:t>
      </w:r>
      <w:r>
        <w:rPr>
          <w:color w:val="000000"/>
        </w:rPr>
        <w:t>”</w:t>
      </w:r>
      <w:r>
        <w:rPr>
          <w:rFonts w:ascii="Times New Roman;sans-serif" w:hAnsi="Times New Roman;sans-serif"/>
          <w:b w:val="false"/>
          <w:color w:val="000000"/>
          <w:sz w:val="24"/>
        </w:rPr>
        <w:t>): (i) any Asset Sale and any asset acquisition, Investment (or series of related Investments) in excess of the greater of $10,000,000 and an amount equal to 5.0% of EBITDA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that the Borrower may elect to give effect to any Asset Sale, acquisition, Investment (or series of related Investments) below such threshold), merger, amalgamation, consolidation (including the Transactions) (or any similar transaction or transactions), any dividend, distribution or other similar payment, (ii) any operational changes or restructurings of the business of the Borrower or any of its Subsidiaries that the Borrower or any of its Subsidiaries has determined to make and/or made during or subsequent to the Reference Period in connection with the Transactions, Permitted Business Acquisitions and similar acquisitions and which are expected to have a continuing impact and are factually supportable, which would include cost savings resulting from head count reduction, closure of facilities and other operational changes and other cost savings in connection therewith, (iii) the designation of any Subsidiary as an Unrestricted Subsidiary or of any Unrestricted Subsidiary as a Subsidiary and (iv) any incurrence, repayment, repurchase or redemption of Indebtedness (or any issuance, repurchase or redemption of Disqualified Equity Interests or preferred stock), other than fluctuations in revolving borrowings in the ordinary course of business (and not resulting from a transaction as described in clause (i) above).</w:t>
      </w:r>
    </w:p>
    <w:p>
      <w:pPr>
        <w:pStyle w:val="TextBody"/>
        <w:bidi w:val="0"/>
        <w:spacing w:lineRule="auto" w:line="240" w:before="241"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Pro forma calculations made pursuant to the definition of this term “Pro Forma Basis” shall be determined in good faith by a Responsible Officer of the Borrower. Any such pro forma calculation may include adjustments appropriate, in the reasonable good faith determination of the Borrower and set forth in a certificate of a Responsible Officer, to reflect operating expense reductions, other operating improvements, synergies or such operational changes or restructurings described in clause (ii) of the immediately preceding paragraph reasonably expected to result from the applicable pro forma event in the twenty four (24) month period following the consummation of the pro forma event, which may be reasonably allocated to the Borrower or any of its Subsidiaries in the reasonable good faith determination of the Borrower. The Borrower shall deliver to the Administrative Agent a certificate of a Responsible Officer of the Borrower setting forth such demonstrable or additional operating expense reductions and other operating improvements or synergies and information and calculations supporting them in reasonable detail.</w:t>
      </w:r>
    </w:p>
    <w:p>
      <w:pPr>
        <w:pStyle w:val="TextBody"/>
        <w:bidi w:val="0"/>
        <w:spacing w:lineRule="auto" w:line="240" w:before="239" w:after="283"/>
        <w:ind w:left="0" w:right="0" w:firstLine="720"/>
        <w:jc w:val="both"/>
        <w:rPr/>
      </w:pPr>
      <w:r>
        <w:rPr>
          <w:rFonts w:ascii="Times New Roman;sans-serif" w:hAnsi="Times New Roman;sans-serif"/>
          <w:b w:val="false"/>
          <w:color w:val="000000"/>
          <w:sz w:val="24"/>
        </w:rPr>
        <w:t xml:space="preserve">If any Indebtedness bears a floating rate of interest and is being given pro forma effect, the interest on such Indebtedness shall be calculated as if the rate in effect on the date on which the relevant calculation is being made had been the applicable rate for the entire period (taking into account any hedging obligations applicable to such Indebtedness if such hedging obligation has a remaining term in excess of 12 months). Interest on a Capitalized Lease Obligation shall be deemed to accrue at an interest rate reasonably determined by a responsible financial or accounting officer of the Borrower to be the rate of interest implicit in such Capitalized Lease Obligation in accordance with GAAP. For purposes of making the computation referred to above, interest on any Indebtedness under a revolving credit facility computed on a </w:t>
      </w:r>
      <w:r>
        <w:rPr>
          <w:rFonts w:ascii="Times New Roman;sans-serif" w:hAnsi="Times New Roman;sans-serif"/>
          <w:b w:val="false"/>
          <w:i/>
          <w:color w:val="000000"/>
          <w:sz w:val="24"/>
        </w:rPr>
        <w:t xml:space="preserve">pro forma </w:t>
      </w:r>
      <w:r>
        <w:rPr>
          <w:rFonts w:ascii="Times New Roman;sans-serif" w:hAnsi="Times New Roman;sans-serif"/>
          <w:b w:val="false"/>
          <w:color w:val="000000"/>
          <w:sz w:val="24"/>
        </w:rPr>
        <w:t>basis shall be computed based upon the average daily balance of such Indebtedness during the applicable period, except to the extent the outstandings thereunder are reasonably expected to increase as a result of any transactions described in clause (i) of the first paragraph of this definition of “Pro Forma Basis”</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6480175" cy="781050"/>
                <wp:effectExtent l="0" t="0" r="0" b="0"/>
                <wp:wrapNone/>
                <wp:docPr id="269" name="Frame268"/>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67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67</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jc w:val="both"/>
        <w:rPr>
          <w:rFonts w:ascii="Times New Roman;sans-serif" w:hAnsi="Times New Roman;sans-serif"/>
          <w:b w:val="false"/>
          <w:color w:val="000000"/>
          <w:sz w:val="24"/>
        </w:rPr>
      </w:pPr>
      <w:r>
        <w:rPr>
          <w:rFonts w:ascii="Times New Roman;sans-serif" w:hAnsi="Times New Roman;sans-serif"/>
          <w:b w:val="false"/>
          <w:color w:val="000000"/>
          <w:sz w:val="24"/>
        </w:rPr>
        <w:t>which occurred during the respective period or thereafter and on or prior to the date of determination. Interest on Indebtedness that may optionally be determined at an interest rate based upon a factor of a prime or similar rate, a eurocurrency interbank offered rate, or other rate, shall be deemed to have been based upon the rate actually chosen, or, if none, then based upon such optional rate chosen as the Borrower may designate.</w:t>
      </w:r>
    </w:p>
    <w:p>
      <w:pPr>
        <w:pStyle w:val="TextBody"/>
        <w:bidi w:val="0"/>
        <w:spacing w:lineRule="auto" w:line="240" w:before="240" w:after="283"/>
        <w:ind w:left="0" w:right="0" w:firstLine="720"/>
        <w:jc w:val="left"/>
        <w:rPr/>
      </w:pPr>
      <w:r>
        <w:rPr>
          <w:color w:val="000000"/>
        </w:rPr>
        <w:t>“</w:t>
      </w:r>
      <w:r>
        <w:rPr>
          <w:rFonts w:ascii="Times New Roman;sans-serif" w:hAnsi="Times New Roman;sans-serif"/>
          <w:b w:val="false"/>
          <w:color w:val="000000"/>
          <w:sz w:val="24"/>
          <w:u w:val="single"/>
        </w:rPr>
        <w:t>Pro Rata Extension Offers</w:t>
      </w:r>
      <w:r>
        <w:rPr>
          <w:color w:val="000000"/>
        </w:rPr>
        <w:t xml:space="preserve">” </w:t>
      </w:r>
      <w:r>
        <w:rPr>
          <w:rFonts w:ascii="Times New Roman;sans-serif" w:hAnsi="Times New Roman;sans-serif"/>
          <w:b w:val="false"/>
          <w:color w:val="000000"/>
          <w:sz w:val="24"/>
        </w:rPr>
        <w:t>shall have the meaning assigned to such term in Section 2.22(a).</w:t>
      </w:r>
    </w:p>
    <w:p>
      <w:pPr>
        <w:pStyle w:val="TextBody"/>
        <w:bidi w:val="0"/>
        <w:spacing w:lineRule="auto" w:line="240" w:before="240" w:after="283"/>
        <w:jc w:val="left"/>
        <w:rPr/>
      </w:pPr>
      <w:r>
        <w:rPr>
          <w:color w:val="000000"/>
        </w:rPr>
        <w:t>“</w:t>
      </w:r>
      <w:r>
        <w:rPr>
          <w:rFonts w:ascii="Times New Roman;sans-serif" w:hAnsi="Times New Roman;sans-serif"/>
          <w:b w:val="false"/>
          <w:color w:val="000000"/>
          <w:sz w:val="24"/>
          <w:u w:val="single"/>
        </w:rPr>
        <w:t>Pro Rata Share</w:t>
      </w:r>
      <w:r>
        <w:rPr>
          <w:color w:val="000000"/>
        </w:rPr>
        <w:t xml:space="preserve">” </w:t>
      </w:r>
      <w:r>
        <w:rPr>
          <w:rFonts w:ascii="Times New Roman;sans-serif" w:hAnsi="Times New Roman;sans-serif"/>
          <w:b w:val="false"/>
          <w:color w:val="000000"/>
          <w:sz w:val="24"/>
        </w:rPr>
        <w:t>shall have the meaning assigned to such term in Section 9.08(f).</w:t>
      </w:r>
    </w:p>
    <w:p>
      <w:pPr>
        <w:pStyle w:val="TextBody"/>
        <w:bidi w:val="0"/>
        <w:spacing w:lineRule="auto" w:line="240" w:before="240" w:after="283"/>
        <w:ind w:left="0" w:right="0" w:firstLine="720"/>
        <w:jc w:val="left"/>
        <w:rPr/>
      </w:pPr>
      <w:r>
        <w:rPr>
          <w:color w:val="000000"/>
        </w:rPr>
        <w:t>“</w:t>
      </w:r>
      <w:r>
        <w:rPr>
          <w:rFonts w:ascii="Times New Roman;sans-serif" w:hAnsi="Times New Roman;sans-serif"/>
          <w:b w:val="false"/>
          <w:color w:val="000000"/>
          <w:sz w:val="24"/>
          <w:u w:val="single"/>
        </w:rPr>
        <w:t>PTE</w:t>
      </w:r>
      <w:r>
        <w:rPr>
          <w:color w:val="000000"/>
        </w:rPr>
        <w:t xml:space="preserve">” </w:t>
      </w:r>
      <w:r>
        <w:rPr>
          <w:rFonts w:ascii="Times New Roman;sans-serif" w:hAnsi="Times New Roman;sans-serif"/>
          <w:b w:val="false"/>
          <w:color w:val="000000"/>
          <w:sz w:val="24"/>
        </w:rPr>
        <w:t>shall mean a prohibited transaction class exemption issued by the U.S. Department of Labor, as any such exemption may be amended from time to time.</w:t>
      </w:r>
    </w:p>
    <w:p>
      <w:pPr>
        <w:pStyle w:val="TextBody"/>
        <w:bidi w:val="0"/>
        <w:spacing w:lineRule="auto" w:line="520" w:before="240" w:after="283"/>
        <w:jc w:val="left"/>
        <w:rPr/>
      </w:pPr>
      <w:r>
        <w:rPr>
          <w:color w:val="000000"/>
        </w:rPr>
        <w:t>“</w:t>
      </w:r>
      <w:r>
        <w:rPr>
          <w:rFonts w:ascii="Times New Roman;sans-serif" w:hAnsi="Times New Roman;sans-serif"/>
          <w:b w:val="false"/>
          <w:color w:val="000000"/>
          <w:sz w:val="24"/>
          <w:u w:val="single"/>
        </w:rPr>
        <w:t>Public Lender</w:t>
      </w:r>
      <w:r>
        <w:rPr>
          <w:color w:val="000000"/>
        </w:rPr>
        <w:t xml:space="preserve">” </w:t>
      </w:r>
      <w:r>
        <w:rPr>
          <w:rFonts w:ascii="Times New Roman;sans-serif" w:hAnsi="Times New Roman;sans-serif"/>
          <w:b w:val="false"/>
          <w:color w:val="000000"/>
          <w:sz w:val="24"/>
        </w:rPr>
        <w:t>shall have the meaning assigned to such term in Section 5.04. “</w:t>
      </w:r>
      <w:r>
        <w:rPr>
          <w:rFonts w:ascii="Times New Roman;sans-serif" w:hAnsi="Times New Roman;sans-serif"/>
          <w:b w:val="false"/>
          <w:color w:val="000000"/>
          <w:sz w:val="24"/>
          <w:u w:val="single"/>
        </w:rPr>
        <w:t>Purchase Offer</w:t>
      </w:r>
      <w:r>
        <w:rPr>
          <w:color w:val="000000"/>
        </w:rPr>
        <w:t xml:space="preserve">” </w:t>
      </w:r>
      <w:r>
        <w:rPr>
          <w:rFonts w:ascii="Times New Roman;sans-serif" w:hAnsi="Times New Roman;sans-serif"/>
          <w:b w:val="false"/>
          <w:color w:val="000000"/>
          <w:sz w:val="24"/>
        </w:rPr>
        <w:t>shall have the meaning assigned to such term in Section 2.25(a).</w:t>
      </w:r>
    </w:p>
    <w:p>
      <w:pPr>
        <w:pStyle w:val="TextBody"/>
        <w:bidi w:val="0"/>
        <w:spacing w:lineRule="auto" w:line="240" w:before="0" w:after="0"/>
        <w:ind w:left="0" w:right="0" w:firstLine="720"/>
        <w:jc w:val="left"/>
        <w:rPr/>
      </w:pPr>
      <w:r>
        <w:rPr>
          <w:color w:val="000000"/>
        </w:rPr>
        <w:t>“</w:t>
      </w:r>
      <w:r>
        <w:rPr>
          <w:rFonts w:ascii="Times New Roman;sans-serif" w:hAnsi="Times New Roman;sans-serif"/>
          <w:b w:val="false"/>
          <w:color w:val="000000"/>
          <w:sz w:val="24"/>
          <w:u w:val="single"/>
        </w:rPr>
        <w:t>Qualified Equity Interests</w:t>
      </w:r>
      <w:r>
        <w:rPr>
          <w:color w:val="000000"/>
        </w:rPr>
        <w:t xml:space="preserve">” </w:t>
      </w:r>
      <w:r>
        <w:rPr>
          <w:rFonts w:ascii="Times New Roman;sans-serif" w:hAnsi="Times New Roman;sans-serif"/>
          <w:b w:val="false"/>
          <w:color w:val="000000"/>
          <w:sz w:val="24"/>
        </w:rPr>
        <w:t>shall mean any Equity Interest other than Disqualified Equity Interests.</w:t>
      </w:r>
    </w:p>
    <w:p>
      <w:pPr>
        <w:pStyle w:val="TextBody"/>
        <w:bidi w:val="0"/>
        <w:spacing w:lineRule="auto" w:line="592" w:before="6" w:after="283"/>
        <w:jc w:val="left"/>
        <w:rPr/>
      </w:pPr>
      <w:r>
        <w:rPr>
          <w:color w:val="000000"/>
        </w:rPr>
        <w:t>“</w:t>
      </w:r>
      <w:r>
        <w:rPr>
          <w:rFonts w:ascii="Times New Roman;sans-serif" w:hAnsi="Times New Roman;sans-serif"/>
          <w:b w:val="false"/>
          <w:color w:val="000000"/>
          <w:sz w:val="24"/>
          <w:u w:val="single"/>
        </w:rPr>
        <w:t>Rate</w:t>
      </w:r>
      <w:r>
        <w:rPr>
          <w:color w:val="000000"/>
        </w:rPr>
        <w:t xml:space="preserve">” </w:t>
      </w:r>
      <w:r>
        <w:rPr>
          <w:rFonts w:ascii="Times New Roman;sans-serif" w:hAnsi="Times New Roman;sans-serif"/>
          <w:b w:val="false"/>
          <w:color w:val="000000"/>
          <w:sz w:val="24"/>
        </w:rPr>
        <w:t>shall have the meaning assigned to such term in the definition of the term “Type.” “</w:t>
      </w:r>
      <w:r>
        <w:rPr>
          <w:rFonts w:ascii="Times New Roman;sans-serif" w:hAnsi="Times New Roman;sans-serif"/>
          <w:b w:val="false"/>
          <w:color w:val="000000"/>
          <w:sz w:val="24"/>
          <w:u w:val="single"/>
        </w:rPr>
        <w:t>Ratio Incremental Amount</w:t>
      </w:r>
      <w:r>
        <w:rPr>
          <w:color w:val="000000"/>
        </w:rPr>
        <w:t xml:space="preserve">” </w:t>
      </w:r>
      <w:r>
        <w:rPr>
          <w:rFonts w:ascii="Times New Roman;sans-serif" w:hAnsi="Times New Roman;sans-serif"/>
          <w:b w:val="false"/>
          <w:color w:val="000000"/>
          <w:sz w:val="24"/>
        </w:rPr>
        <w:t>shall have the meaning assigned to such term in the definition</w:t>
      </w:r>
    </w:p>
    <w:p>
      <w:pPr>
        <w:pStyle w:val="TextBody"/>
        <w:bidi w:val="0"/>
        <w:spacing w:lineRule="auto" w:line="240" w:before="6" w:after="283"/>
        <w:jc w:val="left"/>
        <w:rPr>
          <w:rFonts w:ascii="Times New Roman;sans-serif" w:hAnsi="Times New Roman;sans-serif"/>
          <w:b w:val="false"/>
          <w:color w:val="000000"/>
          <w:sz w:val="24"/>
        </w:rPr>
      </w:pPr>
      <w:r>
        <w:rPr>
          <w:rFonts w:ascii="Times New Roman;sans-serif" w:hAnsi="Times New Roman;sans-serif"/>
          <w:b w:val="false"/>
          <w:color w:val="000000"/>
          <w:sz w:val="24"/>
        </w:rPr>
        <w:t>of “Incremental Amount”.</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val="false"/>
          <w:color w:val="000000"/>
          <w:sz w:val="24"/>
          <w:u w:val="single"/>
        </w:rPr>
        <w:t>Real Property</w:t>
      </w:r>
      <w:r>
        <w:rPr>
          <w:color w:val="000000"/>
        </w:rPr>
        <w:t xml:space="preserve">” </w:t>
      </w:r>
      <w:r>
        <w:rPr>
          <w:rFonts w:ascii="Times New Roman;sans-serif" w:hAnsi="Times New Roman;sans-serif"/>
          <w:b w:val="false"/>
          <w:color w:val="000000"/>
          <w:sz w:val="24"/>
        </w:rPr>
        <w:t>shall mean, collectively, all right, title and interest (including any leasehold estate) in and to any and all parcels of or interests in real property owned in fee or leased by the Borrower or any Subsidiary, whether by lease, license or other means, together with, in each case, all easements, hereditaments and appurtenances relating thereto, all improvements and appurtenant fixtures and equipment, incidental to the ownership, lease or operation thereof.</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val="false"/>
          <w:color w:val="000000"/>
          <w:sz w:val="24"/>
          <w:u w:val="single"/>
        </w:rPr>
        <w:t>Recovery Event</w:t>
      </w:r>
      <w:r>
        <w:rPr>
          <w:color w:val="000000"/>
        </w:rPr>
        <w:t xml:space="preserve">” </w:t>
      </w:r>
      <w:r>
        <w:rPr>
          <w:rFonts w:ascii="Times New Roman;sans-serif" w:hAnsi="Times New Roman;sans-serif"/>
          <w:b w:val="false"/>
          <w:color w:val="000000"/>
          <w:sz w:val="24"/>
        </w:rPr>
        <w:t>shall mean any event that gives rise to the receipt by the Borrower or any of its Subsidiaries of any insurance proceeds or condemnation awards in respect of any equipment, fixed assets or Real Property (including any improvements thereon).</w:t>
      </w:r>
    </w:p>
    <w:p>
      <w:pPr>
        <w:pStyle w:val="TextBody"/>
        <w:bidi w:val="0"/>
        <w:spacing w:lineRule="auto" w:line="240" w:before="239" w:after="283"/>
        <w:ind w:left="0" w:right="0" w:firstLine="720"/>
        <w:jc w:val="left"/>
        <w:rPr/>
      </w:pPr>
      <w:r>
        <w:rPr>
          <w:color w:val="000000"/>
        </w:rPr>
        <w:t>“</w:t>
      </w:r>
      <w:r>
        <w:rPr>
          <w:rFonts w:ascii="Times New Roman;sans-serif" w:hAnsi="Times New Roman;sans-serif"/>
          <w:b w:val="false"/>
          <w:color w:val="000000"/>
          <w:sz w:val="24"/>
          <w:u w:val="single"/>
        </w:rPr>
        <w:t>Reference Period</w:t>
      </w:r>
      <w:r>
        <w:rPr>
          <w:color w:val="000000"/>
        </w:rPr>
        <w:t xml:space="preserve">” </w:t>
      </w:r>
      <w:r>
        <w:rPr>
          <w:rFonts w:ascii="Times New Roman;sans-serif" w:hAnsi="Times New Roman;sans-serif"/>
          <w:b w:val="false"/>
          <w:color w:val="000000"/>
          <w:sz w:val="24"/>
        </w:rPr>
        <w:t>shall have the meaning assigned to such term in the definition of the term “Pro Forma Basis.”</w:t>
      </w:r>
    </w:p>
    <w:p>
      <w:pPr>
        <w:pStyle w:val="TextBody"/>
        <w:bidi w:val="0"/>
        <w:spacing w:lineRule="auto" w:line="592" w:before="6" w:after="283"/>
        <w:jc w:val="left"/>
        <w:rPr/>
      </w:pPr>
      <w:r>
        <w:rPr>
          <w:color w:val="000000"/>
        </w:rPr>
        <w:t>“</w:t>
      </w:r>
      <w:r>
        <w:rPr>
          <w:rFonts w:ascii="Times New Roman;sans-serif" w:hAnsi="Times New Roman;sans-serif"/>
          <w:b w:val="false"/>
          <w:color w:val="000000"/>
          <w:sz w:val="24"/>
          <w:u w:val="single"/>
        </w:rPr>
        <w:t>Reference Time</w:t>
      </w:r>
      <w:r>
        <w:rPr>
          <w:color w:val="000000"/>
        </w:rPr>
        <w:t xml:space="preserve">” </w:t>
      </w:r>
      <w:r>
        <w:rPr>
          <w:rFonts w:ascii="Times New Roman;sans-serif" w:hAnsi="Times New Roman;sans-serif"/>
          <w:b w:val="false"/>
          <w:color w:val="000000"/>
          <w:sz w:val="24"/>
        </w:rPr>
        <w:t>shall have the meaning assigned to such term in Section 2.14. “</w:t>
      </w:r>
      <w:r>
        <w:rPr>
          <w:rFonts w:ascii="Times New Roman;sans-serif" w:hAnsi="Times New Roman;sans-serif"/>
          <w:b w:val="false"/>
          <w:color w:val="000000"/>
          <w:sz w:val="24"/>
          <w:u w:val="single"/>
        </w:rPr>
        <w:t>Refinance</w:t>
      </w:r>
      <w:r>
        <w:rPr>
          <w:color w:val="000000"/>
        </w:rPr>
        <w:t xml:space="preserve">” </w:t>
      </w:r>
      <w:r>
        <w:rPr>
          <w:rFonts w:ascii="Times New Roman;sans-serif" w:hAnsi="Times New Roman;sans-serif"/>
          <w:b w:val="false"/>
          <w:color w:val="000000"/>
          <w:sz w:val="24"/>
        </w:rPr>
        <w:t>shall have the meaning assigned to such term in the definition of the term</w:t>
      </w:r>
    </w:p>
    <w:p>
      <w:pPr>
        <w:pStyle w:val="TextBody"/>
        <w:bidi w:val="0"/>
        <w:spacing w:lineRule="auto" w:line="240" w:before="6" w:after="283"/>
        <w:jc w:val="left"/>
        <w:rPr/>
      </w:pPr>
      <w:r>
        <w:rPr>
          <w:color w:val="000000"/>
        </w:rPr>
        <w:t>“</w:t>
      </w:r>
      <w:r>
        <w:rPr>
          <w:rFonts w:ascii="Times New Roman;sans-serif" w:hAnsi="Times New Roman;sans-serif"/>
          <w:b w:val="false"/>
          <w:color w:val="000000"/>
          <w:sz w:val="24"/>
        </w:rPr>
        <w:t>Permitted Refinancing Indebtedness,” and “</w:t>
      </w:r>
      <w:r>
        <w:rPr>
          <w:rFonts w:ascii="Times New Roman;sans-serif" w:hAnsi="Times New Roman;sans-serif"/>
          <w:b w:val="false"/>
          <w:color w:val="000000"/>
          <w:sz w:val="24"/>
          <w:u w:val="single"/>
        </w:rPr>
        <w:t>Refinanced</w:t>
      </w:r>
      <w:r>
        <w:rPr>
          <w:color w:val="000000"/>
        </w:rPr>
        <w:t xml:space="preserve">” </w:t>
      </w:r>
      <w:r>
        <w:rPr>
          <w:rFonts w:ascii="Times New Roman;sans-serif" w:hAnsi="Times New Roman;sans-serif"/>
          <w:b w:val="false"/>
          <w:color w:val="000000"/>
          <w:sz w:val="24"/>
        </w:rPr>
        <w:t>and “</w:t>
      </w:r>
      <w:r>
        <w:rPr>
          <w:rFonts w:ascii="Times New Roman;sans-serif" w:hAnsi="Times New Roman;sans-serif"/>
          <w:b w:val="false"/>
          <w:color w:val="000000"/>
          <w:sz w:val="24"/>
          <w:u w:val="single"/>
        </w:rPr>
        <w:t>Refinancing</w:t>
      </w:r>
      <w:r>
        <w:rPr>
          <w:color w:val="000000"/>
        </w:rPr>
        <w:t xml:space="preserve">” </w:t>
      </w:r>
      <w:r>
        <w:rPr>
          <w:rFonts w:ascii="Times New Roman;sans-serif" w:hAnsi="Times New Roman;sans-serif"/>
          <w:b w:val="false"/>
          <w:color w:val="000000"/>
          <w:sz w:val="24"/>
        </w:rPr>
        <w:t>shall have meanings correlative thereto.</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val="false"/>
          <w:color w:val="000000"/>
          <w:sz w:val="24"/>
          <w:u w:val="single"/>
        </w:rPr>
        <w:t>Refinancing Amendment</w:t>
      </w:r>
      <w:r>
        <w:rPr>
          <w:color w:val="000000"/>
        </w:rPr>
        <w:t xml:space="preserve">” </w:t>
      </w:r>
      <w:r>
        <w:rPr>
          <w:rFonts w:ascii="Times New Roman;sans-serif" w:hAnsi="Times New Roman;sans-serif"/>
          <w:b w:val="false"/>
          <w:color w:val="000000"/>
          <w:sz w:val="24"/>
        </w:rPr>
        <w:t>shall have the meaning assigned to such term in Section 2.23(e).</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6480175" cy="781050"/>
                <wp:effectExtent l="0" t="0" r="0" b="0"/>
                <wp:wrapNone/>
                <wp:docPr id="270" name="Frame269"/>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68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68</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ind w:left="0" w:right="0" w:firstLine="720"/>
        <w:jc w:val="both"/>
        <w:rPr/>
      </w:pPr>
      <w:r>
        <w:rPr>
          <w:color w:val="000000"/>
        </w:rPr>
        <w:t>“</w:t>
      </w:r>
      <w:r>
        <w:rPr>
          <w:rFonts w:ascii="Times New Roman;sans-serif" w:hAnsi="Times New Roman;sans-serif"/>
          <w:b w:val="false"/>
          <w:color w:val="000000"/>
          <w:sz w:val="24"/>
          <w:u w:val="single"/>
        </w:rPr>
        <w:t>Refinancing Effective Date</w:t>
      </w:r>
      <w:r>
        <w:rPr>
          <w:color w:val="000000"/>
        </w:rPr>
        <w:t xml:space="preserve">” </w:t>
      </w:r>
      <w:r>
        <w:rPr>
          <w:rFonts w:ascii="Times New Roman;sans-serif" w:hAnsi="Times New Roman;sans-serif"/>
          <w:b w:val="false"/>
          <w:color w:val="000000"/>
          <w:sz w:val="24"/>
        </w:rPr>
        <w:t>shall have the meaning assigned to such term in Section 2.23(a).</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val="false"/>
          <w:color w:val="000000"/>
          <w:sz w:val="24"/>
          <w:u w:val="single"/>
        </w:rPr>
        <w:t>Refinancing Notes</w:t>
      </w:r>
      <w:r>
        <w:rPr>
          <w:color w:val="000000"/>
        </w:rPr>
        <w:t xml:space="preserve">” </w:t>
      </w:r>
      <w:r>
        <w:rPr>
          <w:rFonts w:ascii="Times New Roman;sans-serif" w:hAnsi="Times New Roman;sans-serif"/>
          <w:b w:val="false"/>
          <w:color w:val="000000"/>
          <w:sz w:val="24"/>
        </w:rPr>
        <w:t xml:space="preserve">shall mean any secured or unsecured or subordinated notes or loans issued by the Borrower or any Guarantor (whether under an indenture, a credit agreement or otherwise) and the Indebtedness represented thereby;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that (a) 100% of the Net Proceeds of such Refinancing Notes are used to permanently reduce Term Loans and/or replace Revolving Facility Commitments substantially simultaneously with the issuance thereof; (b) the principal amount (or accreted value, if applicable) of such Refinancing Notes does not exceed the principal amount (or accreted value, if applicable) of the aggregate portion of the Term Loans so reduced and/or Revolving Facility Commitments so replaced (plus unpaid accrued interest and premium (including tender premiums) thereon and underwriting discounts, defeasance costs, fees, commissions and expenses); (c) subject to clause (e) below, the final maturity date of such Refinancing Notes is on or after the Term Facility Maturity Date or the Revolving Facility Maturity Date, as applicable, of the Term Loans so reduced or the Revolving Facility Commitments so replaced; (d) subject to clause (e) below, the Weighted Average Life to Maturity of such Refinancing Notes is greater than or equal to the Weighted Average Life to Maturity of the Term Loans so repaid or the Revolving Facility Commitments so replaced; (e) if any such Refinancing Notes are not Other First Lien Debt, it does not (1) mature prior to the date that is 91 days after the Latest Maturity Date or have a Weighted Average Life to Maturity less than the Weighted Average Life to Maturity of the Initial Term Loans and Initial Revolving Loans (or any later maturing Facility then in effect) plus 91 days and (2) have mandatory prepayment, redemption or offer to purchase events more onerous to the Borrower (as reasonably determined in good faith by the Borrower) than those set forth in the Initial Term Loans and Initial Revolving Loans (other than</w:t>
      </w:r>
    </w:p>
    <w:p>
      <w:pPr>
        <w:pStyle w:val="TextBody"/>
        <w:bidi w:val="0"/>
        <w:spacing w:lineRule="auto" w:line="240" w:before="1" w:after="283"/>
        <w:jc w:val="both"/>
        <w:rPr/>
      </w:pPr>
      <w:r>
        <w:rPr>
          <w:rFonts w:ascii="Times New Roman;sans-serif" w:hAnsi="Times New Roman;sans-serif"/>
          <w:b w:val="false"/>
          <w:color w:val="000000"/>
          <w:sz w:val="24"/>
        </w:rPr>
        <w:t xml:space="preserve">(x) in the case of notes, customary offers to repurchase or mandatory prepayment provisions upon a change of control, asset sale or event of loss and customary acceleration rights after an event of default and (y) in the case of loans, amortization to the extent permitted above and other than mandatory and voluntary prepayment provisions which are, when taken as a whole, consistent in all material respects with, or not materially less favorable to the Borrower and its Subsidiaries than, those applicable to the Term Loans and/or Revolving Facility Commitments, as the case may be being refinanced, with such Indebtedness to provide that any such mandatory prepayments as a result of asset sales, events of loss, or excess cash flow, shall be allocated on a </w:t>
      </w:r>
      <w:r>
        <w:rPr>
          <w:rFonts w:ascii="Times New Roman;sans-serif" w:hAnsi="Times New Roman;sans-serif"/>
          <w:b w:val="false"/>
          <w:color w:val="000000"/>
          <w:sz w:val="24"/>
          <w:u w:val="single"/>
        </w:rPr>
        <w:t>pro rata</w:t>
      </w:r>
      <w:r>
        <w:rPr>
          <w:color w:val="000000"/>
        </w:rPr>
        <w:t xml:space="preserve"> </w:t>
      </w:r>
      <w:r>
        <w:rPr>
          <w:rFonts w:ascii="Times New Roman;sans-serif" w:hAnsi="Times New Roman;sans-serif"/>
          <w:b w:val="false"/>
          <w:color w:val="000000"/>
          <w:sz w:val="24"/>
        </w:rPr>
        <w:t xml:space="preserve">basis or a less than </w:t>
      </w:r>
      <w:r>
        <w:rPr>
          <w:rFonts w:ascii="Times New Roman;sans-serif" w:hAnsi="Times New Roman;sans-serif"/>
          <w:b w:val="false"/>
          <w:color w:val="000000"/>
          <w:sz w:val="24"/>
          <w:u w:val="single"/>
        </w:rPr>
        <w:t>pro rata</w:t>
      </w:r>
      <w:r>
        <w:rPr>
          <w:color w:val="000000"/>
        </w:rPr>
        <w:t xml:space="preserve"> </w:t>
      </w:r>
      <w:r>
        <w:rPr>
          <w:rFonts w:ascii="Times New Roman;sans-serif" w:hAnsi="Times New Roman;sans-serif"/>
          <w:b w:val="false"/>
          <w:color w:val="000000"/>
          <w:sz w:val="24"/>
        </w:rPr>
        <w:t xml:space="preserve">basis (but not a greater than </w:t>
      </w:r>
      <w:r>
        <w:rPr>
          <w:rFonts w:ascii="Times New Roman;sans-serif" w:hAnsi="Times New Roman;sans-serif"/>
          <w:b w:val="false"/>
          <w:color w:val="000000"/>
          <w:sz w:val="24"/>
          <w:u w:val="single"/>
        </w:rPr>
        <w:t>pro rata</w:t>
      </w:r>
      <w:r>
        <w:rPr>
          <w:color w:val="000000"/>
        </w:rPr>
        <w:t xml:space="preserve"> </w:t>
      </w:r>
      <w:r>
        <w:rPr>
          <w:rFonts w:ascii="Times New Roman;sans-serif" w:hAnsi="Times New Roman;sans-serif"/>
          <w:b w:val="false"/>
          <w:color w:val="000000"/>
          <w:sz w:val="24"/>
        </w:rPr>
        <w:t>basis) with the Term Loans then outstanding pursuant to this Agreement); (f) there shall be no obligor with respect thereto that is not a Loan Party; (g) if the Indebtedness being refinanced was (A) contractually subordinated to any Facility in right of payment, such Refinancing Notes shall be contractually subordinated to such Facility on the same basis, (B) junior to any Facility in right of security, such Refinancing Notes shall be junior in right of security to such Facility on the same or more junior basis or be unsecured or (C) unsecured, such Refinancing Notes shall be unsecured; (h) if such Refinancing Notes are secured, such Refinancing Notes shall be secured by all or a portion of the Collateral, but shall not be secured by any assets of the Borrower or its subsidiaries other than the Collateral; (i) Refinancing Notes that are secured by Collateral shall be subject to the provisions of a Permitted First Lien Intercreditor Agreement or a Permitted Junior Intercreditor Agreement, as applicable; and (j) all other terms applicable to such Refinancing Notes (other than provisions relating to original issue discount, upfront fees, interest rates and any other pricing terms (which original issue discount, upfront fees, interest rates and other pricing terms shall not be subject to the provisions set forth in this clause (j)) taken as a whole shall (as determined by the Borrower in good faith) be</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6480175" cy="781050"/>
                <wp:effectExtent l="0" t="0" r="0" b="0"/>
                <wp:wrapNone/>
                <wp:docPr id="271" name="Frame270"/>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69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69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jc w:val="both"/>
        <w:rPr/>
      </w:pPr>
      <w:r>
        <w:rPr>
          <w:rFonts w:ascii="Times New Roman;sans-serif" w:hAnsi="Times New Roman;sans-serif"/>
          <w:b w:val="false"/>
          <w:color w:val="000000"/>
          <w:sz w:val="24"/>
        </w:rPr>
        <w:t xml:space="preserve">substantially similar to, or not materially more favorable to the lenders providing such Refinancing Notes than, the terms, taken as a whole, applicable to the Term Loans so reduced or the Revolving Facility Commitments so replaced (except to the extent such covenants and other terms (x) apply solely to any period after the Latest Maturity Date, (y) are otherwise reasonably acceptable to the Administrative Agent or (z) reflect market terms and conditions (as determined by the Borrower in good faith) at the time of incurrence or issuance, as determined by the Borrower in good faith));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such Refinancing Notes may be incurred in the form of a customary “bridge” or other interim credit facility intended to be refinanced or replaced with long-term indebtedness so long as, subject only to customary conditions the failure of which to be satisfied would otherwise result in an Event of Default, it would either be automatically converted into or required to be exchanged for permanent financing which satisfies the requirements of the foregoing clauses (c),</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(d) and (e), as applicable.</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val="false"/>
          <w:color w:val="000000"/>
          <w:sz w:val="24"/>
          <w:u w:val="single"/>
        </w:rPr>
        <w:t>Refinancing Term Loans</w:t>
      </w:r>
      <w:r>
        <w:rPr>
          <w:color w:val="000000"/>
        </w:rPr>
        <w:t xml:space="preserve">” </w:t>
      </w:r>
      <w:r>
        <w:rPr>
          <w:rFonts w:ascii="Times New Roman;sans-serif" w:hAnsi="Times New Roman;sans-serif"/>
          <w:b w:val="false"/>
          <w:color w:val="000000"/>
          <w:sz w:val="24"/>
        </w:rPr>
        <w:t>shall have the meaning assigned to such term in Section 2.23(a).</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val="false"/>
          <w:color w:val="000000"/>
          <w:sz w:val="24"/>
          <w:u w:val="single"/>
        </w:rPr>
        <w:t>Refunding Capital Stock</w:t>
      </w:r>
      <w:r>
        <w:rPr>
          <w:color w:val="000000"/>
        </w:rPr>
        <w:t xml:space="preserve">” </w:t>
      </w:r>
      <w:r>
        <w:rPr>
          <w:rFonts w:ascii="Times New Roman;sans-serif" w:hAnsi="Times New Roman;sans-serif"/>
          <w:b w:val="false"/>
          <w:color w:val="000000"/>
          <w:sz w:val="24"/>
        </w:rPr>
        <w:t>shall have the meaning assigned to such term in Section 6.03(a)(xvii).</w:t>
      </w:r>
    </w:p>
    <w:p>
      <w:pPr>
        <w:pStyle w:val="TextBody"/>
        <w:bidi w:val="0"/>
        <w:spacing w:lineRule="auto" w:line="592" w:before="6" w:after="283"/>
        <w:jc w:val="both"/>
        <w:rPr/>
      </w:pPr>
      <w:r>
        <w:rPr>
          <w:color w:val="000000"/>
        </w:rPr>
        <w:t>“</w:t>
      </w:r>
      <w:r>
        <w:rPr>
          <w:rFonts w:ascii="Times New Roman;sans-serif" w:hAnsi="Times New Roman;sans-serif"/>
          <w:b w:val="false"/>
          <w:color w:val="000000"/>
          <w:sz w:val="24"/>
          <w:u w:val="single"/>
        </w:rPr>
        <w:t>Register</w:t>
      </w:r>
      <w:r>
        <w:rPr>
          <w:color w:val="000000"/>
        </w:rPr>
        <w:t xml:space="preserve">” </w:t>
      </w:r>
      <w:r>
        <w:rPr>
          <w:rFonts w:ascii="Times New Roman;sans-serif" w:hAnsi="Times New Roman;sans-serif"/>
          <w:b w:val="false"/>
          <w:color w:val="000000"/>
          <w:sz w:val="24"/>
        </w:rPr>
        <w:t>shall have the meaning assigned to such term in Section 9.04(b)(iv). “</w:t>
      </w:r>
      <w:r>
        <w:rPr>
          <w:rFonts w:ascii="Times New Roman;sans-serif" w:hAnsi="Times New Roman;sans-serif"/>
          <w:b w:val="false"/>
          <w:color w:val="000000"/>
          <w:sz w:val="24"/>
          <w:u w:val="single"/>
        </w:rPr>
        <w:t>Regulated Bank</w:t>
      </w:r>
      <w:r>
        <w:rPr>
          <w:color w:val="000000"/>
        </w:rPr>
        <w:t xml:space="preserve">” </w:t>
      </w:r>
      <w:r>
        <w:rPr>
          <w:rFonts w:ascii="Times New Roman;sans-serif" w:hAnsi="Times New Roman;sans-serif"/>
          <w:b w:val="false"/>
          <w:color w:val="000000"/>
          <w:sz w:val="24"/>
        </w:rPr>
        <w:t>shall mean an Approved Bank that is (i) a U.S. depository institution the</w:t>
      </w:r>
    </w:p>
    <w:p>
      <w:pPr>
        <w:pStyle w:val="TextBody"/>
        <w:bidi w:val="0"/>
        <w:spacing w:lineRule="auto" w:line="240" w:before="6" w:after="283"/>
        <w:jc w:val="both"/>
        <w:rPr>
          <w:rFonts w:ascii="Times New Roman;sans-serif" w:hAnsi="Times New Roman;sans-serif"/>
          <w:b w:val="false"/>
          <w:color w:val="000000"/>
          <w:sz w:val="24"/>
        </w:rPr>
      </w:pPr>
      <w:r>
        <w:rPr>
          <w:rFonts w:ascii="Times New Roman;sans-serif" w:hAnsi="Times New Roman;sans-serif"/>
          <w:b w:val="false"/>
          <w:color w:val="000000"/>
          <w:sz w:val="24"/>
        </w:rPr>
        <w:t>deposits of which are insured by the Federal Deposit Insurance Corporation; (ii) a corporation organized under section 25A of the U.S. Federal Reserve Act of 1913; (iii) a branch, agency or commercial lending company of a foreign bank operating pursuant to approval by and under the supervision of the Board under 12 CFR part 211; (iv) a non-U.S. branch of a foreign bank managed and controlled by a U.S. branch referred to in clause (iii); or (v) any other U.S. or non-U.S. depository institution or any branch, agency or similar office thereof supervised by a bank regulatory authority in any jurisdiction.</w:t>
      </w:r>
    </w:p>
    <w:p>
      <w:pPr>
        <w:pStyle w:val="TextBody"/>
        <w:bidi w:val="0"/>
        <w:spacing w:lineRule="auto" w:line="240" w:before="239" w:after="283"/>
        <w:ind w:left="0" w:right="0" w:firstLine="720"/>
        <w:jc w:val="both"/>
        <w:rPr/>
      </w:pPr>
      <w:r>
        <w:rPr>
          <w:color w:val="000000"/>
        </w:rPr>
        <w:t>“</w:t>
      </w:r>
      <w:r>
        <w:rPr>
          <w:rFonts w:ascii="Times New Roman;sans-serif" w:hAnsi="Times New Roman;sans-serif"/>
          <w:b w:val="false"/>
          <w:color w:val="000000"/>
          <w:sz w:val="24"/>
          <w:u w:val="single"/>
        </w:rPr>
        <w:t>Regulation T</w:t>
      </w:r>
      <w:r>
        <w:rPr>
          <w:color w:val="000000"/>
        </w:rPr>
        <w:t xml:space="preserve">” </w:t>
      </w:r>
      <w:r>
        <w:rPr>
          <w:rFonts w:ascii="Times New Roman;sans-serif" w:hAnsi="Times New Roman;sans-serif"/>
          <w:b w:val="false"/>
          <w:color w:val="000000"/>
          <w:sz w:val="24"/>
        </w:rPr>
        <w:t>shall mean Regulation T of the Board as from time to time in effect and all official rulings and interpretations thereunder or thereof.</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val="false"/>
          <w:color w:val="000000"/>
          <w:sz w:val="24"/>
          <w:u w:val="single"/>
        </w:rPr>
        <w:t>Regulation U</w:t>
      </w:r>
      <w:r>
        <w:rPr>
          <w:color w:val="000000"/>
        </w:rPr>
        <w:t xml:space="preserve">” </w:t>
      </w:r>
      <w:r>
        <w:rPr>
          <w:rFonts w:ascii="Times New Roman;sans-serif" w:hAnsi="Times New Roman;sans-serif"/>
          <w:b w:val="false"/>
          <w:color w:val="000000"/>
          <w:sz w:val="24"/>
        </w:rPr>
        <w:t>shall mean Regulation U of the Board as from time to time in effect and all official rulings and interpretations thereunder or thereof.</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val="false"/>
          <w:color w:val="000000"/>
          <w:sz w:val="24"/>
          <w:u w:val="single"/>
        </w:rPr>
        <w:t>Regulation X</w:t>
      </w:r>
      <w:r>
        <w:rPr>
          <w:color w:val="000000"/>
        </w:rPr>
        <w:t xml:space="preserve">” </w:t>
      </w:r>
      <w:r>
        <w:rPr>
          <w:rFonts w:ascii="Times New Roman;sans-serif" w:hAnsi="Times New Roman;sans-serif"/>
          <w:b w:val="false"/>
          <w:color w:val="000000"/>
          <w:sz w:val="24"/>
        </w:rPr>
        <w:t>shall mean Regulation X of the Board as from time to time in effect and all official rulings and interpretations thereunder or thereof.</w:t>
      </w:r>
    </w:p>
    <w:p>
      <w:pPr>
        <w:pStyle w:val="TextBody"/>
        <w:bidi w:val="0"/>
        <w:spacing w:lineRule="auto" w:line="240" w:before="241" w:after="283"/>
        <w:ind w:left="0" w:right="0" w:firstLine="720"/>
        <w:jc w:val="both"/>
        <w:rPr/>
      </w:pPr>
      <w:r>
        <w:rPr>
          <w:color w:val="000000"/>
        </w:rPr>
        <w:t>“</w:t>
      </w:r>
      <w:r>
        <w:rPr>
          <w:rFonts w:ascii="Times New Roman;sans-serif" w:hAnsi="Times New Roman;sans-serif"/>
          <w:b w:val="false"/>
          <w:color w:val="000000"/>
          <w:sz w:val="24"/>
          <w:u w:val="single"/>
        </w:rPr>
        <w:t>Related Fund</w:t>
      </w:r>
      <w:r>
        <w:rPr>
          <w:color w:val="000000"/>
        </w:rPr>
        <w:t xml:space="preserve">” </w:t>
      </w:r>
      <w:r>
        <w:rPr>
          <w:rFonts w:ascii="Times New Roman;sans-serif" w:hAnsi="Times New Roman;sans-serif"/>
          <w:b w:val="false"/>
          <w:color w:val="000000"/>
          <w:sz w:val="24"/>
        </w:rPr>
        <w:t>shall mean, with respect to any Lender that is a fund that makes, purchases or holds bank or commercial loans and similar extensions of credit, any other fund that makes, purchases or holds bank or commercial loans and similar extensions of credit and is advised or managed by (a) such Lender, (b) an Affiliate of such Lender or (c) an entity (or an Affiliate of such entity) that administers, advises or manages such Lender.</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val="false"/>
          <w:color w:val="000000"/>
          <w:sz w:val="24"/>
          <w:u w:val="single"/>
        </w:rPr>
        <w:t>Related Parties</w:t>
      </w:r>
      <w:r>
        <w:rPr>
          <w:color w:val="000000"/>
        </w:rPr>
        <w:t xml:space="preserve">” </w:t>
      </w:r>
      <w:r>
        <w:rPr>
          <w:rFonts w:ascii="Times New Roman;sans-serif" w:hAnsi="Times New Roman;sans-serif"/>
          <w:b w:val="false"/>
          <w:color w:val="000000"/>
          <w:sz w:val="24"/>
        </w:rPr>
        <w:t>shall mean, with respect to any specified person, such person’s Affiliates and the respective partners, directors, officers, employees, agents, managers, advisors and representatives of such person and of such Person’s Affiliates.</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6480175" cy="781050"/>
                <wp:effectExtent l="0" t="0" r="0" b="0"/>
                <wp:wrapNone/>
                <wp:docPr id="272" name="Frame271"/>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70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70</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ind w:left="0" w:right="0" w:firstLine="720"/>
        <w:jc w:val="both"/>
        <w:rPr/>
      </w:pPr>
      <w:r>
        <w:rPr>
          <w:color w:val="000000"/>
        </w:rPr>
        <w:t>“</w:t>
      </w:r>
      <w:r>
        <w:rPr>
          <w:rFonts w:ascii="Times New Roman;sans-serif" w:hAnsi="Times New Roman;sans-serif"/>
          <w:b w:val="false"/>
          <w:color w:val="000000"/>
          <w:sz w:val="24"/>
          <w:u w:val="single"/>
        </w:rPr>
        <w:t>Release</w:t>
      </w:r>
      <w:r>
        <w:rPr>
          <w:color w:val="000000"/>
        </w:rPr>
        <w:t xml:space="preserve">” </w:t>
      </w:r>
      <w:r>
        <w:rPr>
          <w:rFonts w:ascii="Times New Roman;sans-serif" w:hAnsi="Times New Roman;sans-serif"/>
          <w:b w:val="false"/>
          <w:color w:val="000000"/>
          <w:sz w:val="24"/>
        </w:rPr>
        <w:t>shall mean any spilling, leaking, seepage, pumping, pouring, emitting, emptying, discharging, injecting, escaping, leaching, dumping, disposing, depositing, emanating or migrating in, into, onto or through the Environment.</w:t>
      </w:r>
    </w:p>
    <w:p>
      <w:pPr>
        <w:pStyle w:val="TextBody"/>
        <w:bidi w:val="0"/>
        <w:spacing w:lineRule="auto" w:line="240" w:before="240" w:after="283"/>
        <w:jc w:val="left"/>
        <w:rPr/>
      </w:pPr>
      <w:r>
        <w:rPr>
          <w:color w:val="000000"/>
        </w:rPr>
        <w:t>“</w:t>
      </w:r>
      <w:r>
        <w:rPr>
          <w:rFonts w:ascii="Times New Roman;sans-serif" w:hAnsi="Times New Roman;sans-serif"/>
          <w:b w:val="false"/>
          <w:color w:val="000000"/>
          <w:sz w:val="24"/>
          <w:u w:val="single"/>
        </w:rPr>
        <w:t>Relevant Governmental Body</w:t>
      </w:r>
      <w:r>
        <w:rPr>
          <w:color w:val="000000"/>
        </w:rPr>
        <w:t xml:space="preserve">” </w:t>
      </w:r>
      <w:r>
        <w:rPr>
          <w:rFonts w:ascii="Times New Roman;sans-serif" w:hAnsi="Times New Roman;sans-serif"/>
          <w:b w:val="false"/>
          <w:color w:val="000000"/>
          <w:sz w:val="24"/>
        </w:rPr>
        <w:t>shall have the meaning assigned to such term in Section</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2.14.</w:t>
      </w:r>
    </w:p>
    <w:p>
      <w:pPr>
        <w:pStyle w:val="TextBody"/>
        <w:bidi w:val="0"/>
        <w:spacing w:lineRule="auto" w:line="240" w:before="240" w:after="283"/>
        <w:jc w:val="left"/>
        <w:rPr/>
      </w:pPr>
      <w:r>
        <w:rPr>
          <w:color w:val="000000"/>
        </w:rPr>
        <w:t>“</w:t>
      </w:r>
      <w:r>
        <w:rPr>
          <w:rFonts w:ascii="Times New Roman;sans-serif" w:hAnsi="Times New Roman;sans-serif"/>
          <w:b w:val="false"/>
          <w:color w:val="000000"/>
          <w:sz w:val="24"/>
          <w:u w:val="single"/>
        </w:rPr>
        <w:t>Replacement Revolving Facility</w:t>
      </w:r>
      <w:r>
        <w:rPr>
          <w:color w:val="000000"/>
        </w:rPr>
        <w:t xml:space="preserve">” </w:t>
      </w:r>
      <w:r>
        <w:rPr>
          <w:rFonts w:ascii="Times New Roman;sans-serif" w:hAnsi="Times New Roman;sans-serif"/>
          <w:b w:val="false"/>
          <w:color w:val="000000"/>
          <w:sz w:val="24"/>
        </w:rPr>
        <w:t>shall have the meaning assigned to such term in Section</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2.23(c).</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val="false"/>
          <w:color w:val="000000"/>
          <w:sz w:val="24"/>
          <w:u w:val="single"/>
        </w:rPr>
        <w:t>Replacement Revolving Facility Commitments</w:t>
      </w:r>
      <w:r>
        <w:rPr>
          <w:color w:val="000000"/>
        </w:rPr>
        <w:t xml:space="preserve">” </w:t>
      </w:r>
      <w:r>
        <w:rPr>
          <w:rFonts w:ascii="Times New Roman;sans-serif" w:hAnsi="Times New Roman;sans-serif"/>
          <w:b w:val="false"/>
          <w:color w:val="000000"/>
          <w:sz w:val="24"/>
        </w:rPr>
        <w:t>shall have the meaning assigned to such term in Section 2.23(c).</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val="false"/>
          <w:color w:val="000000"/>
          <w:sz w:val="24"/>
          <w:u w:val="single"/>
        </w:rPr>
        <w:t>Replacement Revolving Facility Effective Date</w:t>
      </w:r>
      <w:r>
        <w:rPr>
          <w:color w:val="000000"/>
        </w:rPr>
        <w:t xml:space="preserve">” </w:t>
      </w:r>
      <w:r>
        <w:rPr>
          <w:rFonts w:ascii="Times New Roman;sans-serif" w:hAnsi="Times New Roman;sans-serif"/>
          <w:b w:val="false"/>
          <w:color w:val="000000"/>
          <w:sz w:val="24"/>
        </w:rPr>
        <w:t>shall have the meaning assigned to such term in Section 2.23(c).</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val="false"/>
          <w:color w:val="000000"/>
          <w:sz w:val="24"/>
          <w:u w:val="single"/>
        </w:rPr>
        <w:t>Replacement Revolving Loans</w:t>
      </w:r>
      <w:r>
        <w:rPr>
          <w:color w:val="000000"/>
        </w:rPr>
        <w:t xml:space="preserve">” </w:t>
      </w:r>
      <w:r>
        <w:rPr>
          <w:rFonts w:ascii="Times New Roman;sans-serif" w:hAnsi="Times New Roman;sans-serif"/>
          <w:b w:val="false"/>
          <w:color w:val="000000"/>
          <w:sz w:val="24"/>
        </w:rPr>
        <w:t>shall have the meaning assigned to such term in Section 2.23(c).</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val="false"/>
          <w:color w:val="000000"/>
          <w:sz w:val="24"/>
          <w:u w:val="single"/>
        </w:rPr>
        <w:t>Reportable Event</w:t>
      </w:r>
      <w:r>
        <w:rPr>
          <w:color w:val="000000"/>
        </w:rPr>
        <w:t xml:space="preserve">” </w:t>
      </w:r>
      <w:r>
        <w:rPr>
          <w:rFonts w:ascii="Times New Roman;sans-serif" w:hAnsi="Times New Roman;sans-serif"/>
          <w:b w:val="false"/>
          <w:color w:val="000000"/>
          <w:sz w:val="24"/>
        </w:rPr>
        <w:t>shall mean any reportable event as defined in Section 4043(c) of ERISA or the regulations issued thereunder, other than those events as to which the 30-day notice period referred to in Section 4043(c) of ERISA has been waived, with respect to a Plan.</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val="false"/>
          <w:color w:val="000000"/>
          <w:sz w:val="24"/>
          <w:u w:val="single"/>
        </w:rPr>
        <w:t>Repricing Event</w:t>
      </w:r>
      <w:r>
        <w:rPr>
          <w:color w:val="000000"/>
        </w:rPr>
        <w:t xml:space="preserve">” </w:t>
      </w:r>
      <w:r>
        <w:rPr>
          <w:rFonts w:ascii="Times New Roman;sans-serif" w:hAnsi="Times New Roman;sans-serif"/>
          <w:b w:val="false"/>
          <w:color w:val="000000"/>
          <w:sz w:val="24"/>
        </w:rPr>
        <w:t xml:space="preserve">shall mean (i) any prepayment or repayment of Initial Term Loans with the proceeds of, or conversion of all or any portion of the Initial Term Loans into, any new or replacement tranche of broadly syndicated first-lien secured term loan “B” Indebtedness that is secured on the Collateral bearing interest at All-in Yield less than the All-in Yield applicable to the Initial Term Loans (as such comparative rates are determined by the Administrative Agent in consultation with the Borrower) and (ii) any amendment to this Agreement whose primary purpose is to directly or indirectly reduce the All-in Yield applicable to the Initial Term Loans (it being understood that any prepayment premium with respect to a Repricing Event shall apply to any required assignment by a Non-Consenting Lender in connection with any such amendment pursuant to Section 2.19(c));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that in no event shall any such prepayment, repayment, refinancing, substitution, replacement, amendment, waiver or other modification in connection with a Change of Control or Transformative Acquisition constitute a Repricing Event. Any determination by the Administrative Agent in consultation with the Borrower of the All-in Yield for purposes of this definition shall be conclusive and binding on all Lenders holding the Initial Term Loans.</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val="false"/>
          <w:color w:val="000000"/>
          <w:sz w:val="24"/>
          <w:u w:val="single"/>
        </w:rPr>
        <w:t>Required Lenders</w:t>
      </w:r>
      <w:r>
        <w:rPr>
          <w:color w:val="000000"/>
        </w:rPr>
        <w:t xml:space="preserve">” </w:t>
      </w:r>
      <w:r>
        <w:rPr>
          <w:rFonts w:ascii="Times New Roman;sans-serif" w:hAnsi="Times New Roman;sans-serif"/>
          <w:b w:val="false"/>
          <w:color w:val="000000"/>
          <w:sz w:val="24"/>
        </w:rPr>
        <w:t xml:space="preserve">shall mean, at any time, Lenders having Term Loans and Revolving Facility Commitments (or, if the Revolving Facility Commitments have terminated, Revolving Facility Credit Exposure) that, taken together, represent more than 50% of the sum of (x) all Term Loans and (y) all Revolving Facility Commitments (or, if the Revolving Facility Commitments have terminated, Revolving Facility Credit Exposure) at such time;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that the Term Loans, Revolving Facility Commitments and Revolving Facility Credit Exposure of any Defaulting Lender shall be disregarded in determining Required Lenders at any time.</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6480175" cy="781050"/>
                <wp:effectExtent l="0" t="0" r="0" b="0"/>
                <wp:wrapNone/>
                <wp:docPr id="273" name="Frame272"/>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71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71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ind w:left="0" w:right="0" w:firstLine="720"/>
        <w:jc w:val="both"/>
        <w:rPr/>
      </w:pPr>
      <w:r>
        <w:rPr>
          <w:color w:val="000000"/>
        </w:rPr>
        <w:t>“</w:t>
      </w:r>
      <w:r>
        <w:rPr>
          <w:rFonts w:ascii="Times New Roman;sans-serif" w:hAnsi="Times New Roman;sans-serif"/>
          <w:b w:val="false"/>
          <w:color w:val="000000"/>
          <w:sz w:val="24"/>
          <w:u w:val="single"/>
        </w:rPr>
        <w:t>Required Percentage</w:t>
      </w:r>
      <w:r>
        <w:rPr>
          <w:color w:val="000000"/>
        </w:rPr>
        <w:t xml:space="preserve">” </w:t>
      </w:r>
      <w:r>
        <w:rPr>
          <w:rFonts w:ascii="Times New Roman;sans-serif" w:hAnsi="Times New Roman;sans-serif"/>
          <w:b w:val="false"/>
          <w:color w:val="000000"/>
          <w:sz w:val="24"/>
        </w:rPr>
        <w:t xml:space="preserve">shall mean, with respect to any Excess Cash Flow Period, 50%;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that, if the First Lien Net Leverage Ratio as of the end of such Excess Cash Flow Period is (x) less than or equal to 3.00:1.00 but greater than 2.00:1.00, such percentage shall be 25% or</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(y) less than or equal to 2.00:1.00, such percentage shall be 0%.</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val="false"/>
          <w:color w:val="000000"/>
          <w:sz w:val="24"/>
          <w:u w:val="single"/>
        </w:rPr>
        <w:t>Required Revolving Facility Lenders</w:t>
      </w:r>
      <w:r>
        <w:rPr>
          <w:color w:val="000000"/>
        </w:rPr>
        <w:t xml:space="preserve">” </w:t>
      </w:r>
      <w:r>
        <w:rPr>
          <w:rFonts w:ascii="Times New Roman;sans-serif" w:hAnsi="Times New Roman;sans-serif"/>
          <w:b w:val="false"/>
          <w:color w:val="000000"/>
          <w:sz w:val="24"/>
        </w:rPr>
        <w:t xml:space="preserve">shall mean, at any time with respect to any Revolving Facility, Revolving Facility Lenders having Revolving Facility Commitments under such Revolving Facility (or if the Revolving Facility Commitments under such Revolving Facility have terminated, Revolving Facility Credit Exposure under such Revolving Facility) that, taken together, represents more than 50% of the sum of all Revolving Facility Commitments under such Revolving Facility (or, if the Revolving Facility Commitments under such Revolving Facility have terminated, Revolving Facility Credit Exposure under such Revolving Facility at such time);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that the Revolving Facility Commitments and Revolving Facility Credit Exposure of any Defaulting Lender shall be disregarded in determining Required Revolving Facility Lenders at any time.</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val="false"/>
          <w:color w:val="000000"/>
          <w:sz w:val="24"/>
          <w:u w:val="single"/>
        </w:rPr>
        <w:t>Requirement of Law</w:t>
      </w:r>
      <w:r>
        <w:rPr>
          <w:color w:val="000000"/>
        </w:rPr>
        <w:t xml:space="preserve">” </w:t>
      </w:r>
      <w:r>
        <w:rPr>
          <w:rFonts w:ascii="Times New Roman;sans-serif" w:hAnsi="Times New Roman;sans-serif"/>
          <w:b w:val="false"/>
          <w:color w:val="000000"/>
          <w:sz w:val="24"/>
        </w:rPr>
        <w:t>shall mean, as to any person, any law, treaty, rule, regulation, statute, order, ordinance, decree, judgment, consent decree, writ, injunction, settlement agreement or governmental requirement enacted, promulgated or imposed or entered into or agreed by any Governmental Authority, in each case applicable to or binding upon such person or any of its property or assets or to which such person or any of its property or assets is subject.</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val="false"/>
          <w:color w:val="000000"/>
          <w:sz w:val="24"/>
          <w:u w:val="single"/>
        </w:rPr>
        <w:t>Resolution Authority</w:t>
      </w:r>
      <w:r>
        <w:rPr>
          <w:color w:val="000000"/>
        </w:rPr>
        <w:t xml:space="preserve">” </w:t>
      </w:r>
      <w:r>
        <w:rPr>
          <w:rFonts w:ascii="Times New Roman;sans-serif" w:hAnsi="Times New Roman;sans-serif"/>
          <w:b w:val="false"/>
          <w:color w:val="000000"/>
          <w:sz w:val="24"/>
        </w:rPr>
        <w:t>shall mean an EEA Resolution Authority or, with respect to any UK Financial Institution, a UK Resolution Authority.</w:t>
      </w:r>
    </w:p>
    <w:p>
      <w:pPr>
        <w:pStyle w:val="TextBody"/>
        <w:bidi w:val="0"/>
        <w:spacing w:lineRule="auto" w:line="240" w:before="241" w:after="283"/>
        <w:ind w:left="0" w:right="0" w:firstLine="720"/>
        <w:jc w:val="both"/>
        <w:rPr/>
      </w:pPr>
      <w:r>
        <w:rPr>
          <w:color w:val="000000"/>
        </w:rPr>
        <w:t>“</w:t>
      </w:r>
      <w:r>
        <w:rPr>
          <w:rFonts w:ascii="Times New Roman;sans-serif" w:hAnsi="Times New Roman;sans-serif"/>
          <w:b w:val="false"/>
          <w:color w:val="000000"/>
          <w:sz w:val="24"/>
          <w:u w:val="single"/>
        </w:rPr>
        <w:t>Responsible Officer</w:t>
      </w:r>
      <w:r>
        <w:rPr>
          <w:color w:val="000000"/>
        </w:rPr>
        <w:t xml:space="preserve">” </w:t>
      </w:r>
      <w:r>
        <w:rPr>
          <w:rFonts w:ascii="Times New Roman;sans-serif" w:hAnsi="Times New Roman;sans-serif"/>
          <w:b w:val="false"/>
          <w:color w:val="000000"/>
          <w:sz w:val="24"/>
        </w:rPr>
        <w:t>of any person shall mean any manager, executive officer or Financial Officer of such person and any other officer or similar official thereof responsible for the administration of the obligations of such person in respect of this Agreement, or any other duly authorized employee or signatory of such person.</w:t>
      </w:r>
    </w:p>
    <w:p>
      <w:pPr>
        <w:pStyle w:val="TextBody"/>
        <w:bidi w:val="0"/>
        <w:spacing w:lineRule="auto" w:line="240" w:before="238" w:after="283"/>
        <w:ind w:left="0" w:right="0" w:firstLine="720"/>
        <w:jc w:val="both"/>
        <w:rPr/>
      </w:pPr>
      <w:r>
        <w:rPr>
          <w:color w:val="000000"/>
        </w:rPr>
        <w:t>“</w:t>
      </w:r>
      <w:r>
        <w:rPr>
          <w:rFonts w:ascii="Times New Roman;sans-serif" w:hAnsi="Times New Roman;sans-serif"/>
          <w:b w:val="false"/>
          <w:color w:val="000000"/>
          <w:sz w:val="24"/>
          <w:u w:val="single"/>
        </w:rPr>
        <w:t>Restricted Debt Payments</w:t>
      </w:r>
      <w:r>
        <w:rPr>
          <w:color w:val="000000"/>
        </w:rPr>
        <w:t xml:space="preserve">” </w:t>
      </w:r>
      <w:r>
        <w:rPr>
          <w:rFonts w:ascii="Times New Roman;sans-serif" w:hAnsi="Times New Roman;sans-serif"/>
          <w:b w:val="false"/>
          <w:color w:val="000000"/>
          <w:sz w:val="24"/>
        </w:rPr>
        <w:t>shall have the meaning assigned to such term in Section 6.03(b).</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val="false"/>
          <w:color w:val="000000"/>
          <w:sz w:val="24"/>
          <w:u w:val="single"/>
        </w:rPr>
        <w:t>Restricted Payments</w:t>
      </w:r>
      <w:r>
        <w:rPr>
          <w:color w:val="000000"/>
        </w:rPr>
        <w:t xml:space="preserve">” </w:t>
      </w:r>
      <w:r>
        <w:rPr>
          <w:rFonts w:ascii="Times New Roman;sans-serif" w:hAnsi="Times New Roman;sans-serif"/>
          <w:b w:val="false"/>
          <w:color w:val="000000"/>
          <w:sz w:val="24"/>
        </w:rPr>
        <w:t>shall have the meaning assigned to such term in Section 6.03(a). The amount of any Restricted Payment made other than in the form of cash or cash equivalents shall be the Fair Market Value thereof.</w:t>
      </w:r>
    </w:p>
    <w:p>
      <w:pPr>
        <w:pStyle w:val="TextBody"/>
        <w:bidi w:val="0"/>
        <w:spacing w:lineRule="auto" w:line="240" w:before="241" w:after="283"/>
        <w:ind w:left="0" w:right="0" w:firstLine="720"/>
        <w:jc w:val="both"/>
        <w:rPr/>
      </w:pPr>
      <w:r>
        <w:rPr>
          <w:color w:val="000000"/>
        </w:rPr>
        <w:t>“</w:t>
      </w:r>
      <w:r>
        <w:rPr>
          <w:rFonts w:ascii="Times New Roman;sans-serif" w:hAnsi="Times New Roman;sans-serif"/>
          <w:b w:val="false"/>
          <w:color w:val="000000"/>
          <w:sz w:val="24"/>
          <w:u w:val="single"/>
        </w:rPr>
        <w:t>Reuters</w:t>
      </w:r>
      <w:r>
        <w:rPr>
          <w:color w:val="000000"/>
        </w:rPr>
        <w:t xml:space="preserve">” </w:t>
      </w:r>
      <w:r>
        <w:rPr>
          <w:rFonts w:ascii="Times New Roman;sans-serif" w:hAnsi="Times New Roman;sans-serif"/>
          <w:b w:val="false"/>
          <w:color w:val="000000"/>
          <w:sz w:val="24"/>
        </w:rPr>
        <w:t>means Thomson Reuters Corporation, a corporation incorporated under and governed by the Business Corporations Act (Ontario), Canada, or a successor thereto.</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val="false"/>
          <w:color w:val="000000"/>
          <w:sz w:val="24"/>
          <w:u w:val="single"/>
        </w:rPr>
        <w:t>Revaluation Date</w:t>
      </w:r>
      <w:r>
        <w:rPr>
          <w:color w:val="000000"/>
        </w:rPr>
        <w:t xml:space="preserve">” </w:t>
      </w:r>
      <w:r>
        <w:rPr>
          <w:rFonts w:ascii="Times New Roman;sans-serif" w:hAnsi="Times New Roman;sans-serif"/>
          <w:b w:val="false"/>
          <w:color w:val="000000"/>
          <w:sz w:val="24"/>
        </w:rPr>
        <w:t>means with respect to any Letter of Credit denominated in a Permitted Foreign Currency, each of the following: (i) the date on which such Letter of Credit is issued, (ii) the first Business Day of each calendar month, (iii) the date of any amendment of such Letter of Credit that has the effect of increasing the face amount thereof, (iv) on the Business Day immediately following each Honor Date in respect of such Letter of Credit and (v) such additional dates as the Administrative Agent or any applicable Issuing Bank shall reasonably determine.</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6480175" cy="781050"/>
                <wp:effectExtent l="0" t="0" r="0" b="0"/>
                <wp:wrapNone/>
                <wp:docPr id="274" name="Frame273"/>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72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72</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ind w:left="0" w:right="0" w:firstLine="720"/>
        <w:jc w:val="both"/>
        <w:rPr/>
      </w:pPr>
      <w:r>
        <w:rPr>
          <w:color w:val="000000"/>
        </w:rPr>
        <w:t>“</w:t>
      </w:r>
      <w:r>
        <w:rPr>
          <w:rFonts w:ascii="Times New Roman;sans-serif" w:hAnsi="Times New Roman;sans-serif"/>
          <w:b w:val="false"/>
          <w:color w:val="000000"/>
          <w:sz w:val="24"/>
          <w:u w:val="single"/>
        </w:rPr>
        <w:t>Revolving Facility</w:t>
      </w:r>
      <w:r>
        <w:rPr>
          <w:color w:val="000000"/>
        </w:rPr>
        <w:t xml:space="preserve">” </w:t>
      </w:r>
      <w:r>
        <w:rPr>
          <w:rFonts w:ascii="Times New Roman;sans-serif" w:hAnsi="Times New Roman;sans-serif"/>
          <w:b w:val="false"/>
          <w:color w:val="000000"/>
          <w:sz w:val="24"/>
        </w:rPr>
        <w:t>shall mean the Revolving Facility Commitments of any Class and the extensions of credit made hereunder by the Revolving Facility Lenders of such Class and, for purposes of Section 9.08(b), shall refer to all such Revolving Facility Commitments as a single Class.</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val="false"/>
          <w:color w:val="000000"/>
          <w:sz w:val="24"/>
          <w:u w:val="single"/>
        </w:rPr>
        <w:t>Revolving Facility Administrative Agent</w:t>
      </w:r>
      <w:r>
        <w:rPr>
          <w:color w:val="000000"/>
        </w:rPr>
        <w:t xml:space="preserve">” </w:t>
      </w:r>
      <w:r>
        <w:rPr>
          <w:rFonts w:ascii="Times New Roman;sans-serif" w:hAnsi="Times New Roman;sans-serif"/>
          <w:b w:val="false"/>
          <w:color w:val="000000"/>
          <w:sz w:val="24"/>
        </w:rPr>
        <w:t>shall have the meaning assigned to such term in the introductory paragraph of this Agreement.</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val="false"/>
          <w:color w:val="000000"/>
          <w:sz w:val="24"/>
          <w:u w:val="single"/>
        </w:rPr>
        <w:t>Revolving Facility Borrowing</w:t>
      </w:r>
      <w:r>
        <w:rPr>
          <w:color w:val="000000"/>
        </w:rPr>
        <w:t xml:space="preserve">” </w:t>
      </w:r>
      <w:r>
        <w:rPr>
          <w:rFonts w:ascii="Times New Roman;sans-serif" w:hAnsi="Times New Roman;sans-serif"/>
          <w:b w:val="false"/>
          <w:color w:val="000000"/>
          <w:sz w:val="24"/>
        </w:rPr>
        <w:t>shall mean a Borrowing comprised of Revolving Facility Loans of the same Class.</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val="false"/>
          <w:color w:val="000000"/>
          <w:sz w:val="24"/>
          <w:u w:val="single"/>
        </w:rPr>
        <w:t>Revolving Facility Commitment</w:t>
      </w:r>
      <w:r>
        <w:rPr>
          <w:color w:val="000000"/>
        </w:rPr>
        <w:t xml:space="preserve">” </w:t>
      </w:r>
      <w:r>
        <w:rPr>
          <w:rFonts w:ascii="Times New Roman;sans-serif" w:hAnsi="Times New Roman;sans-serif"/>
          <w:b w:val="false"/>
          <w:color w:val="000000"/>
          <w:sz w:val="24"/>
        </w:rPr>
        <w:t>shall mean, with respect to each Revolving Facility Lender, the commitment of such Revolving Facility Lender to make Revolving Facility Loans pursuant to Section 2.01(b), expressed as an amount representing the maximum aggregate permitted amount of such Revolving Facility Lender’s Revolving Facility Credit Exposure hereunder, as such commitment may be (a) reduced from time to time pursuant to Section 2.08,</w:t>
      </w:r>
    </w:p>
    <w:p>
      <w:pPr>
        <w:pStyle w:val="TextBody"/>
        <w:bidi w:val="0"/>
        <w:spacing w:lineRule="auto" w:line="240" w:before="0" w:after="0"/>
        <w:jc w:val="both"/>
        <w:rPr/>
      </w:pPr>
      <w:r>
        <w:rPr>
          <w:rFonts w:ascii="Times New Roman;sans-serif" w:hAnsi="Times New Roman;sans-serif"/>
          <w:b w:val="false"/>
          <w:color w:val="000000"/>
          <w:sz w:val="24"/>
        </w:rPr>
        <w:t xml:space="preserve">(b) reduced or increased from time to time pursuant to assignments by or to such Lender under Section 9.04, and (c) increased, extended or replaced as provided under Section 2.21, 2.22 or 2.23. The initial amount of each Lender’s Revolving Facility Commitment on the Closing Date is set forth on </w:t>
      </w:r>
      <w:r>
        <w:rPr>
          <w:rFonts w:ascii="Times New Roman;sans-serif" w:hAnsi="Times New Roman;sans-serif"/>
          <w:b w:val="false"/>
          <w:color w:val="000000"/>
          <w:sz w:val="24"/>
          <w:u w:val="single"/>
        </w:rPr>
        <w:t>Schedule 2.01</w:t>
      </w:r>
      <w:r>
        <w:rPr>
          <w:rFonts w:ascii="Times New Roman;sans-serif" w:hAnsi="Times New Roman;sans-serif"/>
          <w:b w:val="false"/>
          <w:color w:val="000000"/>
          <w:sz w:val="24"/>
        </w:rPr>
        <w:t>, or in the Assignment and Acceptance, Incremental Assumption Agreement, Extension Amendment or Refinancing Amendment pursuant to which such Lender shall have assumed its Revolving Facility Commitment, as applicable. The aggregate amount of the Lenders’ Revolving Facility Commitments on the Closing Date is $175,000,000.</w:t>
      </w:r>
    </w:p>
    <w:p>
      <w:pPr>
        <w:pStyle w:val="TextBody"/>
        <w:bidi w:val="0"/>
        <w:spacing w:lineRule="auto" w:line="240" w:before="241" w:after="283"/>
        <w:ind w:left="0" w:right="0" w:firstLine="720"/>
        <w:jc w:val="both"/>
        <w:rPr/>
      </w:pPr>
      <w:r>
        <w:rPr>
          <w:color w:val="000000"/>
        </w:rPr>
        <w:t>“</w:t>
      </w:r>
      <w:r>
        <w:rPr>
          <w:rFonts w:ascii="Times New Roman;sans-serif" w:hAnsi="Times New Roman;sans-serif"/>
          <w:b w:val="false"/>
          <w:color w:val="000000"/>
          <w:sz w:val="24"/>
          <w:u w:val="single"/>
        </w:rPr>
        <w:t>Revolving Facility Credit Exposure</w:t>
      </w:r>
      <w:r>
        <w:rPr>
          <w:color w:val="000000"/>
        </w:rPr>
        <w:t xml:space="preserve">” </w:t>
      </w:r>
      <w:r>
        <w:rPr>
          <w:rFonts w:ascii="Times New Roman;sans-serif" w:hAnsi="Times New Roman;sans-serif"/>
          <w:b w:val="false"/>
          <w:color w:val="000000"/>
          <w:sz w:val="24"/>
        </w:rPr>
        <w:t xml:space="preserve">shall mean, at any time with respect to any Class of Revolving Facility Commitments, the sum of (a) the aggregate principal amount of the Revolving Facility Loans of such Class outstanding at such time, (b) the Swingline Exposure applicable to such Class at such time and (c) the Revolving L/C Exposure applicable to such Class at such time </w:t>
      </w:r>
      <w:r>
        <w:rPr>
          <w:rFonts w:ascii="Times New Roman;sans-serif" w:hAnsi="Times New Roman;sans-serif"/>
          <w:b w:val="false"/>
          <w:color w:val="000000"/>
          <w:sz w:val="24"/>
          <w:u w:val="single"/>
        </w:rPr>
        <w:t>minus</w:t>
      </w:r>
      <w:r>
        <w:rPr>
          <w:rFonts w:ascii="Times New Roman;sans-serif" w:hAnsi="Times New Roman;sans-serif"/>
          <w:b w:val="false"/>
          <w:color w:val="000000"/>
          <w:sz w:val="24"/>
        </w:rPr>
        <w:t>, for the purpose of the Financial Covenant only and only if all Revolving Facility Commitments shall have been terminated, the amount of Letters of Credit that have been Cash Collateralized in an amount equal to the Minimum L/C Collateral Amount at such time. The Revolving Facility Credit Exposure of any Revolving Facility Lender at any time shall be the product of (x) such Revolving Facility Lender’s Revolving Facility Percentage of the applicable Class and (y) the aggregate Revolving Facility Credit Exposure of such Class of all Revolving Facility Lenders, collectively, at such time.</w:t>
      </w:r>
    </w:p>
    <w:p>
      <w:pPr>
        <w:pStyle w:val="TextBody"/>
        <w:bidi w:val="0"/>
        <w:spacing w:lineRule="auto" w:line="240" w:before="239" w:after="283"/>
        <w:ind w:left="0" w:right="0" w:firstLine="720"/>
        <w:jc w:val="both"/>
        <w:rPr/>
      </w:pPr>
      <w:r>
        <w:rPr>
          <w:color w:val="000000"/>
        </w:rPr>
        <w:t>“</w:t>
      </w:r>
      <w:r>
        <w:rPr>
          <w:rFonts w:ascii="Times New Roman;sans-serif" w:hAnsi="Times New Roman;sans-serif"/>
          <w:b w:val="false"/>
          <w:color w:val="000000"/>
          <w:sz w:val="24"/>
          <w:u w:val="single"/>
        </w:rPr>
        <w:t>Revolving Facility Lender</w:t>
      </w:r>
      <w:r>
        <w:rPr>
          <w:color w:val="000000"/>
        </w:rPr>
        <w:t xml:space="preserve">” </w:t>
      </w:r>
      <w:r>
        <w:rPr>
          <w:rFonts w:ascii="Times New Roman;sans-serif" w:hAnsi="Times New Roman;sans-serif"/>
          <w:b w:val="false"/>
          <w:color w:val="000000"/>
          <w:sz w:val="24"/>
        </w:rPr>
        <w:t>shall mean a Lender with a Revolving Facility Commitment or with outstanding Revolving Facility Loans.</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val="false"/>
          <w:color w:val="000000"/>
          <w:sz w:val="24"/>
          <w:u w:val="single"/>
        </w:rPr>
        <w:t>Revolving Facility Loan</w:t>
      </w:r>
      <w:r>
        <w:rPr>
          <w:color w:val="000000"/>
        </w:rPr>
        <w:t xml:space="preserve">” </w:t>
      </w:r>
      <w:r>
        <w:rPr>
          <w:rFonts w:ascii="Times New Roman;sans-serif" w:hAnsi="Times New Roman;sans-serif"/>
          <w:b w:val="false"/>
          <w:color w:val="000000"/>
          <w:sz w:val="24"/>
        </w:rPr>
        <w:t>shall mean a Loan made by a Revolving Facility Lender pursuant to Section 2.01(b). Unless the context otherwise requires, the term “Revolving Facility Loans” shall include the Other Revolving Loans.</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val="false"/>
          <w:color w:val="000000"/>
          <w:sz w:val="24"/>
          <w:u w:val="single"/>
        </w:rPr>
        <w:t>Revolving Facility Maturity Date</w:t>
      </w:r>
      <w:r>
        <w:rPr>
          <w:color w:val="000000"/>
        </w:rPr>
        <w:t xml:space="preserve">” </w:t>
      </w:r>
      <w:r>
        <w:rPr>
          <w:rFonts w:ascii="Times New Roman;sans-serif" w:hAnsi="Times New Roman;sans-serif"/>
          <w:b w:val="false"/>
          <w:color w:val="000000"/>
          <w:sz w:val="24"/>
        </w:rPr>
        <w:t>shall mean, as the context may require, (a) with respect to the Revolving Facility in effect on the Closing Date, February 6, 2029 and (b) with respect to any other Classes of Revolving Facility Commitments, the maturity dates specified therefor in the applicable Extension Amendment or Refinancing Amendment.</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6480175" cy="781050"/>
                <wp:effectExtent l="0" t="0" r="0" b="0"/>
                <wp:wrapNone/>
                <wp:docPr id="275" name="Frame274"/>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73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73</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ind w:left="0" w:right="0" w:firstLine="720"/>
        <w:jc w:val="both"/>
        <w:rPr/>
      </w:pPr>
      <w:r>
        <w:rPr>
          <w:color w:val="000000"/>
        </w:rPr>
        <w:t>“</w:t>
      </w:r>
      <w:r>
        <w:rPr>
          <w:rFonts w:ascii="Times New Roman;sans-serif" w:hAnsi="Times New Roman;sans-serif"/>
          <w:b w:val="false"/>
          <w:color w:val="000000"/>
          <w:sz w:val="24"/>
          <w:u w:val="single"/>
        </w:rPr>
        <w:t>Revolving Facility Percentage</w:t>
      </w:r>
      <w:r>
        <w:rPr>
          <w:color w:val="000000"/>
        </w:rPr>
        <w:t xml:space="preserve">” </w:t>
      </w:r>
      <w:r>
        <w:rPr>
          <w:rFonts w:ascii="Times New Roman;sans-serif" w:hAnsi="Times New Roman;sans-serif"/>
          <w:b w:val="false"/>
          <w:color w:val="000000"/>
          <w:sz w:val="24"/>
        </w:rPr>
        <w:t>shall mean, with respect to any Revolving Facility Lender of any Class, the percentage of the total Revolving Facility Commitments of such Class represented by such Lender’s Revolving Facility Commitment of such Class. If the Revolving Facility Commitments of such Class have terminated or expired, the Revolving Facility Percentages of such Class shall be determined based upon the Revolving Facility Commitments of such Class most recently in effect, giving effect to any assignments pursuant to Section 9.04.</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val="false"/>
          <w:color w:val="000000"/>
          <w:sz w:val="24"/>
          <w:u w:val="single"/>
        </w:rPr>
        <w:t>Revolving L/C Exposure</w:t>
      </w:r>
      <w:r>
        <w:rPr>
          <w:color w:val="000000"/>
        </w:rPr>
        <w:t xml:space="preserve">” </w:t>
      </w:r>
      <w:r>
        <w:rPr>
          <w:rFonts w:ascii="Times New Roman;sans-serif" w:hAnsi="Times New Roman;sans-serif"/>
          <w:b w:val="false"/>
          <w:color w:val="000000"/>
          <w:sz w:val="24"/>
        </w:rPr>
        <w:t>of any Revolving Facility of any Class shall mean at any time the aggregate L/C Obligations under such Revolving Facility at such time. The Revolving L/C Exposure of any Revolving Facility Lender under any Revolving Facility at any time shall mean its applicable Revolving Facility Percentage of the aggregate Revolving L/C Exposure under such Revolving Facility at such time.</w:t>
      </w:r>
    </w:p>
    <w:p>
      <w:pPr>
        <w:pStyle w:val="TextBody"/>
        <w:bidi w:val="0"/>
        <w:spacing w:lineRule="auto" w:line="240" w:before="240" w:after="283"/>
        <w:jc w:val="left"/>
        <w:rPr/>
      </w:pPr>
      <w:r>
        <w:rPr>
          <w:color w:val="000000"/>
        </w:rPr>
        <w:t>“</w:t>
      </w:r>
      <w:r>
        <w:rPr>
          <w:rFonts w:ascii="Times New Roman;sans-serif" w:hAnsi="Times New Roman;sans-serif"/>
          <w:b w:val="false"/>
          <w:color w:val="000000"/>
          <w:sz w:val="24"/>
          <w:u w:val="single"/>
        </w:rPr>
        <w:t>S&amp;P</w:t>
      </w:r>
      <w:r>
        <w:rPr>
          <w:color w:val="000000"/>
        </w:rPr>
        <w:t xml:space="preserve">” </w:t>
      </w:r>
      <w:r>
        <w:rPr>
          <w:rFonts w:ascii="Times New Roman;sans-serif" w:hAnsi="Times New Roman;sans-serif"/>
          <w:b w:val="false"/>
          <w:color w:val="000000"/>
          <w:sz w:val="24"/>
        </w:rPr>
        <w:t>shall mean Standard &amp; Poor’s Ratings Group, Inc.</w:t>
      </w:r>
    </w:p>
    <w:p>
      <w:pPr>
        <w:pStyle w:val="TextBody"/>
        <w:bidi w:val="0"/>
        <w:spacing w:lineRule="auto" w:line="240" w:before="240" w:after="283"/>
        <w:ind w:left="0" w:right="0" w:firstLine="720"/>
        <w:jc w:val="left"/>
        <w:rPr/>
      </w:pPr>
      <w:r>
        <w:rPr>
          <w:color w:val="000000"/>
        </w:rPr>
        <w:t>“</w:t>
      </w:r>
      <w:r>
        <w:rPr>
          <w:rFonts w:ascii="Times New Roman;sans-serif" w:hAnsi="Times New Roman;sans-serif"/>
          <w:b w:val="false"/>
          <w:color w:val="000000"/>
          <w:sz w:val="24"/>
          <w:u w:val="single"/>
        </w:rPr>
        <w:t>Sanctioned Country</w:t>
      </w:r>
      <w:r>
        <w:rPr>
          <w:color w:val="000000"/>
        </w:rPr>
        <w:t xml:space="preserve">” </w:t>
      </w:r>
      <w:r>
        <w:rPr>
          <w:rFonts w:ascii="Times New Roman;sans-serif" w:hAnsi="Times New Roman;sans-serif"/>
          <w:b w:val="false"/>
          <w:color w:val="000000"/>
          <w:sz w:val="24"/>
        </w:rPr>
        <w:t>shall mean, at any time, a country or territory which is itself the subject or target of any Sanctions (at the time of this Agreement, the so-called Donetsk People’s Republic, the so-called Luhansk People’s Republic, the Crimea region of Ukraine, the Zaporizhzhia region of Ukraine, the Kherson region of Ukraine, Cuba, Iran, North Korea and Syria).</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val="false"/>
          <w:color w:val="000000"/>
          <w:sz w:val="24"/>
          <w:u w:val="single"/>
        </w:rPr>
        <w:t>Sanctions</w:t>
      </w:r>
      <w:r>
        <w:rPr>
          <w:color w:val="000000"/>
        </w:rPr>
        <w:t xml:space="preserve">” </w:t>
      </w:r>
      <w:r>
        <w:rPr>
          <w:rFonts w:ascii="Times New Roman;sans-serif" w:hAnsi="Times New Roman;sans-serif"/>
          <w:b w:val="false"/>
          <w:color w:val="000000"/>
          <w:sz w:val="24"/>
        </w:rPr>
        <w:t>shall mean economic or financial sanctions or trade embargoes imposed, administered or enforced from time to time by (a) the U.S. government, including those administered by the Office of Foreign Assets Control of the U.S. Department of the Treasury or the U.S. Department of State, (b) His Majesty’s Treasury, (c) the European Union or (d) the United Nations Security Council.</w:t>
      </w:r>
    </w:p>
    <w:p>
      <w:pPr>
        <w:pStyle w:val="TextBody"/>
        <w:bidi w:val="0"/>
        <w:spacing w:lineRule="auto" w:line="240" w:before="241" w:after="283"/>
        <w:ind w:left="0" w:right="0" w:firstLine="720"/>
        <w:jc w:val="both"/>
        <w:rPr/>
      </w:pPr>
      <w:r>
        <w:rPr>
          <w:color w:val="000000"/>
        </w:rPr>
        <w:t>“</w:t>
      </w:r>
      <w:r>
        <w:rPr>
          <w:rFonts w:ascii="Times New Roman;sans-serif" w:hAnsi="Times New Roman;sans-serif"/>
          <w:b w:val="false"/>
          <w:color w:val="000000"/>
          <w:sz w:val="24"/>
          <w:u w:val="single"/>
        </w:rPr>
        <w:t>Screened Affiliate</w:t>
      </w:r>
      <w:r>
        <w:rPr>
          <w:color w:val="000000"/>
        </w:rPr>
        <w:t xml:space="preserve">” </w:t>
      </w:r>
      <w:r>
        <w:rPr>
          <w:rFonts w:ascii="Times New Roman;sans-serif" w:hAnsi="Times New Roman;sans-serif"/>
          <w:b w:val="false"/>
          <w:color w:val="000000"/>
          <w:sz w:val="24"/>
        </w:rPr>
        <w:t xml:space="preserve">means any Affiliate of a Lender (i) that makes investment decisions independently from such Lender and any other Affiliate of such Lender that is not a Screened Affiliate (and such Lender and any other Affiliate of such Lender that is not a Screened Affiliate shall make investment decisions independently from such Screened Affiliates), (ii) that has in place customary information screens between it and such Lender and any other Affiliate of such Lender that is not a Screened Affiliate and such screens prohibit the sharing of information with respect to the Borrower or its Subsidiaries between or among (x) such Lender and any other Affiliates of such Lender that are not Screened Affiliates and (y) any Screened Affiliate, (iii) whose investment policies are not directed by such Lender or any other Affiliate of such Lender that is not a Screened Affiliate in connection with its investment in the Loans, (iv) who does not have the ability to influence the investment policies of such Lender or any other Affiliate of such Lender that is not a Screened Affiliate in connection with such Lender’s or any Affiliate of such Lender’s investment in the Loans and (v) whose investment decisions are not influenced by the investment decisions of such Lender or any other Affiliate of such Lender in connection with its investment in the Loans;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that such Lender shall have no knowledge of such Screened Affiliate’s holdings or investment positions and such Screened Affiliate shall have no knowledge of such Lender’s holdings or investment positions (other than, in each case, a limited number of senior employees who are required, in accordance with industry regulations or such Lender’s (or such Screened Affiliate’s) internal policies and procedures, to act in a supervisory capacity and such Lenders’ internal legal, compliance or risk management committee members). No Affiliate of a</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6480175" cy="781050"/>
                <wp:effectExtent l="0" t="0" r="0" b="0"/>
                <wp:wrapNone/>
                <wp:docPr id="276" name="Frame275"/>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74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74</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jc w:val="both"/>
        <w:rPr>
          <w:rFonts w:ascii="Times New Roman;sans-serif" w:hAnsi="Times New Roman;sans-serif"/>
          <w:b w:val="false"/>
          <w:color w:val="000000"/>
          <w:sz w:val="24"/>
        </w:rPr>
      </w:pPr>
      <w:r>
        <w:rPr>
          <w:rFonts w:ascii="Times New Roman;sans-serif" w:hAnsi="Times New Roman;sans-serif"/>
          <w:b w:val="false"/>
          <w:color w:val="000000"/>
          <w:sz w:val="24"/>
        </w:rPr>
        <w:t>Lender shall be considered a Screened Affiliate unless and until the applicable Lender has provided the Borrower and the Administrative Agent with written certification or deemed certification of such Screened Affiliate’s compliance with the requirements of a Screened Affiliate under this definition.</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val="false"/>
          <w:color w:val="000000"/>
          <w:sz w:val="24"/>
          <w:u w:val="single"/>
        </w:rPr>
        <w:t>Secured Cash Management Agreement</w:t>
      </w:r>
      <w:r>
        <w:rPr>
          <w:color w:val="000000"/>
        </w:rPr>
        <w:t xml:space="preserve">” </w:t>
      </w:r>
      <w:r>
        <w:rPr>
          <w:rFonts w:ascii="Times New Roman;sans-serif" w:hAnsi="Times New Roman;sans-serif"/>
          <w:b w:val="false"/>
          <w:color w:val="000000"/>
          <w:sz w:val="24"/>
        </w:rPr>
        <w:t>shall mean any Cash Management Agreement that is entered into by and between the Borrower or any Subsidiary and any Cash Management Bank, including any such Cash Management Agreement that is in effect on the Closing Date, that is designated in writing by the Borrower and such Cash Management Bank to the Administrative Agent as a Secured Cash Management Agreement.</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val="false"/>
          <w:color w:val="000000"/>
          <w:sz w:val="24"/>
          <w:u w:val="single"/>
        </w:rPr>
        <w:t>Secured Hedge Agreement</w:t>
      </w:r>
      <w:r>
        <w:rPr>
          <w:color w:val="000000"/>
        </w:rPr>
        <w:t xml:space="preserve">” </w:t>
      </w:r>
      <w:r>
        <w:rPr>
          <w:rFonts w:ascii="Times New Roman;sans-serif" w:hAnsi="Times New Roman;sans-serif"/>
          <w:b w:val="false"/>
          <w:color w:val="000000"/>
          <w:sz w:val="24"/>
        </w:rPr>
        <w:t>shall mean any Hedging Agreement that is entered into by and between the Borrower or any Subsidiary and any Hedge Bank, including any such Hedging Agreement that is in effect on the Closing Date, that is designated in writing by the Borrower and such Hedge Bank to the Administrative Agent as a Secured Hedge Agreement. Notwithstanding the foregoing, for all purposes of the Loan Documents, any Guarantee of, or grant of any Lien to secure, any obligations in respect of a Secured Hedge Agreement by a Guarantor shall not include any Excluded Swap Obligations with respect to such Guarantor.</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val="false"/>
          <w:color w:val="000000"/>
          <w:sz w:val="24"/>
          <w:u w:val="single"/>
        </w:rPr>
        <w:t>Secured Net Leverage Ratio</w:t>
      </w:r>
      <w:r>
        <w:rPr>
          <w:color w:val="000000"/>
        </w:rPr>
        <w:t xml:space="preserve">” </w:t>
      </w:r>
      <w:r>
        <w:rPr>
          <w:rFonts w:ascii="Times New Roman;sans-serif" w:hAnsi="Times New Roman;sans-serif"/>
          <w:b w:val="false"/>
          <w:color w:val="000000"/>
          <w:sz w:val="24"/>
        </w:rPr>
        <w:t xml:space="preserve">shall mean, as of any date of determination, the ratio of (i) Consolidated Total Debt that is secured by a Lien on any assets of the Borrower or any of its Subsidiaries to (ii) EBITDA of the Borrower and its Subsidiaries for the most recently ended Test Period on or prior to such date, all determined on a consolidated basis in accordance with GAAP;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that the Secured Net Leverage Ratio shall be determined on a Pro Forma Basis.</w:t>
      </w:r>
    </w:p>
    <w:p>
      <w:pPr>
        <w:pStyle w:val="TextBody"/>
        <w:bidi w:val="0"/>
        <w:spacing w:lineRule="auto" w:line="240" w:before="241" w:after="283"/>
        <w:ind w:left="0" w:right="0" w:firstLine="720"/>
        <w:jc w:val="both"/>
        <w:rPr/>
      </w:pPr>
      <w:r>
        <w:rPr>
          <w:color w:val="000000"/>
        </w:rPr>
        <w:t>“</w:t>
      </w:r>
      <w:r>
        <w:rPr>
          <w:rFonts w:ascii="Times New Roman;sans-serif" w:hAnsi="Times New Roman;sans-serif"/>
          <w:b w:val="false"/>
          <w:color w:val="000000"/>
          <w:sz w:val="24"/>
          <w:u w:val="single"/>
        </w:rPr>
        <w:t>Secured Parties</w:t>
      </w:r>
      <w:r>
        <w:rPr>
          <w:color w:val="000000"/>
        </w:rPr>
        <w:t xml:space="preserve">” </w:t>
      </w:r>
      <w:r>
        <w:rPr>
          <w:rFonts w:ascii="Times New Roman;sans-serif" w:hAnsi="Times New Roman;sans-serif"/>
          <w:b w:val="false"/>
          <w:color w:val="000000"/>
          <w:sz w:val="24"/>
        </w:rPr>
        <w:t>shall mean, collectively, the Administrative Agent, the Collateral Agent, each Lender, each Swingline Lender, each Issuing Bank, each Hedge Bank that is party to any Secured Hedge Agreement, each Cash Management Bank that is party to any Secured Cash Management Agreement and each Subagent appointed pursuant to Section 8.02 by the Administrative Agent with respect to matters relating to the Loan Documents or by the Collateral Agent with respect to matters relating to any Security Document.</w:t>
      </w:r>
    </w:p>
    <w:p>
      <w:pPr>
        <w:pStyle w:val="TextBody"/>
        <w:bidi w:val="0"/>
        <w:spacing w:lineRule="auto" w:line="240" w:before="238" w:after="283"/>
        <w:jc w:val="left"/>
        <w:rPr/>
      </w:pPr>
      <w:r>
        <w:rPr>
          <w:color w:val="000000"/>
        </w:rPr>
        <w:t>“</w:t>
      </w:r>
      <w:r>
        <w:rPr>
          <w:rFonts w:ascii="Times New Roman;sans-serif" w:hAnsi="Times New Roman;sans-serif"/>
          <w:b w:val="false"/>
          <w:color w:val="000000"/>
          <w:sz w:val="24"/>
          <w:u w:val="single"/>
        </w:rPr>
        <w:t>Securities Act</w:t>
      </w:r>
      <w:r>
        <w:rPr>
          <w:color w:val="000000"/>
        </w:rPr>
        <w:t xml:space="preserve">” </w:t>
      </w:r>
      <w:r>
        <w:rPr>
          <w:rFonts w:ascii="Times New Roman;sans-serif" w:hAnsi="Times New Roman;sans-serif"/>
          <w:b w:val="false"/>
          <w:color w:val="000000"/>
          <w:sz w:val="24"/>
        </w:rPr>
        <w:t>shall mean the Securities Act of 1933, as amended.</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val="false"/>
          <w:color w:val="000000"/>
          <w:sz w:val="24"/>
          <w:u w:val="single"/>
        </w:rPr>
        <w:t>Security Documents</w:t>
      </w:r>
      <w:r>
        <w:rPr>
          <w:color w:val="000000"/>
        </w:rPr>
        <w:t xml:space="preserve">” </w:t>
      </w:r>
      <w:r>
        <w:rPr>
          <w:rFonts w:ascii="Times New Roman;sans-serif" w:hAnsi="Times New Roman;sans-serif"/>
          <w:b w:val="false"/>
          <w:color w:val="000000"/>
          <w:sz w:val="24"/>
        </w:rPr>
        <w:t>shall mean the Collateral Agreement, each Notice of Grant of Security Interest in Intellectual Property (as defined in the Collateral Agreement), the Mortgages, and each other security agreement, pledge agreement or other instruments or documents executed and delivered pursuant to the foregoing or entered into or delivered after the Closing Date to the extent required by this Agreement or any other Loan Document, including pursuant to Section 5.10.</w:t>
      </w:r>
    </w:p>
    <w:p>
      <w:pPr>
        <w:pStyle w:val="TextBody"/>
        <w:bidi w:val="0"/>
        <w:spacing w:lineRule="auto" w:line="240" w:before="241" w:after="283"/>
        <w:ind w:left="0" w:right="0" w:firstLine="720"/>
        <w:jc w:val="both"/>
        <w:rPr/>
      </w:pPr>
      <w:r>
        <w:rPr>
          <w:color w:val="000000"/>
        </w:rPr>
        <w:t>“</w:t>
      </w:r>
      <w:r>
        <w:rPr>
          <w:rFonts w:ascii="Times New Roman;sans-serif" w:hAnsi="Times New Roman;sans-serif"/>
          <w:b w:val="false"/>
          <w:color w:val="000000"/>
          <w:sz w:val="24"/>
          <w:u w:val="single"/>
        </w:rPr>
        <w:t>Significant Subsidiary</w:t>
      </w:r>
      <w:r>
        <w:rPr>
          <w:color w:val="000000"/>
        </w:rPr>
        <w:t xml:space="preserve">” </w:t>
      </w:r>
      <w:r>
        <w:rPr>
          <w:rFonts w:ascii="Times New Roman;sans-serif" w:hAnsi="Times New Roman;sans-serif"/>
          <w:b w:val="false"/>
          <w:color w:val="000000"/>
          <w:sz w:val="24"/>
        </w:rPr>
        <w:t>shall mean each Subsidiary as to which a specified circumstance exists relating to a “Significant Subsidiary” that (when taken together with any other Subsidiaries as to which such circumstance then exists) (a) for the four fiscal quarter period of the Borrowing ending as of the last day of the fiscal quarter of the Borrower most recently ended for which financial statements (or pro forma financial statements, as applicable) have been (or were required to be) delivered pursuant to Section 4.01(i), 5.04(a) or 5.04(b), accounted for at least 5% of the</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6480175" cy="781050"/>
                <wp:effectExtent l="0" t="0" r="0" b="0"/>
                <wp:wrapNone/>
                <wp:docPr id="277" name="Frame276"/>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75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75</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jc w:val="both"/>
        <w:rPr>
          <w:rFonts w:ascii="Times New Roman;sans-serif" w:hAnsi="Times New Roman;sans-serif"/>
          <w:b w:val="false"/>
          <w:color w:val="000000"/>
          <w:sz w:val="24"/>
        </w:rPr>
      </w:pPr>
      <w:r>
        <w:rPr>
          <w:rFonts w:ascii="Times New Roman;sans-serif" w:hAnsi="Times New Roman;sans-serif"/>
          <w:b w:val="false"/>
          <w:color w:val="000000"/>
          <w:sz w:val="24"/>
        </w:rPr>
        <w:t>combined EBITDA of the Borrower, consolidated with its Subsidiaries, for the last four fiscal quarters then ended or (b) as of the last day of the fiscal quarter of the Borrower most recently ended for which financial statements (or pro forma financial statements, as applicable) have been (or were required to be) delivered pursuant to Section 4.01(i), 5.04(a) or 5.04(b), has assets which represent at least 5% of Consolidated Total Assets.</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val="false"/>
          <w:color w:val="000000"/>
          <w:sz w:val="24"/>
          <w:u w:val="single"/>
        </w:rPr>
        <w:t>Similar Business</w:t>
      </w:r>
      <w:r>
        <w:rPr>
          <w:color w:val="000000"/>
        </w:rPr>
        <w:t xml:space="preserve">” </w:t>
      </w:r>
      <w:r>
        <w:rPr>
          <w:rFonts w:ascii="Times New Roman;sans-serif" w:hAnsi="Times New Roman;sans-serif"/>
          <w:b w:val="false"/>
          <w:color w:val="000000"/>
          <w:sz w:val="24"/>
        </w:rPr>
        <w:t>shall mean (i) any business the majority of whose revenues are derived from business or activities conducted by the Borrower and its Subsidiaries on the Closing Date and (ii) any business that is a reasonable extension, development or expansion of any such business or any business similar, reasonably related, incidental, corollary, complementary, ancillary, synergistic or incidental to any of the foregoing.</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val="false"/>
          <w:color w:val="000000"/>
          <w:sz w:val="24"/>
          <w:u w:val="single"/>
        </w:rPr>
        <w:t>SOFR</w:t>
      </w:r>
      <w:r>
        <w:rPr>
          <w:color w:val="000000"/>
        </w:rPr>
        <w:t xml:space="preserve">” </w:t>
      </w:r>
      <w:r>
        <w:rPr>
          <w:rFonts w:ascii="Times New Roman;sans-serif" w:hAnsi="Times New Roman;sans-serif"/>
          <w:b w:val="false"/>
          <w:color w:val="000000"/>
          <w:sz w:val="24"/>
        </w:rPr>
        <w:t>shall mean a rate equal to the secured overnight financing rate as administered by the SOFR Administrator.</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val="false"/>
          <w:color w:val="000000"/>
          <w:sz w:val="24"/>
          <w:u w:val="single"/>
        </w:rPr>
        <w:t>SOFR Administrator</w:t>
      </w:r>
      <w:r>
        <w:rPr>
          <w:color w:val="000000"/>
        </w:rPr>
        <w:t xml:space="preserve">” </w:t>
      </w:r>
      <w:r>
        <w:rPr>
          <w:rFonts w:ascii="Times New Roman;sans-serif" w:hAnsi="Times New Roman;sans-serif"/>
          <w:b w:val="false"/>
          <w:color w:val="000000"/>
          <w:sz w:val="24"/>
        </w:rPr>
        <w:t>shall mean the Federal Reserve Bank of New York (or a successor administrator of the secured overnight financing rate).</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val="false"/>
          <w:color w:val="000000"/>
          <w:sz w:val="24"/>
          <w:u w:val="single"/>
        </w:rPr>
        <w:t>SOFR Administrator’s Website</w:t>
      </w:r>
      <w:r>
        <w:rPr>
          <w:color w:val="000000"/>
        </w:rPr>
        <w:t xml:space="preserve">” </w:t>
      </w:r>
      <w:r>
        <w:rPr>
          <w:rFonts w:ascii="Times New Roman;sans-serif" w:hAnsi="Times New Roman;sans-serif"/>
          <w:b w:val="false"/>
          <w:color w:val="000000"/>
          <w:sz w:val="24"/>
        </w:rPr>
        <w:t>shall mean the Federal Reserve Bank of New York’s website, currently at http://www.newyorkfed.org, or any successor source for the secured overnight financing rate identified as such by the SOFR Administrator from time to time.</w:t>
      </w:r>
    </w:p>
    <w:p>
      <w:pPr>
        <w:pStyle w:val="TextBody"/>
        <w:bidi w:val="0"/>
        <w:spacing w:lineRule="auto" w:line="520" w:before="240" w:after="283"/>
        <w:jc w:val="both"/>
        <w:rPr/>
      </w:pPr>
      <w:r>
        <w:rPr>
          <w:color w:val="000000"/>
        </w:rPr>
        <w:t>“</w:t>
      </w:r>
      <w:r>
        <w:rPr>
          <w:rFonts w:ascii="Times New Roman;sans-serif" w:hAnsi="Times New Roman;sans-serif"/>
          <w:b w:val="false"/>
          <w:color w:val="000000"/>
          <w:sz w:val="24"/>
          <w:u w:val="single"/>
        </w:rPr>
        <w:t>SOFR Determination Date</w:t>
      </w:r>
      <w:r>
        <w:rPr>
          <w:color w:val="000000"/>
        </w:rPr>
        <w:t xml:space="preserve">” </w:t>
      </w:r>
      <w:r>
        <w:rPr>
          <w:rFonts w:ascii="Times New Roman;sans-serif" w:hAnsi="Times New Roman;sans-serif"/>
          <w:b w:val="false"/>
          <w:color w:val="000000"/>
          <w:sz w:val="24"/>
        </w:rPr>
        <w:t>shall have the meaning assigned to such term in Section 2.14. “</w:t>
      </w:r>
      <w:r>
        <w:rPr>
          <w:rFonts w:ascii="Times New Roman;sans-serif" w:hAnsi="Times New Roman;sans-serif"/>
          <w:b w:val="false"/>
          <w:color w:val="000000"/>
          <w:sz w:val="24"/>
          <w:u w:val="single"/>
        </w:rPr>
        <w:t>SOFR Rate Day</w:t>
      </w:r>
      <w:r>
        <w:rPr>
          <w:color w:val="000000"/>
        </w:rPr>
        <w:t xml:space="preserve">” </w:t>
      </w:r>
      <w:r>
        <w:rPr>
          <w:rFonts w:ascii="Times New Roman;sans-serif" w:hAnsi="Times New Roman;sans-serif"/>
          <w:b w:val="false"/>
          <w:color w:val="000000"/>
          <w:sz w:val="24"/>
        </w:rPr>
        <w:t>shall have the meaning assigned to such term in Section 2.14.</w:t>
      </w:r>
    </w:p>
    <w:p>
      <w:pPr>
        <w:pStyle w:val="TextBody"/>
        <w:bidi w:val="0"/>
        <w:spacing w:lineRule="auto" w:line="240" w:before="0" w:after="0"/>
        <w:jc w:val="both"/>
        <w:rPr/>
      </w:pPr>
      <w:r>
        <w:rPr>
          <w:color w:val="000000"/>
        </w:rPr>
        <w:t>“</w:t>
      </w:r>
      <w:r>
        <w:rPr>
          <w:rFonts w:ascii="Times New Roman;sans-serif" w:hAnsi="Times New Roman;sans-serif"/>
          <w:b w:val="false"/>
          <w:color w:val="000000"/>
          <w:sz w:val="24"/>
          <w:u w:val="single"/>
        </w:rPr>
        <w:t>Soft Call Date</w:t>
      </w:r>
      <w:r>
        <w:rPr>
          <w:color w:val="000000"/>
        </w:rPr>
        <w:t xml:space="preserve">” </w:t>
      </w:r>
      <w:r>
        <w:rPr>
          <w:rFonts w:ascii="Times New Roman;sans-serif" w:hAnsi="Times New Roman;sans-serif"/>
          <w:b w:val="false"/>
          <w:color w:val="000000"/>
          <w:sz w:val="24"/>
        </w:rPr>
        <w:t>shall have the meaning assigned to such term in Section 2.12(d).</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val="false"/>
          <w:color w:val="000000"/>
          <w:sz w:val="24"/>
          <w:u w:val="single"/>
        </w:rPr>
        <w:t>Specified Representations</w:t>
      </w:r>
      <w:r>
        <w:rPr>
          <w:color w:val="000000"/>
        </w:rPr>
        <w:t xml:space="preserve">” </w:t>
      </w:r>
      <w:r>
        <w:rPr>
          <w:rFonts w:ascii="Times New Roman;sans-serif" w:hAnsi="Times New Roman;sans-serif"/>
          <w:b w:val="false"/>
          <w:color w:val="000000"/>
          <w:sz w:val="24"/>
        </w:rPr>
        <w:t>shall mean those representations and warranties of the Borrowers and the Guarantors set forth in Sections 3.01(a) (solely with respect to the Loan Parties), 3.01(d), 3.02(a), 3.02(b)(i)(B) (solely as it relates to the execution and delivery by the Borrower and each of the Guarantors of each of the Loan Documents to which it is a party, the borrowings and other extensions of credit hereunder on the date on which such representations and warranties are being made and the granting of the Liens in the Collateral pursuant to (and solely to the extent required under) the Loan Documents), 3.03, 3.10, 3.11, 3.17, 3.18, 3.23 and 3.24.</w:t>
      </w:r>
    </w:p>
    <w:p>
      <w:pPr>
        <w:pStyle w:val="TextBody"/>
        <w:bidi w:val="0"/>
        <w:spacing w:lineRule="auto" w:line="240" w:before="239" w:after="283"/>
        <w:jc w:val="both"/>
        <w:rPr/>
      </w:pPr>
      <w:r>
        <w:rPr>
          <w:color w:val="000000"/>
        </w:rPr>
        <w:t>“</w:t>
      </w:r>
      <w:r>
        <w:rPr>
          <w:rFonts w:ascii="Times New Roman;sans-serif" w:hAnsi="Times New Roman;sans-serif"/>
          <w:b w:val="false"/>
          <w:color w:val="000000"/>
          <w:sz w:val="24"/>
          <w:u w:val="single"/>
        </w:rPr>
        <w:t>Subagent</w:t>
      </w:r>
      <w:r>
        <w:rPr>
          <w:color w:val="000000"/>
        </w:rPr>
        <w:t xml:space="preserve">” </w:t>
      </w:r>
      <w:r>
        <w:rPr>
          <w:rFonts w:ascii="Times New Roman;sans-serif" w:hAnsi="Times New Roman;sans-serif"/>
          <w:b w:val="false"/>
          <w:color w:val="000000"/>
          <w:sz w:val="24"/>
        </w:rPr>
        <w:t>shall have the meaning assigned to such term in Section 8.02.</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val="false"/>
          <w:color w:val="000000"/>
          <w:sz w:val="24"/>
          <w:u w:val="single"/>
        </w:rPr>
        <w:t>Subordinated Indebtedness</w:t>
      </w:r>
      <w:r>
        <w:rPr>
          <w:color w:val="000000"/>
        </w:rPr>
        <w:t xml:space="preserve">” </w:t>
      </w:r>
      <w:r>
        <w:rPr>
          <w:rFonts w:ascii="Times New Roman;sans-serif" w:hAnsi="Times New Roman;sans-serif"/>
          <w:b w:val="false"/>
          <w:color w:val="000000"/>
          <w:sz w:val="24"/>
        </w:rPr>
        <w:t>shall mean (i) any Indebtedness of a Borrower that is contractually subordinated in right of payment to the Loan Obligations and (ii) any Indebtedness of any Guarantor that is contractually subordinated in right of payment to the Guarantee of such Guarantor of the Loan Obligations.</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val="false"/>
          <w:color w:val="000000"/>
          <w:sz w:val="24"/>
          <w:u w:val="single"/>
        </w:rPr>
        <w:t>subsidiary</w:t>
      </w:r>
      <w:r>
        <w:rPr>
          <w:color w:val="000000"/>
        </w:rPr>
        <w:t xml:space="preserve">” </w:t>
      </w:r>
      <w:r>
        <w:rPr>
          <w:rFonts w:ascii="Times New Roman;sans-serif" w:hAnsi="Times New Roman;sans-serif"/>
          <w:b w:val="false"/>
          <w:color w:val="000000"/>
          <w:sz w:val="24"/>
        </w:rPr>
        <w:t>shall mean, with respect to any person (referred to in this definition as the “parent”), any corporation, limited liability company, partnership, association or other business entity (a) of which securities or other ownership interests representing more than 50% of the ordinary voting power or more than 50% of the general partnership interests are, at the time any determination is being made, directly or indirectly, owned, Controlled or held, or (b) that is, at the</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6480175" cy="781050"/>
                <wp:effectExtent l="0" t="0" r="0" b="0"/>
                <wp:wrapNone/>
                <wp:docPr id="278" name="Frame277"/>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76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76</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jc w:val="both"/>
        <w:rPr>
          <w:rFonts w:ascii="Times New Roman;sans-serif" w:hAnsi="Times New Roman;sans-serif"/>
          <w:b w:val="false"/>
          <w:color w:val="000000"/>
          <w:sz w:val="24"/>
        </w:rPr>
      </w:pPr>
      <w:r>
        <w:rPr>
          <w:rFonts w:ascii="Times New Roman;sans-serif" w:hAnsi="Times New Roman;sans-serif"/>
          <w:b w:val="false"/>
          <w:color w:val="000000"/>
          <w:sz w:val="24"/>
        </w:rPr>
        <w:t>time any determination is made, otherwise Controlled, by the parent or one or more subsidiaries of the parent or by the parent and one or more subsidiaries of the parent.</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val="false"/>
          <w:color w:val="000000"/>
          <w:sz w:val="24"/>
          <w:u w:val="single"/>
        </w:rPr>
        <w:t>Subsidiary</w:t>
      </w:r>
      <w:r>
        <w:rPr>
          <w:color w:val="000000"/>
        </w:rPr>
        <w:t xml:space="preserve">” </w:t>
      </w:r>
      <w:r>
        <w:rPr>
          <w:rFonts w:ascii="Times New Roman;sans-serif" w:hAnsi="Times New Roman;sans-serif"/>
          <w:b w:val="false"/>
          <w:color w:val="000000"/>
          <w:sz w:val="24"/>
        </w:rPr>
        <w:t>shall mean, unless otherwise specified or unless the context otherwise requires, a subsidiary of the Borrower. Notwithstanding the foregoing (and except for purposes of the definition of “Unrestricted Subsidiary” contained herein) an Unrestricted Subsidiary shall be deemed not to be a Subsidiary of the Borrower or any of its Subsidiaries for purposes of this Agreement.</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val="false"/>
          <w:color w:val="000000"/>
          <w:sz w:val="24"/>
          <w:u w:val="single"/>
        </w:rPr>
        <w:t>Subsidiary Redesignation</w:t>
      </w:r>
      <w:r>
        <w:rPr>
          <w:color w:val="000000"/>
        </w:rPr>
        <w:t xml:space="preserve">” </w:t>
      </w:r>
      <w:r>
        <w:rPr>
          <w:rFonts w:ascii="Times New Roman;sans-serif" w:hAnsi="Times New Roman;sans-serif"/>
          <w:b w:val="false"/>
          <w:color w:val="000000"/>
          <w:sz w:val="24"/>
        </w:rPr>
        <w:t>shall have the meaning assigned to such term in the definition of “Unrestricted Subsidiary” in this Section 1.01.</w:t>
      </w:r>
    </w:p>
    <w:p>
      <w:pPr>
        <w:pStyle w:val="TextBody"/>
        <w:bidi w:val="0"/>
        <w:spacing w:lineRule="auto" w:line="592" w:before="6" w:after="283"/>
        <w:jc w:val="both"/>
        <w:rPr/>
      </w:pPr>
      <w:r>
        <w:rPr>
          <w:color w:val="000000"/>
        </w:rPr>
        <w:t>“</w:t>
      </w:r>
      <w:r>
        <w:rPr>
          <w:rFonts w:ascii="Times New Roman;sans-serif" w:hAnsi="Times New Roman;sans-serif"/>
          <w:b w:val="false"/>
          <w:color w:val="000000"/>
          <w:sz w:val="24"/>
          <w:u w:val="single"/>
        </w:rPr>
        <w:t>Successor Borrower</w:t>
      </w:r>
      <w:r>
        <w:rPr>
          <w:color w:val="000000"/>
        </w:rPr>
        <w:t xml:space="preserve">” </w:t>
      </w:r>
      <w:r>
        <w:rPr>
          <w:rFonts w:ascii="Times New Roman;sans-serif" w:hAnsi="Times New Roman;sans-serif"/>
          <w:b w:val="false"/>
          <w:color w:val="000000"/>
          <w:sz w:val="24"/>
        </w:rPr>
        <w:t>shall have the meaning assigned to such term in Section 6.05(q). “</w:t>
      </w:r>
      <w:r>
        <w:rPr>
          <w:rFonts w:ascii="Times New Roman;sans-serif" w:hAnsi="Times New Roman;sans-serif"/>
          <w:b w:val="false"/>
          <w:color w:val="000000"/>
          <w:sz w:val="24"/>
          <w:u w:val="single"/>
        </w:rPr>
        <w:t>Swap Obligation</w:t>
      </w:r>
      <w:r>
        <w:rPr>
          <w:color w:val="000000"/>
        </w:rPr>
        <w:t xml:space="preserve">” </w:t>
      </w:r>
      <w:r>
        <w:rPr>
          <w:rFonts w:ascii="Times New Roman;sans-serif" w:hAnsi="Times New Roman;sans-serif"/>
          <w:b w:val="false"/>
          <w:color w:val="000000"/>
          <w:sz w:val="24"/>
        </w:rPr>
        <w:t>shall mean, with respect to any Guarantor, any obligation to pay or</w:t>
      </w:r>
    </w:p>
    <w:p>
      <w:pPr>
        <w:pStyle w:val="TextBody"/>
        <w:bidi w:val="0"/>
        <w:spacing w:lineRule="auto" w:line="240" w:before="6" w:after="283"/>
        <w:jc w:val="both"/>
        <w:rPr>
          <w:rFonts w:ascii="Times New Roman;sans-serif" w:hAnsi="Times New Roman;sans-serif"/>
          <w:b w:val="false"/>
          <w:color w:val="000000"/>
          <w:sz w:val="24"/>
        </w:rPr>
      </w:pPr>
      <w:r>
        <w:rPr>
          <w:rFonts w:ascii="Times New Roman;sans-serif" w:hAnsi="Times New Roman;sans-serif"/>
          <w:b w:val="false"/>
          <w:color w:val="000000"/>
          <w:sz w:val="24"/>
        </w:rPr>
        <w:t>perform under any agreement, contract or transaction that constitutes a “swap” within the meaning of Section 1a(47) of the Commodity Exchange Act.</w:t>
      </w:r>
    </w:p>
    <w:p>
      <w:pPr>
        <w:pStyle w:val="TextBody"/>
        <w:bidi w:val="0"/>
        <w:spacing w:lineRule="auto" w:line="520" w:before="240" w:after="283"/>
        <w:jc w:val="both"/>
        <w:rPr/>
      </w:pPr>
      <w:r>
        <w:rPr>
          <w:color w:val="000000"/>
        </w:rPr>
        <w:t>“</w:t>
      </w:r>
      <w:r>
        <w:rPr>
          <w:rFonts w:ascii="Times New Roman;sans-serif" w:hAnsi="Times New Roman;sans-serif"/>
          <w:b w:val="false"/>
          <w:color w:val="000000"/>
          <w:sz w:val="24"/>
          <w:u w:val="single"/>
        </w:rPr>
        <w:t>SWIFT</w:t>
      </w:r>
      <w:r>
        <w:rPr>
          <w:color w:val="000000"/>
        </w:rPr>
        <w:t xml:space="preserve">” </w:t>
      </w:r>
      <w:r>
        <w:rPr>
          <w:rFonts w:ascii="Times New Roman;sans-serif" w:hAnsi="Times New Roman;sans-serif"/>
          <w:b w:val="false"/>
          <w:color w:val="000000"/>
          <w:sz w:val="24"/>
        </w:rPr>
        <w:t>shall have the meaning assigned to such term in Section 2.05(f). “</w:t>
      </w:r>
      <w:r>
        <w:rPr>
          <w:rFonts w:ascii="Times New Roman;sans-serif" w:hAnsi="Times New Roman;sans-serif"/>
          <w:b w:val="false"/>
          <w:color w:val="000000"/>
          <w:sz w:val="24"/>
          <w:u w:val="single"/>
        </w:rPr>
        <w:t>Swingline Borrowing</w:t>
      </w:r>
      <w:r>
        <w:rPr>
          <w:color w:val="000000"/>
        </w:rPr>
        <w:t xml:space="preserve">” </w:t>
      </w:r>
      <w:r>
        <w:rPr>
          <w:rFonts w:ascii="Times New Roman;sans-serif" w:hAnsi="Times New Roman;sans-serif"/>
          <w:b w:val="false"/>
          <w:color w:val="000000"/>
          <w:sz w:val="24"/>
        </w:rPr>
        <w:t>shall mean a Borrowing comprised of Swingline Loans.</w:t>
      </w:r>
    </w:p>
    <w:p>
      <w:pPr>
        <w:pStyle w:val="TextBody"/>
        <w:bidi w:val="0"/>
        <w:spacing w:lineRule="auto" w:line="240" w:before="0" w:after="0"/>
        <w:ind w:left="0" w:right="0" w:firstLine="720"/>
        <w:jc w:val="both"/>
        <w:rPr/>
      </w:pPr>
      <w:r>
        <w:rPr>
          <w:color w:val="000000"/>
        </w:rPr>
        <w:t>“</w:t>
      </w:r>
      <w:r>
        <w:rPr>
          <w:rFonts w:ascii="Times New Roman;sans-serif" w:hAnsi="Times New Roman;sans-serif"/>
          <w:b w:val="false"/>
          <w:color w:val="000000"/>
          <w:sz w:val="24"/>
          <w:u w:val="single"/>
        </w:rPr>
        <w:t>Swingline Borrowing Request</w:t>
      </w:r>
      <w:r>
        <w:rPr>
          <w:color w:val="000000"/>
        </w:rPr>
        <w:t xml:space="preserve">” </w:t>
      </w:r>
      <w:r>
        <w:rPr>
          <w:rFonts w:ascii="Times New Roman;sans-serif" w:hAnsi="Times New Roman;sans-serif"/>
          <w:b w:val="false"/>
          <w:color w:val="000000"/>
          <w:sz w:val="24"/>
        </w:rPr>
        <w:t xml:space="preserve">shall mean a request by the Borrower substantially in the form of </w:t>
      </w:r>
      <w:r>
        <w:rPr>
          <w:rFonts w:ascii="Times New Roman;sans-serif" w:hAnsi="Times New Roman;sans-serif"/>
          <w:b w:val="false"/>
          <w:color w:val="000000"/>
          <w:sz w:val="24"/>
          <w:u w:val="single"/>
        </w:rPr>
        <w:t>Exhibit D-2</w:t>
      </w:r>
      <w:r>
        <w:rPr>
          <w:color w:val="000000"/>
        </w:rPr>
        <w:t xml:space="preserve"> </w:t>
      </w:r>
      <w:r>
        <w:rPr>
          <w:rFonts w:ascii="Times New Roman;sans-serif" w:hAnsi="Times New Roman;sans-serif"/>
          <w:b w:val="false"/>
          <w:color w:val="000000"/>
          <w:sz w:val="24"/>
        </w:rPr>
        <w:t>or such other form (including any form on an electronic platform or electronic transmission system as shall be approved by the Swingline Lender) as shall be approved by the Swingline Lender and appropriately completed and signed by a Responsible Officer of the Borrower.</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val="false"/>
          <w:color w:val="000000"/>
          <w:sz w:val="24"/>
          <w:u w:val="single"/>
        </w:rPr>
        <w:t>Swingline Commitment</w:t>
      </w:r>
      <w:r>
        <w:rPr>
          <w:color w:val="000000"/>
        </w:rPr>
        <w:t xml:space="preserve">” </w:t>
      </w:r>
      <w:r>
        <w:rPr>
          <w:rFonts w:ascii="Times New Roman;sans-serif" w:hAnsi="Times New Roman;sans-serif"/>
          <w:b w:val="false"/>
          <w:color w:val="000000"/>
          <w:sz w:val="24"/>
        </w:rPr>
        <w:t>shall mean, with respect to each Swingline Lender, the commitment of such Swingline Lender to make Swingline Loans pursuant to Section 2.04. The aggregate amount of the Swingline Commitments is $20,000,000. The Swingline Commitment is part of, and not in addition to, the Revolving Facility Commitments.</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val="false"/>
          <w:color w:val="000000"/>
          <w:sz w:val="24"/>
          <w:u w:val="single"/>
        </w:rPr>
        <w:t>Swingline Exposure</w:t>
      </w:r>
      <w:r>
        <w:rPr>
          <w:color w:val="000000"/>
        </w:rPr>
        <w:t xml:space="preserve">” </w:t>
      </w:r>
      <w:r>
        <w:rPr>
          <w:rFonts w:ascii="Times New Roman;sans-serif" w:hAnsi="Times New Roman;sans-serif"/>
          <w:b w:val="false"/>
          <w:color w:val="000000"/>
          <w:sz w:val="24"/>
        </w:rPr>
        <w:t>shall mean at any time for any Revolving Facility the aggregate principal amount of all outstanding Swingline Borrowings under such Revolving Facility at such time. The Swingline Exposure of any Revolving Facility Lender under any Revolving Facility at any time shall mean its applicable Revolving Facility Percentage of the aggregate Swingline Exposure under such Revolving Facility at such time.</w:t>
      </w:r>
    </w:p>
    <w:p>
      <w:pPr>
        <w:pStyle w:val="TextBody"/>
        <w:bidi w:val="0"/>
        <w:spacing w:lineRule="auto" w:line="516" w:before="51" w:after="283"/>
        <w:jc w:val="both"/>
        <w:rPr/>
      </w:pPr>
      <w:r>
        <w:rPr>
          <w:color w:val="000000"/>
        </w:rPr>
        <w:t>“</w:t>
      </w:r>
      <w:r>
        <w:rPr>
          <w:rFonts w:ascii="Times New Roman;sans-serif" w:hAnsi="Times New Roman;sans-serif"/>
          <w:b w:val="false"/>
          <w:color w:val="000000"/>
          <w:sz w:val="24"/>
          <w:u w:val="single"/>
        </w:rPr>
        <w:t>Swingline Lender</w:t>
      </w:r>
      <w:r>
        <w:rPr>
          <w:color w:val="000000"/>
        </w:rPr>
        <w:t xml:space="preserve">” </w:t>
      </w:r>
      <w:r>
        <w:rPr>
          <w:rFonts w:ascii="Times New Roman;sans-serif" w:hAnsi="Times New Roman;sans-serif"/>
          <w:b w:val="false"/>
          <w:color w:val="000000"/>
          <w:sz w:val="24"/>
        </w:rPr>
        <w:t>shall mean Citibank, in its capacity as a lender of Swingline Loans. “</w:t>
      </w:r>
      <w:r>
        <w:rPr>
          <w:rFonts w:ascii="Times New Roman;sans-serif" w:hAnsi="Times New Roman;sans-serif"/>
          <w:b w:val="false"/>
          <w:color w:val="000000"/>
          <w:sz w:val="24"/>
          <w:u w:val="single"/>
        </w:rPr>
        <w:t>Swingline Loans</w:t>
      </w:r>
      <w:r>
        <w:rPr>
          <w:color w:val="000000"/>
        </w:rPr>
        <w:t xml:space="preserve">” </w:t>
      </w:r>
      <w:r>
        <w:rPr>
          <w:rFonts w:ascii="Times New Roman;sans-serif" w:hAnsi="Times New Roman;sans-serif"/>
          <w:b w:val="false"/>
          <w:color w:val="000000"/>
          <w:sz w:val="24"/>
        </w:rPr>
        <w:t>shall mean the swingline loans made to the Borrower pursuant to</w:t>
      </w:r>
    </w:p>
    <w:p>
      <w:pPr>
        <w:pStyle w:val="TextBody"/>
        <w:bidi w:val="0"/>
        <w:spacing w:lineRule="auto" w:line="225"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Section 2.04.</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val="false"/>
          <w:color w:val="000000"/>
          <w:sz w:val="24"/>
          <w:u w:val="single"/>
        </w:rPr>
        <w:t>Taxes</w:t>
      </w:r>
      <w:r>
        <w:rPr>
          <w:color w:val="000000"/>
        </w:rPr>
        <w:t xml:space="preserve">” </w:t>
      </w:r>
      <w:r>
        <w:rPr>
          <w:rFonts w:ascii="Times New Roman;sans-serif" w:hAnsi="Times New Roman;sans-serif"/>
          <w:b w:val="false"/>
          <w:color w:val="000000"/>
          <w:sz w:val="24"/>
        </w:rPr>
        <w:t>shall mean any and all present or future taxes, duties, levies, imposts, assessments, deductions, withholdings or other similar charges imposed by any Governmental Authority, whether computed on a separate, consolidated, unitary, combined or other basis and any interest, fines, penalties or additions to tax with respect to the foregoing.</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6480175" cy="781050"/>
                <wp:effectExtent l="0" t="0" r="0" b="0"/>
                <wp:wrapNone/>
                <wp:docPr id="279" name="Frame278"/>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77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77</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jc w:val="left"/>
        <w:rPr/>
      </w:pPr>
      <w:r>
        <w:rPr>
          <w:color w:val="000000"/>
        </w:rPr>
        <w:t>“</w:t>
      </w:r>
      <w:r>
        <w:rPr>
          <w:rFonts w:ascii="Times New Roman;sans-serif" w:hAnsi="Times New Roman;sans-serif"/>
          <w:b w:val="false"/>
          <w:color w:val="000000"/>
          <w:sz w:val="24"/>
          <w:u w:val="single"/>
        </w:rPr>
        <w:t>Term Borrowing</w:t>
      </w:r>
      <w:r>
        <w:rPr>
          <w:color w:val="000000"/>
        </w:rPr>
        <w:t xml:space="preserve">” </w:t>
      </w:r>
      <w:r>
        <w:rPr>
          <w:rFonts w:ascii="Times New Roman;sans-serif" w:hAnsi="Times New Roman;sans-serif"/>
          <w:b w:val="false"/>
          <w:color w:val="000000"/>
          <w:sz w:val="24"/>
        </w:rPr>
        <w:t>shall mean a Borrowing of Initial Term Loans or Other Term Loans.</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val="false"/>
          <w:color w:val="000000"/>
          <w:sz w:val="24"/>
          <w:u w:val="single"/>
        </w:rPr>
        <w:t>Term Facility</w:t>
      </w:r>
      <w:r>
        <w:rPr>
          <w:color w:val="000000"/>
        </w:rPr>
        <w:t xml:space="preserve">” </w:t>
      </w:r>
      <w:r>
        <w:rPr>
          <w:rFonts w:ascii="Times New Roman;sans-serif" w:hAnsi="Times New Roman;sans-serif"/>
          <w:b w:val="false"/>
          <w:color w:val="000000"/>
          <w:sz w:val="24"/>
        </w:rPr>
        <w:t>shall mean each of the Initial Term Facility and/or each of the Other Term Facilities.</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val="false"/>
          <w:color w:val="000000"/>
          <w:sz w:val="24"/>
          <w:u w:val="single"/>
        </w:rPr>
        <w:t>Term Facility Administrative Agent</w:t>
      </w:r>
      <w:r>
        <w:rPr>
          <w:color w:val="000000"/>
        </w:rPr>
        <w:t xml:space="preserve">” </w:t>
      </w:r>
      <w:r>
        <w:rPr>
          <w:rFonts w:ascii="Times New Roman;sans-serif" w:hAnsi="Times New Roman;sans-serif"/>
          <w:b w:val="false"/>
          <w:color w:val="000000"/>
          <w:sz w:val="24"/>
        </w:rPr>
        <w:t>shall have the meaning assigned to such term in the introductory paragraph of this Agreement.</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val="false"/>
          <w:color w:val="000000"/>
          <w:sz w:val="24"/>
          <w:u w:val="single"/>
        </w:rPr>
        <w:t>Term Facility Commitment</w:t>
      </w:r>
      <w:r>
        <w:rPr>
          <w:color w:val="000000"/>
        </w:rPr>
        <w:t xml:space="preserve">” </w:t>
      </w:r>
      <w:r>
        <w:rPr>
          <w:rFonts w:ascii="Times New Roman;sans-serif" w:hAnsi="Times New Roman;sans-serif"/>
          <w:b w:val="false"/>
          <w:color w:val="000000"/>
          <w:sz w:val="24"/>
        </w:rPr>
        <w:t>shall mean the commitment of a Term Lender to make Term Loans, including Initial Term Loans and/or Other Term Loans.</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val="false"/>
          <w:color w:val="000000"/>
          <w:sz w:val="24"/>
          <w:u w:val="single"/>
        </w:rPr>
        <w:t>Term Facility Maturity Date</w:t>
      </w:r>
      <w:r>
        <w:rPr>
          <w:color w:val="000000"/>
        </w:rPr>
        <w:t xml:space="preserve">” </w:t>
      </w:r>
      <w:r>
        <w:rPr>
          <w:rFonts w:ascii="Times New Roman;sans-serif" w:hAnsi="Times New Roman;sans-serif"/>
          <w:b w:val="false"/>
          <w:color w:val="000000"/>
          <w:sz w:val="24"/>
        </w:rPr>
        <w:t>shall mean, as the context may require, (a) with respect to the Initial Term Facility, the Initial Term Loan Maturity Date, and (b) with respect to any other Class of Term Loans, the maturity dates specified therefor in the applicable Incremental Assumption Agreement, Extension Amendment or Refinancing Amendment.</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val="false"/>
          <w:color w:val="000000"/>
          <w:sz w:val="24"/>
          <w:u w:val="single"/>
        </w:rPr>
        <w:t>Term Lender</w:t>
      </w:r>
      <w:r>
        <w:rPr>
          <w:color w:val="000000"/>
        </w:rPr>
        <w:t xml:space="preserve">” </w:t>
      </w:r>
      <w:r>
        <w:rPr>
          <w:rFonts w:ascii="Times New Roman;sans-serif" w:hAnsi="Times New Roman;sans-serif"/>
          <w:b w:val="false"/>
          <w:color w:val="000000"/>
          <w:sz w:val="24"/>
        </w:rPr>
        <w:t>shall mean a Lender with a Term Facility Commitment or with outstanding Term Loans.</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val="false"/>
          <w:color w:val="000000"/>
          <w:sz w:val="24"/>
          <w:u w:val="single"/>
        </w:rPr>
        <w:t>Term Loan Installment Date</w:t>
      </w:r>
      <w:r>
        <w:rPr>
          <w:color w:val="000000"/>
        </w:rPr>
        <w:t xml:space="preserve">” </w:t>
      </w:r>
      <w:r>
        <w:rPr>
          <w:rFonts w:ascii="Times New Roman;sans-serif" w:hAnsi="Times New Roman;sans-serif"/>
          <w:b w:val="false"/>
          <w:color w:val="000000"/>
          <w:sz w:val="24"/>
        </w:rPr>
        <w:t>shall mean any Initial Term Loan Installment Date or any Other Term Loan Installment Date.</w:t>
      </w:r>
    </w:p>
    <w:p>
      <w:pPr>
        <w:pStyle w:val="TextBody"/>
        <w:bidi w:val="0"/>
        <w:spacing w:lineRule="auto" w:line="520" w:before="240" w:after="283"/>
        <w:jc w:val="both"/>
        <w:rPr/>
      </w:pPr>
      <w:r>
        <w:rPr>
          <w:color w:val="000000"/>
        </w:rPr>
        <w:t>“</w:t>
      </w:r>
      <w:r>
        <w:rPr>
          <w:rFonts w:ascii="Times New Roman;sans-serif" w:hAnsi="Times New Roman;sans-serif"/>
          <w:b w:val="false"/>
          <w:color w:val="000000"/>
          <w:sz w:val="24"/>
          <w:u w:val="single"/>
        </w:rPr>
        <w:t>Term Loans</w:t>
      </w:r>
      <w:r>
        <w:rPr>
          <w:color w:val="000000"/>
        </w:rPr>
        <w:t xml:space="preserve">” </w:t>
      </w:r>
      <w:r>
        <w:rPr>
          <w:rFonts w:ascii="Times New Roman;sans-serif" w:hAnsi="Times New Roman;sans-serif"/>
          <w:b w:val="false"/>
          <w:color w:val="000000"/>
          <w:sz w:val="24"/>
        </w:rPr>
        <w:t>shall mean the Initial Term Loans and/or the Other Term Loans. “</w:t>
      </w:r>
      <w:r>
        <w:rPr>
          <w:rFonts w:ascii="Times New Roman;sans-serif" w:hAnsi="Times New Roman;sans-serif"/>
          <w:b w:val="false"/>
          <w:color w:val="000000"/>
          <w:sz w:val="24"/>
          <w:u w:val="single"/>
        </w:rPr>
        <w:t>Term SOFR</w:t>
      </w:r>
      <w:r>
        <w:rPr>
          <w:color w:val="000000"/>
        </w:rPr>
        <w:t xml:space="preserve">” </w:t>
      </w:r>
      <w:r>
        <w:rPr>
          <w:rFonts w:ascii="Times New Roman;sans-serif" w:hAnsi="Times New Roman;sans-serif"/>
          <w:b w:val="false"/>
          <w:color w:val="000000"/>
          <w:sz w:val="24"/>
        </w:rPr>
        <w:t>shall mean,</w:t>
      </w:r>
    </w:p>
    <w:p>
      <w:pPr>
        <w:pStyle w:val="TextBody"/>
        <w:bidi w:val="0"/>
        <w:spacing w:lineRule="auto" w:line="240" w:before="0" w:after="0"/>
        <w:ind w:left="0" w:right="0" w:firstLine="1440"/>
        <w:jc w:val="both"/>
        <w:rPr/>
      </w:pPr>
      <w:r>
        <w:rPr>
          <w:rFonts w:ascii="Times New Roman;sans-serif" w:hAnsi="Times New Roman;sans-serif"/>
          <w:b w:val="false"/>
          <w:color w:val="000000"/>
          <w:sz w:val="24"/>
        </w:rPr>
        <w:t>(a)for any calculation with respect to a Term SOFR Loan, the Term SOFR Reference Rate for a tenor comparable to the applicable Interest Period on the day (such day, the “</w:t>
      </w:r>
      <w:r>
        <w:rPr>
          <w:rFonts w:ascii="Times New Roman;sans-serif" w:hAnsi="Times New Roman;sans-serif"/>
          <w:b w:val="false"/>
          <w:color w:val="000000"/>
          <w:sz w:val="24"/>
          <w:u w:val="single"/>
        </w:rPr>
        <w:t>Periodic Term SOFR Determination Day</w:t>
      </w:r>
      <w:r>
        <w:rPr>
          <w:color w:val="000000"/>
        </w:rPr>
        <w:t>”</w:t>
      </w:r>
      <w:r>
        <w:rPr>
          <w:rFonts w:ascii="Times New Roman;sans-serif" w:hAnsi="Times New Roman;sans-serif"/>
          <w:b w:val="false"/>
          <w:color w:val="000000"/>
          <w:sz w:val="24"/>
        </w:rPr>
        <w:t xml:space="preserve">) that is two (2) U.S. Government Securities Business Days prior to the first day of such Interest Period, as such rate is published by the Term SOFR Administrator;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if as of 5:00 p.m. (New York City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and</w:t>
      </w:r>
    </w:p>
    <w:p>
      <w:pPr>
        <w:pStyle w:val="TextBody"/>
        <w:bidi w:val="0"/>
        <w:spacing w:lineRule="auto" w:line="240" w:before="239" w:after="283"/>
        <w:ind w:left="0" w:right="0" w:firstLine="1440"/>
        <w:jc w:val="both"/>
        <w:rPr/>
      </w:pPr>
      <w:r>
        <w:rPr>
          <w:rFonts w:ascii="Times New Roman;sans-serif" w:hAnsi="Times New Roman;sans-serif"/>
          <w:b w:val="false"/>
          <w:color w:val="000000"/>
          <w:sz w:val="24"/>
        </w:rPr>
        <w:t>(b)for any calculation with respect to an ABR Loan on any day, the Term SOFR Reference Rate for a tenor of one month on the day (such day, the “</w:t>
      </w:r>
      <w:r>
        <w:rPr>
          <w:rFonts w:ascii="Times New Roman;sans-serif" w:hAnsi="Times New Roman;sans-serif"/>
          <w:b w:val="false"/>
          <w:color w:val="000000"/>
          <w:sz w:val="24"/>
          <w:u w:val="single"/>
        </w:rPr>
        <w:t>ABR Term SOFR</w:t>
      </w:r>
      <w:r>
        <w:rPr>
          <w:color w:val="000000"/>
        </w:rPr>
        <w:t xml:space="preserve"> </w:t>
      </w:r>
      <w:r>
        <w:rPr>
          <w:rFonts w:ascii="Times New Roman;sans-serif" w:hAnsi="Times New Roman;sans-serif"/>
          <w:b w:val="false"/>
          <w:color w:val="000000"/>
          <w:sz w:val="24"/>
          <w:u w:val="single"/>
        </w:rPr>
        <w:t>Determination Day</w:t>
      </w:r>
      <w:r>
        <w:rPr>
          <w:color w:val="000000"/>
        </w:rPr>
        <w:t>”</w:t>
      </w:r>
      <w:r>
        <w:rPr>
          <w:rFonts w:ascii="Times New Roman;sans-serif" w:hAnsi="Times New Roman;sans-serif"/>
          <w:b w:val="false"/>
          <w:color w:val="000000"/>
          <w:sz w:val="24"/>
        </w:rPr>
        <w:t xml:space="preserve">) that is two (2) U.S. Government Securities Business Days prior to such day, as such rate is published by the Term SOFR Administrator;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if as of 5:00</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p.m. (New York City Time) on any ABR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6480175" cy="781050"/>
                <wp:effectExtent l="0" t="0" r="0" b="0"/>
                <wp:wrapNone/>
                <wp:docPr id="280" name="Frame279"/>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78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78</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jc w:val="both"/>
        <w:rPr>
          <w:rFonts w:ascii="Times New Roman;sans-serif" w:hAnsi="Times New Roman;sans-serif"/>
          <w:b w:val="false"/>
          <w:color w:val="000000"/>
          <w:sz w:val="24"/>
        </w:rPr>
      </w:pPr>
      <w:r>
        <w:rPr>
          <w:rFonts w:ascii="Times New Roman;sans-serif" w:hAnsi="Times New Roman;sans-serif"/>
          <w:b w:val="false"/>
          <w:color w:val="000000"/>
          <w:sz w:val="24"/>
        </w:rPr>
        <w:t>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ABR Term SOFR Determination Day;</w:t>
      </w:r>
    </w:p>
    <w:p>
      <w:pPr>
        <w:pStyle w:val="TextBody"/>
        <w:bidi w:val="0"/>
        <w:spacing w:lineRule="auto" w:line="240" w:before="240" w:after="283"/>
        <w:ind w:left="0" w:right="0" w:firstLine="720"/>
        <w:jc w:val="left"/>
        <w:rPr/>
      </w:pP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that notwithstanding the foregoing, in each case, (x) with respect to the Initial Term Loans, Term SOFR shall at no time be less than 0.00% and (y) with respect to the Initial Revolving Loans, Term SOFR shall at no time be less than 0.00%.</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val="false"/>
          <w:color w:val="000000"/>
          <w:sz w:val="24"/>
          <w:u w:val="single"/>
        </w:rPr>
        <w:t>Term SOFR Administrator</w:t>
      </w:r>
      <w:r>
        <w:rPr>
          <w:color w:val="000000"/>
        </w:rPr>
        <w:t xml:space="preserve">” </w:t>
      </w:r>
      <w:r>
        <w:rPr>
          <w:rFonts w:ascii="Times New Roman;sans-serif" w:hAnsi="Times New Roman;sans-serif"/>
          <w:b w:val="false"/>
          <w:color w:val="000000"/>
          <w:sz w:val="24"/>
        </w:rPr>
        <w:t>shall mean CME Group Benchmark Administration Limited (CBA) (or a successor administrator of the Term SOFR Reference Rate selected by the Administrative Agent in its reasonable discretion).</w:t>
      </w:r>
    </w:p>
    <w:p>
      <w:pPr>
        <w:pStyle w:val="TextBody"/>
        <w:bidi w:val="0"/>
        <w:spacing w:lineRule="auto" w:line="592" w:before="6" w:after="283"/>
        <w:jc w:val="both"/>
        <w:rPr/>
      </w:pPr>
      <w:r>
        <w:rPr>
          <w:color w:val="000000"/>
        </w:rPr>
        <w:t>“</w:t>
      </w:r>
      <w:r>
        <w:rPr>
          <w:rFonts w:ascii="Times New Roman;sans-serif" w:hAnsi="Times New Roman;sans-serif"/>
          <w:b w:val="false"/>
          <w:color w:val="000000"/>
          <w:sz w:val="24"/>
          <w:u w:val="single"/>
        </w:rPr>
        <w:t>Term SOFR Reference Rate</w:t>
      </w:r>
      <w:r>
        <w:rPr>
          <w:color w:val="000000"/>
        </w:rPr>
        <w:t xml:space="preserve">” </w:t>
      </w:r>
      <w:r>
        <w:rPr>
          <w:rFonts w:ascii="Times New Roman;sans-serif" w:hAnsi="Times New Roman;sans-serif"/>
          <w:b w:val="false"/>
          <w:color w:val="000000"/>
          <w:sz w:val="24"/>
        </w:rPr>
        <w:t>shall mean the forward-looking term rate based on SOFR. “</w:t>
      </w:r>
      <w:r>
        <w:rPr>
          <w:rFonts w:ascii="Times New Roman;sans-serif" w:hAnsi="Times New Roman;sans-serif"/>
          <w:b w:val="false"/>
          <w:color w:val="000000"/>
          <w:sz w:val="24"/>
          <w:u w:val="single"/>
        </w:rPr>
        <w:t>Term Yield Differential</w:t>
      </w:r>
      <w:r>
        <w:rPr>
          <w:color w:val="000000"/>
        </w:rPr>
        <w:t xml:space="preserve">” </w:t>
      </w:r>
      <w:r>
        <w:rPr>
          <w:rFonts w:ascii="Times New Roman;sans-serif" w:hAnsi="Times New Roman;sans-serif"/>
          <w:b w:val="false"/>
          <w:color w:val="000000"/>
          <w:sz w:val="24"/>
        </w:rPr>
        <w:t>shall have the meaning assigned to such term in Section</w:t>
      </w:r>
    </w:p>
    <w:p>
      <w:pPr>
        <w:pStyle w:val="TextBody"/>
        <w:bidi w:val="0"/>
        <w:spacing w:lineRule="auto" w:line="240" w:before="6" w:after="283"/>
        <w:jc w:val="left"/>
        <w:rPr>
          <w:rFonts w:ascii="Times New Roman;sans-serif" w:hAnsi="Times New Roman;sans-serif"/>
          <w:b w:val="false"/>
          <w:color w:val="000000"/>
          <w:sz w:val="24"/>
        </w:rPr>
      </w:pPr>
      <w:r>
        <w:rPr>
          <w:rFonts w:ascii="Times New Roman;sans-serif" w:hAnsi="Times New Roman;sans-serif"/>
          <w:b w:val="false"/>
          <w:color w:val="000000"/>
          <w:sz w:val="24"/>
        </w:rPr>
        <w:t>2.21(b)(v).</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val="false"/>
          <w:color w:val="000000"/>
          <w:sz w:val="24"/>
          <w:u w:val="single"/>
        </w:rPr>
        <w:t>Termination Date</w:t>
      </w:r>
      <w:r>
        <w:rPr>
          <w:color w:val="000000"/>
        </w:rPr>
        <w:t xml:space="preserve">” </w:t>
      </w:r>
      <w:r>
        <w:rPr>
          <w:rFonts w:ascii="Times New Roman;sans-serif" w:hAnsi="Times New Roman;sans-serif"/>
          <w:b w:val="false"/>
          <w:color w:val="000000"/>
          <w:sz w:val="24"/>
        </w:rPr>
        <w:t>shall mean the date on which (a) all Commitments shall have been terminated, (b) the principal of and interest on each Loan and L/C Borrowing all Fees and all other expenses or amounts payable under any Loan Document and all other Loan Obligations shall have been paid in full in cash (other than in respect of contingent indemnification and expense reimbursement claims not then due), and (c) all Letters of Credit (other than those that have been Cash Collateralized with the Minimum L/C Collateral Amount in accordance with Section 2.05(k)) have been cancelled or have expired with no pending drawings and all amounts drawn or paid thereunder have been reimbursed in full in cash (or other arrangements satisfactory to the applicable Issuing Bank have been made).</w:t>
      </w:r>
    </w:p>
    <w:p>
      <w:pPr>
        <w:pStyle w:val="TextBody"/>
        <w:bidi w:val="0"/>
        <w:spacing w:lineRule="auto" w:line="240" w:before="241" w:after="283"/>
        <w:ind w:left="0" w:right="0" w:firstLine="720"/>
        <w:jc w:val="both"/>
        <w:rPr/>
      </w:pPr>
      <w:r>
        <w:rPr>
          <w:color w:val="000000"/>
        </w:rPr>
        <w:t>“</w:t>
      </w:r>
      <w:r>
        <w:rPr>
          <w:rFonts w:ascii="Times New Roman;sans-serif" w:hAnsi="Times New Roman;sans-serif"/>
          <w:b w:val="false"/>
          <w:color w:val="000000"/>
          <w:sz w:val="24"/>
          <w:u w:val="single"/>
        </w:rPr>
        <w:t>Test Period</w:t>
      </w:r>
      <w:r>
        <w:rPr>
          <w:color w:val="000000"/>
        </w:rPr>
        <w:t xml:space="preserve">” </w:t>
      </w:r>
      <w:r>
        <w:rPr>
          <w:rFonts w:ascii="Times New Roman;sans-serif" w:hAnsi="Times New Roman;sans-serif"/>
          <w:b w:val="false"/>
          <w:color w:val="000000"/>
          <w:sz w:val="24"/>
        </w:rPr>
        <w:t>shall mean, on any date of determination, the period of four consecutive fiscal quarters of the Borrower then most recently ended (taken as one accounting period) for which financial statements have been (or were required to be) delivered pursuant to Section 4.01(i), 5.04(a) or 5.04(b).</w:t>
      </w:r>
    </w:p>
    <w:p>
      <w:pPr>
        <w:pStyle w:val="TextBody"/>
        <w:bidi w:val="0"/>
        <w:spacing w:lineRule="auto" w:line="240" w:before="238" w:after="283"/>
        <w:ind w:left="0" w:right="0" w:firstLine="720"/>
        <w:jc w:val="both"/>
        <w:rPr/>
      </w:pPr>
      <w:r>
        <w:rPr>
          <w:color w:val="000000"/>
        </w:rPr>
        <w:t>“</w:t>
      </w:r>
      <w:r>
        <w:rPr>
          <w:rFonts w:ascii="Times New Roman;sans-serif" w:hAnsi="Times New Roman;sans-serif"/>
          <w:b w:val="false"/>
          <w:color w:val="000000"/>
          <w:sz w:val="24"/>
          <w:u w:val="single"/>
        </w:rPr>
        <w:t>Third Party Funds</w:t>
      </w:r>
      <w:r>
        <w:rPr>
          <w:color w:val="000000"/>
        </w:rPr>
        <w:t xml:space="preserve">” </w:t>
      </w:r>
      <w:r>
        <w:rPr>
          <w:rFonts w:ascii="Times New Roman;sans-serif" w:hAnsi="Times New Roman;sans-serif"/>
          <w:b w:val="false"/>
          <w:color w:val="000000"/>
          <w:sz w:val="24"/>
        </w:rPr>
        <w:t>shall mean any accounts or funds, or any portion thereof, received by the Borrower or any of its Subsidiaries as agent on behalf of third parties in accordance with a written agreement that imposes a duty upon Borrower or one or more of its Subsidiaries to collect and remit those funds to such third parties.</w:t>
      </w:r>
    </w:p>
    <w:p>
      <w:pPr>
        <w:pStyle w:val="TextBody"/>
        <w:bidi w:val="0"/>
        <w:spacing w:lineRule="auto" w:line="240" w:before="241" w:after="283"/>
        <w:ind w:left="0" w:right="0" w:firstLine="720"/>
        <w:jc w:val="both"/>
        <w:rPr/>
      </w:pPr>
      <w:r>
        <w:rPr>
          <w:color w:val="000000"/>
        </w:rPr>
        <w:t>“</w:t>
      </w:r>
      <w:r>
        <w:rPr>
          <w:rFonts w:ascii="Times New Roman;sans-serif" w:hAnsi="Times New Roman;sans-serif"/>
          <w:b w:val="false"/>
          <w:color w:val="000000"/>
          <w:sz w:val="24"/>
          <w:u w:val="single"/>
        </w:rPr>
        <w:t>Total Net Leverage Ratio</w:t>
      </w:r>
      <w:r>
        <w:rPr>
          <w:color w:val="000000"/>
        </w:rPr>
        <w:t xml:space="preserve">” </w:t>
      </w:r>
      <w:r>
        <w:rPr>
          <w:rFonts w:ascii="Times New Roman;sans-serif" w:hAnsi="Times New Roman;sans-serif"/>
          <w:b w:val="false"/>
          <w:color w:val="000000"/>
          <w:sz w:val="24"/>
        </w:rPr>
        <w:t xml:space="preserve">shall mean, as of any date of determination, the ratio of (i) Consolidated Total Debt to (ii) EBITDA of the Borrower and its Subsidiaries for the most recently ended Test Period on or prior to such date, all determined on a consolidated basis in accordance with GAAP;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that the Total Net Leverage Ratio shall be determined on a Pro Forma Basis.</w:t>
      </w:r>
    </w:p>
    <w:p>
      <w:pPr>
        <w:pStyle w:val="TextBody"/>
        <w:bidi w:val="0"/>
        <w:spacing w:lineRule="auto" w:line="240" w:before="240" w:after="283"/>
        <w:ind w:left="0" w:right="0" w:firstLine="720"/>
        <w:jc w:val="left"/>
        <w:rPr/>
      </w:pPr>
      <w:r>
        <w:rPr>
          <w:color w:val="000000"/>
        </w:rPr>
        <w:t>“</w:t>
      </w:r>
      <w:r>
        <w:rPr>
          <w:rFonts w:ascii="Times New Roman;sans-serif" w:hAnsi="Times New Roman;sans-serif"/>
          <w:b w:val="false"/>
          <w:color w:val="000000"/>
          <w:sz w:val="24"/>
          <w:u w:val="single"/>
        </w:rPr>
        <w:t>Transaction Costs</w:t>
      </w:r>
      <w:r>
        <w:rPr>
          <w:color w:val="000000"/>
        </w:rPr>
        <w:t xml:space="preserve">” </w:t>
      </w:r>
      <w:r>
        <w:rPr>
          <w:rFonts w:ascii="Times New Roman;sans-serif" w:hAnsi="Times New Roman;sans-serif"/>
          <w:b w:val="false"/>
          <w:color w:val="000000"/>
          <w:sz w:val="24"/>
        </w:rPr>
        <w:t>shall mean fees, premiums, expenses, closing payments and other similar transaction costs (including original issue discount or upfront fees) payable or otherwise</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6480175" cy="781050"/>
                <wp:effectExtent l="0" t="0" r="0" b="0"/>
                <wp:wrapNone/>
                <wp:docPr id="281" name="Frame280"/>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79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79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6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borne by Borrower and/or its subsidiaries in connection with the Transactions and the transactions contemplated thereby.</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val="false"/>
          <w:color w:val="000000"/>
          <w:sz w:val="24"/>
          <w:u w:val="single"/>
        </w:rPr>
        <w:t>Transactions</w:t>
      </w:r>
      <w:r>
        <w:rPr>
          <w:color w:val="000000"/>
        </w:rPr>
        <w:t xml:space="preserve">” </w:t>
      </w:r>
      <w:r>
        <w:rPr>
          <w:rFonts w:ascii="Times New Roman;sans-serif" w:hAnsi="Times New Roman;sans-serif"/>
          <w:b w:val="false"/>
          <w:color w:val="000000"/>
          <w:sz w:val="24"/>
        </w:rPr>
        <w:t>shall mean, collectively (a) the Closing Date Refinancing; and (b) the payment of all fees and expenses to be paid and owing in connection with the foregoing.</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val="false"/>
          <w:color w:val="000000"/>
          <w:sz w:val="24"/>
          <w:u w:val="single"/>
        </w:rPr>
        <w:t>Transformative Acquisition</w:t>
      </w:r>
      <w:r>
        <w:rPr>
          <w:color w:val="000000"/>
        </w:rPr>
        <w:t xml:space="preserve">” </w:t>
      </w:r>
      <w:r>
        <w:rPr>
          <w:rFonts w:ascii="Times New Roman;sans-serif" w:hAnsi="Times New Roman;sans-serif"/>
          <w:b w:val="false"/>
          <w:color w:val="000000"/>
          <w:sz w:val="24"/>
        </w:rPr>
        <w:t>shall mean any acquisition by the Borrower or any Subsidiary that is either (a) not permitted by the terms of the Loan Documents immediately prior to the consummation of such acquisition or (b) if permitted by the terms of the Loan Documents immediately prior to the consummation of such acquisition, would not provide the Borrower and its Subsidiaries with adequate flexibility under the Loan Documents for the continuation and/or expansion of their combined operations following such consummation, as reasonably determined by the Borrower acting in good faith.</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val="false"/>
          <w:color w:val="000000"/>
          <w:sz w:val="24"/>
          <w:u w:val="single"/>
        </w:rPr>
        <w:t>Treasury Capital Stock</w:t>
      </w:r>
      <w:r>
        <w:rPr>
          <w:color w:val="000000"/>
        </w:rPr>
        <w:t xml:space="preserve">” </w:t>
      </w:r>
      <w:r>
        <w:rPr>
          <w:rFonts w:ascii="Times New Roman;sans-serif" w:hAnsi="Times New Roman;sans-serif"/>
          <w:b w:val="false"/>
          <w:color w:val="000000"/>
          <w:sz w:val="24"/>
        </w:rPr>
        <w:t>shall have the meaning assigned to such term in Section 6.03(a)(xvii).</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val="false"/>
          <w:color w:val="000000"/>
          <w:sz w:val="24"/>
          <w:u w:val="single"/>
        </w:rPr>
        <w:t>Type</w:t>
      </w:r>
      <w:r>
        <w:rPr>
          <w:color w:val="000000"/>
        </w:rPr>
        <w:t xml:space="preserve">” </w:t>
      </w:r>
      <w:r>
        <w:rPr>
          <w:rFonts w:ascii="Times New Roman;sans-serif" w:hAnsi="Times New Roman;sans-serif"/>
          <w:b w:val="false"/>
          <w:color w:val="000000"/>
          <w:sz w:val="24"/>
        </w:rPr>
        <w:t>shall mean, when used in respect of any Loan or Borrowing, the Rate by reference to which interest on such Loan or on the Loans comprising such Borrowing is determined. For purposes hereof, the term “</w:t>
      </w:r>
      <w:r>
        <w:rPr>
          <w:rFonts w:ascii="Times New Roman;sans-serif" w:hAnsi="Times New Roman;sans-serif"/>
          <w:b w:val="false"/>
          <w:color w:val="000000"/>
          <w:sz w:val="24"/>
          <w:u w:val="single"/>
        </w:rPr>
        <w:t>Rate</w:t>
      </w:r>
      <w:r>
        <w:rPr>
          <w:color w:val="000000"/>
        </w:rPr>
        <w:t xml:space="preserve">” </w:t>
      </w:r>
      <w:r>
        <w:rPr>
          <w:rFonts w:ascii="Times New Roman;sans-serif" w:hAnsi="Times New Roman;sans-serif"/>
          <w:b w:val="false"/>
          <w:color w:val="000000"/>
          <w:sz w:val="24"/>
        </w:rPr>
        <w:t>shall mean Term SOFR and the ABR. It is understood and agreed that Loans bearing interest based upon clause (c) of the definition of “ABR” shall be ABR Loans (and not Term SOFR Loans) for all purposes hereunder.</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val="false"/>
          <w:color w:val="000000"/>
          <w:sz w:val="24"/>
          <w:u w:val="single"/>
        </w:rPr>
        <w:t>UK Financial Institution</w:t>
      </w:r>
      <w:r>
        <w:rPr>
          <w:color w:val="000000"/>
        </w:rPr>
        <w:t xml:space="preserve">” </w:t>
      </w:r>
      <w:r>
        <w:rPr>
          <w:rFonts w:ascii="Times New Roman;sans-serif" w:hAnsi="Times New Roman;sans-serif"/>
          <w:b w:val="false"/>
          <w:color w:val="000000"/>
          <w:sz w:val="24"/>
        </w:rPr>
        <w:t>shall mean any BRRD Undertaking (as such term is defined under the PRA Rulebook (as amended form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pStyle w:val="TextBody"/>
        <w:bidi w:val="0"/>
        <w:spacing w:lineRule="auto" w:line="240" w:before="241" w:after="283"/>
        <w:ind w:left="0" w:right="0" w:firstLine="720"/>
        <w:jc w:val="both"/>
        <w:rPr/>
      </w:pPr>
      <w:r>
        <w:rPr>
          <w:color w:val="000000"/>
        </w:rPr>
        <w:t>“</w:t>
      </w:r>
      <w:r>
        <w:rPr>
          <w:rFonts w:ascii="Times New Roman;sans-serif" w:hAnsi="Times New Roman;sans-serif"/>
          <w:b w:val="false"/>
          <w:color w:val="000000"/>
          <w:sz w:val="24"/>
          <w:u w:val="single"/>
        </w:rPr>
        <w:t>UK Resolution Authority</w:t>
      </w:r>
      <w:r>
        <w:rPr>
          <w:color w:val="000000"/>
        </w:rPr>
        <w:t xml:space="preserve">” </w:t>
      </w:r>
      <w:r>
        <w:rPr>
          <w:rFonts w:ascii="Times New Roman;sans-serif" w:hAnsi="Times New Roman;sans-serif"/>
          <w:b w:val="false"/>
          <w:color w:val="000000"/>
          <w:sz w:val="24"/>
        </w:rPr>
        <w:t>shall mean the Bank of England or any other public administrative authority having responsibility for the resolution of any UK Financial Institution.</w:t>
      </w:r>
    </w:p>
    <w:p>
      <w:pPr>
        <w:pStyle w:val="TextBody"/>
        <w:bidi w:val="0"/>
        <w:spacing w:lineRule="auto" w:line="240" w:before="238" w:after="283"/>
        <w:ind w:left="0" w:right="0" w:firstLine="720"/>
        <w:jc w:val="both"/>
        <w:rPr/>
      </w:pPr>
      <w:r>
        <w:rPr>
          <w:color w:val="000000"/>
        </w:rPr>
        <w:t>“</w:t>
      </w:r>
      <w:r>
        <w:rPr>
          <w:rFonts w:ascii="Times New Roman;sans-serif" w:hAnsi="Times New Roman;sans-serif"/>
          <w:b w:val="false"/>
          <w:color w:val="000000"/>
          <w:sz w:val="24"/>
          <w:u w:val="single"/>
        </w:rPr>
        <w:t>Unadjusted Benchmark Replacement</w:t>
      </w:r>
      <w:r>
        <w:rPr>
          <w:color w:val="000000"/>
        </w:rPr>
        <w:t xml:space="preserve">” </w:t>
      </w:r>
      <w:r>
        <w:rPr>
          <w:rFonts w:ascii="Times New Roman;sans-serif" w:hAnsi="Times New Roman;sans-serif"/>
          <w:b w:val="false"/>
          <w:color w:val="000000"/>
          <w:sz w:val="24"/>
        </w:rPr>
        <w:t>shall have the meaning assigned to such term in Section 2.14.</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val="false"/>
          <w:color w:val="000000"/>
          <w:sz w:val="24"/>
          <w:u w:val="single"/>
        </w:rPr>
        <w:t>Uniform Commercial Code</w:t>
      </w:r>
      <w:r>
        <w:rPr>
          <w:color w:val="000000"/>
        </w:rPr>
        <w:t xml:space="preserve">” </w:t>
      </w:r>
      <w:r>
        <w:rPr>
          <w:rFonts w:ascii="Times New Roman;sans-serif" w:hAnsi="Times New Roman;sans-serif"/>
          <w:b w:val="false"/>
          <w:color w:val="000000"/>
          <w:sz w:val="24"/>
        </w:rPr>
        <w:t>or “</w:t>
      </w:r>
      <w:r>
        <w:rPr>
          <w:rFonts w:ascii="Times New Roman;sans-serif" w:hAnsi="Times New Roman;sans-serif"/>
          <w:b w:val="false"/>
          <w:color w:val="000000"/>
          <w:sz w:val="24"/>
          <w:u w:val="single"/>
        </w:rPr>
        <w:t>UCC</w:t>
      </w:r>
      <w:r>
        <w:rPr>
          <w:color w:val="000000"/>
        </w:rPr>
        <w:t xml:space="preserve">” </w:t>
      </w:r>
      <w:r>
        <w:rPr>
          <w:rFonts w:ascii="Times New Roman;sans-serif" w:hAnsi="Times New Roman;sans-serif"/>
          <w:b w:val="false"/>
          <w:color w:val="000000"/>
          <w:sz w:val="24"/>
        </w:rPr>
        <w:t>shall mean the Uniform Commercial Code as the same may from time to time be in effect in the State of New York or the Uniform Commercial Code (or similar code or statute) of another jurisdiction, to the extent it may be required to apply to any item or items of Collateral.</w:t>
      </w:r>
    </w:p>
    <w:p>
      <w:pPr>
        <w:pStyle w:val="TextBody"/>
        <w:bidi w:val="0"/>
        <w:spacing w:lineRule="auto" w:line="240" w:before="241" w:after="283"/>
        <w:jc w:val="left"/>
        <w:rPr/>
      </w:pPr>
      <w:r>
        <w:rPr>
          <w:color w:val="000000"/>
        </w:rPr>
        <w:t>“</w:t>
      </w:r>
      <w:r>
        <w:rPr>
          <w:rFonts w:ascii="Times New Roman;sans-serif" w:hAnsi="Times New Roman;sans-serif"/>
          <w:b w:val="false"/>
          <w:color w:val="000000"/>
          <w:sz w:val="24"/>
          <w:u w:val="single"/>
        </w:rPr>
        <w:t>United States</w:t>
      </w:r>
      <w:r>
        <w:rPr>
          <w:color w:val="000000"/>
        </w:rPr>
        <w:t xml:space="preserve">” </w:t>
      </w:r>
      <w:r>
        <w:rPr>
          <w:rFonts w:ascii="Times New Roman;sans-serif" w:hAnsi="Times New Roman;sans-serif"/>
          <w:b w:val="false"/>
          <w:color w:val="000000"/>
          <w:sz w:val="24"/>
        </w:rPr>
        <w:t>and “</w:t>
      </w:r>
      <w:r>
        <w:rPr>
          <w:rFonts w:ascii="Times New Roman;sans-serif" w:hAnsi="Times New Roman;sans-serif"/>
          <w:b w:val="false"/>
          <w:color w:val="000000"/>
          <w:sz w:val="24"/>
          <w:u w:val="single"/>
        </w:rPr>
        <w:t>US</w:t>
      </w:r>
      <w:r>
        <w:rPr>
          <w:color w:val="000000"/>
        </w:rPr>
        <w:t xml:space="preserve">” </w:t>
      </w:r>
      <w:r>
        <w:rPr>
          <w:rFonts w:ascii="Times New Roman;sans-serif" w:hAnsi="Times New Roman;sans-serif"/>
          <w:b w:val="false"/>
          <w:color w:val="000000"/>
          <w:sz w:val="24"/>
        </w:rPr>
        <w:t>shall mean the United States of America.</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val="false"/>
          <w:color w:val="000000"/>
          <w:sz w:val="24"/>
          <w:u w:val="single"/>
        </w:rPr>
        <w:t>Unreimbursed Amount</w:t>
      </w:r>
      <w:r>
        <w:rPr>
          <w:color w:val="000000"/>
        </w:rPr>
        <w:t xml:space="preserve">” </w:t>
      </w:r>
      <w:r>
        <w:rPr>
          <w:rFonts w:ascii="Times New Roman;sans-serif" w:hAnsi="Times New Roman;sans-serif"/>
          <w:b w:val="false"/>
          <w:color w:val="000000"/>
          <w:sz w:val="24"/>
        </w:rPr>
        <w:t>shall have the meaning assigned to such term in Section 2.05(c)(i).</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6480175" cy="781050"/>
                <wp:effectExtent l="0" t="0" r="0" b="0"/>
                <wp:wrapNone/>
                <wp:docPr id="282" name="Frame281"/>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80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80</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ind w:left="0" w:right="0" w:firstLine="720"/>
        <w:jc w:val="both"/>
        <w:rPr/>
      </w:pPr>
      <w:r>
        <w:rPr>
          <w:color w:val="000000"/>
        </w:rPr>
        <w:t>“</w:t>
      </w:r>
      <w:r>
        <w:rPr>
          <w:rFonts w:ascii="Times New Roman;sans-serif" w:hAnsi="Times New Roman;sans-serif"/>
          <w:b w:val="false"/>
          <w:color w:val="000000"/>
          <w:sz w:val="24"/>
          <w:u w:val="single"/>
        </w:rPr>
        <w:t>Unrestricted Cash</w:t>
      </w:r>
      <w:r>
        <w:rPr>
          <w:color w:val="000000"/>
        </w:rPr>
        <w:t xml:space="preserve">” </w:t>
      </w:r>
      <w:r>
        <w:rPr>
          <w:rFonts w:ascii="Times New Roman;sans-serif" w:hAnsi="Times New Roman;sans-serif"/>
          <w:b w:val="false"/>
          <w:color w:val="000000"/>
          <w:sz w:val="24"/>
        </w:rPr>
        <w:t>shall mean unrestricted cash and Cash Equivalents of the Borrower and its Subsidiaries and cash and Cash Equivalents of the Borrower and its Subsidiaries restricted in favor of the Lenders.</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val="false"/>
          <w:color w:val="000000"/>
          <w:sz w:val="24"/>
          <w:u w:val="single"/>
        </w:rPr>
        <w:t>Unrestricted Lender</w:t>
      </w:r>
      <w:r>
        <w:rPr>
          <w:color w:val="000000"/>
        </w:rPr>
        <w:t xml:space="preserve">” </w:t>
      </w:r>
      <w:r>
        <w:rPr>
          <w:rFonts w:ascii="Times New Roman;sans-serif" w:hAnsi="Times New Roman;sans-serif"/>
          <w:b w:val="false"/>
          <w:color w:val="000000"/>
          <w:sz w:val="24"/>
        </w:rPr>
        <w:t>shall mean any Regulated Bank, any Revolving Facility Lender as of the Closing Date, any Arranger or any of their respective Affiliates.</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val="false"/>
          <w:color w:val="000000"/>
          <w:sz w:val="24"/>
          <w:u w:val="single"/>
        </w:rPr>
        <w:t>Unrestricted Subsidiary</w:t>
      </w:r>
      <w:r>
        <w:rPr>
          <w:color w:val="000000"/>
        </w:rPr>
        <w:t xml:space="preserve">” </w:t>
      </w:r>
      <w:r>
        <w:rPr>
          <w:rFonts w:ascii="Times New Roman;sans-serif" w:hAnsi="Times New Roman;sans-serif"/>
          <w:b w:val="false"/>
          <w:color w:val="000000"/>
          <w:sz w:val="24"/>
        </w:rPr>
        <w:t xml:space="preserve">shall mean (1) any Subsidiary of the Borrower, whether owned on, or acquired or created after, the Closing Date, that is designated after the Closing Date by the Borrower as an Unrestricted Subsidiary hereunder by written notice to the Administrative Agent;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that the Borrower shall only be permitted to so designate a new Unrestricted Subsidiary following the Closing Date so long as (a) no Event of Default pursuant to Section 7.01(b), (c), (h) or (i) is continuing or would result therefrom and (b) all Investments in such Unrestricted Subsidiary at the time of designation (as contemplated by the immediately following sentence) are permitted in accordance with the relevant requirements of Section 6.04; and (2) any subsidiary of an Unrestricted Subsidiary. The designation of any Subsidiary as an Unrestricted Subsidiary shall constitute an Investment by the Borrower (or its Subsidiaries) therein at the date of designation in an amount equal to the Fair Market Value of the Borrower’s (or its Subsidiaries’) Investments therein, which shall be required to be permitted on such date in accordance with Section 6.04. The Borrower may designate any Unrestricted Subsidiary to be a Subsidiary for purposes of this Agreement (each, a “</w:t>
      </w:r>
      <w:r>
        <w:rPr>
          <w:rFonts w:ascii="Times New Roman;sans-serif" w:hAnsi="Times New Roman;sans-serif"/>
          <w:b w:val="false"/>
          <w:color w:val="000000"/>
          <w:sz w:val="24"/>
          <w:u w:val="single"/>
        </w:rPr>
        <w:t>Subsidiary Redesignation</w:t>
      </w:r>
      <w:r>
        <w:rPr>
          <w:color w:val="000000"/>
        </w:rPr>
        <w:t>”</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that no Event of Default pursuant to Section 7.01(b), (c), (h) or (i) is continuing or would result therefrom (after giving effect to the provisions of the immediately succeeding sentence). The designation of any Unrestricted Subsidiary as a Subsidiary after the Closing Date shall constitute (i) the incurrence at the time of designation of any Investment, Indebtedness or Liens of such Subsidiary existing at such time and</w:t>
      </w:r>
    </w:p>
    <w:p>
      <w:pPr>
        <w:pStyle w:val="TextBody"/>
        <w:bidi w:val="0"/>
        <w:spacing w:lineRule="auto" w:line="240" w:before="1" w:after="283"/>
        <w:jc w:val="both"/>
        <w:rPr>
          <w:rFonts w:ascii="Times New Roman;sans-serif" w:hAnsi="Times New Roman;sans-serif"/>
          <w:b w:val="false"/>
          <w:color w:val="000000"/>
          <w:sz w:val="24"/>
        </w:rPr>
      </w:pPr>
      <w:r>
        <w:rPr>
          <w:rFonts w:ascii="Times New Roman;sans-serif" w:hAnsi="Times New Roman;sans-serif"/>
          <w:b w:val="false"/>
          <w:color w:val="000000"/>
          <w:sz w:val="24"/>
        </w:rPr>
        <w:t>(ii) a return on any Investment by the applicable Loan Party (or its relevant Subsidiaries) in Unrestricted Subsidiaries pursuant to the preceding sentence in an amount equal to the Fair Market Value at the date of such designation of such Loan Party’s (or its relevant Subsidiaries’) Investment in such Subsidiary. The Borrower may not designate any Subsidiary as an Unrestricted Subsidiary hereunder if (i) it is a “restricted subsidiary” (or other term with a substantially similar meaning) under the documentation governing any Incremental Equivalent Debt or Indebtedness incurred pursuant to Section 6.01(v)(x)(i) hereof and where any such documentation provides for the ability to designate subsidiaries as “restricted” and “unrestricted” (or other terms with substantially similar meanings) or (ii) it owns (x) any intellectual property or (y) any other assets (other than cash or Cash Equivalents), in either case, that the Borrower determines in good faith is material to the Borrower and its Subsidiaries taken as a whole.</w:t>
      </w:r>
    </w:p>
    <w:p>
      <w:pPr>
        <w:pStyle w:val="TextBody"/>
        <w:bidi w:val="0"/>
        <w:spacing w:lineRule="auto" w:line="240" w:before="239" w:after="283"/>
        <w:jc w:val="both"/>
        <w:rPr/>
      </w:pPr>
      <w:r>
        <w:rPr>
          <w:color w:val="000000"/>
        </w:rPr>
        <w:t>“</w:t>
      </w:r>
      <w:r>
        <w:rPr>
          <w:rFonts w:ascii="Times New Roman;sans-serif" w:hAnsi="Times New Roman;sans-serif"/>
          <w:b w:val="false"/>
          <w:color w:val="000000"/>
          <w:sz w:val="24"/>
          <w:u w:val="single"/>
        </w:rPr>
        <w:t>U.S. Government Securities Business Day</w:t>
      </w:r>
      <w:r>
        <w:rPr>
          <w:color w:val="000000"/>
        </w:rPr>
        <w:t xml:space="preserve">” </w:t>
      </w:r>
      <w:r>
        <w:rPr>
          <w:rFonts w:ascii="Times New Roman;sans-serif" w:hAnsi="Times New Roman;sans-serif"/>
          <w:b w:val="false"/>
          <w:color w:val="000000"/>
          <w:sz w:val="24"/>
        </w:rPr>
        <w:t>shall mean any day except for (a) a Saturday,</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(b) a Sunday or (c) a day on which the Securities Industry and Financial Markets Association recommends that the fixed income departments of its members be closed for the entire day for purposes of trading in United States government securities.</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val="false"/>
          <w:color w:val="000000"/>
          <w:sz w:val="24"/>
          <w:u w:val="single"/>
        </w:rPr>
        <w:t>U.S. Person</w:t>
      </w:r>
      <w:r>
        <w:rPr>
          <w:color w:val="000000"/>
        </w:rPr>
        <w:t xml:space="preserve">” </w:t>
      </w:r>
      <w:r>
        <w:rPr>
          <w:rFonts w:ascii="Times New Roman;sans-serif" w:hAnsi="Times New Roman;sans-serif"/>
          <w:b w:val="false"/>
          <w:color w:val="000000"/>
          <w:sz w:val="24"/>
        </w:rPr>
        <w:t>shall mean any person that is a “United States person” as defined in Section 7701(a)(30) of the Code.</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val="false"/>
          <w:color w:val="000000"/>
          <w:sz w:val="24"/>
          <w:u w:val="single"/>
        </w:rPr>
        <w:t>U.S. Tax Compliance Certificate</w:t>
      </w:r>
      <w:r>
        <w:rPr>
          <w:color w:val="000000"/>
        </w:rPr>
        <w:t xml:space="preserve">” </w:t>
      </w:r>
      <w:r>
        <w:rPr>
          <w:rFonts w:ascii="Times New Roman;sans-serif" w:hAnsi="Times New Roman;sans-serif"/>
          <w:b w:val="false"/>
          <w:color w:val="000000"/>
          <w:sz w:val="24"/>
        </w:rPr>
        <w:t>shall have the meaning assigned to such term in Section 2.17(d)(ii)(C).</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6480175" cy="781050"/>
                <wp:effectExtent l="0" t="0" r="0" b="0"/>
                <wp:wrapNone/>
                <wp:docPr id="283" name="Frame282"/>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81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81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ind w:left="0" w:right="0" w:firstLine="720"/>
        <w:jc w:val="both"/>
        <w:rPr/>
      </w:pPr>
      <w:r>
        <w:rPr>
          <w:color w:val="000000"/>
        </w:rPr>
        <w:t>“</w:t>
      </w:r>
      <w:r>
        <w:rPr>
          <w:rFonts w:ascii="Times New Roman;sans-serif" w:hAnsi="Times New Roman;sans-serif"/>
          <w:b w:val="false"/>
          <w:color w:val="000000"/>
          <w:sz w:val="24"/>
          <w:u w:val="single"/>
        </w:rPr>
        <w:t>USA PATRIOT Act</w:t>
      </w:r>
      <w:r>
        <w:rPr>
          <w:color w:val="000000"/>
        </w:rPr>
        <w:t xml:space="preserve">” </w:t>
      </w:r>
      <w:r>
        <w:rPr>
          <w:rFonts w:ascii="Times New Roman;sans-serif" w:hAnsi="Times New Roman;sans-serif"/>
          <w:b w:val="false"/>
          <w:color w:val="000000"/>
          <w:sz w:val="24"/>
        </w:rPr>
        <w:t>shall mean the Uniting and Strengthening America by Providing Appropriate Tools Required to Intercept and Obstruct Terrorism Act of 2001 (Title III of Pub. L. No. 107 56 (signed into law October 26, 2001)).</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val="false"/>
          <w:color w:val="000000"/>
          <w:sz w:val="24"/>
          <w:u w:val="single"/>
        </w:rPr>
        <w:t>Weighted Average Life to Maturity</w:t>
      </w:r>
      <w:r>
        <w:rPr>
          <w:color w:val="000000"/>
        </w:rPr>
        <w:t xml:space="preserve">” </w:t>
      </w:r>
      <w:r>
        <w:rPr>
          <w:rFonts w:ascii="Times New Roman;sans-serif" w:hAnsi="Times New Roman;sans-serif"/>
          <w:b w:val="false"/>
          <w:color w:val="000000"/>
          <w:sz w:val="24"/>
        </w:rPr>
        <w:t xml:space="preserve">shall mean, when applied to any Indebtedness at any date, the number of years obtained by </w:t>
      </w:r>
      <w:r>
        <w:rPr>
          <w:rFonts w:ascii="Times New Roman;sans-serif" w:hAnsi="Times New Roman;sans-serif"/>
          <w:b w:val="false"/>
          <w:color w:val="000000"/>
          <w:sz w:val="24"/>
          <w:u w:val="single"/>
        </w:rPr>
        <w:t>dividing</w:t>
      </w:r>
      <w:r>
        <w:rPr>
          <w:rFonts w:ascii="Times New Roman;sans-serif" w:hAnsi="Times New Roman;sans-serif"/>
          <w:b w:val="false"/>
          <w:color w:val="000000"/>
          <w:sz w:val="24"/>
        </w:rPr>
        <w:t>: (a) the sum of the products obtained by multiplying</w:t>
      </w:r>
    </w:p>
    <w:p>
      <w:pPr>
        <w:pStyle w:val="TextBody"/>
        <w:bidi w:val="0"/>
        <w:spacing w:lineRule="auto" w:line="240" w:before="0" w:after="0"/>
        <w:jc w:val="both"/>
        <w:rPr/>
      </w:pPr>
      <w:r>
        <w:rPr>
          <w:rFonts w:ascii="Times New Roman;sans-serif" w:hAnsi="Times New Roman;sans-serif"/>
          <w:b w:val="false"/>
          <w:color w:val="000000"/>
          <w:sz w:val="24"/>
        </w:rPr>
        <w:t xml:space="preserve">(i) the amount of each then remaining installment, sinking fund, serial maturity or other required payments of principal, including payment at final maturity, in respect thereof, by (ii) the number of years (calculated to the nearest one-twelfth) that will elapse between such date and the making of such payment; </w:t>
      </w:r>
      <w:r>
        <w:rPr>
          <w:rFonts w:ascii="Times New Roman;sans-serif" w:hAnsi="Times New Roman;sans-serif"/>
          <w:b w:val="false"/>
          <w:color w:val="000000"/>
          <w:sz w:val="24"/>
          <w:u w:val="single"/>
        </w:rPr>
        <w:t>by</w:t>
      </w:r>
      <w:r>
        <w:rPr>
          <w:color w:val="000000"/>
        </w:rPr>
        <w:t xml:space="preserve"> </w:t>
      </w:r>
      <w:r>
        <w:rPr>
          <w:rFonts w:ascii="Times New Roman;sans-serif" w:hAnsi="Times New Roman;sans-serif"/>
          <w:b w:val="false"/>
          <w:color w:val="000000"/>
          <w:sz w:val="24"/>
        </w:rPr>
        <w:t>(b) the then outstanding principal amount of such Indebtedness.</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val="false"/>
          <w:color w:val="000000"/>
          <w:sz w:val="24"/>
          <w:u w:val="single"/>
        </w:rPr>
        <w:t>Wholly-Owned Domestic Subsidiary</w:t>
      </w:r>
      <w:r>
        <w:rPr>
          <w:color w:val="000000"/>
        </w:rPr>
        <w:t xml:space="preserve">” </w:t>
      </w:r>
      <w:r>
        <w:rPr>
          <w:rFonts w:ascii="Times New Roman;sans-serif" w:hAnsi="Times New Roman;sans-serif"/>
          <w:b w:val="false"/>
          <w:color w:val="000000"/>
          <w:sz w:val="24"/>
        </w:rPr>
        <w:t>shall mean a Wholly-Owned Subsidiary that is also a Domestic Subsidiary.</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val="false"/>
          <w:color w:val="000000"/>
          <w:sz w:val="24"/>
          <w:u w:val="single"/>
        </w:rPr>
        <w:t>Wholly-Owned Subsidiary</w:t>
      </w:r>
      <w:r>
        <w:rPr>
          <w:color w:val="000000"/>
        </w:rPr>
        <w:t xml:space="preserve">” </w:t>
      </w:r>
      <w:r>
        <w:rPr>
          <w:rFonts w:ascii="Times New Roman;sans-serif" w:hAnsi="Times New Roman;sans-serif"/>
          <w:b w:val="false"/>
          <w:color w:val="000000"/>
          <w:sz w:val="24"/>
        </w:rPr>
        <w:t>of any person shall mean a subsidiary of such person, all of the Equity Interests of which (other than directors’ qualifying shares or nominee or other similar shares required pursuant to applicable law) are owned by such person or another Wholly-Owned Subsidiary of such person. Unless the context otherwise requires, “</w:t>
      </w:r>
      <w:r>
        <w:rPr>
          <w:rFonts w:ascii="Times New Roman;sans-serif" w:hAnsi="Times New Roman;sans-serif"/>
          <w:b w:val="false"/>
          <w:color w:val="000000"/>
          <w:sz w:val="24"/>
          <w:u w:val="single"/>
        </w:rPr>
        <w:t>Wholly-Owned Subsidiary</w:t>
      </w:r>
      <w:r>
        <w:rPr>
          <w:color w:val="000000"/>
        </w:rPr>
        <w:t xml:space="preserve">” </w:t>
      </w:r>
      <w:r>
        <w:rPr>
          <w:rFonts w:ascii="Times New Roman;sans-serif" w:hAnsi="Times New Roman;sans-serif"/>
          <w:b w:val="false"/>
          <w:color w:val="000000"/>
          <w:sz w:val="24"/>
        </w:rPr>
        <w:t>shall mean a Subsidiary of the Borrower that is a Wholly-Owned Subsidiary of the Borrower.</w:t>
      </w:r>
    </w:p>
    <w:p>
      <w:pPr>
        <w:pStyle w:val="TextBody"/>
        <w:bidi w:val="0"/>
        <w:spacing w:lineRule="auto" w:line="240" w:before="240" w:after="283"/>
        <w:ind w:left="0" w:right="0" w:firstLine="720"/>
        <w:jc w:val="left"/>
        <w:rPr/>
      </w:pPr>
      <w:r>
        <w:rPr>
          <w:color w:val="000000"/>
        </w:rPr>
        <w:t>“</w:t>
      </w:r>
      <w:r>
        <w:rPr>
          <w:rFonts w:ascii="Times New Roman;sans-serif" w:hAnsi="Times New Roman;sans-serif"/>
          <w:b w:val="false"/>
          <w:color w:val="000000"/>
          <w:sz w:val="24"/>
          <w:u w:val="single"/>
        </w:rPr>
        <w:t>Withdrawal Liability</w:t>
      </w:r>
      <w:r>
        <w:rPr>
          <w:color w:val="000000"/>
        </w:rPr>
        <w:t xml:space="preserve">” </w:t>
      </w:r>
      <w:r>
        <w:rPr>
          <w:rFonts w:ascii="Times New Roman;sans-serif" w:hAnsi="Times New Roman;sans-serif"/>
          <w:b w:val="false"/>
          <w:color w:val="000000"/>
          <w:sz w:val="24"/>
        </w:rPr>
        <w:t>shall mean liability to a Multiemployer Plan as a result of a complete or partial withdrawal from such Multiemployer Plan, as such terms are defined in Part I of Subtitle E of Title IV of ERISA.</w:t>
      </w:r>
    </w:p>
    <w:p>
      <w:pPr>
        <w:pStyle w:val="TextBody"/>
        <w:bidi w:val="0"/>
        <w:spacing w:lineRule="auto" w:line="240" w:before="240" w:after="283"/>
        <w:jc w:val="both"/>
        <w:rPr/>
      </w:pPr>
      <w:r>
        <w:rPr>
          <w:color w:val="000000"/>
        </w:rPr>
        <w:t>“</w:t>
      </w:r>
      <w:r>
        <w:rPr>
          <w:rFonts w:ascii="Times New Roman;sans-serif" w:hAnsi="Times New Roman;sans-serif"/>
          <w:b w:val="false"/>
          <w:color w:val="000000"/>
          <w:sz w:val="24"/>
          <w:u w:val="single"/>
        </w:rPr>
        <w:t>Withholding Agent</w:t>
      </w:r>
      <w:r>
        <w:rPr>
          <w:color w:val="000000"/>
        </w:rPr>
        <w:t xml:space="preserve">” </w:t>
      </w:r>
      <w:r>
        <w:rPr>
          <w:rFonts w:ascii="Times New Roman;sans-serif" w:hAnsi="Times New Roman;sans-serif"/>
          <w:b w:val="false"/>
          <w:color w:val="000000"/>
          <w:sz w:val="24"/>
        </w:rPr>
        <w:t>shall mean the Loan Parties and the Administrative Agent.</w:t>
      </w:r>
    </w:p>
    <w:p>
      <w:pPr>
        <w:pStyle w:val="TextBody"/>
        <w:bidi w:val="0"/>
        <w:spacing w:lineRule="auto" w:line="240" w:before="241" w:after="283"/>
        <w:ind w:left="0" w:right="0" w:firstLine="720"/>
        <w:jc w:val="both"/>
        <w:rPr/>
      </w:pPr>
      <w:r>
        <w:rPr>
          <w:color w:val="000000"/>
        </w:rPr>
        <w:t>“</w:t>
      </w:r>
      <w:r>
        <w:rPr>
          <w:rFonts w:ascii="Times New Roman;sans-serif" w:hAnsi="Times New Roman;sans-serif"/>
          <w:b w:val="false"/>
          <w:color w:val="000000"/>
          <w:sz w:val="24"/>
          <w:u w:val="single"/>
        </w:rPr>
        <w:t>Write-Down and Conversion Powers</w:t>
      </w:r>
      <w:r>
        <w:rPr>
          <w:color w:val="000000"/>
        </w:rPr>
        <w:t xml:space="preserve">” </w:t>
      </w:r>
      <w:r>
        <w:rPr>
          <w:rFonts w:ascii="Times New Roman;sans-serif" w:hAnsi="Times New Roman;sans-serif"/>
          <w:b w:val="false"/>
          <w:color w:val="000000"/>
          <w:sz w:val="24"/>
        </w:rPr>
        <w:t>shall mean,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pStyle w:val="TextBody"/>
        <w:bidi w:val="0"/>
        <w:spacing w:lineRule="auto" w:line="240" w:before="239" w:after="283"/>
        <w:jc w:val="both"/>
        <w:rPr/>
      </w:pPr>
      <w:r>
        <w:rPr>
          <w:rFonts w:ascii="Times New Roman;sans-serif" w:hAnsi="Times New Roman;sans-serif"/>
          <w:b w:val="false"/>
          <w:color w:val="000000"/>
          <w:sz w:val="24"/>
        </w:rPr>
        <w:t xml:space="preserve">Section 1.02. </w:t>
      </w:r>
      <w:r>
        <w:rPr>
          <w:rFonts w:ascii="Times New Roman;sans-serif" w:hAnsi="Times New Roman;sans-serif"/>
          <w:b w:val="false"/>
          <w:color w:val="000000"/>
          <w:sz w:val="24"/>
          <w:u w:val="single"/>
        </w:rPr>
        <w:t>Terms Generally; GAAP</w:t>
      </w:r>
      <w:r>
        <w:rPr>
          <w:rFonts w:ascii="Times New Roman;sans-serif" w:hAnsi="Times New Roman;sans-serif"/>
          <w:b w:val="false"/>
          <w:color w:val="000000"/>
          <w:sz w:val="24"/>
        </w:rPr>
        <w:t>. The definitions set forth or referred to in Section</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1.01shall apply equally to both the singular and plural forms of the terms defined. Whenever the context may require, any pronoun shall include the corresponding masculine, feminine and neuter forms. The words “include,” “includes” and “including” shall be deemed to be followed by the phrase “without limitation.” All references herein to Articles, Sections, Exhibits and Schedules shall be deemed references to Articles and Sections of, and Exhibits and Schedules to, this Agreement unless the context shall otherwise require. Except as otherwise expressly provided herein, any reference in this Agreement to any Loan Document shall mean such document as amended, restated, amended and restated, supplemented or otherwise modified from time to time.</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6480175" cy="781050"/>
                <wp:effectExtent l="0" t="0" r="0" b="0"/>
                <wp:wrapNone/>
                <wp:docPr id="284" name="Frame283"/>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82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82</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jc w:val="both"/>
        <w:rPr/>
      </w:pPr>
      <w:r>
        <w:rPr>
          <w:rFonts w:ascii="Times New Roman;sans-serif" w:hAnsi="Times New Roman;sans-serif"/>
          <w:b w:val="false"/>
          <w:color w:val="000000"/>
          <w:sz w:val="24"/>
        </w:rPr>
        <w:t xml:space="preserve">Except as otherwise expressly provided herein (including, for the avoidance of doubt, the proviso in the definition of “Capitalized Lease Obligations”), all terms of an accounting or financial nature shall be construed in accordance with GAAP, as in effect from time to time;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if at any time, any change in GAAP would affect the computation of any financial ratio or requirement in the Loan Documents and the Borrower notifies the Administrative Agent that the Borrower requests an amendment (or if the Administrative Agent notifies the Borrower that the Required Lenders request an amendment), the Administrative Agent, the Lenders and the Borrower shall negotiate in good faith to amend such ratio or requirement to preserve the original intent thereof in light of such change in GAAP (subject to the approval of the Required Lenders), regardless of whether any such notice is given before or after such change in GAAP or in the application thereof, then such financial ratio or requirement shall be interpreted on the basis of GAAP as in effect and applied immediately before such change shall have become effective until such provision is amended in accordance herewith. Notwithstanding any other provision contained herein, all terms of an accounting or financial nature used herein shall be construed, and all computations of amounts and ratios referred to herein shall be made (i) without giving effect to any election under Accounting Standards Codification 825-10-25 (or any other Accounting Standards Codification or Financial Accounting Standard having a similar result or effect) to value any Indebtedness or other liabilities of the Borrower or any Subsidiary at “fair value,” as defined therein, (ii) without giving effect to any treatment of Indebtedness in respect of convertible debt instruments under Accounting Standards Codification 470-20 (or any other Accounting Standards Codification or Financial Accounting Standard having a similar result or effect) to value any such Indebtedness in a reduced or bifurcated manner as described therein, and such Indebtedness shall at all times be valued at the full stated principal amount thereof and (iii) for the avoidance of doubt, except as provided in the definition of “Consolidated Net Income” and “EBITDA”, without giving effect to the financial condition, results and performance of the Unrestricted Subsidiaries.</w:t>
      </w:r>
    </w:p>
    <w:p>
      <w:pPr>
        <w:pStyle w:val="TextBody"/>
        <w:bidi w:val="0"/>
        <w:spacing w:lineRule="auto" w:line="240" w:before="239"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For purposes of determining compliance at any time with Article VI, in the event that any Indebtedness, Lien, Investment or Disposition, as applicable, meets the criteria of more than one of the categories of transactions or items permitted pursuant to any clause of such Sections 6.01, 6.02, 6.04 or 6.05, the Borrower, in its sole discretion, may, from time to time, classify or reclassify such transaction or item (or portion thereof) and will only be required to include the amount and type of such transaction (or portion thereof) in any category. It is understood and agreed that any Indebtedness, Lien, Investment or Disposition need not be permitted solely by reference to one category of permitted Indebtedness, Lien, Investment, Disposition, Affiliate transaction, restriction on subsidiary distribution and negative pledge clauses under Sections 6.01, 6.02, 6.04 or 6.05, respectively, but may instead be permitted in part under any combination thereof. For the avoidance of doubt, a transaction or item that is permitted by one category of permitted Indebtedness, Lien, Investment or Disposition under Section 6.01, 6.02, 6.04 or 6.05, respectively, shall not be counted against any other category of permitted Indebtedness, Lien, Investment or Disposition under Section 6.01, 6.02, 6.04 or 6.05, respectively (i.e., each category shall be independent of each other category).</w:t>
      </w:r>
    </w:p>
    <w:p>
      <w:pPr>
        <w:pStyle w:val="TextBody"/>
        <w:bidi w:val="0"/>
        <w:spacing w:lineRule="auto" w:line="240" w:before="241" w:after="283"/>
        <w:ind w:left="0" w:right="0" w:firstLine="720"/>
        <w:jc w:val="both"/>
        <w:rPr/>
      </w:pPr>
      <w:r>
        <w:rPr>
          <w:rFonts w:ascii="Times New Roman;sans-serif" w:hAnsi="Times New Roman;sans-serif"/>
          <w:b w:val="false"/>
          <w:color w:val="000000"/>
          <w:sz w:val="24"/>
        </w:rPr>
        <w:t xml:space="preserve">Section 1.03. </w:t>
      </w:r>
      <w:r>
        <w:rPr>
          <w:rFonts w:ascii="Times New Roman;sans-serif" w:hAnsi="Times New Roman;sans-serif"/>
          <w:b w:val="false"/>
          <w:color w:val="000000"/>
          <w:sz w:val="24"/>
          <w:u w:val="single"/>
        </w:rPr>
        <w:t>Effectuation of Transactions</w:t>
      </w:r>
      <w:r>
        <w:rPr>
          <w:rFonts w:ascii="Times New Roman;sans-serif" w:hAnsi="Times New Roman;sans-serif"/>
          <w:b w:val="false"/>
          <w:color w:val="000000"/>
          <w:sz w:val="24"/>
        </w:rPr>
        <w:t>. Each of the representations and warranties of the Borrower contained in this Agreement (and all corresponding definitions) are made after giving effect to the Transactions, unless the context otherwise requires.</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6480175" cy="781050"/>
                <wp:effectExtent l="0" t="0" r="0" b="0"/>
                <wp:wrapNone/>
                <wp:docPr id="285" name="Frame284"/>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83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83</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ind w:left="0" w:right="0" w:firstLine="720"/>
        <w:jc w:val="both"/>
        <w:rPr/>
      </w:pPr>
      <w:r>
        <w:rPr>
          <w:rFonts w:ascii="Times New Roman;sans-serif" w:hAnsi="Times New Roman;sans-serif"/>
          <w:b w:val="false"/>
          <w:color w:val="000000"/>
          <w:sz w:val="24"/>
        </w:rPr>
        <w:t xml:space="preserve">Section 1.04. </w:t>
      </w:r>
      <w:r>
        <w:rPr>
          <w:rFonts w:ascii="Times New Roman;sans-serif" w:hAnsi="Times New Roman;sans-serif"/>
          <w:b w:val="false"/>
          <w:color w:val="000000"/>
          <w:sz w:val="24"/>
          <w:u w:val="single"/>
        </w:rPr>
        <w:t>Timing of Payment or Performance</w:t>
      </w:r>
      <w:r>
        <w:rPr>
          <w:rFonts w:ascii="Times New Roman;sans-serif" w:hAnsi="Times New Roman;sans-serif"/>
          <w:b w:val="false"/>
          <w:color w:val="000000"/>
          <w:sz w:val="24"/>
        </w:rPr>
        <w:t>. Except as otherwise expressly provided herein, when the payment of any obligation or the performance of any covenant, duty or obligation is stated to be due or performance required on a day which is not a Business Day, the date of such payment or performance shall extend to the immediately succeeding Business Day.</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 xml:space="preserve">Section 1.05. </w:t>
      </w:r>
      <w:r>
        <w:rPr>
          <w:rFonts w:ascii="Times New Roman;sans-serif" w:hAnsi="Times New Roman;sans-serif"/>
          <w:b w:val="false"/>
          <w:color w:val="000000"/>
          <w:sz w:val="24"/>
          <w:u w:val="single"/>
        </w:rPr>
        <w:t>Times of Day</w:t>
      </w:r>
      <w:r>
        <w:rPr>
          <w:rFonts w:ascii="Times New Roman;sans-serif" w:hAnsi="Times New Roman;sans-serif"/>
          <w:b w:val="false"/>
          <w:color w:val="000000"/>
          <w:sz w:val="24"/>
        </w:rPr>
        <w:t>. Unless otherwise specified herein, all references herein to times of day shall be references to Local Time.</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 xml:space="preserve">Section 1.06. </w:t>
      </w:r>
      <w:r>
        <w:rPr>
          <w:rFonts w:ascii="Times New Roman;sans-serif" w:hAnsi="Times New Roman;sans-serif"/>
          <w:b w:val="false"/>
          <w:color w:val="000000"/>
          <w:sz w:val="24"/>
          <w:u w:val="single"/>
        </w:rPr>
        <w:t>Classification of Loans and Borrowings</w:t>
      </w:r>
      <w:r>
        <w:rPr>
          <w:rFonts w:ascii="Times New Roman;sans-serif" w:hAnsi="Times New Roman;sans-serif"/>
          <w:b w:val="false"/>
          <w:color w:val="000000"/>
          <w:sz w:val="24"/>
        </w:rPr>
        <w:t>. For purposes of this Agreement, Loans may be classified and referred to by Class (e.g., a “</w:t>
      </w:r>
      <w:r>
        <w:rPr>
          <w:rFonts w:ascii="Times New Roman;sans-serif" w:hAnsi="Times New Roman;sans-serif"/>
          <w:b w:val="false"/>
          <w:color w:val="000000"/>
          <w:sz w:val="24"/>
          <w:u w:val="single"/>
        </w:rPr>
        <w:t>Term Loan</w:t>
      </w:r>
      <w:r>
        <w:rPr>
          <w:color w:val="000000"/>
        </w:rPr>
        <w:t>”</w:t>
      </w:r>
      <w:r>
        <w:rPr>
          <w:rFonts w:ascii="Times New Roman;sans-serif" w:hAnsi="Times New Roman;sans-serif"/>
          <w:b w:val="false"/>
          <w:color w:val="000000"/>
          <w:sz w:val="24"/>
        </w:rPr>
        <w:t>) or by Type (e.g., an “</w:t>
      </w:r>
      <w:r>
        <w:rPr>
          <w:rFonts w:ascii="Times New Roman;sans-serif" w:hAnsi="Times New Roman;sans-serif"/>
          <w:b w:val="false"/>
          <w:color w:val="000000"/>
          <w:sz w:val="24"/>
          <w:u w:val="single"/>
        </w:rPr>
        <w:t>Term</w:t>
      </w:r>
      <w:r>
        <w:rPr>
          <w:color w:val="000000"/>
        </w:rPr>
        <w:t xml:space="preserve"> </w:t>
      </w:r>
      <w:r>
        <w:rPr>
          <w:rFonts w:ascii="Times New Roman;sans-serif" w:hAnsi="Times New Roman;sans-serif"/>
          <w:b w:val="false"/>
          <w:color w:val="000000"/>
          <w:sz w:val="24"/>
          <w:u w:val="single"/>
        </w:rPr>
        <w:t>SOFR Loan</w:t>
      </w:r>
      <w:r>
        <w:rPr>
          <w:color w:val="000000"/>
        </w:rPr>
        <w:t>”</w:t>
      </w:r>
      <w:r>
        <w:rPr>
          <w:rFonts w:ascii="Times New Roman;sans-serif" w:hAnsi="Times New Roman;sans-serif"/>
          <w:b w:val="false"/>
          <w:color w:val="000000"/>
          <w:sz w:val="24"/>
        </w:rPr>
        <w:t>) or by Class and Type (e.g., an “</w:t>
      </w:r>
      <w:r>
        <w:rPr>
          <w:rFonts w:ascii="Times New Roman;sans-serif" w:hAnsi="Times New Roman;sans-serif"/>
          <w:b w:val="false"/>
          <w:color w:val="000000"/>
          <w:sz w:val="24"/>
          <w:u w:val="single"/>
        </w:rPr>
        <w:t>Term SOFR Term Loan</w:t>
      </w:r>
      <w:r>
        <w:rPr>
          <w:color w:val="000000"/>
        </w:rPr>
        <w:t>”</w:t>
      </w:r>
      <w:r>
        <w:rPr>
          <w:rFonts w:ascii="Times New Roman;sans-serif" w:hAnsi="Times New Roman;sans-serif"/>
          <w:b w:val="false"/>
          <w:color w:val="000000"/>
          <w:sz w:val="24"/>
        </w:rPr>
        <w:t>). Borrowings also may be classified and referred to by Class (e.g., a “</w:t>
      </w:r>
      <w:r>
        <w:rPr>
          <w:rFonts w:ascii="Times New Roman;sans-serif" w:hAnsi="Times New Roman;sans-serif"/>
          <w:b w:val="false"/>
          <w:color w:val="000000"/>
          <w:sz w:val="24"/>
          <w:u w:val="single"/>
        </w:rPr>
        <w:t>Term Borrowing</w:t>
      </w:r>
      <w:r>
        <w:rPr>
          <w:color w:val="000000"/>
        </w:rPr>
        <w:t>”</w:t>
      </w:r>
      <w:r>
        <w:rPr>
          <w:rFonts w:ascii="Times New Roman;sans-serif" w:hAnsi="Times New Roman;sans-serif"/>
          <w:b w:val="false"/>
          <w:color w:val="000000"/>
          <w:sz w:val="24"/>
        </w:rPr>
        <w:t>) or by Type (e.g., an “</w:t>
      </w:r>
      <w:r>
        <w:rPr>
          <w:rFonts w:ascii="Times New Roman;sans-serif" w:hAnsi="Times New Roman;sans-serif"/>
          <w:b w:val="false"/>
          <w:color w:val="000000"/>
          <w:sz w:val="24"/>
          <w:u w:val="single"/>
        </w:rPr>
        <w:t>Term SOFR</w:t>
      </w:r>
      <w:r>
        <w:rPr>
          <w:color w:val="000000"/>
        </w:rPr>
        <w:t xml:space="preserve"> </w:t>
      </w:r>
      <w:r>
        <w:rPr>
          <w:rFonts w:ascii="Times New Roman;sans-serif" w:hAnsi="Times New Roman;sans-serif"/>
          <w:b w:val="false"/>
          <w:color w:val="000000"/>
          <w:sz w:val="24"/>
          <w:u w:val="single"/>
        </w:rPr>
        <w:t>Borrowing</w:t>
      </w:r>
      <w:r>
        <w:rPr>
          <w:color w:val="000000"/>
        </w:rPr>
        <w:t>”</w:t>
      </w:r>
      <w:r>
        <w:rPr>
          <w:rFonts w:ascii="Times New Roman;sans-serif" w:hAnsi="Times New Roman;sans-serif"/>
          <w:b w:val="false"/>
          <w:color w:val="000000"/>
          <w:sz w:val="24"/>
        </w:rPr>
        <w:t>) or by Class and Type (e.g., an “</w:t>
      </w:r>
      <w:r>
        <w:rPr>
          <w:rFonts w:ascii="Times New Roman;sans-serif" w:hAnsi="Times New Roman;sans-serif"/>
          <w:b w:val="false"/>
          <w:color w:val="000000"/>
          <w:sz w:val="24"/>
          <w:u w:val="single"/>
        </w:rPr>
        <w:t>Term SOFR Term Borrowing</w:t>
      </w:r>
      <w:r>
        <w:rPr>
          <w:color w:val="000000"/>
        </w:rPr>
        <w:t>”</w:t>
      </w:r>
      <w:r>
        <w:rPr>
          <w:rFonts w:ascii="Times New Roman;sans-serif" w:hAnsi="Times New Roman;sans-serif"/>
          <w:b w:val="false"/>
          <w:color w:val="000000"/>
          <w:sz w:val="24"/>
        </w:rPr>
        <w:t>).</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 xml:space="preserve">Section 1.07. </w:t>
      </w:r>
      <w:r>
        <w:rPr>
          <w:rFonts w:ascii="Times New Roman;sans-serif" w:hAnsi="Times New Roman;sans-serif"/>
          <w:b w:val="false"/>
          <w:color w:val="000000"/>
          <w:sz w:val="24"/>
          <w:u w:val="single"/>
        </w:rPr>
        <w:t>Letter of Credit Amounts</w:t>
      </w:r>
      <w:r>
        <w:rPr>
          <w:rFonts w:ascii="Times New Roman;sans-serif" w:hAnsi="Times New Roman;sans-serif"/>
          <w:b w:val="false"/>
          <w:color w:val="000000"/>
          <w:sz w:val="24"/>
        </w:rPr>
        <w:t>. Unless otherwise specified herein, the amount of a Letter of Credit at any time shall be deemed to be the amount available to be drawn under such Letter of Credit during the remaining life of the Letter of Credit in effect at such time.</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 xml:space="preserve">Section 1.08. </w:t>
      </w:r>
      <w:r>
        <w:rPr>
          <w:rFonts w:ascii="Times New Roman;sans-serif" w:hAnsi="Times New Roman;sans-serif"/>
          <w:b w:val="false"/>
          <w:color w:val="000000"/>
          <w:sz w:val="24"/>
          <w:u w:val="single"/>
        </w:rPr>
        <w:t>Cashless Rollovers</w:t>
      </w:r>
      <w:r>
        <w:rPr>
          <w:rFonts w:ascii="Times New Roman;sans-serif" w:hAnsi="Times New Roman;sans-serif"/>
          <w:b w:val="false"/>
          <w:color w:val="000000"/>
          <w:sz w:val="24"/>
        </w:rPr>
        <w:t>. Notwithstanding anything to the contrary contained in this Agreement or in any other Loan Document, to the extent that any Lender extends the maturity date of, or replaces, renews or refinances, any of its then-existing Loans with Incremental Facilities, Refinancing Term Loans, Loans in connection with any Replacement Revolving Facility Commitments, Extended Term Loans, Extended Revolving Facility Commitments or loans incurred under a new credit facility, in each case, to the extent such extension, replacement, renewal or refinancing is effected by means of a “cashless roll” by such Lender, such extension, replacement, renewal or refinancing shall be deemed to comply with any requirement hereunder or any other Loan Document that such payment be made “in Dollars”, “in immediately available funds”, “in cash” or any other similar requirement.</w:t>
      </w:r>
    </w:p>
    <w:p>
      <w:pPr>
        <w:pStyle w:val="TextBody"/>
        <w:bidi w:val="0"/>
        <w:spacing w:lineRule="auto" w:line="240" w:before="241" w:after="283"/>
        <w:ind w:left="0" w:right="0" w:firstLine="720"/>
        <w:jc w:val="both"/>
        <w:rPr/>
      </w:pPr>
      <w:r>
        <w:rPr>
          <w:rFonts w:ascii="Times New Roman;sans-serif" w:hAnsi="Times New Roman;sans-serif"/>
          <w:b w:val="false"/>
          <w:color w:val="000000"/>
          <w:sz w:val="24"/>
        </w:rPr>
        <w:t xml:space="preserve">Section 1.09. </w:t>
      </w:r>
      <w:r>
        <w:rPr>
          <w:rFonts w:ascii="Times New Roman;sans-serif" w:hAnsi="Times New Roman;sans-serif"/>
          <w:b w:val="false"/>
          <w:color w:val="000000"/>
          <w:sz w:val="24"/>
          <w:u w:val="single"/>
        </w:rPr>
        <w:t>Certain Calculations</w:t>
      </w:r>
      <w:r>
        <w:rPr>
          <w:rFonts w:ascii="Times New Roman;sans-serif" w:hAnsi="Times New Roman;sans-serif"/>
          <w:b w:val="false"/>
          <w:color w:val="000000"/>
          <w:sz w:val="24"/>
        </w:rPr>
        <w:t>. For purposes of determining the permissibility of any action, change, transaction or event that requires a calculation of any financial ratio or test, such financial ratio or test shall be calculated at the time such action is taken (subject to Section 1.10), such change is made, such transaction is consummated or such event occurs, as the case may be, and no Default or Event of Default shall be deemed to have occurred solely as a result of a change in such financial ratio or test occurring after the time such action is taken, such change is made, such transaction is consummated or such event occurs, as the case may be. Notwithstanding anything to the contrary herein, with respect to any amounts incurred or transactions entered into (or consummated) in reliance on a provision of this Agreement that does not require compliance with a financial ratio or test (any such amounts, the “</w:t>
      </w:r>
      <w:r>
        <w:rPr>
          <w:rFonts w:ascii="Times New Roman;sans-serif" w:hAnsi="Times New Roman;sans-serif"/>
          <w:b w:val="false"/>
          <w:color w:val="000000"/>
          <w:sz w:val="24"/>
          <w:u w:val="single"/>
        </w:rPr>
        <w:t>Fixed Amounts</w:t>
      </w:r>
      <w:r>
        <w:rPr>
          <w:color w:val="000000"/>
        </w:rPr>
        <w:t>”</w:t>
      </w:r>
      <w:r>
        <w:rPr>
          <w:rFonts w:ascii="Times New Roman;sans-serif" w:hAnsi="Times New Roman;sans-serif"/>
          <w:b w:val="false"/>
          <w:color w:val="000000"/>
          <w:sz w:val="24"/>
        </w:rPr>
        <w:t>) substantially concurrently with any amounts incurred or transactions entered into (or consummated) in reliance on a provision of this Agreement that requires compliance with a financial ratio or test (any such amounts, the “</w:t>
      </w:r>
      <w:r>
        <w:rPr>
          <w:rFonts w:ascii="Times New Roman;sans-serif" w:hAnsi="Times New Roman;sans-serif"/>
          <w:b w:val="false"/>
          <w:color w:val="000000"/>
          <w:sz w:val="24"/>
          <w:u w:val="single"/>
        </w:rPr>
        <w:t>Incurrence-Based Amounts</w:t>
      </w:r>
      <w:r>
        <w:rPr>
          <w:color w:val="000000"/>
        </w:rPr>
        <w:t>”</w:t>
      </w:r>
      <w:r>
        <w:rPr>
          <w:rFonts w:ascii="Times New Roman;sans-serif" w:hAnsi="Times New Roman;sans-serif"/>
          <w:b w:val="false"/>
          <w:color w:val="000000"/>
          <w:sz w:val="24"/>
        </w:rPr>
        <w:t>), it is understood and agreed that the Fixed Amounts shall be disregarded in the calculation of the financial ratio or test applicable to the Incurrence-Based Amounts.</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6480175" cy="781050"/>
                <wp:effectExtent l="0" t="0" r="0" b="0"/>
                <wp:wrapNone/>
                <wp:docPr id="286" name="Frame285"/>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84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84</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jc w:val="left"/>
        <w:rPr/>
      </w:pPr>
      <w:r>
        <w:rPr>
          <w:rFonts w:ascii="Times New Roman;sans-serif" w:hAnsi="Times New Roman;sans-serif"/>
          <w:b w:val="false"/>
          <w:color w:val="000000"/>
          <w:sz w:val="24"/>
        </w:rPr>
        <w:t xml:space="preserve">Section 1.10. </w:t>
      </w:r>
      <w:r>
        <w:rPr>
          <w:rFonts w:ascii="Times New Roman;sans-serif" w:hAnsi="Times New Roman;sans-serif"/>
          <w:b w:val="false"/>
          <w:color w:val="000000"/>
          <w:sz w:val="24"/>
          <w:u w:val="single"/>
        </w:rPr>
        <w:t>Limited Condition Transactions</w:t>
      </w:r>
      <w:r>
        <w:rPr>
          <w:rFonts w:ascii="Times New Roman;sans-serif" w:hAnsi="Times New Roman;sans-serif"/>
          <w:b w:val="false"/>
          <w:color w:val="000000"/>
          <w:sz w:val="24"/>
        </w:rPr>
        <w:t>.</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connection with any action being taken solely in connection with a Limited Condition Transaction (including any contemplated incurrence or assumption of Indebtedness in connection therewith), for purposes of:</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(a)determining compliance with any provision of the Loan Documents (other than Section 6.10 hereof) that requires the calculation of the Consolidated Interest Coverage Ratio, Total Net Leverage Ratio, Secured Net Leverage Ratio or the First Lien Net Leverage Ratio;</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(b)determining the accuracy of representations and warranties and/or whether a Default or Event of Default shall have occurred and be continuing (or any subset of Defaults or Events of Default); or</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(c)testing availability under baskets set forth in the Loan Documents (including baskets measured as a percentage of EBITDA or Consolidated Total Assets or by reference to the Builder Basket);</w:t>
      </w:r>
    </w:p>
    <w:p>
      <w:pPr>
        <w:pStyle w:val="TextBody"/>
        <w:bidi w:val="0"/>
        <w:spacing w:lineRule="auto" w:line="240" w:before="240" w:after="283"/>
        <w:jc w:val="both"/>
        <w:rPr/>
      </w:pPr>
      <w:r>
        <w:rPr>
          <w:rFonts w:ascii="Times New Roman;sans-serif" w:hAnsi="Times New Roman;sans-serif"/>
          <w:b w:val="false"/>
          <w:color w:val="000000"/>
          <w:sz w:val="24"/>
        </w:rPr>
        <w:t>in each case, at the option of the Borrower (the Borrower’s election, in writing to the Administrative Agent, to exercise such option in connection with any Limited Condition Transaction, an “</w:t>
      </w:r>
      <w:r>
        <w:rPr>
          <w:rFonts w:ascii="Times New Roman;sans-serif" w:hAnsi="Times New Roman;sans-serif"/>
          <w:b w:val="false"/>
          <w:color w:val="000000"/>
          <w:sz w:val="24"/>
          <w:u w:val="single"/>
        </w:rPr>
        <w:t>LCA Election</w:t>
      </w:r>
      <w:r>
        <w:rPr>
          <w:color w:val="000000"/>
        </w:rPr>
        <w:t>”</w:t>
      </w:r>
      <w:r>
        <w:rPr>
          <w:rFonts w:ascii="Times New Roman;sans-serif" w:hAnsi="Times New Roman;sans-serif"/>
          <w:b w:val="false"/>
          <w:color w:val="000000"/>
          <w:sz w:val="24"/>
        </w:rPr>
        <w:t>), the date of determination of whether any such action is permitted hereunder shall be deemed to be the date the definitive agreements with respect to such Limited Condition Transaction are entered into or the date of delivery of the relevant notices, if any (the “</w:t>
      </w:r>
      <w:r>
        <w:rPr>
          <w:rFonts w:ascii="Times New Roman;sans-serif" w:hAnsi="Times New Roman;sans-serif"/>
          <w:b w:val="false"/>
          <w:color w:val="000000"/>
          <w:sz w:val="24"/>
          <w:u w:val="single"/>
        </w:rPr>
        <w:t>LCA Test Date</w:t>
      </w:r>
      <w:r>
        <w:rPr>
          <w:color w:val="000000"/>
        </w:rPr>
        <w:t>”</w:t>
      </w:r>
      <w:r>
        <w:rPr>
          <w:rFonts w:ascii="Times New Roman;sans-serif" w:hAnsi="Times New Roman;sans-serif"/>
          <w:b w:val="false"/>
          <w:color w:val="000000"/>
          <w:sz w:val="24"/>
        </w:rPr>
        <w:t>), and if, on a Pro Forma Basis after giving pro forma effect to the Limited Condition Transaction and the other transactions to be entered into in connection therewith (including any incurrence of Indebtedness or Liens and the use of proceeds thereof) as if they had occurred at the beginning of the most recent Test Period ending prior to the LCA Test Date, the Borrower could have taken such action on the relevant LCA Test Date in compliance with such ratio or basket, such ratio or basket shall be deemed to have been complied with.</w:t>
      </w:r>
    </w:p>
    <w:p>
      <w:pPr>
        <w:pStyle w:val="TextBody"/>
        <w:bidi w:val="0"/>
        <w:spacing w:lineRule="auto" w:line="240" w:before="241" w:after="283"/>
        <w:ind w:left="0" w:right="0" w:firstLine="720"/>
        <w:jc w:val="both"/>
        <w:rPr/>
      </w:pPr>
      <w:r>
        <w:rPr>
          <w:rFonts w:ascii="Times New Roman;sans-serif" w:hAnsi="Times New Roman;sans-serif"/>
          <w:b w:val="false"/>
          <w:color w:val="000000"/>
          <w:sz w:val="24"/>
        </w:rPr>
        <w:t xml:space="preserve">For the avoidance of doubt, if the Borrower has made an LCA Election and any of the ratios or baskets for which compliance was determined or tested as of the LCA Test Date are exceeded as a result of fluctuations in any such ratio or basket, including due to fluctuations in EBITDA of the Borrower or any Subsidiary or the Person subject to such Limited Condition Transaction, at or prior to the consummation of the relevant transaction or action, such baskets or ratios will not be deemed to have been exceeded as a result of such fluctuations;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if any ratios improve or baskets increase as a result of such fluctuations, such improved ratios or baskets may be utilized.</w:t>
      </w:r>
    </w:p>
    <w:p>
      <w:pPr>
        <w:pStyle w:val="TextBody"/>
        <w:bidi w:val="0"/>
        <w:spacing w:lineRule="auto" w:line="240" w:before="239"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If the Borrower has made an LCA Election for any Limited Condition Transaction, then, in connection with any subsequent calculation of the ratios or baskets on or following the relevant LCA Test Date and prior to the earlier of (i) the date on which such Limited Condition Transaction is consummated or (ii) the date that the definitive agreement for such Limited Condition Transaction is terminated or expires without consummation of such Limited Condition Transaction, any such ratio or basket shall be calculated on a Pro Forma Basis assuming such Limited Condition Transaction and other transactions in connection therewith (including any incurrence of Indebtedness or Liens and the use of proceeds thereof) have been consummated;</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6480175" cy="781050"/>
                <wp:effectExtent l="0" t="0" r="0" b="0"/>
                <wp:wrapNone/>
                <wp:docPr id="287" name="Frame286"/>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85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85</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jc w:val="both"/>
        <w:rPr/>
      </w:pP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if such Limited Condition Transaction is terminated or expires without consummation of such Limited Condition Transaction, any action taken where compliance of such ratios or baskets was determined or tested assuming such Limited Condition Transaction and other transaction in connection therewith have been consummated will not be deemed to have been exceeded as a result of failure to consummate such Limited Condition Transaction and other transactions in connection therewith.</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 xml:space="preserve">Section 1.11. </w:t>
      </w:r>
      <w:r>
        <w:rPr>
          <w:rFonts w:ascii="Times New Roman;sans-serif" w:hAnsi="Times New Roman;sans-serif"/>
          <w:b w:val="false"/>
          <w:color w:val="000000"/>
          <w:sz w:val="24"/>
          <w:u w:val="single"/>
        </w:rPr>
        <w:t>Divisions</w:t>
      </w:r>
      <w:r>
        <w:rPr>
          <w:rFonts w:ascii="Times New Roman;sans-serif" w:hAnsi="Times New Roman;sans-serif"/>
          <w:b w:val="false"/>
          <w:color w:val="000000"/>
          <w:sz w:val="24"/>
        </w:rPr>
        <w:t>. For all purposes under the Loan Documents, in connection with any division or plan of division under Delaware law (or any comparable event under a different jurisdiction’s laws): (i) if any asset, right, obligation, or liability of any Person becomes the asset, right, obligation, or liability of a different Person, then it shall be deemed to have been transferred from the original Person to the subsequent Person, and (ii) if any new Person comes into existence, such new Person shall be deemed to have been organized on the first date of its existence by the holders of its Equity Interest at such time.</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 xml:space="preserve">Section 1.12. </w:t>
      </w:r>
      <w:r>
        <w:rPr>
          <w:rFonts w:ascii="Times New Roman;sans-serif" w:hAnsi="Times New Roman;sans-serif"/>
          <w:b w:val="false"/>
          <w:color w:val="000000"/>
          <w:sz w:val="24"/>
          <w:u w:val="single"/>
        </w:rPr>
        <w:t>Exchange Rates; Currency Equivalents</w:t>
      </w:r>
      <w:r>
        <w:rPr>
          <w:rFonts w:ascii="Times New Roman;sans-serif" w:hAnsi="Times New Roman;sans-serif"/>
          <w:b w:val="false"/>
          <w:color w:val="000000"/>
          <w:sz w:val="24"/>
        </w:rPr>
        <w:t>. On each Revaluation Date, the Administrative Agent shall determine the Dollar Equivalent amounts of Letter of Credit extensions denominated in Permitted Foreign Currencies. Such Dollar Equivalent shall become effective as of such Revaluation Date and shall be the Dollar Equivalent of such amounts until the next Revaluation Date to occur. Except for purposes of financial statements delivered by the Borrower hereunder or calculating financial covenants hereunder or except as otherwise provided herein, the applicable amount of any Permitted Foreign Currency or purposes of the Loan Documents shall be such Dollar Equivalent amount as so determined by the Administrative Agent.</w:t>
      </w:r>
    </w:p>
    <w:p>
      <w:pPr>
        <w:pStyle w:val="TextBody"/>
        <w:bidi w:val="0"/>
        <w:spacing w:lineRule="auto" w:line="240" w:before="241"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ARTICLE II</w:t>
      </w:r>
    </w:p>
    <w:p>
      <w:pPr>
        <w:pStyle w:val="TextBody"/>
        <w:bidi w:val="0"/>
        <w:spacing w:lineRule="auto" w:line="240" w:before="276" w:after="283"/>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The Credits</w:t>
      </w:r>
    </w:p>
    <w:p>
      <w:pPr>
        <w:pStyle w:val="TextBody"/>
        <w:bidi w:val="0"/>
        <w:spacing w:lineRule="auto" w:line="240" w:before="240" w:after="283"/>
        <w:jc w:val="center"/>
        <w:rPr/>
      </w:pPr>
      <w:r>
        <w:rPr>
          <w:rFonts w:ascii="Times New Roman;sans-serif" w:hAnsi="Times New Roman;sans-serif"/>
          <w:b w:val="false"/>
          <w:color w:val="000000"/>
          <w:sz w:val="24"/>
        </w:rPr>
        <w:t xml:space="preserve">Section 2.01. </w:t>
      </w:r>
      <w:r>
        <w:rPr>
          <w:rFonts w:ascii="Times New Roman;sans-serif" w:hAnsi="Times New Roman;sans-serif"/>
          <w:b w:val="false"/>
          <w:color w:val="000000"/>
          <w:sz w:val="24"/>
          <w:u w:val="single"/>
        </w:rPr>
        <w:t>Commitments</w:t>
      </w:r>
      <w:r>
        <w:rPr>
          <w:rFonts w:ascii="Times New Roman;sans-serif" w:hAnsi="Times New Roman;sans-serif"/>
          <w:b w:val="false"/>
          <w:color w:val="000000"/>
          <w:sz w:val="24"/>
        </w:rPr>
        <w:t>. Subject to the terms and conditions set forth herein:</w:t>
      </w:r>
    </w:p>
    <w:p>
      <w:pPr>
        <w:pStyle w:val="TextBody"/>
        <w:bidi w:val="0"/>
        <w:spacing w:lineRule="auto" w:line="240" w:before="238"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(a)Each Initial Term Lender agrees, severally and not jointly, to make an Initial Term Loan in Dollars to the Borrower on the Closing Date in an aggregate principal amount not to exceed its Initial Term Loan Commitment.</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(b)Each Revolving Facility Lender agrees, severally and not jointly, to make Revolving Facility Loans of a Class in Dollars to the Borrower from time to time during the Availability Period in an aggregate principal amount that will not result in (i) such Lender’s Revolving Facility Credit Exposure of such Class exceeding such Lender’s Revolving Facility Commitment of such Class or (ii) the Revolving Facility Credit Exposure of such Class exceeding the total Revolving Facility Commitments of such Class. Within the foregoing limits and subject to the terms and conditions set forth herein, the Borrower may borrow, prepay and reborrow Revolving Facility Loans.</w:t>
      </w:r>
    </w:p>
    <w:p>
      <w:pPr>
        <w:pStyle w:val="TextBody"/>
        <w:bidi w:val="0"/>
        <w:spacing w:lineRule="auto" w:line="240" w:before="241"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(c)Each Lender having an Incremental Commitment agrees, severally and not jointly, subject to the terms and conditions set forth in the applicable Incremental Assumption Agreement, to make an Incremental Loan to the Borrower, in an aggregate principal amount not to exceed its Incremental Commitment.</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6480175" cy="781050"/>
                <wp:effectExtent l="0" t="0" r="0" b="0"/>
                <wp:wrapNone/>
                <wp:docPr id="288" name="Frame287"/>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86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86</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(d)The full amount of the Term Loans pursuant to the Initial Term Loan Commitments must be drawn in a single drawing on the Closing Date. Term Loans that are repaid or prepaid may not be reborrowed.</w:t>
      </w:r>
    </w:p>
    <w:p>
      <w:pPr>
        <w:pStyle w:val="TextBody"/>
        <w:bidi w:val="0"/>
        <w:spacing w:lineRule="auto" w:line="240" w:before="240" w:after="283"/>
        <w:jc w:val="left"/>
        <w:rPr/>
      </w:pPr>
      <w:r>
        <w:rPr>
          <w:rFonts w:ascii="Times New Roman;sans-serif" w:hAnsi="Times New Roman;sans-serif"/>
          <w:b w:val="false"/>
          <w:color w:val="000000"/>
          <w:sz w:val="24"/>
        </w:rPr>
        <w:t xml:space="preserve">Section 2.02. </w:t>
      </w:r>
      <w:r>
        <w:rPr>
          <w:rFonts w:ascii="Times New Roman;sans-serif" w:hAnsi="Times New Roman;sans-serif"/>
          <w:b w:val="false"/>
          <w:color w:val="000000"/>
          <w:sz w:val="24"/>
          <w:u w:val="single"/>
        </w:rPr>
        <w:t>Loans and Borrowings</w:t>
      </w:r>
      <w:r>
        <w:rPr>
          <w:rFonts w:ascii="Times New Roman;sans-serif" w:hAnsi="Times New Roman;sans-serif"/>
          <w:b w:val="false"/>
          <w:color w:val="000000"/>
          <w:sz w:val="24"/>
        </w:rPr>
        <w:t>.</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 xml:space="preserve">(a)Each Loan shall be made as part of a Borrowing consisting of Loans of the same Class and of the same Type made by the Lenders ratably in accordance with their respective Commitments of the applicable Class (or, in the case of Swingline Loans, in accordance with the Swingline Commitment). The failure of any Lender to make any Loan required to be made by it shall not relieve any other Lender of its obligations hereunder;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that the Commitments of the Lenders are several and no Lender shall be responsible for any other Lender’s failure to make Loans as required.</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 xml:space="preserve">(b)Subject to Section 2.14, each Borrowing (other than a Swingline Borrowing) shall be comprised entirely of ABR Loans or Term SOFR Loans as the Borrower may request in accordance herewith. Each Swingline Borrowing shall be an ABR Borrowing. Each Lender at its option may make any ABR Loan or Term SOFR Loan by causing any domestic or foreign branch or Affiliate of such Lender to make such Loan (and in the case of an Affiliate, the provisions of Sections 2.15, 2.16 and 2.17 shall apply to such Affiliate to the same extent as to such Lender);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that any exercise of such option shall not affect the obligation of the Borrower to repay such Loan in accordance with the terms of this Agreement and such Lender shall not be entitled to any amounts payable under Section 2.15, 2.16 or 2.17 solely in respect of increased costs resulting from such exercise and under the Requirements of Law existing at the time of such exercise.</w:t>
      </w:r>
    </w:p>
    <w:p>
      <w:pPr>
        <w:pStyle w:val="TextBody"/>
        <w:bidi w:val="0"/>
        <w:spacing w:lineRule="auto" w:line="240" w:before="241" w:after="283"/>
        <w:ind w:left="0" w:right="0" w:firstLine="720"/>
        <w:jc w:val="both"/>
        <w:rPr/>
      </w:pPr>
      <w:r>
        <w:rPr>
          <w:rFonts w:ascii="Times New Roman;sans-serif" w:hAnsi="Times New Roman;sans-serif"/>
          <w:b w:val="false"/>
          <w:color w:val="000000"/>
          <w:sz w:val="24"/>
        </w:rPr>
        <w:t xml:space="preserve">(c)At the commencement of each Interest Period for any Term SOFR Revolving Facility Borrowing, such Borrowing shall be in an aggregate amount that is an integral multiple of the Borrowing Multiple and not less than the Borrowing Minimum. At the time that each ABR Revolving Facility Borrowing is made, such Borrowing shall be in an aggregate amount that is an integral multiple of the Borrowing Multiple and not less than the Borrowing Minimum;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that an ABR Revolving Facility Borrowing may be in an aggregate amount that is equal to the entire unused available balance of the Revolving Facility Commitments or as contemplated by Section 2.04(c) or Section 2.05(c). Each Swingline Borrowing shall be in an amount that is an integral multiple of the Borrowing Multiple and not less than the Borrowing Minimum. Borrowings of more than one Type and Class may be outstanding at the same time;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the Borrower shall not be entitled to request any Borrowing that, if made, and after giving effect to all Borrowings, all conversions of Loans from one type to another, and all continuations of Loans of the same type, would result in more than (i)ten (10) Term SOFR Borrowings outstanding under the Revolving Facility at any time and (ii) six (6) Term SOFR Borrowings outstanding under each other Facility. Borrowings having different Interest Periods, regardless of whether they commence on the same date, shall be considered separate Borrowings.</w:t>
      </w:r>
    </w:p>
    <w:p>
      <w:pPr>
        <w:pStyle w:val="TextBody"/>
        <w:bidi w:val="0"/>
        <w:spacing w:lineRule="auto" w:line="240" w:before="239"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(d)Notwithstanding any other provision of this Agreement, the Borrower shall not be entitled to request, or to elect to convert or continue, any Borrowing of any Class if the Interest Period requested with respect thereto would end after the Maturity Date for such Class.</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6480175" cy="781050"/>
                <wp:effectExtent l="0" t="0" r="0" b="0"/>
                <wp:wrapNone/>
                <wp:docPr id="289" name="Frame288"/>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87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87</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jc w:val="left"/>
        <w:rPr/>
      </w:pPr>
      <w:r>
        <w:rPr>
          <w:rFonts w:ascii="Times New Roman;sans-serif" w:hAnsi="Times New Roman;sans-serif"/>
          <w:b w:val="false"/>
          <w:color w:val="000000"/>
          <w:sz w:val="24"/>
        </w:rPr>
        <w:t xml:space="preserve">Section 2.03. </w:t>
      </w:r>
      <w:r>
        <w:rPr>
          <w:rFonts w:ascii="Times New Roman;sans-serif" w:hAnsi="Times New Roman;sans-serif"/>
          <w:b w:val="false"/>
          <w:color w:val="000000"/>
          <w:sz w:val="24"/>
          <w:u w:val="single"/>
        </w:rPr>
        <w:t>Requests for Borrowings</w:t>
      </w:r>
      <w:r>
        <w:rPr>
          <w:rFonts w:ascii="Times New Roman;sans-serif" w:hAnsi="Times New Roman;sans-serif"/>
          <w:b w:val="false"/>
          <w:color w:val="000000"/>
          <w:sz w:val="24"/>
        </w:rPr>
        <w:t>.</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 xml:space="preserve">(a)To request a Revolving Facility Borrowing and/or a Term Borrowing, the Borrower shall notify the Administrative Agent of such request (a) in the case of a Term SOFR Borrowing, not later than 12:00 noon, Local Time, three (3) U.S. Government Securities Business Days before the date of the proposed Borrowing or (b) in the case of an ABR Borrowing, by telephone, not later than 10:00 a.m. Local Time, on the Business Day of the proposed Borrowing (or, in each case, such later time as is acceptable to the Administrative Agent);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that (i) if the Borrower wishes to request Term SOFR Loans having an Interest Period other than one, three or six months in duration as provided in the definition of “Interest Period,” the applicable notice must be received by the Administrative Agent not later than 12:00 noon, Local Time four (4) U.S. Government Securities Business Days prior to the requested date of such Borrowing, conversion or continuation, whereupon the Administrative Agent shall give prompt notice to the applicable Lenders of such request and determine whether the requested Interest Period is acceptable to all of them and not later than 12:00 noon, Local Time, three (3) U.S. Government Securities Business Days before the requested date of such Borrowing, the Administrative Agent shall notify the Borrower (which notice may be by telephone) whether or not the requested Interest Period has been consented to by all the applicable Lenders and (ii) any such notice of an ABR Revolving Facility Borrowing as contemplated by Section 2.04(c) or Section 2.05(c) may be given no later than 12:00 noon, Local Time, on the date of the proposed Borrowing. Each such Borrowing Request shall be irrevocable (other than in the case of any notice given in respect of the Closing Date, which may be conditioned upon the occurrence of the Closing Date) and (in the case of telephonic requests) shall be confirmed promptly by hand delivery or electronic means to the Administrative Agent of a written Borrowing Request signed by the Borrower. Each such telephonic and written Borrowing Request shall specify the following information in compliance with Section 2.02:</w:t>
      </w:r>
    </w:p>
    <w:p>
      <w:pPr>
        <w:pStyle w:val="TextBody"/>
        <w:bidi w:val="0"/>
        <w:spacing w:lineRule="auto" w:line="240" w:before="239"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(i)whether such Borrowing is to be a Borrowing of Initial Term Loans, Other Term Loans or Revolving Facility Loans of a particular Class, as applicable;</w:t>
      </w:r>
    </w:p>
    <w:p>
      <w:pPr>
        <w:pStyle w:val="TextBody"/>
        <w:bidi w:val="0"/>
        <w:spacing w:lineRule="auto" w:line="240" w:before="240" w:after="283"/>
        <w:ind w:left="0" w:right="0" w:hanging="721"/>
        <w:jc w:val="left"/>
        <w:rPr>
          <w:rFonts w:ascii="Times New Roman;sans-serif" w:hAnsi="Times New Roman;sans-serif"/>
          <w:b w:val="false"/>
          <w:color w:val="000000"/>
          <w:sz w:val="24"/>
        </w:rPr>
      </w:pPr>
      <w:r>
        <w:rPr>
          <w:rFonts w:ascii="Times New Roman;sans-serif" w:hAnsi="Times New Roman;sans-serif"/>
          <w:b w:val="false"/>
          <w:color w:val="000000"/>
          <w:sz w:val="24"/>
        </w:rPr>
        <w:t>(ii)the aggregate amount of the requested Borrowing;</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(iii)the date of such Borrowing, which shall be a Business Day or a U.S. Government Securities Business Day, as applicable;</w:t>
      </w:r>
    </w:p>
    <w:p>
      <w:pPr>
        <w:pStyle w:val="TextBody"/>
        <w:bidi w:val="0"/>
        <w:spacing w:lineRule="auto" w:line="240" w:before="241"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(iv)whether such Borrowing is to be an ABR Borrowing or a Term SOFR Borrowing;</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(v)in the case of a Term SOFR Borrowing, the initial Interest Period to be applicable thereto, which shall be a period contemplated by the definition of the term “Interest Period”; and</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(vi)the location and number of the Borrower’s account to which funds are to be disbursed.</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If no election as to the Type of Borrowing is specified, then the requested Borrowing shall be an ABR Borrowing. If no Interest Period is specified with respect to any requested Term SOFR Borrowing then the Borrower shall be deemed to have selected an Interest Period of one month’s</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6480175" cy="781050"/>
                <wp:effectExtent l="0" t="0" r="0" b="0"/>
                <wp:wrapNone/>
                <wp:docPr id="290" name="Frame289"/>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88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88</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jc w:val="both"/>
        <w:rPr>
          <w:rFonts w:ascii="Times New Roman;sans-serif" w:hAnsi="Times New Roman;sans-serif"/>
          <w:b w:val="false"/>
          <w:color w:val="000000"/>
          <w:sz w:val="24"/>
        </w:rPr>
      </w:pPr>
      <w:r>
        <w:rPr>
          <w:rFonts w:ascii="Times New Roman;sans-serif" w:hAnsi="Times New Roman;sans-serif"/>
          <w:b w:val="false"/>
          <w:color w:val="000000"/>
          <w:sz w:val="24"/>
        </w:rPr>
        <w:t>duration. Promptly following receipt of a Borrowing Request in accordance with this Section 2.03, the Administrative Agent shall advise each applicable Lender of the details thereof and of the amount of such Lender’s Loan to be made as part of the requested Borrowing.</w:t>
      </w:r>
    </w:p>
    <w:p>
      <w:pPr>
        <w:pStyle w:val="TextBody"/>
        <w:bidi w:val="0"/>
        <w:spacing w:lineRule="auto" w:line="240" w:before="240" w:after="283"/>
        <w:jc w:val="left"/>
        <w:rPr/>
      </w:pPr>
      <w:r>
        <w:rPr>
          <w:rFonts w:ascii="Times New Roman;sans-serif" w:hAnsi="Times New Roman;sans-serif"/>
          <w:b w:val="false"/>
          <w:color w:val="000000"/>
          <w:sz w:val="24"/>
        </w:rPr>
        <w:t xml:space="preserve">Section 2.04. </w:t>
      </w:r>
      <w:r>
        <w:rPr>
          <w:rFonts w:ascii="Times New Roman;sans-serif" w:hAnsi="Times New Roman;sans-serif"/>
          <w:b w:val="false"/>
          <w:color w:val="000000"/>
          <w:sz w:val="24"/>
          <w:u w:val="single"/>
        </w:rPr>
        <w:t>Swingline Loans</w:t>
      </w:r>
      <w:r>
        <w:rPr>
          <w:rFonts w:ascii="Times New Roman;sans-serif" w:hAnsi="Times New Roman;sans-serif"/>
          <w:b w:val="false"/>
          <w:color w:val="000000"/>
          <w:sz w:val="24"/>
        </w:rPr>
        <w:t>.</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 xml:space="preserve">(a)Subject to the terms and conditions set forth herein, the Swingline Lender hereby agrees to make Swingline Loans under any Revolving Facility in Dollars to the Borrower from time to time during the Availability Period, in an aggregate principal amount at any time outstanding that will not result in (i) the aggregate principal amount of outstanding Swingline Loans exceeding the Swingline Lender’s Swingline Commitment or (ii) the Revolving Facility Credit Exposure of the applicable Class exceeding the total Revolving Facility Commitments of such Class;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that the Swingline Lender shall not be required to make a Swingline Loan to refinance an outstanding Swingline Borrowing and the Swingline Lender shall not be under any obligation to make any Swingline Loan if it shall determine (which determination shall be conclusive and binding absent manifest error) that it has, or by the making of such Swingline Loan may have, Fronting Exposure. Within the foregoing limits and subject to the terms and conditions set forth herein, the Borrower may borrow, prepay and reborrow Swingline Loans.</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(b)To request a Swingline Borrowing, the Borrower shall notify the Administrative Agent and the Swingline Lender of such request by telephone (confirmed by a Swingline Borrowing Request), not later than 2:00 p.m., Local Time, on the day of a proposed Swingline Borrowing. Each such notice and Swingline Borrowing Request shall be irrevocable and shall specify (i) the requested date of such Swingline Borrowing (which shall be a Business Day) and</w:t>
      </w:r>
    </w:p>
    <w:p>
      <w:pPr>
        <w:pStyle w:val="TextBody"/>
        <w:bidi w:val="0"/>
        <w:spacing w:lineRule="auto" w:line="240" w:before="1" w:after="283"/>
        <w:jc w:val="both"/>
        <w:rPr>
          <w:rFonts w:ascii="Times New Roman;sans-serif" w:hAnsi="Times New Roman;sans-serif"/>
          <w:b w:val="false"/>
          <w:color w:val="000000"/>
          <w:sz w:val="24"/>
        </w:rPr>
      </w:pPr>
      <w:r>
        <w:rPr>
          <w:rFonts w:ascii="Times New Roman;sans-serif" w:hAnsi="Times New Roman;sans-serif"/>
          <w:b w:val="false"/>
          <w:color w:val="000000"/>
          <w:sz w:val="24"/>
        </w:rPr>
        <w:t>(ii) the amount of the requested Swingline Borrowing. The Swingline Lender shall consult with the Administrative Agent as to whether the making of the Swingline Loan is in accordance with the terms of this Agreement prior to the Swingline Lender funding such Swingline Loan. The Swingline Lender shall make each Swingline Loan on the proposed date thereof by wire transfer of immediately available funds by 4:00 p.m., Local Time, to the account of the Borrower.</w:t>
      </w:r>
    </w:p>
    <w:p>
      <w:pPr>
        <w:pStyle w:val="TextBody"/>
        <w:bidi w:val="0"/>
        <w:spacing w:lineRule="auto" w:line="240" w:before="238"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(c)The Swingline Lender may, by written notice given to the Administrative Agent not later than 12:00 noon, Local Time, on any Business Day, require the Revolving Facility Lenders under the applicable Revolving Facility to acquire participations on such Business Day in all or a portion of the outstanding Swingline Loans made by it under such Revolving Facility. Such notice shall specify the aggregate amount of such Swingline Loans in which the Revolving Facility Lenders will participate. Promptly upon receipt of such notice, the Administrative Agent will give notice thereof to each such Lender, specifying in such notice such Revolving Facility Lender’s applicable Revolving Facility Percentage of such Swingline Loan or Loans. Each Revolving Facility Lender hereby absolutely and unconditionally agrees, promptly upon receipt of notice as provided above (and in any event, if such notice is received by 12:00 noon, Local Time, on a Business Day no later than 2:00 p.m. Local Time on such Business Day and if received after 12:00 noon, Local Time, on a Business Day, no later than 12:00 noon, Local Time on the immediately succeeding Business Day), to pay to the Administrative Agent for the account of the Swingline Lender, such Revolving Facility Lender’s applicable Revolving Facility Percentage of such Swingline Loan or Loans. Each Revolving Facility Lender acknowledges and agrees that its respective obligation to acquire participations in Swingline Loans pursuant to this paragraph is absolute and unconditional and shall not be affected by any circumstance whatsoever, including</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6480175" cy="781050"/>
                <wp:effectExtent l="0" t="0" r="0" b="0"/>
                <wp:wrapNone/>
                <wp:docPr id="291" name="Frame290"/>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89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89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jc w:val="both"/>
        <w:rPr/>
      </w:pPr>
      <w:r>
        <w:rPr>
          <w:rFonts w:ascii="Times New Roman;sans-serif" w:hAnsi="Times New Roman;sans-serif"/>
          <w:b w:val="false"/>
          <w:color w:val="000000"/>
          <w:sz w:val="24"/>
        </w:rPr>
        <w:t xml:space="preserve">the occurrence and continuance of a Default or Event of Default or reduction or termination of any Commitments, and that each such payment shall be made without any offset, abatement, withholding or reduction whatsoever. Each Revolving Facility Lender shall comply with its obligation under this paragraph by wire transfer of immediately available funds, in the same manner as provided in Section 2.06 with respect to Loans made by such Revolving Facility Lender (and Section 2.06 shall apply, mutatis mutandis, to the payment obligations of the Lenders), and the Administrative Agent shall promptly pay to the Swingline Lender the amounts so received by it from the Revolving Facility Lenders. The Administrative Agent shall notify the Borrower of any participations in any Swingline Loan acquired pursuant to this paragraph (c), and thereafter payments in respect of such Swingline Loan shall be made to the Administrative Agent and not to the Swingline Lender. Any amounts received by the Swingline Lender from the Borrower (or other party on behalf of the Borrower) in respect of a Swingline Loan after receipt by such Swingline Lender of the proceeds of a sale of participations therein shall be promptly remitted to the Administrative Agent; any such amounts received by the Administrative Agent shall be promptly remitted by the Administrative Agent to the Revolving Facility Lenders that shall have made their payments pursuant to this paragraph and to such Swingline Lender, as their interests may appear;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that any such payment so remitted shall be repaid to such Swingline Lender or to the Administrative Agent, as applicable, if and to the extent such payment is required to be refunded to the Borrower for any reason. The purchase of participations in a Swingline Loan pursuant to this paragraph shall not relieve the Borrower of any default in the payment thereof.</w:t>
      </w:r>
    </w:p>
    <w:p>
      <w:pPr>
        <w:pStyle w:val="TextBody"/>
        <w:bidi w:val="0"/>
        <w:spacing w:lineRule="auto" w:line="240" w:before="241" w:after="283"/>
        <w:jc w:val="left"/>
        <w:rPr/>
      </w:pPr>
      <w:r>
        <w:rPr>
          <w:rFonts w:ascii="Times New Roman;sans-serif" w:hAnsi="Times New Roman;sans-serif"/>
          <w:b w:val="false"/>
          <w:color w:val="000000"/>
          <w:sz w:val="24"/>
        </w:rPr>
        <w:t xml:space="preserve">Section 2.05. </w:t>
      </w:r>
      <w:r>
        <w:rPr>
          <w:rFonts w:ascii="Times New Roman;sans-serif" w:hAnsi="Times New Roman;sans-serif"/>
          <w:b w:val="false"/>
          <w:color w:val="000000"/>
          <w:sz w:val="24"/>
          <w:u w:val="single"/>
        </w:rPr>
        <w:t>Letters of Credit</w:t>
      </w:r>
      <w:r>
        <w:rPr>
          <w:rFonts w:ascii="Times New Roman;sans-serif" w:hAnsi="Times New Roman;sans-serif"/>
          <w:b w:val="false"/>
          <w:color w:val="000000"/>
          <w:sz w:val="24"/>
        </w:rPr>
        <w:t>.</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The Letter of Credit Commitment</w:t>
      </w:r>
      <w:r>
        <w:rPr>
          <w:rFonts w:ascii="Times New Roman;sans-serif" w:hAnsi="Times New Roman;sans-serif"/>
          <w:b w:val="false"/>
          <w:color w:val="000000"/>
          <w:sz w:val="24"/>
        </w:rPr>
        <w:t xml:space="preserve">. (i) Subject to the terms and conditions set forth herein, (A) each Issuing Bank agrees, in reliance upon the agreements of the Revolving Facility Lenders set forth in this Section 2.05, (1) from time to time on any Business Day during the period from the Closing Date until the Letter of Credit Facility Expiration Date for the applicable Revolving Facility, to issue Letters of Credit in Dollars or a Permitted Foreign Currency for the account of the Borrower or any of its Subsidiaries under any Revolving Facility, and to amend or extend Letters of Credit previously issued by it, in accordance with Section 2.05(b), and (2) to honor drawings under the Letters of Credit; and (B) the Revolving Facility Lenders under each Revolving Facility severally agree to participate in Letters of Credit issued for the account of the Borrower or any of its Subsidiaries under such Revolving Facility and any drawings thereunder;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after giving effect to any L/C Credit Extension with respect to any Letter of Credit,</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(w) the Revolving Facility Credit Exposure under the applicable Revolving Facility shall not exceed the Revolving Facility Commitments thereunder, (x) the Revolving Facility Credit Exposure of any Lender under the applicable Revolving Facility shall not exceed such Lender’s Revolving Facility Commitment thereunder, (y) the outstanding amount of the L/C Obligations under all Revolving Facilities shall not exceed the Letter of Credit Sublimit and (z) unless otherwise agreed by such Issuing Bank in its sole discretion, the outstanding amount of the L/C Obligations in respect of Letters of Credit issued by any Issuing Bank shall not exceed such Issuing Bank’s Letter of Credit Commitment. Each request by the Borrower for the issuance or amendment of a Letter of Credit shall be deemed to be a representation by the Borrower that the L/C Credit Extension so requested complies with the conditions set forth in the proviso to the preceding sentence. Within the foregoing limits, and subject to the terms and conditions hereof, the Borrower’s and its Subsidiaries’ ability to obtain Letters of Credit shall be fully revolving, and accordingly the Borrower and its Subsidiaries may, during the foregoing period, obtain Letters of</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6480175" cy="781050"/>
                <wp:effectExtent l="0" t="0" r="0" b="0"/>
                <wp:wrapNone/>
                <wp:docPr id="292" name="Frame291"/>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90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90</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jc w:val="both"/>
        <w:rPr/>
      </w:pPr>
      <w:r>
        <w:rPr>
          <w:rFonts w:ascii="Times New Roman;sans-serif" w:hAnsi="Times New Roman;sans-serif"/>
          <w:b w:val="false"/>
          <w:color w:val="000000"/>
          <w:sz w:val="24"/>
        </w:rPr>
        <w:t xml:space="preserve">Credit to replace Letters of Credit that have expired or that have been drawn upon and reimbursed. The previously issued letters of credit listed on </w:t>
      </w:r>
      <w:r>
        <w:rPr>
          <w:rFonts w:ascii="Times New Roman;sans-serif" w:hAnsi="Times New Roman;sans-serif"/>
          <w:b w:val="false"/>
          <w:color w:val="000000"/>
          <w:sz w:val="24"/>
          <w:u w:val="single"/>
        </w:rPr>
        <w:t>Schedule 2.05</w:t>
      </w:r>
      <w:r>
        <w:rPr>
          <w:color w:val="000000"/>
        </w:rPr>
        <w:t xml:space="preserve"> </w:t>
      </w:r>
      <w:r>
        <w:rPr>
          <w:rFonts w:ascii="Times New Roman;sans-serif" w:hAnsi="Times New Roman;sans-serif"/>
          <w:b w:val="false"/>
          <w:color w:val="000000"/>
          <w:sz w:val="24"/>
        </w:rPr>
        <w:t>(the “</w:t>
      </w:r>
      <w:r>
        <w:rPr>
          <w:rFonts w:ascii="Times New Roman;sans-serif" w:hAnsi="Times New Roman;sans-serif"/>
          <w:b w:val="false"/>
          <w:color w:val="000000"/>
          <w:sz w:val="24"/>
          <w:u w:val="single"/>
        </w:rPr>
        <w:t>Existing Letters of Credit</w:t>
      </w:r>
      <w:r>
        <w:rPr>
          <w:color w:val="000000"/>
        </w:rPr>
        <w:t>”</w:t>
      </w:r>
      <w:r>
        <w:rPr>
          <w:rFonts w:ascii="Times New Roman;sans-serif" w:hAnsi="Times New Roman;sans-serif"/>
          <w:b w:val="false"/>
          <w:color w:val="000000"/>
          <w:sz w:val="24"/>
        </w:rPr>
        <w:t>), shall, subject to the satisfaction of the applicable conditions set forth in Article IV, be deemed to be Letters of Credit under this Agreement as of the Closing Date.</w:t>
      </w:r>
    </w:p>
    <w:p>
      <w:pPr>
        <w:pStyle w:val="TextBody"/>
        <w:bidi w:val="0"/>
        <w:spacing w:lineRule="auto" w:line="240"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(ii)No Issuing Bank shall issue any Letter of Credit under any Revolving Facility if:</w:t>
      </w:r>
    </w:p>
    <w:p>
      <w:pPr>
        <w:pStyle w:val="TextBody"/>
        <w:bidi w:val="0"/>
        <w:spacing w:lineRule="auto" w:line="240" w:before="240" w:after="283"/>
        <w:ind w:left="0" w:right="0" w:firstLine="630"/>
        <w:jc w:val="left"/>
        <w:rPr/>
      </w:pPr>
      <w:r>
        <w:rPr>
          <w:rFonts w:ascii="Times New Roman;sans-serif" w:hAnsi="Times New Roman;sans-serif"/>
          <w:b w:val="false"/>
          <w:color w:val="000000"/>
          <w:sz w:val="24"/>
        </w:rPr>
        <w:t>(A)</w:t>
      </w:r>
      <w:r>
        <w:rPr>
          <w:color w:val="000000"/>
        </w:rPr>
        <w:t>    </w:t>
      </w:r>
      <w:r>
        <w:rPr>
          <w:rFonts w:ascii="Times New Roman;sans-serif" w:hAnsi="Times New Roman;sans-serif"/>
          <w:b w:val="false"/>
          <w:color w:val="000000"/>
          <w:sz w:val="24"/>
        </w:rPr>
        <w:t>subject to Section 2.05(b)(iii), the expiry date of the requested Letter of Credit would occur more than twelve months after the date of issuance or the then-current expiration date, unless the Required Revolving Facility Lenders under such Revolving Facility have approved such expiry date; or</w:t>
      </w:r>
    </w:p>
    <w:p>
      <w:pPr>
        <w:pStyle w:val="TextBody"/>
        <w:bidi w:val="0"/>
        <w:spacing w:lineRule="auto" w:line="240" w:before="240" w:after="283"/>
        <w:ind w:left="0" w:right="0" w:firstLine="630"/>
        <w:jc w:val="left"/>
        <w:rPr>
          <w:rFonts w:ascii="Times New Roman;sans-serif" w:hAnsi="Times New Roman;sans-serif"/>
          <w:b w:val="false"/>
          <w:color w:val="000000"/>
          <w:sz w:val="24"/>
        </w:rPr>
      </w:pPr>
      <w:r>
        <w:rPr>
          <w:rFonts w:ascii="Times New Roman;sans-serif" w:hAnsi="Times New Roman;sans-serif"/>
          <w:b w:val="false"/>
          <w:color w:val="000000"/>
          <w:sz w:val="24"/>
        </w:rPr>
        <w:t>(B)    the expiry date of the requested Letter of Credit would occur after the Letter of Credit Facility Expiration Date for such Revolving Facility, unless (x) all the Revolving Facility Lenders under such Revolving Facility and such Issuing Bank have approved such expiry date or (y) such Letter of Credit is Cash Collateralized on terms and pursuant to arrangements satisfactory to the applicable Issuing Bank.</w:t>
      </w:r>
    </w:p>
    <w:p>
      <w:pPr>
        <w:pStyle w:val="TextBody"/>
        <w:bidi w:val="0"/>
        <w:spacing w:lineRule="auto" w:line="240"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(iii)No Issuing Bank shall be under any obligation to issue any Letter of Credit if:</w:t>
      </w:r>
    </w:p>
    <w:p>
      <w:pPr>
        <w:pStyle w:val="TextBody"/>
        <w:bidi w:val="0"/>
        <w:spacing w:lineRule="auto" w:line="240" w:before="240" w:after="283"/>
        <w:ind w:left="0" w:right="0" w:firstLine="630"/>
        <w:jc w:val="left"/>
        <w:rPr/>
      </w:pPr>
      <w:r>
        <w:rPr>
          <w:rFonts w:ascii="Times New Roman;sans-serif" w:hAnsi="Times New Roman;sans-serif"/>
          <w:b w:val="false"/>
          <w:color w:val="000000"/>
          <w:sz w:val="24"/>
        </w:rPr>
        <w:t>(A)</w:t>
      </w:r>
      <w:r>
        <w:rPr>
          <w:color w:val="000000"/>
        </w:rPr>
        <w:t>    </w:t>
      </w:r>
      <w:r>
        <w:rPr>
          <w:rFonts w:ascii="Times New Roman;sans-serif" w:hAnsi="Times New Roman;sans-serif"/>
          <w:b w:val="false"/>
          <w:color w:val="000000"/>
          <w:sz w:val="24"/>
        </w:rPr>
        <w:t>any order, judgment or decree of any Governmental Authority or arbitrator shall by its terms purport to enjoin or restrain such Issuing Bank from issuing the Letter of Credit, or any Requirement of Law applicable to such Issuing Bank or any request or directive (whether or not having the force of law) from any Governmental Authority with jurisdiction over such Issuing Bank shall prohibit, or request that such Issuing Bank refrain from, the issuance of letters of credit generally or the Letter of Credit in particular or shall impose upon such Issuing Bank with respect to the Letter of Credit any restriction, reserve or capital requirement (for which such Issuing Bank is not otherwise compensated hereunder) not in effect on the Closing Date, or shall impose upon such Issuing Bank any unreimbursed loss, cost or expense which was not applicable on the Closing Date and which such Issuing Bank in good faith deems material to it;</w:t>
      </w:r>
    </w:p>
    <w:p>
      <w:pPr>
        <w:pStyle w:val="TextBody"/>
        <w:bidi w:val="0"/>
        <w:spacing w:lineRule="auto" w:line="240" w:before="240" w:after="283"/>
        <w:ind w:left="0" w:right="0" w:firstLine="630"/>
        <w:jc w:val="left"/>
        <w:rPr>
          <w:rFonts w:ascii="Times New Roman;sans-serif" w:hAnsi="Times New Roman;sans-serif"/>
          <w:b w:val="false"/>
          <w:color w:val="000000"/>
          <w:sz w:val="24"/>
        </w:rPr>
      </w:pPr>
      <w:r>
        <w:rPr>
          <w:rFonts w:ascii="Times New Roman;sans-serif" w:hAnsi="Times New Roman;sans-serif"/>
          <w:b w:val="false"/>
          <w:color w:val="000000"/>
          <w:sz w:val="24"/>
        </w:rPr>
        <w:t>(B)    the issuance of the Letter of Credit would violate one or more policies of such Issuing Bank applicable to letters of credit generally;</w:t>
      </w:r>
    </w:p>
    <w:p>
      <w:pPr>
        <w:pStyle w:val="TextBody"/>
        <w:bidi w:val="0"/>
        <w:spacing w:lineRule="auto" w:line="240" w:before="240" w:after="283"/>
        <w:ind w:left="0" w:right="0" w:firstLine="630"/>
        <w:jc w:val="left"/>
        <w:rPr>
          <w:rFonts w:ascii="Times New Roman;sans-serif" w:hAnsi="Times New Roman;sans-serif"/>
          <w:b w:val="false"/>
          <w:color w:val="000000"/>
          <w:sz w:val="24"/>
        </w:rPr>
      </w:pPr>
      <w:r>
        <w:rPr>
          <w:rFonts w:ascii="Times New Roman;sans-serif" w:hAnsi="Times New Roman;sans-serif"/>
          <w:b w:val="false"/>
          <w:color w:val="000000"/>
          <w:sz w:val="24"/>
        </w:rPr>
        <w:t>(C)    except as otherwise agreed by the Administrative Agent and such Issuing Bank, the Letter of Credit is in an initial stated amount of less than $250,000 or the Dollar Equivalent thereof;</w:t>
      </w:r>
    </w:p>
    <w:p>
      <w:pPr>
        <w:pStyle w:val="TextBody"/>
        <w:bidi w:val="0"/>
        <w:spacing w:lineRule="auto" w:line="240" w:before="240" w:after="283"/>
        <w:ind w:left="0" w:right="0" w:firstLine="630"/>
        <w:jc w:val="left"/>
        <w:rPr>
          <w:rFonts w:ascii="Times New Roman;sans-serif" w:hAnsi="Times New Roman;sans-serif"/>
          <w:b w:val="false"/>
          <w:color w:val="000000"/>
          <w:sz w:val="24"/>
        </w:rPr>
      </w:pPr>
      <w:r>
        <w:rPr>
          <w:rFonts w:ascii="Times New Roman;sans-serif" w:hAnsi="Times New Roman;sans-serif"/>
          <w:b w:val="false"/>
          <w:color w:val="000000"/>
          <w:sz w:val="24"/>
        </w:rPr>
        <w:t>(D)    [reserved];</w:t>
      </w:r>
    </w:p>
    <w:p>
      <w:pPr>
        <w:pStyle w:val="TextBody"/>
        <w:bidi w:val="0"/>
        <w:spacing w:lineRule="auto" w:line="240" w:before="240" w:after="283"/>
        <w:ind w:left="0" w:right="0" w:firstLine="630"/>
        <w:jc w:val="left"/>
        <w:rPr>
          <w:rFonts w:ascii="Times New Roman;sans-serif" w:hAnsi="Times New Roman;sans-serif"/>
          <w:b w:val="false"/>
          <w:color w:val="000000"/>
          <w:sz w:val="24"/>
        </w:rPr>
      </w:pPr>
      <w:r>
        <w:rPr>
          <w:rFonts w:ascii="Times New Roman;sans-serif" w:hAnsi="Times New Roman;sans-serif"/>
          <w:b w:val="false"/>
          <w:color w:val="000000"/>
          <w:sz w:val="24"/>
        </w:rPr>
        <w:t>(E)    any Revolving Facility Lender under the applicable Revolving Facility is at that time a Defaulting Lender, unless such Issuing Bank has entered into arrangements, including for the delivery of Cash Collateral, satisfactory to such</w:t>
      </w:r>
    </w:p>
    <w:p>
      <w:pPr>
        <w:pStyle w:val="TextBody"/>
        <w:bidi w:val="0"/>
        <w:spacing w:before="240" w:after="283"/>
        <w:ind w:left="0" w:right="0" w:firstLine="720"/>
        <w:jc w:val="left"/>
        <w:rPr/>
      </w:pPr>
      <w:r>
        <w:rPr/>
      </w:r>
    </w:p>
    <w:p>
      <w:pPr>
        <w:pStyle w:val="TextBody"/>
        <w:bidi w:val="0"/>
        <w:spacing w:before="1" w:after="283"/>
        <w:jc w:val="left"/>
        <w:rPr/>
      </w:pPr>
      <w:r>
        <w:rPr/>
      </w:r>
    </w:p>
    <w:p>
      <w:pPr>
        <w:pStyle w:val="TextBody"/>
        <w:bidi w:val="0"/>
        <w:spacing w:before="240" w:after="283"/>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6480175" cy="781050"/>
                <wp:effectExtent l="0" t="0" r="0" b="0"/>
                <wp:wrapNone/>
                <wp:docPr id="293" name="Frame292"/>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91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91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60" w:after="283"/>
        <w:jc w:val="both"/>
        <w:rPr>
          <w:rFonts w:ascii="Times New Roman;sans-serif" w:hAnsi="Times New Roman;sans-serif"/>
          <w:b w:val="false"/>
          <w:color w:val="000000"/>
          <w:sz w:val="24"/>
        </w:rPr>
      </w:pPr>
      <w:r>
        <w:rPr>
          <w:rFonts w:ascii="Times New Roman;sans-serif" w:hAnsi="Times New Roman;sans-serif"/>
          <w:b w:val="false"/>
          <w:color w:val="000000"/>
          <w:sz w:val="24"/>
        </w:rPr>
        <w:t>Issuing Bank (in its sole discretion) with the Borrower or such Lender to eliminate such Issuing Bank’s actual or reasonably determined potential Fronting Exposure (after giving effect to Section 2.24(a)(iv) with respect to the Defaulting Lender arising from either the Letter of Credit then proposed to be issued or that Letter of Credit and all other L/C Obligations as to which such Issuing Bank has actual or reasonably determined potential Fronting Exposure, as it may elect in its sole discretion); or</w:t>
      </w:r>
    </w:p>
    <w:p>
      <w:pPr>
        <w:pStyle w:val="TextBody"/>
        <w:bidi w:val="0"/>
        <w:spacing w:lineRule="auto" w:line="240"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(F)the Letter of Credit contains any provisions for automatic reinstatement of the stated amount after any drawing thereunder.</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(iv)No Issuing Bank shall amend any Letter of Credit if such Issuing Bank would not have been permitted at such time to issue the Letter of Credit in its amended form under the terms of this Section 2.05(a).</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(v)No Issuing Bank shall be under any obligation to amend any Letter of Credit if (A) such Issuing Bank would have no obligation at such time to issue the Letter of Credit in its amended form under the terms hereof or (B) the beneficiary of the Letter of Credit does not accept the proposed amendment to the Letter of Credit.</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(vi)Subject to the provisions of Section 2.05(f), each Issuing Bank shall act on behalf of the Revolving Facility Lenders under the applicable Revolving Facility with respect to any Letters of Credit issued by it under such Revolving Facility and the documents associated therewith, and each Issuing Bank shall have all of the benefits and immunities (A) provided to the Administrative Agent in Article IX with respect to any acts taken or omissions suffered by such Issuing Bank in connection with Letters of Credit issued by it or proposed to be issued by it and Issuer Documents pertaining to such Letters of Credit as fully as if the term “Administrative Agent” as used in Article VIII included such Issuing Bank with respect to such acts or omissions, and (B) as additionally provided herein with respect to the Issuing Banks.</w:t>
      </w:r>
    </w:p>
    <w:p>
      <w:pPr>
        <w:pStyle w:val="TextBody"/>
        <w:bidi w:val="0"/>
        <w:spacing w:lineRule="auto" w:line="240" w:before="239"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(vii)Any Issuing Bank may resign at any time by giving 30 days’ prior notice to the Administrative Agent, the Revolving Facility Lenders and the Borrower. After the resignation of an Issuing Bank hereunder, the retiring Issuing Bank shall remain a party hereto and shall continue to have all the rights and obligations of an Issuing Bank under this Agreement and the other Loan Documents with respect to Letters of Credit issued by it prior to such resignation, but shall not be required to issue additional Letters of Credit or to extend, reinstate, or increase any existing Letter of Credit.</w:t>
      </w:r>
    </w:p>
    <w:p>
      <w:pPr>
        <w:pStyle w:val="TextBody"/>
        <w:bidi w:val="0"/>
        <w:spacing w:lineRule="auto" w:line="240" w:before="241"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(viii)For the avoidance of doubt and notwithstanding any other provisions hereunder, Morgan Stanley and Citibank, as Issuing Banks, shall be under no obligation to issue any Letter of Credit other than a standby Letter of Credit.</w:t>
      </w:r>
    </w:p>
    <w:p>
      <w:pPr>
        <w:pStyle w:val="TextBody"/>
        <w:bidi w:val="0"/>
        <w:spacing w:lineRule="auto" w:line="240" w:before="240" w:after="283"/>
        <w:ind w:left="0" w:right="0" w:firstLine="720"/>
        <w:jc w:val="left"/>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Procedures for Issuance and Amendment of Letters of Credit; Auto-Extension</w:t>
      </w:r>
      <w:r>
        <w:rPr>
          <w:color w:val="000000"/>
        </w:rPr>
        <w:t xml:space="preserve"> </w:t>
      </w:r>
      <w:r>
        <w:rPr>
          <w:rFonts w:ascii="Times New Roman;sans-serif" w:hAnsi="Times New Roman;sans-serif"/>
          <w:b w:val="false"/>
          <w:color w:val="000000"/>
          <w:sz w:val="24"/>
          <w:u w:val="single"/>
        </w:rPr>
        <w:t>Letters of Credit</w:t>
      </w:r>
      <w:r>
        <w:rPr>
          <w:rFonts w:ascii="Times New Roman;sans-serif" w:hAnsi="Times New Roman;sans-serif"/>
          <w:b w:val="false"/>
          <w:color w:val="000000"/>
          <w:sz w:val="24"/>
        </w:rPr>
        <w:t>.</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(i)Each Letter of Credit shall be issued or amended, as the case may be, upon the request of the Borrower delivered to the applicable Issuing Bank (with a copy to the</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6480175" cy="781050"/>
                <wp:effectExtent l="0" t="0" r="0" b="0"/>
                <wp:wrapNone/>
                <wp:docPr id="294" name="Frame293"/>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92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92</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jc w:val="both"/>
        <w:rPr>
          <w:rFonts w:ascii="Times New Roman;sans-serif" w:hAnsi="Times New Roman;sans-serif"/>
          <w:b w:val="false"/>
          <w:color w:val="000000"/>
          <w:sz w:val="24"/>
        </w:rPr>
      </w:pPr>
      <w:r>
        <w:rPr>
          <w:rFonts w:ascii="Times New Roman;sans-serif" w:hAnsi="Times New Roman;sans-serif"/>
          <w:b w:val="false"/>
          <w:color w:val="000000"/>
          <w:sz w:val="24"/>
        </w:rPr>
        <w:t>Administrative Agent) in the form of a Letter of Credit Request, appropriately completed and signed by a Responsible Officer of the Borrower. Such Letter of Credit Request may be sent by facsimile, by United States mail, by overnight courier, by electronic transmission using the system provided by the applicable Issuing Bank, by personal delivery or by any other means acceptable to such Issuing Bank. Such Letter of Credit Request must be received by the applicable Issuing Bank and the Administrative Agent not later than 12:00 noon at least two (2) Business Days (or such later date and time as the Administrative Agent and such Issuing Bank may agree in a particular instance in their sole discretion) prior to the proposed issuance date or date of amendment, as the case may be. In the case of a request for the issuance of a Letter of Credit, such Letter of Credit Request shall specify in form and detail reasonably satisfactory to the applicable Issuing Bank: (A) the proposed issuance date of the requested Letter of Credit (which shall be a Business Day); (B) the amount thereof; (C) the expiry date thereof; (D) the name and address of the beneficiary thereof; (E) the documents to be presented by such beneficiary in case of any drawing thereunder; (F) the full text of any certificate to be presented by such beneficiary in case of any drawing thereunder; (G) if more than one Revolving Facility is then in effect, the Revolving Facility under which such Letter of Credit is to be issued; and (H) such other matters as the applicable Issuing Bank may reasonably request. In the case of a request for an amendment of any outstanding Letter of Credit, such Letter of Credit Request shall specify in form and detail reasonably satisfactory to the applicable Issuing Bank (1) the Letter of Credit to be amended; (2) the proposed date of amendment thereof (which shall be a Business Day); (3) the nature of the proposed amendment; and (4) such other matters as the applicable Issuing Bank may reasonably request. Additionally, the Borrower shall furnish to the applicable Issuing Bank and the Administrative Agent such other documents and information pertaining to such requested Letter of Credit issuance or amendment, including any Issuer Documents, as such Issuing Bank or the Administrative Agent may reasonably request pursuant to its policies of general applicability to other account parties for whom such Issuing Bank issues letters of credit.</w:t>
      </w:r>
    </w:p>
    <w:p>
      <w:pPr>
        <w:pStyle w:val="TextBody"/>
        <w:bidi w:val="0"/>
        <w:spacing w:lineRule="auto" w:line="240" w:before="239"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(ii)Promptly after receipt of any Letter of Credit Request, the applicable Issuing Bank will confirm with the Administrative Agent (by telephone or in writing) that the Administrative Agent has received a copy of such Letter of Credit Request from the Borrower and, if not, such Issuing Bank will provide the Administrative Agent with a copy thereof. Unless the applicable Issuing Bank has received written notice from the Required Revolving Facility Lenders, the Administrative Agent or any Loan Party, at least one Business Day prior to the requested date of issuance or amendment of the applicable Letter of Credit, that one or more applicable conditions contained in Article IV shall not then be satisfied (solely with respect to an issuance), then, subject to the terms and conditions hereof, such Issuing Bank shall, on the requested date, issue a Letter of Credit for the account of the Borrower (or the applicable Subsidiary) or issue the applicable amendment, as the case may be, in each case in accordance with such Issuing Bank’s usual and customary business practices. Immediately upon the issuance of each Letter of Credit under a Revolving Facility and each amendment increasing the amount of a Letter of Credit, each Revolving Facility Lender under such Revolving Facility shall be deemed to, and hereby irrevocably and unconditionally agrees to, purchase from the applicable Issuing Bank a risk participation in such Letter of Credit in an amount equal to the product of such</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6480175" cy="781050"/>
                <wp:effectExtent l="0" t="0" r="0" b="0"/>
                <wp:wrapNone/>
                <wp:docPr id="295" name="Frame294"/>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93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93</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jc w:val="left"/>
        <w:rPr/>
      </w:pPr>
      <w:r>
        <w:rPr>
          <w:rFonts w:ascii="Times New Roman;sans-serif" w:hAnsi="Times New Roman;sans-serif"/>
          <w:b w:val="false"/>
          <w:color w:val="000000"/>
          <w:sz w:val="24"/>
        </w:rPr>
        <w:t xml:space="preserve">Revolving Facility Lender’s Revolving Facility Percentage of such Revolving Facility </w:t>
      </w:r>
      <w:r>
        <w:rPr>
          <w:rFonts w:ascii="Times New Roman;sans-serif" w:hAnsi="Times New Roman;sans-serif"/>
          <w:b w:val="false"/>
          <w:color w:val="000000"/>
          <w:sz w:val="24"/>
          <w:u w:val="single"/>
        </w:rPr>
        <w:t>times</w:t>
      </w:r>
      <w:r>
        <w:rPr>
          <w:color w:val="000000"/>
        </w:rPr>
        <w:t xml:space="preserve"> </w:t>
      </w:r>
      <w:r>
        <w:rPr>
          <w:rFonts w:ascii="Times New Roman;sans-serif" w:hAnsi="Times New Roman;sans-serif"/>
          <w:b w:val="false"/>
          <w:color w:val="000000"/>
          <w:sz w:val="24"/>
        </w:rPr>
        <w:t>the amount of such Letter of Credit.</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(iii)If the Borrower so requests in any applicable Letter of Credit Request, an Issuing Bank shall agree to issue a Letter of Credit that has automatic extension provisions (each, an “</w:t>
      </w:r>
      <w:r>
        <w:rPr>
          <w:rFonts w:ascii="Times New Roman;sans-serif" w:hAnsi="Times New Roman;sans-serif"/>
          <w:b w:val="false"/>
          <w:color w:val="000000"/>
          <w:sz w:val="24"/>
          <w:u w:val="single"/>
        </w:rPr>
        <w:t>Auto-Extension Letter of Credit</w:t>
      </w:r>
      <w:r>
        <w:rPr>
          <w:color w:val="000000"/>
        </w:rPr>
        <w:t>”</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any such Auto-Extension Letter of Credit must permit such Issuing Bank to prevent any such extension at least once in each twelve-month period (commencing with the date of issuance of such Letter of Credit) by giving prior notice to the beneficiary thereof not later than a day (the “</w:t>
      </w:r>
      <w:r>
        <w:rPr>
          <w:rFonts w:ascii="Times New Roman;sans-serif" w:hAnsi="Times New Roman;sans-serif"/>
          <w:b w:val="false"/>
          <w:color w:val="000000"/>
          <w:sz w:val="24"/>
          <w:u w:val="single"/>
        </w:rPr>
        <w:t>Non-</w:t>
      </w:r>
      <w:r>
        <w:rPr>
          <w:color w:val="000000"/>
        </w:rPr>
        <w:t xml:space="preserve"> </w:t>
      </w:r>
      <w:r>
        <w:rPr>
          <w:rFonts w:ascii="Times New Roman;sans-serif" w:hAnsi="Times New Roman;sans-serif"/>
          <w:b w:val="false"/>
          <w:color w:val="000000"/>
          <w:sz w:val="24"/>
          <w:u w:val="single"/>
        </w:rPr>
        <w:t>Extension Notice Date</w:t>
      </w:r>
      <w:r>
        <w:rPr>
          <w:color w:val="000000"/>
        </w:rPr>
        <w:t>”</w:t>
      </w:r>
      <w:r>
        <w:rPr>
          <w:rFonts w:ascii="Times New Roman;sans-serif" w:hAnsi="Times New Roman;sans-serif"/>
          <w:b w:val="false"/>
          <w:color w:val="000000"/>
          <w:sz w:val="24"/>
        </w:rPr>
        <w:t xml:space="preserve">) in each such twelve-month period to be agreed upon at the time such Letter of Credit is issued. Unless otherwise directed by the applicable Issuing Bank, the Borrower shall not be required to make a specific request to such Issuing Bank for any such extension. Once an Auto-Extension Letter of Credit has been issued, the Revolving Facility Lenders shall be deemed to have authorized (but may not require) such Issuing Bank to permit the extension of such Letter of Credit at any time to an expiry date not later than the Letter of Credit Facility Expiration Date of the applicable Revolving Facility;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no Issuing Bank shall permit any such extension if (A) such Issuing Bank has determined that it would not be permitted at such time to issue such Letter of Credit in its revised form (as extended) under the terms hereof (by reason of the provisions of clause (ii) or (iii) of Section 2.05(a) or otherwise), or (B) it has received notice (which may be by telephone or in writing) on or before the day that is seven (7) Business Days before the Non-Extension Notice Date (1) from the Administrative Agent that the Required Revolving Facility Lenders under the applicable Revolving Facility have elected not to permit such extension or (2) from the Administrative Agent or the Borrower that one or more of the applicable conditions specified in Article IV is not then satisfied, and in each such case directing such Issuing Bank not to permit such extension.</w:t>
      </w:r>
    </w:p>
    <w:p>
      <w:pPr>
        <w:pStyle w:val="TextBody"/>
        <w:bidi w:val="0"/>
        <w:spacing w:lineRule="auto" w:line="240" w:before="239"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(iv)Promptly after its delivery of any Letter of Credit or any amendment to a Letter of Credit to an advising bank with respect thereto or to the beneficiary thereof, each Issuing Bank will also deliver to the Borrower and the Administrative Agent a true and complete copy of such Letter of Credit or amendment.</w:t>
      </w:r>
    </w:p>
    <w:p>
      <w:pPr>
        <w:pStyle w:val="TextBody"/>
        <w:bidi w:val="0"/>
        <w:spacing w:lineRule="auto" w:line="240" w:before="241" w:after="283"/>
        <w:ind w:left="0" w:right="0" w:hanging="719"/>
        <w:jc w:val="left"/>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Drawings and Reimbursements; Funding of Participations</w:t>
      </w:r>
      <w:r>
        <w:rPr>
          <w:rFonts w:ascii="Times New Roman;sans-serif" w:hAnsi="Times New Roman;sans-serif"/>
          <w:b w:val="false"/>
          <w:color w:val="000000"/>
          <w:sz w:val="24"/>
        </w:rPr>
        <w:t>.</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(i)Upon receipt from the beneficiary of any Letter of Credit of a compliant drawing under such Letter of Credit, the applicable Issuing Bank shall notify the Borrower and the Administrative Agent thereof. Not later than 11:00 a.m. one Business Day after the date of notice of any payment by an Issuing Bank under a Letter of Credit or, if the Borrower shall have received such notice from the Issuing Bank later than 11:00 a.m. on any Business Day, not later than 4:00 p.m. on the next Business Day (each such date of payment by an Issuing Bank, an “</w:t>
      </w:r>
      <w:r>
        <w:rPr>
          <w:rFonts w:ascii="Times New Roman;sans-serif" w:hAnsi="Times New Roman;sans-serif"/>
          <w:b w:val="false"/>
          <w:color w:val="000000"/>
          <w:sz w:val="24"/>
          <w:u w:val="single"/>
        </w:rPr>
        <w:t>Honor Date</w:t>
      </w:r>
      <w:r>
        <w:rPr>
          <w:color w:val="000000"/>
        </w:rPr>
        <w:t>”</w:t>
      </w:r>
      <w:r>
        <w:rPr>
          <w:rFonts w:ascii="Times New Roman;sans-serif" w:hAnsi="Times New Roman;sans-serif"/>
          <w:b w:val="false"/>
          <w:color w:val="000000"/>
          <w:sz w:val="24"/>
        </w:rPr>
        <w:t xml:space="preserve">), the Borrower shall reimburse such Issuing Bank through the Administrative Agent in an amount equal to the amount of such drawing;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in the case of a drawing in a Permitted Foreign Currency, the applicable Issuing Bank may require the Borrower to reimburse such Issuing Bank through the Administrative Agent in an amount equal to the Dollar Equivalent of such Permitted Foreign Currency drawing. If the Borrower fails to so reimburse the applicable Issuing Bank by such time, the Administrative Agent shall promptly notify each Revolving Facility</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6480175" cy="781050"/>
                <wp:effectExtent l="0" t="0" r="0" b="0"/>
                <wp:wrapNone/>
                <wp:docPr id="296" name="Frame295"/>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94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94</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jc w:val="both"/>
        <w:rPr/>
      </w:pPr>
      <w:r>
        <w:rPr>
          <w:rFonts w:ascii="Times New Roman;sans-serif" w:hAnsi="Times New Roman;sans-serif"/>
          <w:b w:val="false"/>
          <w:color w:val="000000"/>
          <w:sz w:val="24"/>
        </w:rPr>
        <w:t>Lender under the applicable Revolving Facility of the Honor Date, the amount of the unreimbursed drawing (including, in the case of a drawing in a Permitted Foreign Currency, the Dollar Equivalent thereof at such time) (the “</w:t>
      </w:r>
      <w:r>
        <w:rPr>
          <w:rFonts w:ascii="Times New Roman;sans-serif" w:hAnsi="Times New Roman;sans-serif"/>
          <w:b w:val="false"/>
          <w:color w:val="000000"/>
          <w:sz w:val="24"/>
          <w:u w:val="single"/>
        </w:rPr>
        <w:t>Unreimbursed Amount</w:t>
      </w:r>
      <w:r>
        <w:rPr>
          <w:color w:val="000000"/>
        </w:rPr>
        <w:t>”</w:t>
      </w:r>
      <w:r>
        <w:rPr>
          <w:rFonts w:ascii="Times New Roman;sans-serif" w:hAnsi="Times New Roman;sans-serif"/>
          <w:b w:val="false"/>
          <w:color w:val="000000"/>
          <w:sz w:val="24"/>
        </w:rPr>
        <w:t>), and the amount of such Revolving Facility Lender’s Revolving Facility Percentage thereof. In such event, the Borrower shall be deemed to have requested a Borrowing of ABR Revolving Facility Loans under the applicable Revolving Facility to be disbursed on such date in an amount equal to the Unreimbursed Amount, without regard to the minimum and multiples specified in Section 2.02 for the principal amount of ABR Loans, but subject to the amount of the unutilized portion of the Revolving Facility Commitments under Section</w:t>
      </w:r>
    </w:p>
    <w:p>
      <w:pPr>
        <w:pStyle w:val="TextBody"/>
        <w:bidi w:val="0"/>
        <w:spacing w:lineRule="auto" w:line="240" w:before="0" w:after="0"/>
        <w:jc w:val="both"/>
        <w:rPr/>
      </w:pPr>
      <w:r>
        <w:rPr>
          <w:rFonts w:ascii="Times New Roman;sans-serif" w:hAnsi="Times New Roman;sans-serif"/>
          <w:b w:val="false"/>
          <w:color w:val="000000"/>
          <w:sz w:val="24"/>
        </w:rPr>
        <w:t xml:space="preserve">4.02 and the conditions set forth in Section 4.02 (other than the delivery of a Borrowing Request). Any notice given by an Issuing Bank or the Administrative Agent pursuant to this Section 2.05(c)(i) may be given by telephone if immediately confirmed in writing;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the lack of such an immediate confirmation shall not affect the conclusiveness or binding effect of such notice.</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(ii)Each Revolving Facility Lender under the applicable Revolving Facility shall upon any notice pursuant to Section 2.05(c)(i) make funds available (and the Administrative Agent may apply Cash Collateral provided for this purpose) for the account of the applicable Issuing Bank to the Administrative Agent in an amount equal to its applicable Revolving Facility Percentage of the Unreimbursed Amount not later than 1:00</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p.m. on the Business Day specified in such notice by the Administrative Agent, whereupon, subject to the provisions of Section 2.05(c)(iii), each Revolving Facility Lender that so makes funds available shall be deemed to have made an ABR Revolving Facility Loan to the Borrower in such amount. The Administrative Agent shall remit the funds so received to the applicable Issuing Bank.</w:t>
      </w:r>
    </w:p>
    <w:p>
      <w:pPr>
        <w:pStyle w:val="TextBody"/>
        <w:bidi w:val="0"/>
        <w:spacing w:lineRule="auto" w:line="240" w:before="241"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(iii)With respect to any Unreimbursed Amount that is not fully refinanced by a Revolving Facility Borrowing of ABR Loans because the conditions set forth in Section</w:t>
      </w:r>
    </w:p>
    <w:p>
      <w:pPr>
        <w:pStyle w:val="TextBody"/>
        <w:bidi w:val="0"/>
        <w:spacing w:lineRule="auto" w:line="240" w:before="0" w:after="0"/>
        <w:jc w:val="both"/>
        <w:rPr/>
      </w:pPr>
      <w:r>
        <w:rPr>
          <w:rFonts w:ascii="Times New Roman;sans-serif" w:hAnsi="Times New Roman;sans-serif"/>
          <w:b w:val="false"/>
          <w:color w:val="000000"/>
          <w:sz w:val="24"/>
        </w:rPr>
        <w:t xml:space="preserve">4.02 cannot be satisfied or for any other reason, the Borrower shall be deemed to have incurred from the applicable Issuing Bank an L/C Borrowing in the amount of the Unreimbursed Amount that is not so refinanced, which L/C Borrowing shall be due and payable on demand (together with interest) and shall bear interest at the rate applicable to ABR Revolving Facility Loans of the applicable Class. In such event, each Revolving Facility Lender’s payment to the Administrative Agent for the account of the applicable Issuing Bank pursuant to Section 2.05(c)(ii) shall be deemed payment in respect of its participation in such L/C Borrowing and shall constitute an L/C Advance from such Lender in satisfaction of its participation obligation under this Section 2.05;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the amount of any drawing that is not reimbursed on the Honor Date shall bear interest at the rate applicable to ABR Revolving Facility Loans from and including the date of drawing to but excluding the date such amount becomes an Unreimbursed Amount.</w:t>
      </w:r>
    </w:p>
    <w:p>
      <w:pPr>
        <w:pStyle w:val="TextBody"/>
        <w:bidi w:val="0"/>
        <w:spacing w:lineRule="auto" w:line="240" w:before="239"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(iv)Until each Revolving Facility Lender under the applicable Revolving Facility funds its Revolving Facility Loan or L/C Advance pursuant to this Section 2.05(c) to reimburse an Issuing Bank for any amount drawn under any Letter of Credit, interest in respect of such Lender’s Revolving Facility Percentage of such amount shall be solely for the account of such Issuing Bank.</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6480175" cy="781050"/>
                <wp:effectExtent l="0" t="0" r="0" b="0"/>
                <wp:wrapNone/>
                <wp:docPr id="297" name="Frame296"/>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95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95</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ind w:left="0" w:right="0" w:firstLine="720"/>
        <w:jc w:val="both"/>
        <w:rPr/>
      </w:pPr>
      <w:r>
        <w:rPr>
          <w:rFonts w:ascii="Times New Roman;sans-serif" w:hAnsi="Times New Roman;sans-serif"/>
          <w:b w:val="false"/>
          <w:color w:val="000000"/>
          <w:sz w:val="24"/>
        </w:rPr>
        <w:t xml:space="preserve">(v)Each Revolving Facility Lender’s obligation to make Revolving Facility Loans or L/C Advances to reimburse the Issuing Banks for amounts drawn under Letters of Credit, as contemplated by this Section 2.05(c), shall be absolute and unconditional and shall not be affected by any circumstance, including (A) any setoff, counterclaim, recoupment, defense or other right which such Lender may have against any Issuing Bank, the Borrower or any other person for any reason whatsoever; (B) the occurrence or continuance of a Default or (C) any other occurrence, event or condition, whether or not similar to any of the foregoing;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each Revolving Facility Lender’s obligation to make Revolving Facility Loans pursuant to this Section 2.05(c) is subject to the conditions set forth in Section 4.02 (other than delivery by the Borrower of a Borrowing Request). No such making of an L/C Advance shall relieve or otherwise impair the obligation of the Borrower to reimburse any Issuing Bank for the amount of any payment made by such Issuing Bank under any Letter of Credit, together with interest as provided herein.</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(vi)If any Revolving Facility Lender fails to make available to the Administrative Agent for the account of an Issuing Bank any amount required to be paid by such Lender pursuant to the foregoing provisions of this Section 2.05(c) by the time specified in Section 2.05(c)(ii), then, without limiting the other provisions of this Agreement, such Issuing Bank shall be entitled to recover from such Lender (acting through the Administrative Agent), on demand, such amount with interest thereon for the period from the date such payment is required to the date on which such payment is immediately available to such Issuing Bank at a rate per annum equal to the greater of the Federal Funds Rate and a rate determined by such Issuing Bank in accordance with banking industry rules on interbank compensation, plus any administrative, processing or similar fees customarily charged by such Issuing Bank in connection with the foregoing. If such Lender pays such amount (with interest and fees as aforesaid), the amount so paid (minus the foregoing interest and fees) shall constitute such Lender’s Revolving Facility Loan included in the relevant Revolving Facility Borrowing or L/C Advance in respect of the relevant L/C Borrowing, as the case may be. A certificate of an Issuing Bank submitted to any Revolving Facility Lender (through the Administrative Agent) with respect to any amounts owing under this Section 2.05(c)(vi) shall be conclusive absent manifest error.</w:t>
      </w:r>
    </w:p>
    <w:p>
      <w:pPr>
        <w:pStyle w:val="TextBody"/>
        <w:bidi w:val="0"/>
        <w:spacing w:lineRule="auto" w:line="240" w:before="240" w:after="283"/>
        <w:ind w:left="0" w:right="0" w:hanging="720"/>
        <w:jc w:val="left"/>
        <w:rPr/>
      </w:pPr>
      <w:r>
        <w:rPr>
          <w:rFonts w:ascii="Times New Roman;sans-serif" w:hAnsi="Times New Roman;sans-serif"/>
          <w:b w:val="false"/>
          <w:color w:val="000000"/>
          <w:sz w:val="24"/>
        </w:rPr>
        <w:t>(d)</w:t>
      </w:r>
      <w:r>
        <w:rPr>
          <w:rFonts w:ascii="Times New Roman;sans-serif" w:hAnsi="Times New Roman;sans-serif"/>
          <w:b w:val="false"/>
          <w:color w:val="000000"/>
          <w:sz w:val="24"/>
          <w:u w:val="single"/>
        </w:rPr>
        <w:t>Repayment of Participations</w:t>
      </w:r>
      <w:r>
        <w:rPr>
          <w:rFonts w:ascii="Times New Roman;sans-serif" w:hAnsi="Times New Roman;sans-serif"/>
          <w:b w:val="false"/>
          <w:color w:val="000000"/>
          <w:sz w:val="24"/>
        </w:rPr>
        <w:t>.</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(i)At any time after an Issuing Bank has made a payment under any Letter of Credit and has received from any Revolving Facility Lender such Lender’s L/C Advance in respect of such payment in accordance with Section 2.05(c), if the Administrative Agent receives for the account of such Issuing Bank any payment in respect of the related Unreimbursed Amount or interest thereon (whether directly from the Borrower or otherwise, including proceeds of Cash Collateral applied thereto by the Administrative Agent), the Administrative Agent will distribute to such Lender its Revolving Facility Percentage thereof in the same funds as those received by the Administrative Agent.</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(ii)If any payment received by the Administrative Agent for the account of an Issuing Bank pursuant to Section 2.05(c)(i) is required to be returned under any of the circumstances described in Section 9.22 (including pursuant to any settlement entered into</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6480175" cy="781050"/>
                <wp:effectExtent l="0" t="0" r="0" b="0"/>
                <wp:wrapNone/>
                <wp:docPr id="298" name="Frame297"/>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96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96</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jc w:val="both"/>
        <w:rPr/>
      </w:pPr>
      <w:r>
        <w:rPr>
          <w:rFonts w:ascii="Times New Roman;sans-serif" w:hAnsi="Times New Roman;sans-serif"/>
          <w:b w:val="false"/>
          <w:color w:val="000000"/>
          <w:sz w:val="24"/>
        </w:rPr>
        <w:t xml:space="preserve">by such Issuing Bank in its discretion), each Revolving Facility Lender shall pay to the Administrative Agent for the account of such Issuing Bank its Revolving Facility Percentage thereof on demand of the Administrative Agent, </w:t>
      </w:r>
      <w:r>
        <w:rPr>
          <w:rFonts w:ascii="Times New Roman;sans-serif" w:hAnsi="Times New Roman;sans-serif"/>
          <w:b w:val="false"/>
          <w:color w:val="000000"/>
          <w:sz w:val="24"/>
          <w:u w:val="single"/>
        </w:rPr>
        <w:t>plus</w:t>
      </w:r>
      <w:r>
        <w:rPr>
          <w:color w:val="000000"/>
        </w:rPr>
        <w:t xml:space="preserve"> </w:t>
      </w:r>
      <w:r>
        <w:rPr>
          <w:rFonts w:ascii="Times New Roman;sans-serif" w:hAnsi="Times New Roman;sans-serif"/>
          <w:b w:val="false"/>
          <w:color w:val="000000"/>
          <w:sz w:val="24"/>
        </w:rPr>
        <w:t>interest thereon from the date of such demand to the date such amount is returned by such Lender, at a rate per annum equal to the Federal Funds Rate from time to time in effect. The obligations of the Lenders under this clause shall survive the payment in full of the Obligations and the termination of this Agreement.</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u w:val="single"/>
        </w:rPr>
        <w:t>Obligations Absolute</w:t>
      </w:r>
      <w:r>
        <w:rPr>
          <w:rFonts w:ascii="Times New Roman;sans-serif" w:hAnsi="Times New Roman;sans-serif"/>
          <w:b w:val="false"/>
          <w:color w:val="000000"/>
          <w:sz w:val="24"/>
        </w:rPr>
        <w:t>. The obligation of the Borrower to reimburse the relevant Issuing Bank for each drawing under each Letter of Credit and to repay each L/C Borrowing shall be absolute, unconditional and irrevocable, and shall be paid strictly in accordance with the terms of this Agreement under all circumstances, including the following:</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(i)any lack of validity or enforceability of such Letter of Credit, this Agreement, or any other Loan Document;</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(ii)the existence of any claim, counterclaim, setoff, defense or other right that the Borrower or any Subsidiary may have at any time against any beneficiary or any transferee of such Letter of Credit (or any person for whom any such beneficiary or any such transferee may be acting), such Issuing Bank or any other person, whether in connection with this Agreement, the transactions contemplated hereby or by such Letter of Credit or any agreement or instrument relating thereto, or any unrelated transaction;</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(iii)any draft, demand, certificate or other document presented under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w:t>
      </w:r>
    </w:p>
    <w:p>
      <w:pPr>
        <w:pStyle w:val="TextBody"/>
        <w:bidi w:val="0"/>
        <w:spacing w:lineRule="auto" w:line="240" w:before="241"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(iv)waiver by such Issuing Bank of any requirement that exists for such Issuing Bank’s protection and not the protection of the Borrower or any waiver by such Issuing Bank which does not in fact materially prejudice the Borrower;</w:t>
      </w:r>
    </w:p>
    <w:p>
      <w:pPr>
        <w:pStyle w:val="TextBody"/>
        <w:bidi w:val="0"/>
        <w:spacing w:lineRule="auto" w:line="240" w:before="238"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(v)honor of a demand for payment presented electronically even if such Letter of Credit requires that demand be in the form of a draft;</w:t>
      </w:r>
    </w:p>
    <w:p>
      <w:pPr>
        <w:pStyle w:val="TextBody"/>
        <w:bidi w:val="0"/>
        <w:spacing w:lineRule="auto" w:line="240" w:before="241"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(vi)any payment made by such Issuing Bank in respect of an otherwise complying item presented after the date specified as the expiration date of, or the date by which documents must be received under such Letter of Credit if presentation after such date is authorized by the UCC or the ISP or other applicable rules or the express terms of the Letter of Credit, as applicable;</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(vii)any payment by such Issuing Bank under such Letter of Credit against presentation of a draft or certificate that does not strictly comply with the terms of such Letter of Credit; or any payment made by such Issuing Bank under such Letter of Credit to any person purporting to be a trustee in bankruptcy, debtor-in-possession, assignee for the benefit of creditors, liquidator, receiver or other representative of or successor to any</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6480175" cy="781050"/>
                <wp:effectExtent l="0" t="0" r="0" b="0"/>
                <wp:wrapNone/>
                <wp:docPr id="299" name="Frame298"/>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97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97</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beneficiary or any transferee of such Letter of Credit, including any arising in connection with any case or proceeding under any Debtor Relief Law; or</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(viii)any other circumstance or happening whatsoever, whether or not similar to any of the foregoing, including any other circumstance that might otherwise constitute a defense available to, or a discharge of, the Borrower or any of its Subsidiaries.</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Borrower shall promptly examine a copy of each Letter of Credit and each amendment thereto that is delivered to it and, in the event of any claim of noncompliance with the Borrower’s instructions or other irregularity, the Borrower will promptly notify the relevant Issuing Bank. The Borrower shall be conclusively deemed to have waived any such claim against the relevant Issuing Bank and its correspondents unless such notice is given as aforesaid.</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(f)</w:t>
      </w:r>
      <w:r>
        <w:rPr>
          <w:rFonts w:ascii="Times New Roman;sans-serif" w:hAnsi="Times New Roman;sans-serif"/>
          <w:b w:val="false"/>
          <w:color w:val="000000"/>
          <w:sz w:val="24"/>
          <w:u w:val="single"/>
        </w:rPr>
        <w:t>Role of Issuing Banks</w:t>
      </w:r>
      <w:r>
        <w:rPr>
          <w:rFonts w:ascii="Times New Roman;sans-serif" w:hAnsi="Times New Roman;sans-serif"/>
          <w:b w:val="false"/>
          <w:color w:val="000000"/>
          <w:sz w:val="24"/>
        </w:rPr>
        <w:t xml:space="preserve">. Each Lender and the Borrower agree that, in paying any drawing under a Letter of Credit, other than in respect of any sight draft, certificates and documents expressly required by the Letter of Credit, no Issuing Bank shall have any responsibility to obtain any document or to ascertain or inquire as to the validity or accuracy of any such document or the authority of the person executing or delivering any such document. None of the Issuing Banks, the Administrative Agent, any of their respective Related Parties nor any correspondent, participant or assignee of the Issuing Banks shall be liable to any Lender for (i) any action taken or omitted in connection herewith at the request or with the approval of the Revolving Facility Lenders or the Required Revolving Facility Lenders, as applicable, under the applicable Revolving Facility; (ii) any action taken or omitted in the absence of gross negligence or willful misconduct or (iii) the due execution, effectiveness, validity or enforceability of any document or instrument related to any Letter of Credit or Issuer Document. The Borrower hereby assumes all risks of the acts or omissions of any beneficiary or transferee with respect to its use of any Letter of Credit;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this assumption is not intended to, and shall not, preclude the Borrower’s pursuing such rights and remedies as it may have against the beneficiary or transferee at law or under any other agreement. None of the Issuing Banks, the Administrative Agent, any of their respective Related Parties nor any correspondent, participant or assignee of any Issuing Bank shall be liable or responsible for any of the matters described in clauses (i) through (viii) of Section 2.05(e);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anything in such clauses to the contrary notwithstanding, the Borrower may have a claim against an Issuing Bank, and such Issuing Bank may be liable to the Borrower, to the extent, but only to the extent, of any direct, as opposed to consequential or exemplary, damages suffered by the Borrower which the Borrower proves were caused by such Issuing Bank’s willful misconduct or gross negligence, or such Issuing Bank’s willful failure to pay under any Letter of Credit after the presentation to it by the beneficiary of documents strictly complying with the terms and conditions of a Letter of Credit. In furtherance and not in limitation of the foregoing, each Issuing Bank may accept documents that appear on their face to be in compliance with the terms of the Letter of Credit, without responsibility for further investigation, regardless of any notice or information to the contrary, and no Issuing Bank shall be responsible for the validity or sufficiency of any instrument transferring or purporting to transfer a Letter of Credit or the rights or benefits thereunder or proceeds thereof, in whole or in part, which may prove to be invalid or ineffective for any reason. Any Issuing Bank may send a Letter of Credit or conduct any communication to or from the beneficiary via the Society for Worldwide Interbank Financial Telecommunication (“</w:t>
      </w:r>
      <w:r>
        <w:rPr>
          <w:rFonts w:ascii="Times New Roman;sans-serif" w:hAnsi="Times New Roman;sans-serif"/>
          <w:b w:val="false"/>
          <w:color w:val="000000"/>
          <w:sz w:val="24"/>
          <w:u w:val="single"/>
        </w:rPr>
        <w:t>SWIFT</w:t>
      </w:r>
      <w:r>
        <w:rPr>
          <w:color w:val="000000"/>
        </w:rPr>
        <w:t>”</w:t>
      </w:r>
      <w:r>
        <w:rPr>
          <w:rFonts w:ascii="Times New Roman;sans-serif" w:hAnsi="Times New Roman;sans-serif"/>
          <w:b w:val="false"/>
          <w:color w:val="000000"/>
          <w:sz w:val="24"/>
        </w:rPr>
        <w:t>) message or overnight courier, or any other commercially reasonable means of communicating with a beneficiary.</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6480175" cy="781050"/>
                <wp:effectExtent l="0" t="0" r="0" b="0"/>
                <wp:wrapNone/>
                <wp:docPr id="300" name="Frame299"/>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98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98</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ind w:left="0" w:right="0" w:firstLine="720"/>
        <w:jc w:val="both"/>
        <w:rPr/>
      </w:pPr>
      <w:r>
        <w:rPr>
          <w:rFonts w:ascii="Times New Roman;sans-serif" w:hAnsi="Times New Roman;sans-serif"/>
          <w:b w:val="false"/>
          <w:color w:val="000000"/>
          <w:sz w:val="24"/>
        </w:rPr>
        <w:t>(g)</w:t>
      </w:r>
      <w:r>
        <w:rPr>
          <w:rFonts w:ascii="Times New Roman;sans-serif" w:hAnsi="Times New Roman;sans-serif"/>
          <w:b w:val="false"/>
          <w:color w:val="000000"/>
          <w:sz w:val="24"/>
          <w:u w:val="single"/>
        </w:rPr>
        <w:t>Applicability of ISP</w:t>
      </w:r>
      <w:r>
        <w:rPr>
          <w:rFonts w:ascii="Times New Roman;sans-serif" w:hAnsi="Times New Roman;sans-serif"/>
          <w:b w:val="false"/>
          <w:color w:val="000000"/>
          <w:sz w:val="24"/>
        </w:rPr>
        <w:t>. Unless otherwise expressly agreed by the relevant Issuing Bank and the Borrower when a Letter of Credit is issued (including any such agreement applicable to an Existing Letter of Credit), (i) the rules of the ISP shall be stated therein to apply to each Letter of Credit. Notwithstanding the foregoing, no Issuing Bank shall be responsible to the Borrower for, and no Issuing Bank’s rights and remedies against the Borrower shall be impaired by, any action or inaction of such Issuing Bank required or permitted under any law, order, or practice that is required or permitted to be applied to any Letter of Credit or this Agreement, including any Requirements of Law or any order of a jurisdiction where such Issuing Bank or the beneficiary is located, the practice stated in the ISP or in the decisions, opinions, practice statements, or official commentary of the ICC Banking Commission, the Bankers Association for Finance and Trade (BAFT), or the Institute of International Banking Law &amp; Practice, whether or not any Letter of Credit chooses such law or practice.</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(h)</w:t>
      </w:r>
      <w:r>
        <w:rPr>
          <w:rFonts w:ascii="Times New Roman;sans-serif" w:hAnsi="Times New Roman;sans-serif"/>
          <w:b w:val="false"/>
          <w:color w:val="000000"/>
          <w:sz w:val="24"/>
          <w:u w:val="single"/>
        </w:rPr>
        <w:t>Conflict with Issuer Documents</w:t>
      </w:r>
      <w:r>
        <w:rPr>
          <w:rFonts w:ascii="Times New Roman;sans-serif" w:hAnsi="Times New Roman;sans-serif"/>
          <w:b w:val="false"/>
          <w:color w:val="000000"/>
          <w:sz w:val="24"/>
        </w:rPr>
        <w:t>. In the event of any conflict between the terms hereof and the terms of any Issuer Document, the terms hereof shall control.</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(i)</w:t>
      </w:r>
      <w:r>
        <w:rPr>
          <w:rFonts w:ascii="Times New Roman;sans-serif" w:hAnsi="Times New Roman;sans-serif"/>
          <w:b w:val="false"/>
          <w:color w:val="000000"/>
          <w:sz w:val="24"/>
          <w:u w:val="single"/>
        </w:rPr>
        <w:t>Letters of Credit Issued for Subsidiaries</w:t>
      </w:r>
      <w:r>
        <w:rPr>
          <w:rFonts w:ascii="Times New Roman;sans-serif" w:hAnsi="Times New Roman;sans-serif"/>
          <w:b w:val="false"/>
          <w:color w:val="000000"/>
          <w:sz w:val="24"/>
        </w:rPr>
        <w:t>. Notwithstanding that a Letter of Credit issued or outstanding hereunder is in support of any obligations of, or is for the account of, a Subsidiary, the Borrower shall be obligated to reimburse the applicable Issuing Bank hereunder for any and all drawings under such Letter of Credit. The Borrower hereby acknowledges that the issuance of Letters of Credit for the account of subsidiaries inures to the benefit of the Borrower, and that the Borrower’s business derives substantial benefits from the businesses of such subsidiaries.</w:t>
      </w:r>
    </w:p>
    <w:p>
      <w:pPr>
        <w:pStyle w:val="TextBody"/>
        <w:bidi w:val="0"/>
        <w:spacing w:lineRule="auto" w:line="240" w:before="241" w:after="283"/>
        <w:ind w:left="0" w:right="0" w:firstLine="720"/>
        <w:jc w:val="both"/>
        <w:rPr/>
      </w:pPr>
      <w:r>
        <w:rPr>
          <w:rFonts w:ascii="Times New Roman;sans-serif" w:hAnsi="Times New Roman;sans-serif"/>
          <w:b w:val="false"/>
          <w:color w:val="000000"/>
          <w:sz w:val="24"/>
        </w:rPr>
        <w:t>(j)</w:t>
      </w:r>
      <w:r>
        <w:rPr>
          <w:rFonts w:ascii="Times New Roman;sans-serif" w:hAnsi="Times New Roman;sans-serif"/>
          <w:b w:val="false"/>
          <w:color w:val="000000"/>
          <w:sz w:val="24"/>
          <w:u w:val="single"/>
        </w:rPr>
        <w:t>Cash Collateralization Following Certain Events</w:t>
      </w:r>
      <w:r>
        <w:rPr>
          <w:rFonts w:ascii="Times New Roman;sans-serif" w:hAnsi="Times New Roman;sans-serif"/>
          <w:b w:val="false"/>
          <w:color w:val="000000"/>
          <w:sz w:val="24"/>
        </w:rPr>
        <w:t xml:space="preserve">. If and when the Borrower is required to Cash Collateralize any Revolving L/C Exposure relating to any outstanding Letters of Credit pursuant to any of Section 2.11(d), 2.11(e), 2.24(a)(v) or 7.01, the Borrower shall deposit in an account with or at the direction of the Collateral Agent, in the name of the Collateral Agent and for the benefit of the Revolving Facility Lenders under each Revolving Facility, an amount in cash equal to 102% of the Revolving L/C Exposure under such Revolving Facility as of such date </w:t>
      </w:r>
      <w:r>
        <w:rPr>
          <w:rFonts w:ascii="Times New Roman;sans-serif" w:hAnsi="Times New Roman;sans-serif"/>
          <w:b w:val="false"/>
          <w:color w:val="000000"/>
          <w:sz w:val="24"/>
          <w:u w:val="single"/>
        </w:rPr>
        <w:t>plus</w:t>
      </w:r>
      <w:r>
        <w:rPr>
          <w:color w:val="000000"/>
        </w:rPr>
        <w:t xml:space="preserve"> </w:t>
      </w:r>
      <w:r>
        <w:rPr>
          <w:rFonts w:ascii="Times New Roman;sans-serif" w:hAnsi="Times New Roman;sans-serif"/>
          <w:b w:val="false"/>
          <w:color w:val="000000"/>
          <w:sz w:val="24"/>
        </w:rPr>
        <w:t>any accrued but unpaid interest thereon (or, in the case of Sections 2.11(d), 2.11(e) and 2.24(a)(v), the portion thereof required by such sections). Each deposit of Cash Collateral (x) made pursuant to this paragraph or (y) made by the Administrative Agent pursuant to Section 2.24(a)(ii), in each case, shall be held by the Collateral Agent as collateral for the payment and performance of the obligations of the Borrower under this Agreement. The Collateral Agent shall have exclusive dominion and control, including the exclusive right of withdrawal, over such account and the Borrower hereby grants the Collateral Agent, for the benefit of the Secured Parties, a security interest in such account. Such deposits shall not bear interest. Moneys in such account shall be applied by the Collateral Agent to reimburse each Issuing Bank for any disbursements under any Letter of Credit for which such Issuing Bank has not been reimbursed and, to the extent not so applied, shall be held for the satisfaction of the reimbursement obligations of the Borrower for the Revolving L/C Exposure at such time or, if the maturity of the Loans has been accelerated (but subject to the consent of Lenders with Revolving L/C Exposure representing greater than 50% of the total Revolving L/C Exposure), be applied to satisfy other Loan Obligations. If the Borrower is required to provide an amount of Cash Collateral hereunder as a result of the occurrence of an Event of Default or the existence of a Defaulting Lender or the occurrence of a limit under Section 2.11(d) or (e) being exceeded, such amount (to the extent not applied as aforesaid) shall be returned</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6480175" cy="781050"/>
                <wp:effectExtent l="0" t="0" r="0" b="0"/>
                <wp:wrapNone/>
                <wp:docPr id="301" name="Frame300"/>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99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99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to the Borrower within three (3) Business Days after all Events of Default have been cured or waived or the termination of the Defaulting Lender status or the limits under Sections 2.11(d) and</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(e) no longer being exceeded, as applicable.</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(k)</w:t>
      </w:r>
      <w:r>
        <w:rPr>
          <w:rFonts w:ascii="Times New Roman;sans-serif" w:hAnsi="Times New Roman;sans-serif"/>
          <w:b w:val="false"/>
          <w:color w:val="000000"/>
          <w:sz w:val="24"/>
          <w:u w:val="single"/>
        </w:rPr>
        <w:t>Additional Issuing Banks</w:t>
      </w:r>
      <w:r>
        <w:rPr>
          <w:rFonts w:ascii="Times New Roman;sans-serif" w:hAnsi="Times New Roman;sans-serif"/>
          <w:b w:val="false"/>
          <w:color w:val="000000"/>
          <w:sz w:val="24"/>
        </w:rPr>
        <w:t>. From time to time, the Borrower may by notice to the Administrative Agent designate any Revolving Facility Lender (in addition to the initial Issuing Banks) which agrees (in its sole discretion) to act in such capacity and is reasonably satisfactory to the Administrative Agent as an Issuing Bank. Each such additional Issuing Bank shall execute a counterpart of this Agreement upon the approval of the Administrative Agent (which approval shall not be unreasonably withheld, conditioned or delayed) and shall thereafter be an Issuing Bank hereunder for all purposes.</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(l)</w:t>
      </w:r>
      <w:r>
        <w:rPr>
          <w:rFonts w:ascii="Times New Roman;sans-serif" w:hAnsi="Times New Roman;sans-serif"/>
          <w:b w:val="false"/>
          <w:color w:val="000000"/>
          <w:sz w:val="24"/>
          <w:u w:val="single"/>
        </w:rPr>
        <w:t>Reporting</w:t>
      </w:r>
      <w:r>
        <w:rPr>
          <w:rFonts w:ascii="Times New Roman;sans-serif" w:hAnsi="Times New Roman;sans-serif"/>
          <w:b w:val="false"/>
          <w:color w:val="000000"/>
          <w:sz w:val="24"/>
        </w:rPr>
        <w:t>. Unless otherwise requested by the Administrative Agent, each Issuing Bank (other than the Administrative Agent or its Affiliates) shall (i) provide to the Administrative Agent copies of any notice received from the Borrower pursuant to Section 2.05(b) no later than the next Business Day after receipt thereof (or, if earlier, the time specified thereon) and (ii) report in writing to the Administrative Agent (A) on or prior to each Business Day on which such Issuing Bank expects to issue, amend or extend any Letter of Credit, the date of such issuance, amendment or extension, and the aggregate amount of the Letters of Credit to be issued, amended or extended by it and outstanding after giving effect to such issuance, amendment or extension occurred (and whether the amount thereof changed), and the Issuing Bank shall be permitted to issue, amend or extend such Letter of Credit if the Administrative Agent shall not have advised the Issuing Bank that such issuance, amendment or extension would not be in conformity with the requirements of this Agreement, (B) on each Business Day on which such Issuing Bank makes any disbursement under any Letter of Credit, the date of such disbursement and the amount of such disbursement and (C) on any other Business Day, such other information with respect to the outstanding Letters of Credit issued by such Issuing Bank as the Administrative Agent shall reasonably request.</w:t>
      </w:r>
    </w:p>
    <w:p>
      <w:pPr>
        <w:pStyle w:val="TextBody"/>
        <w:bidi w:val="0"/>
        <w:spacing w:lineRule="auto" w:line="240" w:before="239" w:after="283"/>
        <w:ind w:left="0" w:right="0" w:hanging="721"/>
        <w:jc w:val="left"/>
        <w:rPr/>
      </w:pPr>
      <w:r>
        <w:rPr>
          <w:rFonts w:ascii="Times New Roman;sans-serif" w:hAnsi="Times New Roman;sans-serif"/>
          <w:b w:val="false"/>
          <w:color w:val="000000"/>
          <w:sz w:val="24"/>
        </w:rPr>
        <w:t>(m)</w:t>
      </w:r>
      <w:r>
        <w:rPr>
          <w:rFonts w:ascii="Times New Roman;sans-serif" w:hAnsi="Times New Roman;sans-serif"/>
          <w:b w:val="false"/>
          <w:color w:val="000000"/>
          <w:sz w:val="24"/>
          <w:u w:val="single"/>
        </w:rPr>
        <w:t>Amounts</w:t>
      </w:r>
      <w:r>
        <w:rPr>
          <w:rFonts w:ascii="Times New Roman;sans-serif" w:hAnsi="Times New Roman;sans-serif"/>
          <w:b w:val="false"/>
          <w:color w:val="000000"/>
          <w:sz w:val="24"/>
        </w:rPr>
        <w:t>. For the avoidance of doubt, each reference to an “amount” in this Section</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2.05 that describes an obligation in respect of a Letter of Credit shall be deemed to refer to the Dollar amount or the Permitted Foreign Currency amount, as applicable.</w:t>
      </w:r>
    </w:p>
    <w:p>
      <w:pPr>
        <w:pStyle w:val="TextBody"/>
        <w:bidi w:val="0"/>
        <w:spacing w:lineRule="auto" w:line="240" w:before="240" w:after="283"/>
        <w:jc w:val="left"/>
        <w:rPr/>
      </w:pPr>
      <w:r>
        <w:rPr>
          <w:rFonts w:ascii="Times New Roman;sans-serif" w:hAnsi="Times New Roman;sans-serif"/>
          <w:b w:val="false"/>
          <w:color w:val="000000"/>
          <w:sz w:val="24"/>
        </w:rPr>
        <w:t xml:space="preserve">Section 2.06. </w:t>
      </w:r>
      <w:r>
        <w:rPr>
          <w:rFonts w:ascii="Times New Roman;sans-serif" w:hAnsi="Times New Roman;sans-serif"/>
          <w:b w:val="false"/>
          <w:color w:val="000000"/>
          <w:sz w:val="24"/>
          <w:u w:val="single"/>
        </w:rPr>
        <w:t>Funding of Borrowings</w:t>
      </w:r>
      <w:r>
        <w:rPr>
          <w:rFonts w:ascii="Times New Roman;sans-serif" w:hAnsi="Times New Roman;sans-serif"/>
          <w:b w:val="false"/>
          <w:color w:val="000000"/>
          <w:sz w:val="24"/>
        </w:rPr>
        <w:t>.</w:t>
      </w:r>
    </w:p>
    <w:p>
      <w:pPr>
        <w:pStyle w:val="TextBody"/>
        <w:bidi w:val="0"/>
        <w:spacing w:lineRule="auto" w:line="240" w:before="241" w:after="283"/>
        <w:ind w:left="0" w:right="0" w:firstLine="720"/>
        <w:jc w:val="both"/>
        <w:rPr/>
      </w:pPr>
      <w:r>
        <w:rPr>
          <w:rFonts w:ascii="Times New Roman;sans-serif" w:hAnsi="Times New Roman;sans-serif"/>
          <w:b w:val="false"/>
          <w:color w:val="000000"/>
          <w:sz w:val="24"/>
        </w:rPr>
        <w:t xml:space="preserve">(a)Each Lender shall make each Loan to be made by it hereunder on the proposed date thereof by wire transfer of immediately available funds by 12:00 noon, Local Time, to the account of the Administrative Agent most recently designated by it for such purpose by notice to the Lenders;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that Swingline Loans shall be made as provided in Section 2.04. The Administrative Agent will make such Loans available to the Borrower by promptly crediting the amounts so received, in like funds, to an account of the Borrower as specified in the applicable Borrowing Request;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that Borrowings made to finance the reimbursement of any disbursement under any Letter of Credit and reimbursements as provided in Section 2.05(c) shall be remitted by the Administrative Agent to the applicable Issuing Bank.</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(b)Unless the Administrative Agent shall have received notice from a Lender prior to the proposed date of any Borrowing of Term SOFR Loans (or, in the case of any Borrowing of ABR Loans, prior to 11:00 a.m., Local Time, on the date of such Borrowing) that such Lender will</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6480175" cy="781050"/>
                <wp:effectExtent l="0" t="0" r="0" b="0"/>
                <wp:wrapNone/>
                <wp:docPr id="302" name="Frame301"/>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100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100</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jc w:val="both"/>
        <w:rPr>
          <w:rFonts w:ascii="Times New Roman;sans-serif" w:hAnsi="Times New Roman;sans-serif"/>
          <w:b w:val="false"/>
          <w:color w:val="000000"/>
          <w:sz w:val="24"/>
        </w:rPr>
      </w:pPr>
      <w:r>
        <w:rPr>
          <w:rFonts w:ascii="Times New Roman;sans-serif" w:hAnsi="Times New Roman;sans-serif"/>
          <w:b w:val="false"/>
          <w:color w:val="000000"/>
          <w:sz w:val="24"/>
        </w:rPr>
        <w:t>not make available to the Administrative Agent such Lender’s share of such Borrowing, the Administrative Agent may assume that such Lender has made such share available on such date in accordance with clause (a) of this Section and may, in reliance upon such assumption, make available to the Borrower a corresponding amount. In such event, if a Lender has not in fact made its share of the Borrowing available to the Administrative Agent, then the applicable Lender and the Borrower severally agree to pay to the Administrative Agent forthwith on demand such amount with interest thereon, for each day from and including the date such amount is made available to the Borrower to but excluding the date of payment to the Administrative Agent, at (i) in the case of a payment to be made by such Lender, the greater of (A) the Federal Funds Rate and (B) a rate determined by the Administrative Agent in accordance with banking industry rules on interbank compensation or (ii) in the case of a payment to be made by the Borrower, the interest rate then applicable to ABR Loans of the applicable Class. If such Lender pays such amount to the Administrative Agent, then such amount shall constitute such Lender’s Loan included in such Borrowing. The foregoing shall be without prejudice to any claim such Borrower may have against a Lender that shall have failed to make such payment to the Administrative Agent.</w:t>
      </w:r>
    </w:p>
    <w:p>
      <w:pPr>
        <w:pStyle w:val="TextBody"/>
        <w:bidi w:val="0"/>
        <w:spacing w:lineRule="auto" w:line="240" w:before="240" w:after="283"/>
        <w:jc w:val="left"/>
        <w:rPr/>
      </w:pPr>
      <w:r>
        <w:rPr>
          <w:rFonts w:ascii="Times New Roman;sans-serif" w:hAnsi="Times New Roman;sans-serif"/>
          <w:b w:val="false"/>
          <w:color w:val="000000"/>
          <w:sz w:val="24"/>
        </w:rPr>
        <w:t xml:space="preserve">Section 2.07. </w:t>
      </w:r>
      <w:r>
        <w:rPr>
          <w:rFonts w:ascii="Times New Roman;sans-serif" w:hAnsi="Times New Roman;sans-serif"/>
          <w:b w:val="false"/>
          <w:color w:val="000000"/>
          <w:sz w:val="24"/>
          <w:u w:val="single"/>
        </w:rPr>
        <w:t>Interest Elections</w:t>
      </w:r>
      <w:r>
        <w:rPr>
          <w:rFonts w:ascii="Times New Roman;sans-serif" w:hAnsi="Times New Roman;sans-serif"/>
          <w:b w:val="false"/>
          <w:color w:val="000000"/>
          <w:sz w:val="24"/>
        </w:rPr>
        <w:t>.</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(a)Each Borrowing initially shall be of the Type, and under the applicable Class, specified in the applicable Borrowing Request and, in the case of a Term SOFR Borrowing, shall have an initial Interest Period as specified in such Borrowing Request. Thereafter, the Borrower may elect to convert such Borrowing to a different Type or to continue such Borrowing and, in the case of a Term SOFR Borrowing, may elect Interest Periods therefor, all as provided in this Section. The Borrower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 This Section 2.07 shall not apply to Swingline Loans, which may not be converted or continued. Notwithstanding any other provision of this Section 2.07, the Borrower shall not be permitted to change the Class of any Borrowing.</w:t>
      </w:r>
    </w:p>
    <w:p>
      <w:pPr>
        <w:pStyle w:val="TextBody"/>
        <w:bidi w:val="0"/>
        <w:spacing w:lineRule="auto" w:line="240" w:before="239"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(b)To make an election pursuant to this Section, the Borrower shall notify the Administrative Agent of such election (by telephone or irrevocable written notice), by the time that a Borrowing Request would be required under Section 2.03 if the Borrower were requesting a Borrowing of the Type and Class resulting from such election to be made on the effective date of such election. Each such telephonic Interest Election Request shall be irrevocable and shall be confirmed promptly by hand delivery or electronic means to the Administrative Agent of a written Interest Election Request signed by the Borrower. Notwithstanding any contrary provision herein, this Section 2.07 shall not be construed to permit the Borrower to (i) elect an Interest Period for Term SOFR Loans that does not comply with Section 2.02(d) or (ii) convert any Borrowing to a Borrowing of a Type not available under the Class of Commitments or Loans pursuant to which such Borrowing was made.</w:t>
      </w:r>
    </w:p>
    <w:p>
      <w:pPr>
        <w:pStyle w:val="TextBody"/>
        <w:bidi w:val="0"/>
        <w:spacing w:lineRule="auto" w:line="240" w:before="241"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(c)Each telephonic and written Interest Election Request shall specify the following information in compliance with Section 2.02:</w:t>
      </w:r>
    </w:p>
    <w:p>
      <w:pPr>
        <w:pStyle w:val="TextBody"/>
        <w:bidi w:val="0"/>
        <w:spacing w:lineRule="auto" w:line="240"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(i)the Borrowing to which such Interest Election Request applies and, if different options are being elected with respect to different portions thereof, the portions</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6480175" cy="781050"/>
                <wp:effectExtent l="0" t="0" r="0" b="0"/>
                <wp:wrapNone/>
                <wp:docPr id="303" name="Frame302"/>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101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101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60" w:after="283"/>
        <w:jc w:val="both"/>
        <w:rPr>
          <w:rFonts w:ascii="Times New Roman;sans-serif" w:hAnsi="Times New Roman;sans-serif"/>
          <w:b w:val="false"/>
          <w:color w:val="000000"/>
          <w:sz w:val="24"/>
        </w:rPr>
      </w:pPr>
      <w:r>
        <w:rPr>
          <w:rFonts w:ascii="Times New Roman;sans-serif" w:hAnsi="Times New Roman;sans-serif"/>
          <w:b w:val="false"/>
          <w:color w:val="000000"/>
          <w:sz w:val="24"/>
        </w:rPr>
        <w:t>thereof to be allocated to each resulting Borrowing (in which case the information to be specified pursuant to clauses (iii) and (iv) below shall be specified for each resulting Borrowing);</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(ii)the effective date of the election made pursuant to such Interest Election Request, which shall be a Business Day;</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(iii)whether the resulting Borrowing is to be an ABR Borrowing or a Term SOFR Borrowing; and</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(iv)if the resulting Borrowing is a Term SOFR Borrowing, the Interest Period to be applicable thereto after giving effect to such election, which Interest Period shall be a period contemplated by the definition of the term “Interest Period.”</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If any such Interest Election Request requests a Term SOFR Borrowing but does not specify an Interest Period, then the Borrower shall be deemed to have selected an Interest Period of one month’s duration. If less than all the outstanding principal amount of any Borrowing shall be converted or continued, then each resulting Borrowing shall be in an integral multiple of the Borrowing Multiple and not less than the Borrowing Minimum and satisfy the limitations specified in Section 2.02(c) regarding the maximum number of Borrowings of the relevant Type.</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(d)Promptly following receipt of an Interest Election Request, the Administrative Agent shall advise each Lender to which such Interest Election Request relates of the details thereof and of such Lender’s portion of each resulting Borrowing.</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(e)If the Borrower fails to deliver a timely Interest Election Request with respect to a Term SOFR Borrowing prior to the end of the Interest Period applicable thereto, then, unless such Borrowing is repaid as provided herein, at the end of such Interest Period such Borrowing shall be converted to an ABR Borrowing. Notwithstanding any contrary provision hereof, if an Event of Default has occurred and is continuing and the Administrative Agent, at the written request (including a request through electronic means) of the Required Lenders, so notifies the Borrower, then, so long as an Event of Default is continuing (i) no outstanding Borrowing may be converted to or continued as a Term SOFR Borrowing and (ii) unless repaid, each Term SOFR Borrowing shall be converted to an ABR Borrowing at the end of the then current Interest Period.</w:t>
      </w:r>
    </w:p>
    <w:p>
      <w:pPr>
        <w:pStyle w:val="TextBody"/>
        <w:bidi w:val="0"/>
        <w:spacing w:lineRule="auto" w:line="240" w:before="239" w:after="283"/>
        <w:jc w:val="both"/>
        <w:rPr/>
      </w:pPr>
      <w:r>
        <w:rPr>
          <w:rFonts w:ascii="Times New Roman;sans-serif" w:hAnsi="Times New Roman;sans-serif"/>
          <w:b w:val="false"/>
          <w:color w:val="000000"/>
          <w:sz w:val="24"/>
        </w:rPr>
        <w:t xml:space="preserve">Section 2.08. </w:t>
      </w:r>
      <w:r>
        <w:rPr>
          <w:rFonts w:ascii="Times New Roman;sans-serif" w:hAnsi="Times New Roman;sans-serif"/>
          <w:b w:val="false"/>
          <w:color w:val="000000"/>
          <w:sz w:val="24"/>
          <w:u w:val="single"/>
        </w:rPr>
        <w:t>Termination and Reduction of Commitments</w:t>
      </w:r>
      <w:r>
        <w:rPr>
          <w:rFonts w:ascii="Times New Roman;sans-serif" w:hAnsi="Times New Roman;sans-serif"/>
          <w:b w:val="false"/>
          <w:color w:val="000000"/>
          <w:sz w:val="24"/>
        </w:rPr>
        <w:t>.</w:t>
      </w:r>
    </w:p>
    <w:p>
      <w:pPr>
        <w:pStyle w:val="TextBody"/>
        <w:bidi w:val="0"/>
        <w:spacing w:lineRule="auto" w:line="240" w:before="241"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(a)Unless previously terminated, the Revolving Facility Commitments of each Class shall automatically and permanently terminate on the applicable Revolving Facility Maturity Date for such Class. On the Closing Date (after giving effect to the funding of the Initial Term Loans to be made on such date), the Initial Term Loan Commitments of each Term Lender with an Initial Term Loan Commitment as of the Closing Date will automatically and permanently terminate.</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 xml:space="preserve">(b)The Borrower may at any time terminate, or from time to time reduce, the Revolving Facility Commitments of any Class;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that (i) each reduction of the Revolving Facility Commitments of any Class shall be in an amount that is an integral multiple of $1,000,000 and not less than $1,000,000 (or, if less, the remaining amount of the Revolving Facility Commitments of such Class) and (ii) the Borrower shall not terminate or reduce the Revolving</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6480175" cy="781050"/>
                <wp:effectExtent l="0" t="0" r="0" b="0"/>
                <wp:wrapNone/>
                <wp:docPr id="304" name="Frame303"/>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102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102</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jc w:val="both"/>
        <w:rPr>
          <w:rFonts w:ascii="Times New Roman;sans-serif" w:hAnsi="Times New Roman;sans-serif"/>
          <w:b w:val="false"/>
          <w:color w:val="000000"/>
          <w:sz w:val="24"/>
        </w:rPr>
      </w:pPr>
      <w:r>
        <w:rPr>
          <w:rFonts w:ascii="Times New Roman;sans-serif" w:hAnsi="Times New Roman;sans-serif"/>
          <w:b w:val="false"/>
          <w:color w:val="000000"/>
          <w:sz w:val="24"/>
        </w:rPr>
        <w:t>Facility Commitments of any Class if, after giving effect to any concurrent prepayment of the Revolving Facility Loans in accordance with Section 2.11 and any Cash Collateralization of Letters of Credit in accordance with Section 2.05(j), as applicable, the Revolving Facility Credit Exposure of such Class (excluding any Cash Collateralized Letter of Credit, to the extent so Cash Collateralized) would exceed the total Revolving Facility Commitments of such Class.</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 xml:space="preserve">(c)The Borrower shall notify the Administrative Agent of any election to terminate or reduce the Revolving Facility Commitments of any Class under clause (b) of this Section 2.08 at least three (3) Business Days prior to the effective date of such termination or reduction (or such shorter period acceptable to the Administrative Agent), specifying such election and the effective date thereof. Promptly following receipt of any notice, the Administrative Agent shall advise the applicable Lenders of the contents thereof. Each notice delivered by the Borrower pursuant to this Section 2.08 shall be irrevocable;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that a notice of termination or reduction of the Revolving Facility Commitments of any Class delivered by the Borrower may state that such notice is conditioned upon the effectiveness of other credit facilities, indentures or similar agreements or other transactions, in which case such notice may be revoked by the Borrower (by notice to the Administrative Agent on or prior to the specified effective date) if such condition is not satisfied. Any termination or reduction of the Commitments shall be permanent. Each reduction of the Commitments of any Class shall be made ratably among the Lenders in accordance with their respective Commitments of such Class.</w:t>
      </w:r>
    </w:p>
    <w:p>
      <w:pPr>
        <w:pStyle w:val="TextBody"/>
        <w:bidi w:val="0"/>
        <w:spacing w:lineRule="auto" w:line="240" w:before="240" w:after="283"/>
        <w:jc w:val="left"/>
        <w:rPr/>
      </w:pPr>
      <w:r>
        <w:rPr>
          <w:rFonts w:ascii="Times New Roman;sans-serif" w:hAnsi="Times New Roman;sans-serif"/>
          <w:b w:val="false"/>
          <w:color w:val="000000"/>
          <w:sz w:val="24"/>
        </w:rPr>
        <w:t xml:space="preserve">Section 2.09. </w:t>
      </w:r>
      <w:r>
        <w:rPr>
          <w:rFonts w:ascii="Times New Roman;sans-serif" w:hAnsi="Times New Roman;sans-serif"/>
          <w:b w:val="false"/>
          <w:color w:val="000000"/>
          <w:sz w:val="24"/>
          <w:u w:val="single"/>
        </w:rPr>
        <w:t>Repayment of Loans; Evidence of Debt</w:t>
      </w:r>
      <w:r>
        <w:rPr>
          <w:rFonts w:ascii="Times New Roman;sans-serif" w:hAnsi="Times New Roman;sans-serif"/>
          <w:b w:val="false"/>
          <w:color w:val="000000"/>
          <w:sz w:val="24"/>
        </w:rPr>
        <w:t>.</w:t>
      </w:r>
    </w:p>
    <w:p>
      <w:pPr>
        <w:pStyle w:val="TextBody"/>
        <w:bidi w:val="0"/>
        <w:spacing w:lineRule="auto" w:line="240" w:before="241" w:after="283"/>
        <w:ind w:left="0" w:right="0" w:firstLine="720"/>
        <w:jc w:val="both"/>
        <w:rPr/>
      </w:pPr>
      <w:r>
        <w:rPr>
          <w:rFonts w:ascii="Times New Roman;sans-serif" w:hAnsi="Times New Roman;sans-serif"/>
          <w:b w:val="false"/>
          <w:color w:val="000000"/>
          <w:sz w:val="24"/>
        </w:rPr>
        <w:t xml:space="preserve">(a)The Borrower hereby unconditionally promise to pay (i) to the Administrative Agent for the account of each Revolving Facility Lender the then unpaid principal amount of each Revolving Facility Loan on the Revolving Facility Maturity Date applicable to such Revolving Facility Loans, (ii) to the Administrative Agent for the account of each Lender the then unpaid principal amount of each Term Loan of such Lender as provided in Section 2.10 and (iii) to the Swingline Lender the then unpaid principal amount of each Swingline Loan made under any Revolving Facility on the Revolving Facility Maturity Date for such Revolving Facility;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that on each date that a Revolving Facility Borrowing is made by the Borrower, the Borrower shall repay all Swingline Loans then outstanding.</w:t>
      </w:r>
    </w:p>
    <w:p>
      <w:pPr>
        <w:pStyle w:val="TextBody"/>
        <w:bidi w:val="0"/>
        <w:spacing w:lineRule="auto" w:line="240" w:before="239"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(b)Each Lender shall maintain in accordance with its usual practice an account or accounts evidencing the indebtedness of the Borrower to such Lender resulting from each Loan made by such Lender, including the amounts of principal and interest payable and paid to such Lender from time to time hereunder.</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(c)The Administrative Agent shall maintain accounts in which it shall record (i) the amount of each Loan made hereunder, the Facility, Class and Type thereof and the Interest Period (if any) applicable thereto, (ii) the amount of any principal or interest due and payable or to become due and payable from the Borrower to each Lender hereunder and (iii) any amount received by the Administrative Agent hereunder for the account of the Lenders and each Lender’s share thereof.</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 xml:space="preserve">(d)The entries made in the accounts maintained pursuant to clause (b) or (c) of this Section 2.09 shall be </w:t>
      </w:r>
      <w:r>
        <w:rPr>
          <w:rFonts w:ascii="Times New Roman;sans-serif" w:hAnsi="Times New Roman;sans-serif"/>
          <w:b w:val="false"/>
          <w:color w:val="000000"/>
          <w:sz w:val="24"/>
          <w:u w:val="single"/>
        </w:rPr>
        <w:t>prima facie</w:t>
      </w:r>
      <w:r>
        <w:rPr>
          <w:color w:val="000000"/>
        </w:rPr>
        <w:t xml:space="preserve"> </w:t>
      </w:r>
      <w:r>
        <w:rPr>
          <w:rFonts w:ascii="Times New Roman;sans-serif" w:hAnsi="Times New Roman;sans-serif"/>
          <w:b w:val="false"/>
          <w:color w:val="000000"/>
          <w:sz w:val="24"/>
        </w:rPr>
        <w:t xml:space="preserve">evidence of the existence and amounts of the obligations recorded therein;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that the failure of any Lender or the Administrative Agent to maintain such</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6480175" cy="781050"/>
                <wp:effectExtent l="0" t="0" r="0" b="0"/>
                <wp:wrapNone/>
                <wp:docPr id="305" name="Frame304"/>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103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103</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accounts or any error therein shall not in any manner affect the obligation of the Borrower to repay the Loans in accordance with the terms of this Agreement.</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(e)Any Lender may request that Loans made by it be evidenced by a promissory note (a “</w:t>
      </w:r>
      <w:r>
        <w:rPr>
          <w:rFonts w:ascii="Times New Roman;sans-serif" w:hAnsi="Times New Roman;sans-serif"/>
          <w:b w:val="false"/>
          <w:color w:val="000000"/>
          <w:sz w:val="24"/>
          <w:u w:val="single"/>
        </w:rPr>
        <w:t>Note</w:t>
      </w:r>
      <w:r>
        <w:rPr>
          <w:color w:val="000000"/>
        </w:rPr>
        <w:t>”</w:t>
      </w:r>
      <w:r>
        <w:rPr>
          <w:rFonts w:ascii="Times New Roman;sans-serif" w:hAnsi="Times New Roman;sans-serif"/>
          <w:b w:val="false"/>
          <w:color w:val="000000"/>
          <w:sz w:val="24"/>
        </w:rPr>
        <w:t xml:space="preserve">). In such event, the Borrower shall prepare, execute and deliver to such Lender a promissory note payable to such Lender (or, if requested by such Lender, to such Lender and its registered assigns) and in the form attached hereto as </w:t>
      </w:r>
      <w:r>
        <w:rPr>
          <w:rFonts w:ascii="Times New Roman;sans-serif" w:hAnsi="Times New Roman;sans-serif"/>
          <w:b w:val="false"/>
          <w:color w:val="000000"/>
          <w:sz w:val="24"/>
          <w:u w:val="single"/>
        </w:rPr>
        <w:t>Exhibit H</w:t>
      </w:r>
      <w:r>
        <w:rPr>
          <w:rFonts w:ascii="Times New Roman;sans-serif" w:hAnsi="Times New Roman;sans-serif"/>
          <w:b w:val="false"/>
          <w:color w:val="000000"/>
          <w:sz w:val="24"/>
        </w:rPr>
        <w:t>, or in another form approved by such Lender, the Administrative Agent and the Borrower in their sole discretion. Thereafter, unless otherwise agreed to by the applicable Lender, the Loans evidenced by such promissory note and interest thereon shall at all times (including after assignment pursuant to Section 9.04) be represented by one or more promissory notes in such form payable to the payee named therein (or, if requested by such payee, to such payee and its registered assigns).</w:t>
      </w:r>
    </w:p>
    <w:p>
      <w:pPr>
        <w:pStyle w:val="TextBody"/>
        <w:bidi w:val="0"/>
        <w:spacing w:lineRule="auto" w:line="240" w:before="240" w:after="283"/>
        <w:ind w:left="0" w:right="0" w:firstLine="720"/>
        <w:jc w:val="left"/>
        <w:rPr/>
      </w:pPr>
      <w:r>
        <w:rPr>
          <w:rFonts w:ascii="Times New Roman;sans-serif" w:hAnsi="Times New Roman;sans-serif"/>
          <w:b w:val="false"/>
          <w:color w:val="000000"/>
          <w:sz w:val="24"/>
        </w:rPr>
        <w:t xml:space="preserve">Section 2.10. </w:t>
      </w:r>
      <w:r>
        <w:rPr>
          <w:rFonts w:ascii="Times New Roman;sans-serif" w:hAnsi="Times New Roman;sans-serif"/>
          <w:b w:val="false"/>
          <w:color w:val="000000"/>
          <w:sz w:val="24"/>
          <w:u w:val="single"/>
        </w:rPr>
        <w:t>Repayment of Term Loans and Revolving Facility Loans and Prepayment</w:t>
      </w:r>
      <w:r>
        <w:rPr>
          <w:color w:val="000000"/>
        </w:rPr>
        <w:t xml:space="preserve"> </w:t>
      </w:r>
      <w:r>
        <w:rPr>
          <w:rFonts w:ascii="Times New Roman;sans-serif" w:hAnsi="Times New Roman;sans-serif"/>
          <w:b w:val="false"/>
          <w:color w:val="000000"/>
          <w:sz w:val="24"/>
          <w:u w:val="single"/>
        </w:rPr>
        <w:t>Procedures</w:t>
      </w:r>
      <w:r>
        <w:rPr>
          <w:rFonts w:ascii="Times New Roman;sans-serif" w:hAnsi="Times New Roman;sans-serif"/>
          <w:b w:val="false"/>
          <w:color w:val="000000"/>
          <w:sz w:val="24"/>
        </w:rPr>
        <w:t>.</w:t>
      </w:r>
    </w:p>
    <w:p>
      <w:pPr>
        <w:pStyle w:val="TextBody"/>
        <w:bidi w:val="0"/>
        <w:spacing w:lineRule="auto" w:line="240" w:before="240" w:after="283"/>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(a)Subject to the other clauses of this Section 2.10 and to Section 9.08(e),</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(i)the Borrower shall repay principal of outstanding Initial Term Loans on the last Business Day of each March, June, September and December of each year (commencing on the last Business Day of the first full fiscal quarter of the Borrower commencing after the Closing Date) and on the Initial Term Loan Maturity Date (each such date being referred to as an “</w:t>
      </w:r>
      <w:r>
        <w:rPr>
          <w:rFonts w:ascii="Times New Roman;sans-serif" w:hAnsi="Times New Roman;sans-serif"/>
          <w:b w:val="false"/>
          <w:color w:val="000000"/>
          <w:sz w:val="24"/>
          <w:u w:val="single"/>
        </w:rPr>
        <w:t>Initial Term Loan Installment Date</w:t>
      </w:r>
      <w:r>
        <w:rPr>
          <w:color w:val="000000"/>
        </w:rPr>
        <w:t>”</w:t>
      </w:r>
      <w:r>
        <w:rPr>
          <w:rFonts w:ascii="Times New Roman;sans-serif" w:hAnsi="Times New Roman;sans-serif"/>
          <w:b w:val="false"/>
          <w:color w:val="000000"/>
          <w:sz w:val="24"/>
        </w:rPr>
        <w:t>), in an aggregate principal amount of Initial Term Loans equal to (i) for each Initial Term Loan Installment Date prior to the Initial Term Loan Maturity Date, 0.25% of the aggregate principal amount of the Initial Term Loans incurred on the Closing Date and (ii) in the case of such payment due on the Initial Term Loan Maturity Date, an amount equal to the then unpaid principal amount of such Initial Term Loans outstanding;</w:t>
      </w:r>
    </w:p>
    <w:p>
      <w:pPr>
        <w:pStyle w:val="TextBody"/>
        <w:bidi w:val="0"/>
        <w:spacing w:lineRule="auto" w:line="240" w:before="241" w:after="283"/>
        <w:ind w:left="0" w:right="0" w:firstLine="720"/>
        <w:jc w:val="both"/>
        <w:rPr/>
      </w:pPr>
      <w:r>
        <w:rPr>
          <w:rFonts w:ascii="Times New Roman;sans-serif" w:hAnsi="Times New Roman;sans-serif"/>
          <w:b w:val="false"/>
          <w:color w:val="000000"/>
          <w:sz w:val="24"/>
        </w:rPr>
        <w:t>(ii)in the event that any Other Term Loans are made, the Borrower shall repay such Other Term Loans on the dates and in the amounts set forth in the related Incremental Assumption Agreement, Extension Amendment or Refinancing Amendment (each such date being referred to as an “</w:t>
      </w:r>
      <w:r>
        <w:rPr>
          <w:rFonts w:ascii="Times New Roman;sans-serif" w:hAnsi="Times New Roman;sans-serif"/>
          <w:b w:val="false"/>
          <w:color w:val="000000"/>
          <w:sz w:val="24"/>
          <w:u w:val="single"/>
        </w:rPr>
        <w:t>Other Term Loan Installment Date</w:t>
      </w:r>
      <w:r>
        <w:rPr>
          <w:color w:val="000000"/>
        </w:rPr>
        <w:t>”</w:t>
      </w:r>
      <w:r>
        <w:rPr>
          <w:rFonts w:ascii="Times New Roman;sans-serif" w:hAnsi="Times New Roman;sans-serif"/>
          <w:b w:val="false"/>
          <w:color w:val="000000"/>
          <w:sz w:val="24"/>
        </w:rPr>
        <w:t>); and</w:t>
      </w:r>
    </w:p>
    <w:p>
      <w:pPr>
        <w:pStyle w:val="TextBody"/>
        <w:bidi w:val="0"/>
        <w:spacing w:lineRule="auto" w:line="240" w:before="238"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(iii)to the extent not previously paid, all outstanding Term Loans shall be due and payable on the applicable Term Facility Maturity Date.</w:t>
      </w:r>
    </w:p>
    <w:p>
      <w:pPr>
        <w:pStyle w:val="TextBody"/>
        <w:bidi w:val="0"/>
        <w:spacing w:lineRule="auto" w:line="240" w:before="241"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(b)To the extent not previously paid, all outstanding Revolving Facility Loans and Swingline Loans shall be due and payable on the applicable Revolving Facility Maturity Date.</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 xml:space="preserve">(c)Any mandatory prepayment of Term Loans pursuant to Section 2.11(b) or Section 2.11(c) shall be applied so that the aggregate amount of such prepayment is allocated among the Initial Term Loans and the Other Term Loans, if any, </w:t>
      </w:r>
      <w:r>
        <w:rPr>
          <w:rFonts w:ascii="Times New Roman;sans-serif" w:hAnsi="Times New Roman;sans-serif"/>
          <w:b w:val="false"/>
          <w:color w:val="000000"/>
          <w:sz w:val="24"/>
          <w:u w:val="single"/>
        </w:rPr>
        <w:t>pro rata</w:t>
      </w:r>
      <w:r>
        <w:rPr>
          <w:color w:val="000000"/>
        </w:rPr>
        <w:t xml:space="preserve"> </w:t>
      </w:r>
      <w:r>
        <w:rPr>
          <w:rFonts w:ascii="Times New Roman;sans-serif" w:hAnsi="Times New Roman;sans-serif"/>
          <w:b w:val="false"/>
          <w:color w:val="000000"/>
          <w:sz w:val="24"/>
        </w:rPr>
        <w:t xml:space="preserve">based on the aggregate principal amount of outstanding Initial Term Loans and Other Term Loans, if any, to reduce amounts due on the succeeding Term Loan Installment Dates for such Classes in direct order of maturity thereof;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that, subject to the </w:t>
      </w:r>
      <w:r>
        <w:rPr>
          <w:rFonts w:ascii="Times New Roman;sans-serif" w:hAnsi="Times New Roman;sans-serif"/>
          <w:b w:val="false"/>
          <w:color w:val="000000"/>
          <w:sz w:val="24"/>
          <w:u w:val="single"/>
        </w:rPr>
        <w:t>pro rata</w:t>
      </w:r>
      <w:r>
        <w:rPr>
          <w:color w:val="000000"/>
        </w:rPr>
        <w:t xml:space="preserve"> </w:t>
      </w:r>
      <w:r>
        <w:rPr>
          <w:rFonts w:ascii="Times New Roman;sans-serif" w:hAnsi="Times New Roman;sans-serif"/>
          <w:b w:val="false"/>
          <w:color w:val="000000"/>
          <w:sz w:val="24"/>
        </w:rPr>
        <w:t xml:space="preserve">application to Loans outstanding within any respective Class of Loans, with respect to mandatory prepayments of Term Loans pursuant to Section 2.11(b)(1) and 2.11(c), any Class of Other Term Loans may receive less than its </w:t>
      </w:r>
      <w:r>
        <w:rPr>
          <w:rFonts w:ascii="Times New Roman;sans-serif" w:hAnsi="Times New Roman;sans-serif"/>
          <w:b w:val="false"/>
          <w:color w:val="000000"/>
          <w:sz w:val="24"/>
          <w:u w:val="single"/>
        </w:rPr>
        <w:t>pro rata</w:t>
      </w:r>
      <w:r>
        <w:rPr>
          <w:color w:val="000000"/>
        </w:rPr>
        <w:t xml:space="preserve"> </w:t>
      </w:r>
      <w:r>
        <w:rPr>
          <w:rFonts w:ascii="Times New Roman;sans-serif" w:hAnsi="Times New Roman;sans-serif"/>
          <w:b w:val="false"/>
          <w:color w:val="000000"/>
          <w:sz w:val="24"/>
        </w:rPr>
        <w:t>share thereof (so</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6480175" cy="781050"/>
                <wp:effectExtent l="0" t="0" r="0" b="0"/>
                <wp:wrapNone/>
                <wp:docPr id="306" name="Frame305"/>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104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104</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jc w:val="both"/>
        <w:rPr/>
      </w:pPr>
      <w:r>
        <w:rPr>
          <w:rFonts w:ascii="Times New Roman;sans-serif" w:hAnsi="Times New Roman;sans-serif"/>
          <w:b w:val="false"/>
          <w:color w:val="000000"/>
          <w:sz w:val="24"/>
        </w:rPr>
        <w:t xml:space="preserve">long as the amount by which its </w:t>
      </w:r>
      <w:r>
        <w:rPr>
          <w:rFonts w:ascii="Times New Roman;sans-serif" w:hAnsi="Times New Roman;sans-serif"/>
          <w:b w:val="false"/>
          <w:color w:val="000000"/>
          <w:sz w:val="24"/>
          <w:u w:val="single"/>
        </w:rPr>
        <w:t>pro rata</w:t>
      </w:r>
      <w:r>
        <w:rPr>
          <w:color w:val="000000"/>
        </w:rPr>
        <w:t xml:space="preserve"> </w:t>
      </w:r>
      <w:r>
        <w:rPr>
          <w:rFonts w:ascii="Times New Roman;sans-serif" w:hAnsi="Times New Roman;sans-serif"/>
          <w:b w:val="false"/>
          <w:color w:val="000000"/>
          <w:sz w:val="24"/>
        </w:rPr>
        <w:t xml:space="preserve">share exceeds the amount actually applied to such Class is applied to repay (on a </w:t>
      </w:r>
      <w:r>
        <w:rPr>
          <w:rFonts w:ascii="Times New Roman;sans-serif" w:hAnsi="Times New Roman;sans-serif"/>
          <w:b w:val="false"/>
          <w:color w:val="000000"/>
          <w:sz w:val="24"/>
          <w:u w:val="single"/>
        </w:rPr>
        <w:t>pro rata</w:t>
      </w:r>
      <w:r>
        <w:rPr>
          <w:color w:val="000000"/>
        </w:rPr>
        <w:t xml:space="preserve"> </w:t>
      </w:r>
      <w:r>
        <w:rPr>
          <w:rFonts w:ascii="Times New Roman;sans-serif" w:hAnsi="Times New Roman;sans-serif"/>
          <w:b w:val="false"/>
          <w:color w:val="000000"/>
          <w:sz w:val="24"/>
        </w:rPr>
        <w:t xml:space="preserve">basis) the outstanding Initial Term Loans and any other Classes of then outstanding Other Term Loans, in each case to the extent the respective Class receiving less than its </w:t>
      </w:r>
      <w:r>
        <w:rPr>
          <w:rFonts w:ascii="Times New Roman;sans-serif" w:hAnsi="Times New Roman;sans-serif"/>
          <w:b w:val="false"/>
          <w:color w:val="000000"/>
          <w:sz w:val="24"/>
          <w:u w:val="single"/>
        </w:rPr>
        <w:t>pro rata</w:t>
      </w:r>
      <w:r>
        <w:rPr>
          <w:color w:val="000000"/>
        </w:rPr>
        <w:t xml:space="preserve"> </w:t>
      </w:r>
      <w:r>
        <w:rPr>
          <w:rFonts w:ascii="Times New Roman;sans-serif" w:hAnsi="Times New Roman;sans-serif"/>
          <w:b w:val="false"/>
          <w:color w:val="000000"/>
          <w:sz w:val="24"/>
        </w:rPr>
        <w:t>share has consented thereto). Any optional prepayments of the Term Loans pursuant to Section 2.11(a) shall be applied to the remaining installments of the Term Loans under the applicable Class or Classes as the Borrower may in each case direct.</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Prior to any prepayment of any Loan under any Facility hereunder, the Borrower shall select the Borrowing or Borrowings under the applicable Facility to be prepaid and shall notify the Administrative Agent (and, in the case of prepayment of a Swingline Loan, the Swingline Lender) by telephone (confirmed by electronic means) of such selection not later than (i) 10:00 a.m., Local Time, in the case of an ABR Borrowing or any Swingline Loan, on the scheduled date of such prepayment and (ii) 2:00 p.m., Local Time, in the case of a Term SOFR Borrowing, at least three</w:t>
      </w:r>
    </w:p>
    <w:p>
      <w:pPr>
        <w:pStyle w:val="TextBody"/>
        <w:bidi w:val="0"/>
        <w:spacing w:lineRule="auto" w:line="240" w:before="0" w:after="0"/>
        <w:jc w:val="both"/>
        <w:rPr/>
      </w:pPr>
      <w:r>
        <w:rPr>
          <w:rFonts w:ascii="Times New Roman;sans-serif" w:hAnsi="Times New Roman;sans-serif"/>
          <w:b w:val="false"/>
          <w:color w:val="000000"/>
          <w:sz w:val="24"/>
        </w:rPr>
        <w:t xml:space="preserve">(3) Business Days before the scheduled date of such prepayment (or, in each case, such shorter period acceptable to the Administrative Agent (and Swingline Lender, if applicable)). Each such notice shall be irrevocable;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that a notice of prepayment may state that such notice is conditioned upon the effectiveness of other credit facilities, indentures or similar agreements or other transactions, in which case such notice may be revoked by the Borrower (by notice to the Administrative Agent (and Swingline Lender, if applicable) on or prior to the specified effective date) if such condition is not satisfied. Each repayment of a Borrowing (x) in the case of the Revolving Facility of any Class, shall be applied to the Revolving Facility Loans included in the repaid Borrowing such that each Revolving Facility Lender receives its ratable share of such repayment (based upon its respective Revolving Facility Percentage of such Class at the time of such repayment) and (y) in all other cases, shall be applied ratably to the Loans included in the repaid Borrowing. All repayments of Loans shall be accompanied by (1) accrued interest on the amount repaid to the extent required by Section 2.13(d) and (2) break funding payments pursuant to Section 2.16. In connection with any prepayment of any Loan of any Lender hereunder that would otherwise occur from the proceeds of new Loans being funded hereunder on the date of such prepayment, if agreed to by the Borrower and such Lender in a writing provided to the Administrative Agent, the portion of the existing Loan of such Lender that would otherwise be prepaid on such date may instead be converted on a “cashless roll” basis into a like principal amount of the new Loans being funded on such date.</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 xml:space="preserve">(d)The Borrower shall notify the Administrative Agent in writing of any mandatory prepayment of Term Loans required to be made pursuant to Section 2.11(b)(1) or 2.11(c) at least four (4) Business Days prior to the date of such prepayment. Each such notice shall specify the date of such prepayment and provide a reasonably detailed calculation of the amount of such prepayment. The Administrative Agent will promptly notify each Term Lender of the contents of any such prepayment notice and of such Term Lender’s ratable portion of such prepayment (based on such Lender’s </w:t>
      </w:r>
      <w:r>
        <w:rPr>
          <w:rFonts w:ascii="Times New Roman;sans-serif" w:hAnsi="Times New Roman;sans-serif"/>
          <w:b w:val="false"/>
          <w:color w:val="000000"/>
          <w:sz w:val="24"/>
          <w:u w:val="single"/>
        </w:rPr>
        <w:t>pro rata</w:t>
      </w:r>
      <w:r>
        <w:rPr>
          <w:color w:val="000000"/>
        </w:rPr>
        <w:t xml:space="preserve"> </w:t>
      </w:r>
      <w:r>
        <w:rPr>
          <w:rFonts w:ascii="Times New Roman;sans-serif" w:hAnsi="Times New Roman;sans-serif"/>
          <w:b w:val="false"/>
          <w:color w:val="000000"/>
          <w:sz w:val="24"/>
        </w:rPr>
        <w:t>share of each relevant Class of the Term Loans). Any Term Lender (a “</w:t>
      </w:r>
      <w:r>
        <w:rPr>
          <w:rFonts w:ascii="Times New Roman;sans-serif" w:hAnsi="Times New Roman;sans-serif"/>
          <w:b w:val="false"/>
          <w:color w:val="000000"/>
          <w:sz w:val="24"/>
          <w:u w:val="single"/>
        </w:rPr>
        <w:t>Declining Term Lender</w:t>
      </w:r>
      <w:r>
        <w:rPr>
          <w:color w:val="000000"/>
        </w:rPr>
        <w:t>”</w:t>
      </w:r>
      <w:r>
        <w:rPr>
          <w:rFonts w:ascii="Times New Roman;sans-serif" w:hAnsi="Times New Roman;sans-serif"/>
          <w:b w:val="false"/>
          <w:color w:val="000000"/>
          <w:sz w:val="24"/>
        </w:rPr>
        <w:t>) may elect, by delivering written notice to the Administrative Agent and the Borrower no later than 5:00 p.m. one (1) Business Day after the date of such Term Lender’s receipt of notice from the Administrative Agent regarding such prepayment, that the full amount of any mandatory prepayment otherwise required to be made with respect to the Term Loans held by such Term Lender pursuant to Section 2.11(b)(1) or 2.11(c) not be made (the aggregate amount of such prepayments declined by the Declining Term Lenders, the “</w:t>
      </w:r>
      <w:r>
        <w:rPr>
          <w:rFonts w:ascii="Times New Roman;sans-serif" w:hAnsi="Times New Roman;sans-serif"/>
          <w:b w:val="false"/>
          <w:color w:val="000000"/>
          <w:sz w:val="24"/>
          <w:u w:val="single"/>
        </w:rPr>
        <w:t>Declined Prepayment</w:t>
      </w:r>
      <w:r>
        <w:rPr>
          <w:color w:val="000000"/>
        </w:rPr>
        <w:t xml:space="preserve"> </w:t>
      </w:r>
      <w:r>
        <w:rPr>
          <w:rFonts w:ascii="Times New Roman;sans-serif" w:hAnsi="Times New Roman;sans-serif"/>
          <w:b w:val="false"/>
          <w:color w:val="000000"/>
          <w:sz w:val="24"/>
          <w:u w:val="single"/>
        </w:rPr>
        <w:t>Amount</w:t>
      </w:r>
      <w:r>
        <w:rPr>
          <w:color w:val="000000"/>
        </w:rPr>
        <w:t>”</w:t>
      </w:r>
      <w:r>
        <w:rPr>
          <w:rFonts w:ascii="Times New Roman;sans-serif" w:hAnsi="Times New Roman;sans-serif"/>
          <w:b w:val="false"/>
          <w:color w:val="000000"/>
          <w:sz w:val="24"/>
        </w:rPr>
        <w:t>). If a Term Lender fails to deliver notice setting forth such rejection of a prepayment to</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6480175" cy="781050"/>
                <wp:effectExtent l="0" t="0" r="0" b="0"/>
                <wp:wrapNone/>
                <wp:docPr id="307" name="Frame306"/>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105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105</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jc w:val="both"/>
        <w:rPr>
          <w:rFonts w:ascii="Times New Roman;sans-serif" w:hAnsi="Times New Roman;sans-serif"/>
          <w:b w:val="false"/>
          <w:color w:val="000000"/>
          <w:sz w:val="24"/>
        </w:rPr>
      </w:pPr>
      <w:r>
        <w:rPr>
          <w:rFonts w:ascii="Times New Roman;sans-serif" w:hAnsi="Times New Roman;sans-serif"/>
          <w:b w:val="false"/>
          <w:color w:val="000000"/>
          <w:sz w:val="24"/>
        </w:rPr>
        <w:t>the Administrative Agent within the time frame specified above or such notice fails to specify the principal amount of the Term Loans to be rejected, any such failure will be deemed an acceptance of the total amount of such mandatory prepayment of Term Loans. Any Declined Prepayment Amount which would otherwise have been applied to such Term Loans of the Declining Term Lenders shall instead be retained by the Borrower. For the avoidance of doubt, the Borrower may, at its option, apply any amounts retained in accordance with the immediately preceding sentence to prepay loans in accordance with Section 2.11(a) below.</w:t>
      </w:r>
    </w:p>
    <w:p>
      <w:pPr>
        <w:pStyle w:val="TextBody"/>
        <w:bidi w:val="0"/>
        <w:spacing w:lineRule="auto" w:line="240" w:before="240" w:after="283"/>
        <w:jc w:val="left"/>
        <w:rPr/>
      </w:pPr>
      <w:r>
        <w:rPr>
          <w:rFonts w:ascii="Times New Roman;sans-serif" w:hAnsi="Times New Roman;sans-serif"/>
          <w:b w:val="false"/>
          <w:color w:val="000000"/>
          <w:sz w:val="24"/>
        </w:rPr>
        <w:t xml:space="preserve">Section 2.11. </w:t>
      </w:r>
      <w:r>
        <w:rPr>
          <w:rFonts w:ascii="Times New Roman;sans-serif" w:hAnsi="Times New Roman;sans-serif"/>
          <w:b w:val="false"/>
          <w:color w:val="000000"/>
          <w:sz w:val="24"/>
          <w:u w:val="single"/>
        </w:rPr>
        <w:t>Prepayment of Loans</w:t>
      </w:r>
      <w:r>
        <w:rPr>
          <w:rFonts w:ascii="Times New Roman;sans-serif" w:hAnsi="Times New Roman;sans-serif"/>
          <w:b w:val="false"/>
          <w:color w:val="000000"/>
          <w:sz w:val="24"/>
        </w:rPr>
        <w:t>.</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(a)The Borrower shall have the right at any time and from time to time to prepay any Loan in whole or in part, without premium or penalty (but subject to Section 2.12(d), Section 2.12(e) and Section 2.16 and subject to prior notice in accordance with the provisions of Section 2.10(c)), in an aggregate principal amount that is an integral multiple of $500,000 and not less than</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$1,000,000 or, if less, the amount outstanding, subject to prior notice in accordance with the first sentence of Section 2.10(d).</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(b)Following the Closing Date, the Borrower shall make a prepayment in an amount equal to (1) the amount of all Net Proceeds (other than Net Proceeds of the kind described in the following clause (2)) within ten (10) Business Days after receipt thereof to prepay Term Loans in accordance with clauses (c) and (d) of Section 2.10; and (2) the amount of all Net Proceeds from any issuance or incurrence of Refinancing Notes, Refinancing Term Loans and Replacement Revolving Facility Commitments (other than solely by means of extending or renewing then existing Refinancing Notes, Refinancing Term Loans and Replacement Revolving Facility Commitments without resulting in any Net Proceeds) no later than three (3) Business Days after the date on which such Refinancing Notes, Refinancing Term Loans and Replacement Revolving Facility Commitments are issued or incurred, to prepay Term Loans and/or Revolving Facility Commitments in accordance with Section 2.23 and the definition of “Refinancing Notes” (as applicable). Notwithstanding anything to the contrary in this Section 2.11(b) or elsewhere in this Agreement, to the extent that (A) any or all of the Net Proceeds from any Foreign Subsidiary are prohibited by any Requirement of Law from being loaned, distributed or otherwise transferred to Borrower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the Borrower and such Subsidiary shall take all commercially reasonable actions available under local law to permit such repatriation or to remove such prohibitions) or any Domestic Subsidiary or materially adverse consequences (including Tax consequences) to the Borrower or any Subsidiary (as reasonably determined by the Borrower) would result therefrom or (B) any or all of the Net Proceeds received by a Subsidiary other than a Guarantor are prohibited from being transferred to the Borrower for application in accordance with this Section 2.11(b) by any applicable organizational documents, joint venture agreement, shareholder agreement, or similar agreement or any other contractual obligation with an unaffiliated third party (including any agreement governing Indebtedness) that was not created in contemplation of such event resulting in Net Proceeds, then in each case the portion of such Net Proceeds so affected will not be required to be applied at the times provided in this Section 2.11(b) but may be retained by the applicable Subsidiary or applied in any other manner not prohibited by this Agreement. Notwithstanding the foregoing, in no event shall the Borrower be required to repatriate cash held at a Foreign Subsidiary in order to make a required mandatory prepayment;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for the sake of clarity, this sentence shall not impact the obligation of the Borrower to make any such prepayment.</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6480175" cy="781050"/>
                <wp:effectExtent l="0" t="0" r="0" b="0"/>
                <wp:wrapNone/>
                <wp:docPr id="308" name="Frame307"/>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106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106</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ind w:left="0" w:right="0" w:firstLine="720"/>
        <w:jc w:val="both"/>
        <w:rPr/>
      </w:pPr>
      <w:r>
        <w:rPr>
          <w:rFonts w:ascii="Times New Roman;sans-serif" w:hAnsi="Times New Roman;sans-serif"/>
          <w:b w:val="false"/>
          <w:color w:val="000000"/>
          <w:sz w:val="24"/>
        </w:rPr>
        <w:t xml:space="preserve">(c)Not later than ten (10) Business Days after the date on which the annual financial statements are, or are required to be, delivered under Section 5.04(a) with respect to each Excess Cash Flow Period, the Borrower shall calculate the Excess Cash Flow of the Borrower and its Subsidiaries for such Excess Cash Flow Period and the Borrower shall apply an amount to prepay Term Loans equal to (i) the Required Percentage of such Excess Cash Flow </w:t>
      </w:r>
      <w:r>
        <w:rPr>
          <w:rFonts w:ascii="Times New Roman;sans-serif" w:hAnsi="Times New Roman;sans-serif"/>
          <w:b w:val="false"/>
          <w:color w:val="000000"/>
          <w:sz w:val="24"/>
          <w:u w:val="single"/>
        </w:rPr>
        <w:t>minus</w:t>
      </w:r>
      <w:r>
        <w:rPr>
          <w:color w:val="000000"/>
        </w:rPr>
        <w:t xml:space="preserve"> </w:t>
      </w:r>
      <w:r>
        <w:rPr>
          <w:rFonts w:ascii="Times New Roman;sans-serif" w:hAnsi="Times New Roman;sans-serif"/>
          <w:b w:val="false"/>
          <w:color w:val="000000"/>
          <w:sz w:val="24"/>
        </w:rPr>
        <w:t xml:space="preserve">(without duplication of any amount deducted from Consolidated Net Income in calculating Excess Cash Flow for such period), (ii) to the extent not financed using the proceeds of funded Indebtedness (other than revolving indebtedness), the sum of (a) the amount of any voluntary payments of Term Loans and amounts used to repurchase outstanding principal of Term Loans during such Excess Cash Flow Period pursuant to Section 2.11(a) and Section 2.25 (it being understood that the amount of any such payments pursuant to Section 2.25 shall be calculated to equal the amount of cash used to repay principal and not the principal amount deemed prepaid therewith), (b) the amount of any voluntary payments of Revolving Facility Loans to the extent that Revolving Facility Commitments are terminated or reduced pursuant to Section 2.08 by the amount of such payments, (c) the amount used to fund voluntary prepayments, voluntary repurchases or voluntary redemptions of any other Indebtedness, in each case to the extent secured on a </w:t>
      </w:r>
      <w:r>
        <w:rPr>
          <w:rFonts w:ascii="Times New Roman;sans-serif" w:hAnsi="Times New Roman;sans-serif"/>
          <w:b w:val="false"/>
          <w:i/>
          <w:color w:val="000000"/>
          <w:sz w:val="24"/>
        </w:rPr>
        <w:t xml:space="preserve">pari passu </w:t>
      </w:r>
      <w:r>
        <w:rPr>
          <w:rFonts w:ascii="Times New Roman;sans-serif" w:hAnsi="Times New Roman;sans-serif"/>
          <w:b w:val="false"/>
          <w:color w:val="000000"/>
          <w:sz w:val="24"/>
        </w:rPr>
        <w:t xml:space="preserve">basis with the Obligations under this Agreement (other than Indebtedness under any revolving credit facility except to the extent there is a corresponding reduction in the commitments thereunder), (d) redemptions or repurchases of the Borrower’s 0.25% convertible senior notes due 2026 (other than any such redemptions or repurchases funded with the proceeds of equity), (e) the amount of Capital Expenditures made in cash during such period by (or committed during such period to be used for such purposes within the succeeding twelve-month period, subject to reversal of such deduction if any such committed amount is not actually expended within such twelve-month period) the Borrower and its Subsidiaries, and (f) the aggregate amount of cash consideration paid by the Borrower and the Subsidiaries (on a consolidated basis) in connection with Investments (including acquisitions) made during such period (or committed during such period to be used for such purposes within the succeeding twelve-month period, subject to reversal of such deduction if any such committed amount is not actually expended within such twelve-month period) pursuant to Section 6.04 to the extent that such Investments were financed with internally generated cash flow of the Borrower and the Subsidiaries, </w:t>
      </w:r>
      <w:r>
        <w:rPr>
          <w:rFonts w:ascii="Times New Roman;sans-serif" w:hAnsi="Times New Roman;sans-serif"/>
          <w:b w:val="false"/>
          <w:color w:val="000000"/>
          <w:sz w:val="24"/>
          <w:u w:val="single"/>
        </w:rPr>
        <w:t>plus</w:t>
      </w:r>
      <w:r>
        <w:rPr>
          <w:rFonts w:ascii="Times New Roman;sans-serif" w:hAnsi="Times New Roman;sans-serif"/>
          <w:b w:val="false"/>
          <w:color w:val="000000"/>
          <w:sz w:val="24"/>
        </w:rPr>
        <w:t>, in the case of clauses (a), (b), (c) and (d) above, at the option of the Borrower and without duplication of any amounts previously deducted under this clause (ii), the amount of any such voluntary payments, voluntary repurchases or voluntary redemptions of such Indebtedness after the end of such Excess Cash Flow Period but before the date of prepayment under this clause (c). Such calculation will be set forth in a certificate signed by a Financial Officer of the Borrower delivered to the Administrative Agent setting forth the amount, if any, of Excess Cash Flow for such fiscal year, the amount of any required prepayment in respect thereof and the calculation thereof in reasonable detail. Notwithstanding anything to the contrary in this Section 2.11(c) or elsewhere in this Agreement, to the extent that (A) any or all of Excess Cash Flow that is attributable to a Foreign Subsidiary is prohibited by any Requirement of Law from being loaned, distributed or otherwise transferred to Borrower or any Domestic Subsidiary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the Borrower and such Subsidiary shall take all commercially reasonable actions available under local law to permit such repatriation or to remove such prohibitions) or materially adverse Tax consequences (as reasonably determined by the Borrower) would result therefrom or (B) any or all of the Excess Cash Flow that is attributable to a Subsidiary other than a Guarantor are prohibited from being transferred to the Borrower for application in accordance with this Section 2.11(c) by any applicable organizational documents, joint venture agreement,</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6480175" cy="781050"/>
                <wp:effectExtent l="0" t="0" r="0" b="0"/>
                <wp:wrapNone/>
                <wp:docPr id="309" name="Frame308"/>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107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107</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jc w:val="both"/>
        <w:rPr/>
      </w:pPr>
      <w:r>
        <w:rPr>
          <w:rFonts w:ascii="Times New Roman;sans-serif" w:hAnsi="Times New Roman;sans-serif"/>
          <w:b w:val="false"/>
          <w:color w:val="000000"/>
          <w:sz w:val="24"/>
        </w:rPr>
        <w:t xml:space="preserve">shareholder agreement, or similar agreement or any other contractual obligation with an unaffiliated third party (including any agreement governing Indebtedness), then the portion of such Excess Cash Flow so affected will not be required to be applied at the times provided in this Section 2.11(c) but may be retained by the applicable Subsidiary or applied in any other manner not prohibited by this Agreement. Notwithstanding the foregoing, in no event shall the Borrower be required to repatriate cash held at a Foreign Subsidiary in order to make a required mandatory prepayment;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for the sake of clarity, this sentence shall not impact the obligation of the Borrower to make any such prepayment.</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(d)In the event (other than as a result of any revaluation of the Dollar Equivalent of the Revolving Facility Credit Exposure on any Revaluation Date) that the aggregate amount of Revolving Facility Credit Exposure of any Class exceeds the total Revolving Facility Commitments of such Class, the Borrower shall prepay Revolving Facility Borrowings and/or Swingline Borrowings of such Class (or, if no such Borrowings are outstanding, provide Cash Collateral in respect of outstanding Letters of Credit pursuant to Section 2.05(j)) in an aggregate amount equal to such excess. In addition, if solely as a result of changes in the exchange rate of any Permitted Foreign Currency, the Administrative Agent notifies the Borrower that either (i) the Dollar Equivalent of the L/C Obligations exceeds the Letter of Credit Sublimit or (ii) the Dollar Equivalent of the Revolving Facility Credit Exposure of any Class exceeds the total Revolving Facility Commitments of such Class, then in either such case the Borrower shall, at the request of the Administrative Agent, within ten (10) days of receipt of such notice, provide Cash Collateral in respect of outstanding Letters of Credit denominated in such Permitted Foreign Currency in an aggregate amount such that the applicable exposure does not exceed the applicable amount set forth above.</w:t>
      </w:r>
    </w:p>
    <w:p>
      <w:pPr>
        <w:pStyle w:val="TextBody"/>
        <w:bidi w:val="0"/>
        <w:spacing w:lineRule="auto" w:line="240" w:before="241"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(e)Prepayments pursuant to this Section 2.11 shall be in accordance with the procedures specified in clauses (c) and (d) of Section 2.10 (including, for the avoidance of doubt, that Term Lenders may decline such prepayments and the Borrower may retain any Declined Prepayment Amount).</w:t>
      </w:r>
    </w:p>
    <w:p>
      <w:pPr>
        <w:pStyle w:val="TextBody"/>
        <w:bidi w:val="0"/>
        <w:spacing w:lineRule="auto" w:line="240" w:before="238" w:after="283"/>
        <w:jc w:val="left"/>
        <w:rPr/>
      </w:pPr>
      <w:r>
        <w:rPr>
          <w:rFonts w:ascii="Times New Roman;sans-serif" w:hAnsi="Times New Roman;sans-serif"/>
          <w:b w:val="false"/>
          <w:color w:val="000000"/>
          <w:sz w:val="24"/>
        </w:rPr>
        <w:t xml:space="preserve">Section 2.12. </w:t>
      </w:r>
      <w:r>
        <w:rPr>
          <w:rFonts w:ascii="Times New Roman;sans-serif" w:hAnsi="Times New Roman;sans-serif"/>
          <w:b w:val="false"/>
          <w:color w:val="000000"/>
          <w:sz w:val="24"/>
          <w:u w:val="single"/>
        </w:rPr>
        <w:t>Fees</w:t>
      </w:r>
      <w:r>
        <w:rPr>
          <w:rFonts w:ascii="Times New Roman;sans-serif" w:hAnsi="Times New Roman;sans-serif"/>
          <w:b w:val="false"/>
          <w:color w:val="000000"/>
          <w:sz w:val="24"/>
        </w:rPr>
        <w:t>.</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(a)The Borrower agrees to pay to the Administrative Agent for the account of each Lender, on the first Business Day following the end of each March, June, September and December (commencing on the first such Business Day that is at least three months after the Closing Date) and on the date on which the Revolving Facility Commitments of any Class of all the Lenders shall be terminated as provided herein, a commitment fee (a “</w:t>
      </w:r>
      <w:r>
        <w:rPr>
          <w:rFonts w:ascii="Times New Roman;sans-serif" w:hAnsi="Times New Roman;sans-serif"/>
          <w:b w:val="false"/>
          <w:color w:val="000000"/>
          <w:sz w:val="24"/>
          <w:u w:val="single"/>
        </w:rPr>
        <w:t>Commitment Fee</w:t>
      </w:r>
      <w:r>
        <w:rPr>
          <w:color w:val="000000"/>
        </w:rPr>
        <w:t>”</w:t>
      </w:r>
      <w:r>
        <w:rPr>
          <w:rFonts w:ascii="Times New Roman;sans-serif" w:hAnsi="Times New Roman;sans-serif"/>
          <w:b w:val="false"/>
          <w:color w:val="000000"/>
          <w:sz w:val="24"/>
        </w:rPr>
        <w:t>) in Dollars on the daily amount of the applicable Available Unused Commitment of such Lender during the preceding quarter (or other period commencing with the Closing Date or ending with the date on which the last of the Revolving Facility Commitments of such Lender shall be terminated) at a rate equal to the Applicable Commitment Fee. All Commitment Fees shall be computed on the basis of the actual number of days elapsed (including the first day but excluding the last) in a year of 360 days. The Commitment Fee due to each Lender shall commence to accrue on the Closing Date and shall cease to accrue on the date on which the last of the Revolving Facility Commitments of such Lender shall be terminated as provided herein.</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6480175" cy="781050"/>
                <wp:effectExtent l="0" t="0" r="0" b="0"/>
                <wp:wrapNone/>
                <wp:docPr id="310" name="Frame309"/>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108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108</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ind w:left="0" w:right="0" w:firstLine="720"/>
        <w:jc w:val="both"/>
        <w:rPr/>
      </w:pPr>
      <w:r>
        <w:rPr>
          <w:rFonts w:ascii="Times New Roman;sans-serif" w:hAnsi="Times New Roman;sans-serif"/>
          <w:b w:val="false"/>
          <w:color w:val="000000"/>
          <w:sz w:val="24"/>
        </w:rPr>
        <w:t>(b)The Borrower agrees to pay from time to time (i) to the Administrative Agent for the account of each Revolving Facility Lender of each Class, on the first Business Day following the end of each March, June, September and December (commencing on the first such Business Day that is at least three months after the Closing Date) and on the date on which the Revolving Facility Commitments of all the Lenders in such Class shall be terminated as provided herein, a fee (an “</w:t>
      </w:r>
      <w:r>
        <w:rPr>
          <w:rFonts w:ascii="Times New Roman;sans-serif" w:hAnsi="Times New Roman;sans-serif"/>
          <w:b w:val="false"/>
          <w:color w:val="000000"/>
          <w:sz w:val="24"/>
          <w:u w:val="single"/>
        </w:rPr>
        <w:t>L/C Participation Fee</w:t>
      </w:r>
      <w:r>
        <w:rPr>
          <w:color w:val="000000"/>
        </w:rPr>
        <w:t>”</w:t>
      </w:r>
      <w:r>
        <w:rPr>
          <w:rFonts w:ascii="Times New Roman;sans-serif" w:hAnsi="Times New Roman;sans-serif"/>
          <w:b w:val="false"/>
          <w:color w:val="000000"/>
          <w:sz w:val="24"/>
        </w:rPr>
        <w:t xml:space="preserve">) on such Lender’s Revolving Facility Percentage of the daily average Revolving L/C Exposure (excluding the portion thereof attributable to unreimbursed disbursements under any Letter of Credit) of such Class, during the preceding quarter (or other period commencing with the Closing Date or ending with the Revolving Facility Maturity Date or the date on which the Revolving Facility Commitments of such Class shall be terminated;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that any such fees accruing after the date on which such Revolving Facility Commitments terminate shall be payable on demand) at the rate per annum equal to the Applicable Margin for Term SOFR Revolving Facility Borrowings of such Class effective for each day in such period, and (ii) to each Issuing Bank, for its own account (x) on the last Business Day of each March, June, September and December (commencing on the last Business Day of the first fiscal quarter commencing after the Closing Date) and on the date on which the Revolving Facility Commitments of all the Lenders shall be terminated, a fronting fee in Dollars in respect of each Letter of Credit issued by such Issuing Bank for the period from and including the date of issuance of such Letter of Credit to and including the termination of such Letter of Credit, computed at a rate of 0.125% per annum (or such other rate as may be agreed between the Borrower and such Issuing Bank) of the daily available amount of such Letter of Credit (or such lesser amount as may be acceptable to the Issuing Bank in its sole discretion, or with respect to any additional Issuing Bank designated in accordance with Section 2.05(k) after the Closing Date, such greater amount as may be agreed with the Borrower), plus (y) in connection with the issuance, amendment, cancellation, document examination, presentment, renewal, extension or transfer of any such Letter of Credit or any disbursement thereunder, such Issuing Bank’s customary documentary and processing fees and charges (collectively, “</w:t>
      </w:r>
      <w:r>
        <w:rPr>
          <w:rFonts w:ascii="Times New Roman;sans-serif" w:hAnsi="Times New Roman;sans-serif"/>
          <w:b w:val="false"/>
          <w:color w:val="000000"/>
          <w:sz w:val="24"/>
          <w:u w:val="single"/>
        </w:rPr>
        <w:t>Issuing Bank Fees</w:t>
      </w:r>
      <w:r>
        <w:rPr>
          <w:color w:val="000000"/>
        </w:rPr>
        <w:t>”</w:t>
      </w:r>
      <w:r>
        <w:rPr>
          <w:rFonts w:ascii="Times New Roman;sans-serif" w:hAnsi="Times New Roman;sans-serif"/>
          <w:b w:val="false"/>
          <w:color w:val="000000"/>
          <w:sz w:val="24"/>
        </w:rPr>
        <w:t>). All L/C Participation Fees and Issuing Bank Fees that are payable on a per annum basis shall be computed on the basis of the actual number of days elapsed (including the first day but excluding the last) in a year of 360 days.</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(c)The Borrower agrees to pay to each Administrative Agent, for the account of the applicable Administrative Agent, the “Administration Fee” as set forth in the applicable Agent Fee Letter, in the amounts, and at the times, specified therein (the “</w:t>
      </w:r>
      <w:r>
        <w:rPr>
          <w:rFonts w:ascii="Times New Roman;sans-serif" w:hAnsi="Times New Roman;sans-serif"/>
          <w:b w:val="false"/>
          <w:color w:val="000000"/>
          <w:sz w:val="24"/>
          <w:u w:val="single"/>
        </w:rPr>
        <w:t>Administrative Agent Fees</w:t>
      </w:r>
      <w:r>
        <w:rPr>
          <w:color w:val="000000"/>
        </w:rPr>
        <w:t>”</w:t>
      </w:r>
      <w:r>
        <w:rPr>
          <w:rFonts w:ascii="Times New Roman;sans-serif" w:hAnsi="Times New Roman;sans-serif"/>
          <w:b w:val="false"/>
          <w:color w:val="000000"/>
          <w:sz w:val="24"/>
        </w:rPr>
        <w:t>).</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(d)If any Repricing Event occurs prior to the date occurring six (6) months (the “</w:t>
      </w:r>
      <w:r>
        <w:rPr>
          <w:rFonts w:ascii="Times New Roman;sans-serif" w:hAnsi="Times New Roman;sans-serif"/>
          <w:b w:val="false"/>
          <w:color w:val="000000"/>
          <w:sz w:val="24"/>
          <w:u w:val="single"/>
        </w:rPr>
        <w:t>Soft</w:t>
      </w:r>
      <w:r>
        <w:rPr>
          <w:color w:val="000000"/>
        </w:rPr>
        <w:t xml:space="preserve"> </w:t>
      </w:r>
      <w:r>
        <w:rPr>
          <w:rFonts w:ascii="Times New Roman;sans-serif" w:hAnsi="Times New Roman;sans-serif"/>
          <w:b w:val="false"/>
          <w:color w:val="000000"/>
          <w:sz w:val="24"/>
          <w:u w:val="single"/>
        </w:rPr>
        <w:t>Call Date</w:t>
      </w:r>
      <w:r>
        <w:rPr>
          <w:color w:val="000000"/>
        </w:rPr>
        <w:t>”</w:t>
      </w:r>
      <w:r>
        <w:rPr>
          <w:rFonts w:ascii="Times New Roman;sans-serif" w:hAnsi="Times New Roman;sans-serif"/>
          <w:b w:val="false"/>
          <w:color w:val="000000"/>
          <w:sz w:val="24"/>
        </w:rPr>
        <w:t>) after the Closing Date, the Borrower agrees to pay to the Administrative Agent, for the ratable account of each Term Lender with Initial Term Loans that are subject to such Repricing Event, a fee in an amount equal to 1.00% of the aggregate principal amount of the Initial Term Loans subject to such Repricing Event. Such fees shall be earned, due and payable upon the date of the occurrence of the respective Repricing Event. For the avoidance of doubt, after the Soft Call Date, the Initial Term Loans may be prepaid in whole or in part at any time without premium or penalty.</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(e)All Fees shall be paid on the dates due, in Dollars and immediately available funds, to the Administrative Agent for distribution, if and as appropriate, among the Lenders, except that Issuing Bank Fees shall be paid directly to the applicable Issuing Banks. Once paid, none of the Fees shall be refundable under any circumstances.</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6480175" cy="781050"/>
                <wp:effectExtent l="0" t="0" r="0" b="0"/>
                <wp:wrapNone/>
                <wp:docPr id="311" name="Frame310"/>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109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109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jc w:val="left"/>
        <w:rPr/>
      </w:pPr>
      <w:r>
        <w:rPr>
          <w:rFonts w:ascii="Times New Roman;sans-serif" w:hAnsi="Times New Roman;sans-serif"/>
          <w:b w:val="false"/>
          <w:color w:val="000000"/>
          <w:sz w:val="24"/>
        </w:rPr>
        <w:t xml:space="preserve">Section 2.13. </w:t>
      </w:r>
      <w:r>
        <w:rPr>
          <w:rFonts w:ascii="Times New Roman;sans-serif" w:hAnsi="Times New Roman;sans-serif"/>
          <w:b w:val="false"/>
          <w:color w:val="000000"/>
          <w:sz w:val="24"/>
          <w:u w:val="single"/>
        </w:rPr>
        <w:t>Interest</w:t>
      </w:r>
      <w:r>
        <w:rPr>
          <w:rFonts w:ascii="Times New Roman;sans-serif" w:hAnsi="Times New Roman;sans-serif"/>
          <w:b w:val="false"/>
          <w:color w:val="000000"/>
          <w:sz w:val="24"/>
        </w:rPr>
        <w:t>.</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(a)The Loans comprising each ABR Borrowing (including each Swingline Loan) shall bear interest at the ABR plus the Applicable Margin.</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(b)The Loans comprising each Term SOFR Borrowing shall bear interest at Term SOFR for the Interest Period in effect for such Borrowing plus the Applicable Margin.</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 xml:space="preserve">(c)Notwithstanding the foregoing, if any principal of or interest on any Loan or any Fees or other monetary amount payable by the Borrower hereunder is not paid when due, whether at stated maturity, upon acceleration or otherwise, such overdue amount shall bear interest, after as well as before judgment, at a rate per annum equal to (i) in the case of overdue principal of any Loan, 2% plus the rate otherwise applicable to such Loan as provided in the preceding clauses of this Section 2.13 or (ii) in the case of any other overdue monetary amount, 2% plus the rate applicable to ABR Loans as provided in clause (a) of this Section;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that this clause (c) shall not apply to any Event of Default that has been waived by the Lenders pursuant to Section 9.08.</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 xml:space="preserve">(d)Accrued interest on each Loan shall be payable in arrears (i) on each Interest Payment Date for such Loan, (ii) in the case of Revolving Facility Loans, upon termination of the applicable Revolving Facility Commitments and (iii) in the case of the Term Loans, on the applicable Term Facility Maturity Date;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that (A) interest accrued pursuant to clause (c) of this Section 2.13 shall be payable on demand, (B) in the event of any repayment or prepayment of any Loan (other than a prepayment of a Revolving Facility Loan that is an ABR Loan that is not made in conjunction with a permanent commitment reduction), accrued interest on the principal amount repaid or prepaid shall be payable on the date of such repayment or prepayment,</w:t>
      </w:r>
    </w:p>
    <w:p>
      <w:pPr>
        <w:pStyle w:val="TextBody"/>
        <w:bidi w:val="0"/>
        <w:spacing w:lineRule="auto" w:line="240" w:before="1" w:after="283"/>
        <w:jc w:val="both"/>
        <w:rPr>
          <w:rFonts w:ascii="Times New Roman;sans-serif" w:hAnsi="Times New Roman;sans-serif"/>
          <w:b w:val="false"/>
          <w:color w:val="000000"/>
          <w:sz w:val="24"/>
        </w:rPr>
      </w:pPr>
      <w:r>
        <w:rPr>
          <w:rFonts w:ascii="Times New Roman;sans-serif" w:hAnsi="Times New Roman;sans-serif"/>
          <w:b w:val="false"/>
          <w:color w:val="000000"/>
          <w:sz w:val="24"/>
        </w:rPr>
        <w:t>(C) in the event of any conversion of any Term SOFR Loan prior to the end of the current Interest Period therefor, accrued interest on such Loan shall be payable on the effective date of such conversion and (D) any Loan that is repaid on the same day on which it is made shall bear interest for one day.</w:t>
      </w:r>
    </w:p>
    <w:p>
      <w:pPr>
        <w:pStyle w:val="TextBody"/>
        <w:bidi w:val="0"/>
        <w:spacing w:lineRule="auto" w:line="240" w:before="238"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(e)All interest hereunder shall be computed on the basis of a year of 360 days, except that interest computed by reference to the ABR shall be computed on the basis of a year of 365 days (or 366 days in a leap year), and in each case shall be payable for the actual number of days elapsed (including the first day but excluding the last day). The applicable ABR or Term SOFR shall be determined by the Administrative Agent, and such determination shall be conclusive absent manifest error.</w:t>
      </w:r>
    </w:p>
    <w:p>
      <w:pPr>
        <w:pStyle w:val="TextBody"/>
        <w:bidi w:val="0"/>
        <w:spacing w:lineRule="auto" w:line="240" w:before="241" w:after="283"/>
        <w:jc w:val="left"/>
        <w:rPr/>
      </w:pPr>
      <w:r>
        <w:rPr>
          <w:rFonts w:ascii="Times New Roman;sans-serif" w:hAnsi="Times New Roman;sans-serif"/>
          <w:b w:val="false"/>
          <w:color w:val="000000"/>
          <w:sz w:val="24"/>
        </w:rPr>
        <w:t xml:space="preserve">Section 2.14. </w:t>
      </w:r>
      <w:r>
        <w:rPr>
          <w:rFonts w:ascii="Times New Roman;sans-serif" w:hAnsi="Times New Roman;sans-serif"/>
          <w:b w:val="false"/>
          <w:color w:val="000000"/>
          <w:sz w:val="24"/>
          <w:u w:val="single"/>
        </w:rPr>
        <w:t>Effect of Benchmark Transition Event</w:t>
      </w:r>
      <w:r>
        <w:rPr>
          <w:rFonts w:ascii="Times New Roman;sans-serif" w:hAnsi="Times New Roman;sans-serif"/>
          <w:b w:val="false"/>
          <w:color w:val="000000"/>
          <w:sz w:val="24"/>
        </w:rPr>
        <w:t>.</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Benchmark Replacement</w:t>
      </w:r>
      <w:r>
        <w:rPr>
          <w:rFonts w:ascii="Times New Roman;sans-serif" w:hAnsi="Times New Roman;sans-serif"/>
          <w:b w:val="false"/>
          <w:color w:val="000000"/>
          <w:sz w:val="24"/>
        </w:rPr>
        <w:t>. Notwithstanding anything to the contrary herein or in any other Loan Document, if a Benchmark Transition Event and its related Benchmark Replacement Date have occurred prior to the Reference Time in respect of any determination of the Benchmark on any date, the Benchmark Replacement will replace the then-current Benchmark for all purposes hereunder or under any Loan Document in respect of such determination on such date and all determinations on all subsequent dates. If the Benchmark Replacement is determined in accordance with clause (1) or (2) of the definition of “Benchmark Replacement,” such</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6480175" cy="781050"/>
                <wp:effectExtent l="0" t="0" r="0" b="0"/>
                <wp:wrapNone/>
                <wp:docPr id="312" name="Frame311"/>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110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110</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jc w:val="both"/>
        <w:rPr>
          <w:rFonts w:ascii="Times New Roman;sans-serif" w:hAnsi="Times New Roman;sans-serif"/>
          <w:b w:val="false"/>
          <w:color w:val="000000"/>
          <w:sz w:val="24"/>
        </w:rPr>
      </w:pPr>
      <w:r>
        <w:rPr>
          <w:rFonts w:ascii="Times New Roman;sans-serif" w:hAnsi="Times New Roman;sans-serif"/>
          <w:b w:val="false"/>
          <w:color w:val="000000"/>
          <w:sz w:val="24"/>
        </w:rPr>
        <w:t>Benchmark Replacement will become effective as of the Reference Time on the applicable Benchmark Replacement Date without any amendment to, or further action or consent of any other party to, this Agreement. If the Benchmark Replacement is determined in accordance with clause</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(3) of the definition of “Benchmark Replacement,” such Benchmark Replacement will become effective at 5:00 p.m. on the fifth (5th) Business Day after the date notice of such Benchmark Replacement is provided to the Lenders without any amendment to, or further action or consent of any other party to, this Agreement so long as the Administrative Agent has not received, by such time, written notice of objection to such Benchmark Replacement from Lenders comprising the Required Lenders. The parties hereto shall take commercially reasonable efforts to cooperate to ensure that any changes pursuant to this Section 2.14 qualify for either of the safe harbors under proposed U.S. Treasury Regulations Section 1.1001-6(b)(2)(ii) (or any successors thereto) or as a modification described in Section 4.02 of Rev. Proc. 2020-44. If the Benchmark Replacement is Adjusted Daily Simple SOFR, all interest payments will be payable on a monthly basis.</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Benchmark Replacement Conforming Changes</w:t>
      </w:r>
      <w:r>
        <w:rPr>
          <w:rFonts w:ascii="Times New Roman;sans-serif" w:hAnsi="Times New Roman;sans-serif"/>
          <w:b w:val="false"/>
          <w:color w:val="000000"/>
          <w:sz w:val="24"/>
        </w:rPr>
        <w:t>. In connection with the implementation of a Benchmark Replacement,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Notices; Standards for Decisions and Determinations</w:t>
      </w:r>
      <w:r>
        <w:rPr>
          <w:rFonts w:ascii="Times New Roman;sans-serif" w:hAnsi="Times New Roman;sans-serif"/>
          <w:b w:val="false"/>
          <w:color w:val="000000"/>
          <w:sz w:val="24"/>
        </w:rPr>
        <w:t>. The Administrative Agent will promptly notify the Borrower and the Lenders of (i) any occurrence of a Benchmark Transition Event and its related Benchmark Replacement Date, (ii) the implementation of any Benchmark Replacement, (iii) the effectiveness of any Benchmark Replacement Conforming Changes, (iv) the removal or reinstatement of any tenor of the Term SOFR Reference Rate pursuant to clause (d) below and (v) the commencement or conclusion of any Benchmark Unavailability Period. Any determination, decision or election that may be made by the Administrative Agent pursuant to this Section 2.14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sole discretion and without consent from any other party hereto, except, in each case, as expressly required pursuant to this Section 2.14.</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u w:val="single"/>
        </w:rPr>
        <w:t>Unavailability of Tenor of Term SOFR Reference Rate</w:t>
      </w:r>
      <w:r>
        <w:rPr>
          <w:rFonts w:ascii="Times New Roman;sans-serif" w:hAnsi="Times New Roman;sans-serif"/>
          <w:b w:val="false"/>
          <w:color w:val="000000"/>
          <w:sz w:val="24"/>
        </w:rPr>
        <w:t>. Notwithstanding anything to the contrary herein or in any other Loan Document, at any time and with respect to any Interest Period, if the Benchmark at such time is the Term SOFR Reference Rate and the Term SOFR Reference Rate for the applicable tenor is not displayed on a screen or other information service that publishes such rate from time to time as selected by the Administrative Agent in its reasonable discretion, the Administrative Agent may (i) modify the definition of “Interest Period” for all determinations of interest at or after such time to remove such unavailable tenor and (ii) if the Term SOFR Reference Rate for the applicable tenor is displayed on such screen or information service after its removal pursuant to clause (i) above, modify the definition of “Interest Period” for all determinations of interest at or after such time to reinstate such previously removed tenor.</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u w:val="single"/>
        </w:rPr>
        <w:t>Benchmark Unavailability Period</w:t>
      </w:r>
      <w:r>
        <w:rPr>
          <w:rFonts w:ascii="Times New Roman;sans-serif" w:hAnsi="Times New Roman;sans-serif"/>
          <w:b w:val="false"/>
          <w:color w:val="000000"/>
          <w:sz w:val="24"/>
        </w:rPr>
        <w:t>. Upon the Borrower’s receipt of notice of the commencement of a Benchmark Unavailability Period, the Borrower may revoke any request for</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6480175" cy="781050"/>
                <wp:effectExtent l="0" t="0" r="0" b="0"/>
                <wp:wrapNone/>
                <wp:docPr id="313" name="Frame312"/>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111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111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jc w:val="both"/>
        <w:rPr>
          <w:rFonts w:ascii="Times New Roman;sans-serif" w:hAnsi="Times New Roman;sans-serif"/>
          <w:b w:val="false"/>
          <w:color w:val="000000"/>
          <w:sz w:val="24"/>
        </w:rPr>
      </w:pPr>
      <w:r>
        <w:rPr>
          <w:rFonts w:ascii="Times New Roman;sans-serif" w:hAnsi="Times New Roman;sans-serif"/>
          <w:b w:val="false"/>
          <w:color w:val="000000"/>
          <w:sz w:val="24"/>
        </w:rPr>
        <w:t>a Term SOFR Borrowing of, conversion to or continuation of Term SOFR Loans to be made, converted or continued during any Benchmark Unavailability Period and, failing that, the Borrower will be deemed to have converted any such request into a request for a Borrowing of or conversion to ABR Loans. During any Benchmark Unavailability Period, the component of ABR based upon the then-current Benchmark will not be used in any determination of ABR.</w:t>
      </w:r>
    </w:p>
    <w:p>
      <w:pPr>
        <w:pStyle w:val="TextBody"/>
        <w:bidi w:val="0"/>
        <w:spacing w:lineRule="auto" w:line="240" w:before="240" w:after="283"/>
        <w:ind w:left="0" w:right="0" w:hanging="716"/>
        <w:jc w:val="both"/>
        <w:rPr/>
      </w:pPr>
      <w:r>
        <w:rPr>
          <w:rFonts w:ascii="Times New Roman;sans-serif" w:hAnsi="Times New Roman;sans-serif"/>
          <w:b w:val="false"/>
          <w:color w:val="000000"/>
          <w:sz w:val="24"/>
        </w:rPr>
        <w:t>(f)</w:t>
      </w:r>
      <w:r>
        <w:rPr>
          <w:rFonts w:ascii="Times New Roman;sans-serif" w:hAnsi="Times New Roman;sans-serif"/>
          <w:b w:val="false"/>
          <w:color w:val="000000"/>
          <w:sz w:val="24"/>
          <w:u w:val="single"/>
        </w:rPr>
        <w:t>Certain Defined Terms</w:t>
      </w:r>
      <w:r>
        <w:rPr>
          <w:rFonts w:ascii="Times New Roman;sans-serif" w:hAnsi="Times New Roman;sans-serif"/>
          <w:b w:val="false"/>
          <w:color w:val="000000"/>
          <w:sz w:val="24"/>
        </w:rPr>
        <w:t>. As used in this Section 2.14:</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val="false"/>
          <w:color w:val="000000"/>
          <w:sz w:val="24"/>
          <w:u w:val="single"/>
        </w:rPr>
        <w:t>Benchmark</w:t>
      </w:r>
      <w:r>
        <w:rPr>
          <w:color w:val="000000"/>
        </w:rPr>
        <w:t xml:space="preserve">” </w:t>
      </w:r>
      <w:r>
        <w:rPr>
          <w:rFonts w:ascii="Times New Roman;sans-serif" w:hAnsi="Times New Roman;sans-serif"/>
          <w:b w:val="false"/>
          <w:color w:val="000000"/>
          <w:sz w:val="24"/>
        </w:rPr>
        <w:t xml:space="preserve">means, initially, the Term SOFR Reference Rate;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if a Benchmark Transition Event and its related Benchmark Replacement Date have occurred with respect to the Term SOFR Reference Rate or the then-current Benchmark, then “Benchmark” means the applicable Benchmark Replacement to the extent that such Benchmark Replacement has become effective pursuant to clause (a) of this Section 2.14.</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val="false"/>
          <w:color w:val="000000"/>
          <w:sz w:val="24"/>
          <w:u w:val="single"/>
        </w:rPr>
        <w:t>Benchmark Replacement</w:t>
      </w:r>
      <w:r>
        <w:rPr>
          <w:color w:val="000000"/>
        </w:rPr>
        <w:t xml:space="preserve">” </w:t>
      </w:r>
      <w:r>
        <w:rPr>
          <w:rFonts w:ascii="Times New Roman;sans-serif" w:hAnsi="Times New Roman;sans-serif"/>
          <w:b w:val="false"/>
          <w:color w:val="000000"/>
          <w:sz w:val="24"/>
        </w:rPr>
        <w:t>means, for any Interest Period, the first alternative set forth in the order below that can be determined by the Administrative Agent as of the Benchmark Replacement Date:</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(1)the sum of: (a) Daily Simple SOFR and (b) the Benchmark Replacement Adjustment;</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(2)the sum of: (a) the alternate rate of interest that has been selected by the Administrative Agent and the Borrower as the replacement for the then-current Benchmark for the applicable Corresponding Tenor giving due consideration to (i) any selection or recommendation of a replacement rate or the mechanism for determining such a rate by the Relevant Governmental Body at such time or (ii) any evolving or then-prevailing market convention for determining a rate of interest as a replacement for the then-current Benchmark for U.S. dollar-denominated syndicated credit facilities at such time and (b) the Benchmark Replacement Adjustment;</w:t>
      </w:r>
    </w:p>
    <w:p>
      <w:pPr>
        <w:pStyle w:val="TextBody"/>
        <w:bidi w:val="0"/>
        <w:spacing w:lineRule="auto" w:line="240" w:before="239" w:after="283"/>
        <w:jc w:val="both"/>
        <w:rPr/>
      </w:pP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in the case of clause (1) above, such rate, or the underlying rates component thereof, is or are displayed on a screen or other information service that publishes such rate or rates from time to time as selected by the Administrative Agent in its reasonable discretion;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that notwithstanding the foregoing (x) with respect to the Initial Term Loans, if the Benchmark Replacement as determined pursuant to clause (1) or</w:t>
      </w:r>
    </w:p>
    <w:p>
      <w:pPr>
        <w:pStyle w:val="TextBody"/>
        <w:bidi w:val="0"/>
        <w:spacing w:lineRule="auto" w:line="240" w:before="1" w:after="283"/>
        <w:jc w:val="both"/>
        <w:rPr>
          <w:rFonts w:ascii="Times New Roman;sans-serif" w:hAnsi="Times New Roman;sans-serif"/>
          <w:b w:val="false"/>
          <w:color w:val="000000"/>
          <w:sz w:val="24"/>
        </w:rPr>
      </w:pPr>
      <w:r>
        <w:rPr>
          <w:rFonts w:ascii="Times New Roman;sans-serif" w:hAnsi="Times New Roman;sans-serif"/>
          <w:b w:val="false"/>
          <w:color w:val="000000"/>
          <w:sz w:val="24"/>
        </w:rPr>
        <w:t>(2) above would be less than 0.00%, the Benchmark Replacement will be deemed to be 0.00% for the purposes of this Agreement and (y) with respect to the Initial Revolving Loans, if the Benchmark Replacement as determined pursuant to clause (1) or (2) above would be less than zero, the Benchmark Replacement will be deemed to be zero for the purposes of this Agreement.</w:t>
      </w:r>
    </w:p>
    <w:p>
      <w:pPr>
        <w:pStyle w:val="TextBody"/>
        <w:bidi w:val="0"/>
        <w:spacing w:lineRule="auto" w:line="240" w:before="240" w:after="283"/>
        <w:jc w:val="center"/>
        <w:rPr/>
      </w:pPr>
      <w:r>
        <w:rPr>
          <w:color w:val="000000"/>
        </w:rPr>
        <w:t>“</w:t>
      </w:r>
      <w:r>
        <w:rPr>
          <w:rFonts w:ascii="Times New Roman;sans-serif" w:hAnsi="Times New Roman;sans-serif"/>
          <w:b w:val="false"/>
          <w:color w:val="000000"/>
          <w:sz w:val="24"/>
          <w:u w:val="single"/>
        </w:rPr>
        <w:t>Benchmark Replacement Adjustment</w:t>
      </w:r>
      <w:r>
        <w:rPr>
          <w:color w:val="000000"/>
        </w:rPr>
        <w:t xml:space="preserve">” </w:t>
      </w:r>
      <w:r>
        <w:rPr>
          <w:rFonts w:ascii="Times New Roman;sans-serif" w:hAnsi="Times New Roman;sans-serif"/>
          <w:b w:val="false"/>
          <w:color w:val="000000"/>
          <w:sz w:val="24"/>
        </w:rPr>
        <w:t>means, for any Interest Period:</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(1)for purposes of clause (1) of the definition of “Benchmark Replacement,” the first alternative set forth in the order below that can be determined by the Administrative Agent as of the Benchmark Replacement Date:</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6480175" cy="781050"/>
                <wp:effectExtent l="0" t="0" r="0" b="0"/>
                <wp:wrapNone/>
                <wp:docPr id="314" name="Frame313"/>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112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112</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(a)the spread adjustment, or method for calculating or determining such spread adjustment, (which may be a positive or negative value or zero) that has been selected or recommended by the Relevant Governmental Body for the applicable Unadjusted Benchmark Replacement;</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(b)the spread adjustment (which may be a positive or negative value or zero) that would apply to the fallback rate for a derivative transaction referencing the ISDA Definitions to be effective upon an index cessation event with respect to the Term SOFR Reference Rate for the Corresponding Tenor; and</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(2)for purposes of clause (2) of the definition of “Benchmark Replacement,” the spread adjustment, or method for calculating or determining such spread adjustment, (which may be a positive or negative value or zero) that has been selected by the Administrative Agent and the Borrower for the applicable Corresponding Tenor giving due consideration to (i) any selection or recommendation of a spread adjustment, or method for calculating or determining such spread adjustment, for the replacement of the then-current Benchmark with the applicable Unadjusted Benchmark Replacement by the Relevant Governmental Body at such time or (ii) any evolving or then-prevailing market convention for determining a spread adjustment, or method for calculating or determining such spread adjustment, for the replacement of the then-current Benchmark with the applicable Unadjusted Benchmark Replacement for U.S. dollar-denominated syndicated credit facilities at such time;</w:t>
      </w:r>
    </w:p>
    <w:p>
      <w:pPr>
        <w:pStyle w:val="TextBody"/>
        <w:bidi w:val="0"/>
        <w:spacing w:lineRule="auto" w:line="240" w:before="241" w:after="283"/>
        <w:jc w:val="both"/>
        <w:rPr/>
      </w:pP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in the case of clause (1) above, such adjustment is displayed on a screen or other information service that publishes such Benchmark Replacement Adjustment from time to time as selected by the Administrative Agent in its reasonable discretion.</w:t>
      </w:r>
    </w:p>
    <w:p>
      <w:pPr>
        <w:pStyle w:val="TextBody"/>
        <w:bidi w:val="0"/>
        <w:spacing w:lineRule="auto" w:line="240" w:before="238" w:after="283"/>
        <w:ind w:left="0" w:right="0" w:firstLine="720"/>
        <w:jc w:val="both"/>
        <w:rPr/>
      </w:pPr>
      <w:r>
        <w:rPr>
          <w:color w:val="000000"/>
        </w:rPr>
        <w:t>“</w:t>
      </w:r>
      <w:r>
        <w:rPr>
          <w:rFonts w:ascii="Times New Roman;sans-serif" w:hAnsi="Times New Roman;sans-serif"/>
          <w:b w:val="false"/>
          <w:color w:val="000000"/>
          <w:sz w:val="24"/>
          <w:u w:val="single"/>
        </w:rPr>
        <w:t>Benchmark Replacement Conforming Changes</w:t>
      </w:r>
      <w:r>
        <w:rPr>
          <w:color w:val="000000"/>
        </w:rPr>
        <w:t xml:space="preserve">” </w:t>
      </w:r>
      <w:r>
        <w:rPr>
          <w:rFonts w:ascii="Times New Roman;sans-serif" w:hAnsi="Times New Roman;sans-serif"/>
          <w:b w:val="false"/>
          <w:color w:val="000000"/>
          <w:sz w:val="24"/>
        </w:rPr>
        <w:t>means, with respect to any Benchmark Replacement, any technical, administrative or operational changes (including changes to the definition of “ABR,” the definition of “Interest Period,” timing and frequency of determining rates and making payments of interest and other administrative matters) that the Administrative Agent decides may be appropriate to reflect the adoption and implementation of such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the Benchmark Replacement exists, in such other manner of administration as the Administrative Agent decides is reasonably necessary in connection with the administration of this Agreement).</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6480175" cy="781050"/>
                <wp:effectExtent l="0" t="0" r="0" b="0"/>
                <wp:wrapNone/>
                <wp:docPr id="315" name="Frame314"/>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113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113</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ind w:left="0" w:right="0" w:firstLine="720"/>
        <w:jc w:val="both"/>
        <w:rPr/>
      </w:pPr>
      <w:r>
        <w:rPr>
          <w:color w:val="000000"/>
        </w:rPr>
        <w:t>“</w:t>
      </w:r>
      <w:r>
        <w:rPr>
          <w:rFonts w:ascii="Times New Roman;sans-serif" w:hAnsi="Times New Roman;sans-serif"/>
          <w:b w:val="false"/>
          <w:color w:val="000000"/>
          <w:sz w:val="24"/>
          <w:u w:val="single"/>
        </w:rPr>
        <w:t>Benchmark Replacement Date</w:t>
      </w:r>
      <w:r>
        <w:rPr>
          <w:color w:val="000000"/>
        </w:rPr>
        <w:t xml:space="preserve">” </w:t>
      </w:r>
      <w:r>
        <w:rPr>
          <w:rFonts w:ascii="Times New Roman;sans-serif" w:hAnsi="Times New Roman;sans-serif"/>
          <w:b w:val="false"/>
          <w:color w:val="000000"/>
          <w:sz w:val="24"/>
        </w:rPr>
        <w:t>means the earliest to occur of the following events with respect to the then-current Benchmark:</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(1)in the case of clause (1) or (2) of the definition of “Benchmark Transition Event,” the later of (a) the date of the public statement or publication of information referenced therein and (b) the date on which the administrator of the Benchmark permanently or indefinitely ceases to provide the Benchmark; or</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(2)in the case of clause (3) of the definition of “Benchmark Transition Event,” the date of the public statement or publication of information referenced therein.</w:t>
      </w:r>
    </w:p>
    <w:p>
      <w:pPr>
        <w:pStyle w:val="TextBody"/>
        <w:bidi w:val="0"/>
        <w:spacing w:lineRule="auto" w:line="240"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For the avoidance of doubt, if the event giving rise to the Benchmark Replacement Date occurs on the same day as, but earlier than, the Reference Time in respect of any determination, the Benchmark Replacement Date will be deemed to have occurred prior to the Reference Time for such determination.</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val="false"/>
          <w:color w:val="000000"/>
          <w:sz w:val="24"/>
          <w:u w:val="single"/>
        </w:rPr>
        <w:t>Benchmark Transition Event</w:t>
      </w:r>
      <w:r>
        <w:rPr>
          <w:color w:val="000000"/>
        </w:rPr>
        <w:t xml:space="preserve">” </w:t>
      </w:r>
      <w:r>
        <w:rPr>
          <w:rFonts w:ascii="Times New Roman;sans-serif" w:hAnsi="Times New Roman;sans-serif"/>
          <w:b w:val="false"/>
          <w:color w:val="000000"/>
          <w:sz w:val="24"/>
        </w:rPr>
        <w:t>means the occurrence of one or more of the following events with respect to the then-current Benchmark:</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 xml:space="preserve">(1)a public statement or publication of information by or on behalf of the administrator of the Benchmark announcing that such administrator has ceased or will cease to provide the Benchmark, permanently or indefinitely,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at the time of such statement or publication, there is no successor administrator that will continue to provide the Benchmark;</w:t>
      </w:r>
    </w:p>
    <w:p>
      <w:pPr>
        <w:pStyle w:val="TextBody"/>
        <w:bidi w:val="0"/>
        <w:spacing w:lineRule="auto" w:line="240" w:before="241" w:after="283"/>
        <w:ind w:left="0" w:right="0" w:firstLine="720"/>
        <w:jc w:val="both"/>
        <w:rPr/>
      </w:pPr>
      <w:r>
        <w:rPr>
          <w:rFonts w:ascii="Times New Roman;sans-serif" w:hAnsi="Times New Roman;sans-serif"/>
          <w:b w:val="false"/>
          <w:color w:val="000000"/>
          <w:sz w:val="24"/>
        </w:rPr>
        <w:t xml:space="preserve">(2)a public statement or publication of information by the regulatory supervisor for the administrator of the Benchmark, the central bank for the currency of the Benchmark, an insolvency official with jurisdiction over the administrator for the Benchmark, a resolution authority with jurisdiction over the administrator for the Benchmark or a court or an entity with similar insolvency or resolution authority over the administrator for the Benchmark, which states that the administrator of the Benchmark has ceased or will cease to provide the Benchmark permanently or indefinitely,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at the time of such statement or publication, there is no successor administrator that will continue to provide the Benchmark; or</w:t>
      </w:r>
    </w:p>
    <w:p>
      <w:pPr>
        <w:pStyle w:val="TextBody"/>
        <w:bidi w:val="0"/>
        <w:spacing w:lineRule="auto" w:line="240" w:before="239"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(3)a public statement or publication of information by the regulatory supervisor for the administrator of the Benchmark announcing that the Benchmark is no longer representative.</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val="false"/>
          <w:color w:val="000000"/>
          <w:sz w:val="24"/>
          <w:u w:val="single"/>
        </w:rPr>
        <w:t>Benchmark Unavailability Period</w:t>
      </w:r>
      <w:r>
        <w:rPr>
          <w:color w:val="000000"/>
        </w:rPr>
        <w:t xml:space="preserve">” </w:t>
      </w:r>
      <w:r>
        <w:rPr>
          <w:rFonts w:ascii="Times New Roman;sans-serif" w:hAnsi="Times New Roman;sans-serif"/>
          <w:b w:val="false"/>
          <w:color w:val="000000"/>
          <w:sz w:val="24"/>
        </w:rPr>
        <w:t>means, if a Benchmark Transition Event and its related Benchmark Replacement Date have occurred with respect to the then-current Benchmark and solely to the extent that the then-current Benchmark has not been replaced with a Benchmark Replacement pursuant to clause (1) of the definition of “Benchmark Replacement,” the period (x) beginning at the time that such Benchmark Replacement Date pursuant to clause (1) of that definition has occurred if, at such time, no Benchmark Replacement has replaced the then-current Benchmark for all purposes hereunder or under</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6480175" cy="781050"/>
                <wp:effectExtent l="0" t="0" r="0" b="0"/>
                <wp:wrapNone/>
                <wp:docPr id="316" name="Frame315"/>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114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114</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jc w:val="both"/>
        <w:rPr>
          <w:rFonts w:ascii="Times New Roman;sans-serif" w:hAnsi="Times New Roman;sans-serif"/>
          <w:b w:val="false"/>
          <w:color w:val="000000"/>
          <w:sz w:val="24"/>
        </w:rPr>
      </w:pPr>
      <w:r>
        <w:rPr>
          <w:rFonts w:ascii="Times New Roman;sans-serif" w:hAnsi="Times New Roman;sans-serif"/>
          <w:b w:val="false"/>
          <w:color w:val="000000"/>
          <w:sz w:val="24"/>
        </w:rPr>
        <w:t>any Loan Document in accordance with this Section 2.14 and (y) ending at the time that a Benchmark Replacement has replaced the then-current Benchmark for all purposes hereunder or under any Loan Document in accordance with this Section 2.14.</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val="false"/>
          <w:color w:val="000000"/>
          <w:sz w:val="24"/>
          <w:u w:val="single"/>
        </w:rPr>
        <w:t>Corresponding Tenor</w:t>
      </w:r>
      <w:r>
        <w:rPr>
          <w:color w:val="000000"/>
        </w:rPr>
        <w:t xml:space="preserve">” </w:t>
      </w:r>
      <w:r>
        <w:rPr>
          <w:rFonts w:ascii="Times New Roman;sans-serif" w:hAnsi="Times New Roman;sans-serif"/>
          <w:b w:val="false"/>
          <w:color w:val="000000"/>
          <w:sz w:val="24"/>
        </w:rPr>
        <w:t>with respect to a Benchmark Replacement means a tenor (including overnight) having approximately the same length (disregarding business day adjustment) as the applicable tenor for the applicable Interest Period with respect to the then-current Benchmark.</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val="false"/>
          <w:color w:val="000000"/>
          <w:sz w:val="24"/>
          <w:u w:val="single"/>
        </w:rPr>
        <w:t>Daily Simple SOFR</w:t>
      </w:r>
      <w:r>
        <w:rPr>
          <w:color w:val="000000"/>
        </w:rPr>
        <w:t xml:space="preserve">” </w:t>
      </w:r>
      <w:r>
        <w:rPr>
          <w:rFonts w:ascii="Times New Roman;sans-serif" w:hAnsi="Times New Roman;sans-serif"/>
          <w:b w:val="false"/>
          <w:color w:val="000000"/>
          <w:sz w:val="24"/>
        </w:rPr>
        <w:t>means, solely with respect to the Loans, for any day (a “</w:t>
      </w:r>
      <w:r>
        <w:rPr>
          <w:rFonts w:ascii="Times New Roman;sans-serif" w:hAnsi="Times New Roman;sans-serif"/>
          <w:b w:val="false"/>
          <w:color w:val="000000"/>
          <w:sz w:val="24"/>
          <w:u w:val="single"/>
        </w:rPr>
        <w:t>SOFR Rate Day</w:t>
      </w:r>
      <w:r>
        <w:rPr>
          <w:color w:val="000000"/>
        </w:rPr>
        <w:t>”</w:t>
      </w:r>
      <w:r>
        <w:rPr>
          <w:rFonts w:ascii="Times New Roman;sans-serif" w:hAnsi="Times New Roman;sans-serif"/>
          <w:b w:val="false"/>
          <w:color w:val="000000"/>
          <w:sz w:val="24"/>
        </w:rPr>
        <w:t>), a rate per annum equal SOFR for the day (such day, a “</w:t>
      </w:r>
      <w:r>
        <w:rPr>
          <w:rFonts w:ascii="Times New Roman;sans-serif" w:hAnsi="Times New Roman;sans-serif"/>
          <w:b w:val="false"/>
          <w:color w:val="000000"/>
          <w:sz w:val="24"/>
          <w:u w:val="single"/>
        </w:rPr>
        <w:t>SOFR</w:t>
      </w:r>
      <w:r>
        <w:rPr>
          <w:color w:val="000000"/>
        </w:rPr>
        <w:t xml:space="preserve"> </w:t>
      </w:r>
      <w:r>
        <w:rPr>
          <w:rFonts w:ascii="Times New Roman;sans-serif" w:hAnsi="Times New Roman;sans-serif"/>
          <w:b w:val="false"/>
          <w:color w:val="000000"/>
          <w:sz w:val="24"/>
          <w:u w:val="single"/>
        </w:rPr>
        <w:t>Determination Date</w:t>
      </w:r>
      <w:r>
        <w:rPr>
          <w:color w:val="000000"/>
        </w:rPr>
        <w:t>”</w:t>
      </w:r>
      <w:r>
        <w:rPr>
          <w:rFonts w:ascii="Times New Roman;sans-serif" w:hAnsi="Times New Roman;sans-serif"/>
          <w:b w:val="false"/>
          <w:color w:val="000000"/>
          <w:sz w:val="24"/>
        </w:rPr>
        <w:t>) that is five (5) U.S. Government Securities Business Days prior to</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 if such SOFR Rate Day is a U.S. Government Securities Business Day, such SOFR Rate Day or (b) if such SOFR Rate Day is not a U.S. Government Securities Business Day, the U.S. Government Securities Business Day immediately preceding such SOFR Rate Day, in each case, as such SOFR is published by the SOFR Administrator on the SOFR Administrator’s Website. Any change in Daily Simple SOFR due to a change in SOFR shall be effective from and including the effective date of such change in SOFR without notice to the Borrower.</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val="false"/>
          <w:color w:val="000000"/>
          <w:sz w:val="24"/>
          <w:u w:val="single"/>
        </w:rPr>
        <w:t>ISDA Definitions</w:t>
      </w:r>
      <w:r>
        <w:rPr>
          <w:color w:val="000000"/>
        </w:rPr>
        <w:t xml:space="preserve">” </w:t>
      </w:r>
      <w:r>
        <w:rPr>
          <w:rFonts w:ascii="Times New Roman;sans-serif" w:hAnsi="Times New Roman;sans-serif"/>
          <w:b w:val="false"/>
          <w:color w:val="000000"/>
          <w:sz w:val="24"/>
        </w:rPr>
        <w:t>means the 2006 ISDA Definitions published by the International Swaps and Derivatives Association, Inc. or any successor thereto, as amended or supplemented from time to time, or any successor definitional booklet for interest rate derivatives published from time to time.</w:t>
      </w:r>
    </w:p>
    <w:p>
      <w:pPr>
        <w:pStyle w:val="TextBody"/>
        <w:bidi w:val="0"/>
        <w:spacing w:lineRule="auto" w:line="240" w:before="241" w:after="283"/>
        <w:ind w:left="0" w:right="0" w:firstLine="720"/>
        <w:jc w:val="both"/>
        <w:rPr/>
      </w:pPr>
      <w:r>
        <w:rPr>
          <w:color w:val="000000"/>
        </w:rPr>
        <w:t>“</w:t>
      </w:r>
      <w:r>
        <w:rPr>
          <w:rFonts w:ascii="Times New Roman;sans-serif" w:hAnsi="Times New Roman;sans-serif"/>
          <w:b w:val="false"/>
          <w:color w:val="000000"/>
          <w:sz w:val="24"/>
          <w:u w:val="single"/>
        </w:rPr>
        <w:t>Reference Time</w:t>
      </w:r>
      <w:r>
        <w:rPr>
          <w:color w:val="000000"/>
        </w:rPr>
        <w:t xml:space="preserve">” </w:t>
      </w:r>
      <w:r>
        <w:rPr>
          <w:rFonts w:ascii="Times New Roman;sans-serif" w:hAnsi="Times New Roman;sans-serif"/>
          <w:b w:val="false"/>
          <w:color w:val="000000"/>
          <w:sz w:val="24"/>
        </w:rPr>
        <w:t>with respect to any determination of the Benchmark means (1) if the Benchmark is the Term SOFR Reference Rate, 5:00 a.m. (Chicago time) on the day that is two (2) U.S. Government Securities Business Days preceding the date of such determination, (2) if such Benchmark is Daily Simple SOFR, four (4) U.S. Government Securities Business Days preceding the date of such determination and (3) if the Benchmark is not the Term SOFR Reference Rate, the time determined by the Administrative Agent in accordance with the Benchmark Replacement Conforming Changes.</w:t>
      </w:r>
    </w:p>
    <w:p>
      <w:pPr>
        <w:pStyle w:val="TextBody"/>
        <w:bidi w:val="0"/>
        <w:spacing w:lineRule="auto" w:line="240" w:before="239" w:after="283"/>
        <w:ind w:left="0" w:right="0" w:firstLine="720"/>
        <w:jc w:val="both"/>
        <w:rPr/>
      </w:pPr>
      <w:r>
        <w:rPr>
          <w:color w:val="000000"/>
        </w:rPr>
        <w:t>“</w:t>
      </w:r>
      <w:r>
        <w:rPr>
          <w:rFonts w:ascii="Times New Roman;sans-serif" w:hAnsi="Times New Roman;sans-serif"/>
          <w:b w:val="false"/>
          <w:color w:val="000000"/>
          <w:sz w:val="24"/>
          <w:u w:val="single"/>
        </w:rPr>
        <w:t>Relevant Governmental Body</w:t>
      </w:r>
      <w:r>
        <w:rPr>
          <w:color w:val="000000"/>
        </w:rPr>
        <w:t xml:space="preserve">” </w:t>
      </w:r>
      <w:r>
        <w:rPr>
          <w:rFonts w:ascii="Times New Roman;sans-serif" w:hAnsi="Times New Roman;sans-serif"/>
          <w:b w:val="false"/>
          <w:color w:val="000000"/>
          <w:sz w:val="24"/>
        </w:rPr>
        <w:t>means the Federal Reserve Board and/or the Federal Reserve Bank of New York, or a committee officially endorsed or convened by the Federal Reserve Board and/or the Federal Reserve Bank of New York or any successor thereto.</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val="false"/>
          <w:color w:val="000000"/>
          <w:sz w:val="24"/>
          <w:u w:val="single"/>
        </w:rPr>
        <w:t>Unadjusted Benchmark Replacement</w:t>
      </w:r>
      <w:r>
        <w:rPr>
          <w:color w:val="000000"/>
        </w:rPr>
        <w:t xml:space="preserve">” </w:t>
      </w:r>
      <w:r>
        <w:rPr>
          <w:rFonts w:ascii="Times New Roman;sans-serif" w:hAnsi="Times New Roman;sans-serif"/>
          <w:b w:val="false"/>
          <w:color w:val="000000"/>
          <w:sz w:val="24"/>
        </w:rPr>
        <w:t>means the Benchmark Replacement excluding the Benchmark Replacement Adjustment.</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6480175" cy="781050"/>
                <wp:effectExtent l="0" t="0" r="0" b="0"/>
                <wp:wrapNone/>
                <wp:docPr id="317" name="Frame316"/>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115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115</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jc w:val="left"/>
        <w:rPr/>
      </w:pPr>
      <w:r>
        <w:rPr>
          <w:rFonts w:ascii="Times New Roman;sans-serif" w:hAnsi="Times New Roman;sans-serif"/>
          <w:b w:val="false"/>
          <w:color w:val="000000"/>
          <w:sz w:val="24"/>
        </w:rPr>
        <w:t xml:space="preserve">Section 2.15. </w:t>
      </w:r>
      <w:r>
        <w:rPr>
          <w:rFonts w:ascii="Times New Roman;sans-serif" w:hAnsi="Times New Roman;sans-serif"/>
          <w:b w:val="false"/>
          <w:color w:val="000000"/>
          <w:sz w:val="24"/>
          <w:u w:val="single"/>
        </w:rPr>
        <w:t>Increased Costs</w:t>
      </w:r>
      <w:r>
        <w:rPr>
          <w:rFonts w:ascii="Times New Roman;sans-serif" w:hAnsi="Times New Roman;sans-serif"/>
          <w:b w:val="false"/>
          <w:color w:val="000000"/>
          <w:sz w:val="24"/>
        </w:rPr>
        <w:t>.</w:t>
      </w:r>
    </w:p>
    <w:p>
      <w:pPr>
        <w:pStyle w:val="TextBody"/>
        <w:bidi w:val="0"/>
        <w:spacing w:lineRule="auto" w:line="240" w:before="240" w:after="283"/>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(a)If any Change in Law shall:</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(i)impose, modify or deem applicable any reserve, special deposit compulsory loan, insurance charge or similar requirement against assets of, deposits with or for the account of, or credit extended by, any Lender or Issuing Bank; or</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(ii)subject the Administrative Agent, any Lender or any Issuing Bank to any Tax with respect to any Loan Document (other than (i) Indemnified Taxes and Other Taxes indemnifiable under Section 2.17 or (ii) Excluded Taxes); or</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(iii)impose on any Lender or Issuing Bank or the relevant interbank market any other condition affecting this Agreement or Term SOFR Loans made by such Lender or any Letter of Credit or participation therein;</w:t>
      </w:r>
    </w:p>
    <w:p>
      <w:pPr>
        <w:pStyle w:val="TextBody"/>
        <w:bidi w:val="0"/>
        <w:spacing w:lineRule="auto" w:line="240" w:before="240" w:after="283"/>
        <w:jc w:val="both"/>
        <w:rPr/>
      </w:pPr>
      <w:r>
        <w:rPr>
          <w:rFonts w:ascii="Times New Roman;sans-serif" w:hAnsi="Times New Roman;sans-serif"/>
          <w:b w:val="false"/>
          <w:color w:val="000000"/>
          <w:sz w:val="24"/>
        </w:rPr>
        <w:t xml:space="preserve">and the result of any of the foregoing shall be to increase the cost to such Lender of making or maintaining any Term SOFR Loan or of maintaining its obligation to make any such Loan or to increase the cost to such Lender or Issuing Bank of participating in, issuing or maintaining any Letter of Credit or to reduce the amount of any sum received or receivable by such Lender or Issuing Bank hereunder, whether of principal, interest or otherwise, then the Borrower will pay to the Administrative Agent, such Lender or Issuing Bank, as applicable, such additional amount or amounts as will compensate the Administrative Agent such Lender or Issuing Bank, as applicable, for such additional costs incurred or reduction suffered;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the Borrower shall not be liable for such compensation if (x) the relevant Change in Law occurs on a date prior to the date such Lender becomes a party hereto, (y) such Lender invokes Section 2.20 or (z) in the case of any request for reimbursement under clause (iii) above resulting from a market disruption, (A) the relevant circumstances do not generally affect the banking market or (B) the applicable request has not been made by Lenders constituting Required Lenders.</w:t>
      </w:r>
    </w:p>
    <w:p>
      <w:pPr>
        <w:pStyle w:val="TextBody"/>
        <w:bidi w:val="0"/>
        <w:spacing w:lineRule="auto" w:line="240" w:before="241"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(b)If any Lender or Issuing Bank determines that any Change in Law regarding capital or liquidity requirements has or would have the effect of reducing the rate of return on such Lender’s or Issuing Bank’s capital or on the capital of such Lender’s or Issuing Bank’s holding company, if any, as a consequence of this Agreement or the Loans or Commitments made by, or participations in Letters of Credit or Swingline Loans held by, such Lender, or the Letters of Credit issued by such Issuing Bank, to a level below that which such Lender or such Issuing Bank or such Lender’s or such Issuing Bank’s holding company could have achieved but for such Change in Law (taking into consideration such Lender’s or such Issuing Bank’s policies and the policies of such Lender’s or such Issuing Bank’s holding company with respect to capital adequacy and liquidity), then within 30 days of receipt by the Borrower of the certificate contemplated by Section 2.15(c) the Borrower shall pay to such Lender or such Issuing Bank, as applicable, such additional amount or amounts as will compensate such Lender or such Issuing Bank or such Lender’s or such Issuing Bank’s holding company for any such reduction suffered.</w:t>
      </w:r>
    </w:p>
    <w:p>
      <w:pPr>
        <w:pStyle w:val="TextBody"/>
        <w:bidi w:val="0"/>
        <w:spacing w:lineRule="auto" w:line="240" w:before="239"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(c)A certificate of a Lender or an Issuing Bank setting forth the amount or amounts necessary to compensate such Lender or Issuing Bank or its holding company, as applicable, as specified in clause (a) or (b) of this Section 2.15 shall be delivered to the Borrower and shall be</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6480175" cy="781050"/>
                <wp:effectExtent l="0" t="0" r="0" b="0"/>
                <wp:wrapNone/>
                <wp:docPr id="318" name="Frame317"/>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116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116</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jc w:val="both"/>
        <w:rPr/>
      </w:pPr>
      <w:r>
        <w:rPr>
          <w:rFonts w:ascii="Times New Roman;sans-serif" w:hAnsi="Times New Roman;sans-serif"/>
          <w:b w:val="false"/>
          <w:color w:val="000000"/>
          <w:sz w:val="24"/>
        </w:rPr>
        <w:t xml:space="preserve">conclusive absent manifest error;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that any such certificate claiming amounts described in clause (x) or (y) of the definition of “Change in Law” shall, in addition, state the basis upon which such amount has been calculated and certify that such Lender’s or Issuing Bank’s demand for payment of such costs hereunder, and such method of allocation is not inconsistent with its treatment of other borrowers, which as a credit matter, are similarly situated to the Borrower and which are subject to similar provisions.</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 xml:space="preserve">(d)Promptly after any Lender or Issuing Bank has determined that it will make a request for increased compensation pursuant to this Section 2.15, such Lender or Issuing Bank shall notify the Borrower thereof. Failure or delay on the part of any Lender or Issuing Bank to demand compensation pursuant to this Section 2.15 shall not constitute a waiver of such Lender’s or Issuing Bank’s right to demand such compensation;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that the Borrower shall not be required to compensate a Lender or an Issuing Bank pursuant to this Section 2.15 for any increased costs or reductions incurred more than 180 days prior to the date that such Lender or Issuing Bank, as applicable, notifies the Borrower of the Change in Law giving rise to such increased costs or reductions and of such Lender’s or Issuing Bank’s intention to claim compensation therefor;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that, if the Change in Law giving rise to such increased costs or reductions is retroactive, then the 180-day period referred to above shall be extended to include the period of retroactive effect thereof.</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 xml:space="preserve">Section 2.16. </w:t>
      </w:r>
      <w:r>
        <w:rPr>
          <w:rFonts w:ascii="Times New Roman;sans-serif" w:hAnsi="Times New Roman;sans-serif"/>
          <w:b w:val="false"/>
          <w:color w:val="000000"/>
          <w:sz w:val="24"/>
          <w:u w:val="single"/>
        </w:rPr>
        <w:t>Break Funding Payments</w:t>
      </w:r>
      <w:r>
        <w:rPr>
          <w:rFonts w:ascii="Times New Roman;sans-serif" w:hAnsi="Times New Roman;sans-serif"/>
          <w:b w:val="false"/>
          <w:color w:val="000000"/>
          <w:sz w:val="24"/>
        </w:rPr>
        <w:t>. In the event of (a) the payment of any principal of any Term SOFR Loan other than on the last day of an Interest Period applicable thereto (including as a result of an Event of Default or as a result of any prepayment pursuant to Section 2.10 or 2.11), (b) the conversion of any Term SOFR Loan other than on the last day of the Interest Period applicable thereto, (c) the failure to borrow, convert, continue or prepay any Term SOFR Loan on the date specified in any notice delivered pursuant hereto (whether or not such notice may be revoked under Section 2.10(c)) or (d) the assignment of any Term SOFR Loan other than on the last day of the Interest Period applicable thereto as a result of a request by the Borrower pursuant to Section 2.19, then, in any such event, the Borrower shall compensate each Lender for the loss, cost and expense attributable to such event. A certificate of any Lender setting forth in reasonable detail any amount or amounts that such Lender is entitled to receive pursuant to this Section 2.16 shall be delivered to the Borrower and shall be conclusive absent manifest error. The Borrower shall pay such Lender the amount shown as due on any such certificate within 30 days after receipt thereof.</w:t>
      </w:r>
    </w:p>
    <w:p>
      <w:pPr>
        <w:pStyle w:val="TextBody"/>
        <w:bidi w:val="0"/>
        <w:spacing w:lineRule="auto" w:line="240" w:before="240" w:after="283"/>
        <w:jc w:val="left"/>
        <w:rPr/>
      </w:pPr>
      <w:r>
        <w:rPr>
          <w:rFonts w:ascii="Times New Roman;sans-serif" w:hAnsi="Times New Roman;sans-serif"/>
          <w:b w:val="false"/>
          <w:color w:val="000000"/>
          <w:sz w:val="24"/>
        </w:rPr>
        <w:t xml:space="preserve">Section 2.17. </w:t>
      </w:r>
      <w:r>
        <w:rPr>
          <w:rFonts w:ascii="Times New Roman;sans-serif" w:hAnsi="Times New Roman;sans-serif"/>
          <w:b w:val="false"/>
          <w:color w:val="000000"/>
          <w:sz w:val="24"/>
          <w:u w:val="single"/>
        </w:rPr>
        <w:t>Taxes</w:t>
      </w:r>
      <w:r>
        <w:rPr>
          <w:rFonts w:ascii="Times New Roman;sans-serif" w:hAnsi="Times New Roman;sans-serif"/>
          <w:b w:val="false"/>
          <w:color w:val="000000"/>
          <w:sz w:val="24"/>
        </w:rPr>
        <w:t>.</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 xml:space="preserve">(a)All payments made by or on behalf of a Loan Party under this Agreement or any other Loan Document shall be made free and clear of, and without deduction or withholding for or on account of, any Taxes;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if a Loan Party, the Administrative Agent or any other applicable Withholding Agent shall be required by any applicable Requirement of Law to deduct or withhold any Taxes from such payments, then (i) the applicable Withholding Agent shall make such deductions or withholdings as are reasonably determined by the applicable Withholding Agent to be required by any applicable Requirement of Law, (ii) the applicable Withholding Agent shall timely pay the full amount deducted or withheld to the relevant Governmental Authority within the time allowed and in accordance with applicable Requirements of Law, and (iii) to the extent withholding or deduction is required to be made on account of Indemnified Taxes or Other</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6480175" cy="781050"/>
                <wp:effectExtent l="0" t="0" r="0" b="0"/>
                <wp:wrapNone/>
                <wp:docPr id="319" name="Frame318"/>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117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117</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jc w:val="both"/>
        <w:rPr>
          <w:rFonts w:ascii="Times New Roman;sans-serif" w:hAnsi="Times New Roman;sans-serif"/>
          <w:b w:val="false"/>
          <w:color w:val="000000"/>
          <w:sz w:val="24"/>
        </w:rPr>
      </w:pPr>
      <w:r>
        <w:rPr>
          <w:rFonts w:ascii="Times New Roman;sans-serif" w:hAnsi="Times New Roman;sans-serif"/>
          <w:b w:val="false"/>
          <w:color w:val="000000"/>
          <w:sz w:val="24"/>
        </w:rPr>
        <w:t>Taxes, the sum payable by the Loan Party shall be increased as necessary so that after all required deductions and withholdings have been made (including deductions or withholdings applicable to additional sums payable under this Section 2.17) the Administrative Agent or any Lender, as applicable, receives an amount equal to the sum it would have received had no such deductions or withholdings been made. Whenever any Indemnified Taxes or Other Taxes are payable by a Loan Party, as promptly as possible thereafter, such Loan Party shall send to the Administrative Agent for its own account or for the account of a Lender, as the case may be, a copy of an official receipt issued by the relevant Governmental Authority evidencing such payment, a copy of the return reporting such payment, or other evidence of such payment reasonably satisfactory to the Administrative Agent or such Lender, as applicable. Without duplication, after any payment of Taxes by any Loan Party or the Administrative Agent to a Governmental Authority as provided in this Section 2.17, the Borrower shall deliver to the Administrative Agent or the Administrative Agent shall deliver to the Borrower, as the case may be, a copy of a receipt issued by such Governmental Authority evidencing such payment, a copy of any return required by applicable Requirements of Law to report such payment or other evidence of such payment reasonably satisfactory to the Borrower or the Administrative Agent, as the case may be.</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(b)Without duplication of amounts paid pursuant to Section 2.17(a), the Borrower shall timely pay any Other Taxes imposed on or incurred by the Administrative Agent or any Lender to the relevant Governmental Authority in accordance with applicable law.</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(c)The Borrower shall, without duplication of any additional amounts paid pursuant to Section 2.17(a)(iii) or any amounts paid pursuant to Section 2.17(b), indemnify and hold harmless the Administrative Agent and each Lender, within fifteen (15) Business Days after written demand therefor, for the full amount of any Indemnified Taxes or Other Taxes imposed on the Administrative Agent or such Lender, as applicable, as the case may be (including Indemnified Taxes or Other Taxes imposed or asserted on or attributable to amounts payable under this Section 2.17), and any reasonable out-of-pocket expenses arising therefrom or with respect thereto, whether or not such Indemnified Taxes or Other Taxes were correctly or legally imposed or asserted by the relevant Governmental Authority. A certificate setting forth in reasonable detail the basis and calculation of the amount of such payment or liability delivered to the Borrower by a Lender or by the Administrative Agent (as applicable) on its own behalf or on behalf of a Lender shall be conclusive absent manifest error.</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(d)Any Lender that is entitled to an exemption from or reduction of withholding Tax under the law of the jurisdiction in which the Borrower is located, or any treaty to which such jurisdiction is a party, with respect to payments under any Loan Document shall deliver to the Borrower (with a copy to the Administrative Agent), at the time(s) and in the manner(s) prescribed by applicable law or reasonably requested by the Borrower or the Administrative Agent such properly completed and executed documentation prescribed by applicable law or reasonably requested by the Borrower as will permit such payments to be made without withholding or at a reduced rate. In addition, any Lender, if reasonably requested by the Borrower, shall deliver such other documentation prescribed by applicable law or reasonably requested by the Borrower as will enable the Borrower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paragraphs (d)(i), (ii)(A), (ii)(B), (ii)(C), (ii)(D), and (iii), and paragraph</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6480175" cy="781050"/>
                <wp:effectExtent l="0" t="0" r="0" b="0"/>
                <wp:wrapNone/>
                <wp:docPr id="320" name="Frame319"/>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118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118</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jc w:val="both"/>
        <w:rPr>
          <w:rFonts w:ascii="Times New Roman;sans-serif" w:hAnsi="Times New Roman;sans-serif"/>
          <w:b w:val="false"/>
          <w:color w:val="000000"/>
          <w:sz w:val="24"/>
        </w:rPr>
      </w:pPr>
      <w:r>
        <w:rPr>
          <w:rFonts w:ascii="Times New Roman;sans-serif" w:hAnsi="Times New Roman;sans-serif"/>
          <w:b w:val="false"/>
          <w:color w:val="000000"/>
          <w:sz w:val="24"/>
        </w:rPr>
        <w:t>(f)of this Section 2.17) shall not be required if in the Lender’s reasonable judgment such completion, execution or submission would subject such Lender to any material unreimbursed cost or expense or would materially prejudice the legal or commercial position of such Lender.</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 xml:space="preserve">Each person that shall become a Participant pursuant to Section 9.04 or a Lender pursuant to Section 9.04 shall, upon the effectiveness of the related transfer, be required to provide all the forms and statements required pursuant to this Section 2.17(d) and Section 2.17(f);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a Participant shall furnish all such required forms and statements only to the participating Lender.</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(i)Each Lender and Administrative Agent that is a U.S. Person shall deliver, at the time(s) and in the manner prescribed by applicable law or reasonably requested by the Borrower, to the Borrower and the Administrative Agent (as applicable), properly completed and duly executed copies of IRS Form W-9 or any successor form, certifying that such person is exempt from U.S. backup withholding Tax on payments made hereunder.</w:t>
      </w:r>
    </w:p>
    <w:p>
      <w:pPr>
        <w:pStyle w:val="TextBody"/>
        <w:bidi w:val="0"/>
        <w:spacing w:lineRule="auto" w:line="240" w:before="240" w:after="283"/>
        <w:ind w:left="0" w:right="0" w:hanging="721"/>
        <w:jc w:val="left"/>
        <w:rPr>
          <w:rFonts w:ascii="Times New Roman;sans-serif" w:hAnsi="Times New Roman;sans-serif"/>
          <w:b w:val="false"/>
          <w:color w:val="000000"/>
          <w:sz w:val="24"/>
        </w:rPr>
      </w:pPr>
      <w:r>
        <w:rPr>
          <w:rFonts w:ascii="Times New Roman;sans-serif" w:hAnsi="Times New Roman;sans-serif"/>
          <w:b w:val="false"/>
          <w:color w:val="000000"/>
          <w:sz w:val="24"/>
        </w:rPr>
        <w:t>(ii)Without limiting the foregoing,</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any Foreign Lender shall, to the extent it is legally eligible to do so, deliver to the Borrower and the Administrative Agent (in such number of copies as shall be requested by the recipient) on or prior to the date on which such Foreign Lender becomes a party to this Agreement (and from time to time thereafter upon the reasonable request of the Borrower or the Administrative Agent), whichever of the following is applicable:</w:t>
      </w:r>
    </w:p>
    <w:p>
      <w:pPr>
        <w:pStyle w:val="TextBody"/>
        <w:bidi w:val="0"/>
        <w:spacing w:lineRule="auto" w:line="240" w:before="241"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(A)in the case of a Foreign Lender (or, if such Foreign Lender is disregarded as an entity separate from its owner for U.S. federal income tax purposes, the person treated as its owner for such purposes) eligible for the benefits of an income tax treaty to which the United States is a party (x) with respect to payments of interest under any Loan Document, duly completed and executed copies of IRS Form W-8BEN or IRS Form W-8BEN-E, whichever is applicable, establishing an exemption from, or reduction of, U.S. federal withholding Tax pursuant to the “interest” article of such tax treaty and (y) with respect to any other applicable payments under any Loan Document, duly completed and executed copies of IRS Form W-8BEN or IRS Form W-8BEN-E, whichever is applicable, establishing an exemption from, or reduction of, U.S. federal withholding Tax pursuant to the “business profits” or “other income” article of such tax treaty;</w:t>
      </w:r>
    </w:p>
    <w:p>
      <w:pPr>
        <w:pStyle w:val="TextBody"/>
        <w:bidi w:val="0"/>
        <w:spacing w:lineRule="auto" w:line="240" w:before="239"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(B)duly completed and executed copies of IRS Form W-8ECI with respect to such Foreign Lender (or, if such Foreign Lender is disregarded as an entity separate from its owner for U.S. federal income tax purposes, with respect to the person treated as its owner for such purposes);</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(C)in the case of a Foreign Lender (or, if such Foreign Lender is disregarded as an entity separate from its owner for U.S. federal income tax purposes, the person treated as its owner for such purposes) entitled to the benefits of the exemption for portfolio interest under Section 881(c) of the Code, (x) a</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6480175" cy="781050"/>
                <wp:effectExtent l="0" t="0" r="0" b="0"/>
                <wp:wrapNone/>
                <wp:docPr id="321" name="Frame320"/>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119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jc w:val="both"/>
        <w:rPr/>
      </w:pPr>
      <w:r>
        <w:rPr>
          <w:rFonts w:ascii="Times New Roman;sans-serif" w:hAnsi="Times New Roman;sans-serif"/>
          <w:b w:val="false"/>
          <w:color w:val="000000"/>
          <w:sz w:val="24"/>
        </w:rPr>
        <w:t xml:space="preserve">certificate substantially in the form of </w:t>
      </w:r>
      <w:r>
        <w:rPr>
          <w:rFonts w:ascii="Times New Roman;sans-serif" w:hAnsi="Times New Roman;sans-serif"/>
          <w:b w:val="false"/>
          <w:color w:val="000000"/>
          <w:sz w:val="24"/>
          <w:u w:val="single"/>
        </w:rPr>
        <w:t>Exhibit J-1</w:t>
      </w:r>
      <w:r>
        <w:rPr>
          <w:color w:val="000000"/>
        </w:rPr>
        <w:t xml:space="preserve"> </w:t>
      </w:r>
      <w:r>
        <w:rPr>
          <w:rFonts w:ascii="Times New Roman;sans-serif" w:hAnsi="Times New Roman;sans-serif"/>
          <w:b w:val="false"/>
          <w:color w:val="000000"/>
          <w:sz w:val="24"/>
        </w:rPr>
        <w:t>to the effect that such Foreign Lender is not a “bank” within the meaning of Section 881(c)(3)(A) of the Code, a “10-percent shareholder” of the Borrower within the meaning of Section 871(h)(3)(B) of the Code, or a “controlled foreign corporation” related to the Borrower, as described in Section 881(c)(3)(C) of the Code (a “</w:t>
      </w:r>
      <w:r>
        <w:rPr>
          <w:rFonts w:ascii="Times New Roman;sans-serif" w:hAnsi="Times New Roman;sans-serif"/>
          <w:b w:val="false"/>
          <w:color w:val="000000"/>
          <w:sz w:val="24"/>
          <w:u w:val="single"/>
        </w:rPr>
        <w:t>U.S. Tax</w:t>
      </w:r>
      <w:r>
        <w:rPr>
          <w:color w:val="000000"/>
        </w:rPr>
        <w:t xml:space="preserve"> </w:t>
      </w:r>
      <w:r>
        <w:rPr>
          <w:rFonts w:ascii="Times New Roman;sans-serif" w:hAnsi="Times New Roman;sans-serif"/>
          <w:b w:val="false"/>
          <w:color w:val="000000"/>
          <w:sz w:val="24"/>
          <w:u w:val="single"/>
        </w:rPr>
        <w:t>Compliance Certificate</w:t>
      </w:r>
      <w:r>
        <w:rPr>
          <w:color w:val="000000"/>
        </w:rPr>
        <w:t>”</w:t>
      </w:r>
      <w:r>
        <w:rPr>
          <w:rFonts w:ascii="Times New Roman;sans-serif" w:hAnsi="Times New Roman;sans-serif"/>
          <w:b w:val="false"/>
          <w:color w:val="000000"/>
          <w:sz w:val="24"/>
        </w:rPr>
        <w:t>) and (y) duly completed and executed copies of IRS Form W-8BEN or IRS Form W-8BEN-E, whichever is applicable;</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 xml:space="preserve">(D)to the extent a Foreign Lender (or, if such Foreign Lender is disregarded as an entity separate from its owner for U.S. federal income tax purposes, the person treated as its owner for such purposes) is not the beneficial owner of such payments, duly completed and executed copies of IRS Form W- 8IMY, accompanied by IRS Form W-8ECI, IRS Form W-8BEN or IRS Form W- 8BEN-E, whichever is applicable, a U.S. Tax Compliance Certificate substantially in the form of </w:t>
      </w:r>
      <w:r>
        <w:rPr>
          <w:rFonts w:ascii="Times New Roman;sans-serif" w:hAnsi="Times New Roman;sans-serif"/>
          <w:b w:val="false"/>
          <w:color w:val="000000"/>
          <w:sz w:val="24"/>
          <w:u w:val="single"/>
        </w:rPr>
        <w:t>Exhibit J-1</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Exhibit J-3</w:t>
      </w:r>
      <w:r>
        <w:rPr>
          <w:rFonts w:ascii="Times New Roman;sans-serif" w:hAnsi="Times New Roman;sans-serif"/>
          <w:b w:val="false"/>
          <w:color w:val="000000"/>
          <w:sz w:val="24"/>
        </w:rPr>
        <w:t xml:space="preserve">, IRS Form W-9, and/or other certification documents from each beneficial owner, as applicable; </w:t>
      </w:r>
      <w:r>
        <w:rPr>
          <w:rFonts w:ascii="Times New Roman;sans-serif" w:hAnsi="Times New Roman;sans-serif"/>
          <w:b w:val="false"/>
          <w:color w:val="000000"/>
          <w:sz w:val="24"/>
          <w:u w:val="single"/>
        </w:rPr>
        <w:t xml:space="preserve">provided </w:t>
      </w:r>
      <w:r>
        <w:rPr>
          <w:rFonts w:ascii="Times New Roman;sans-serif" w:hAnsi="Times New Roman;sans-serif"/>
          <w:b w:val="false"/>
          <w:color w:val="000000"/>
          <w:sz w:val="24"/>
        </w:rPr>
        <w:t xml:space="preserve">that if the Foreign Lender is a partnership and one or more direct or indirect partners of such Foreign Lender are claiming the portfolio interest exemption, such Foreign Lender may provide a U.S. Tax Compliance Certificate substantially in the form of </w:t>
      </w:r>
      <w:r>
        <w:rPr>
          <w:rFonts w:ascii="Times New Roman;sans-serif" w:hAnsi="Times New Roman;sans-serif"/>
          <w:b w:val="false"/>
          <w:color w:val="000000"/>
          <w:sz w:val="24"/>
          <w:u w:val="single"/>
        </w:rPr>
        <w:t>Exhibit J-2</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Exhibit J-4</w:t>
      </w:r>
      <w:r>
        <w:rPr>
          <w:color w:val="000000"/>
        </w:rPr>
        <w:t xml:space="preserve"> </w:t>
      </w:r>
      <w:r>
        <w:rPr>
          <w:rFonts w:ascii="Times New Roman;sans-serif" w:hAnsi="Times New Roman;sans-serif"/>
          <w:b w:val="false"/>
          <w:color w:val="000000"/>
          <w:sz w:val="24"/>
        </w:rPr>
        <w:t>on behalf of each such direct and indirect partner; or</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(E)executed copies of any other form prescribed by applicable Requirements of Law as a basis for claiming exemption from or a reduction in U.S. federal withholding Tax, duly completed, together with such supplementary documentation as may be prescribed by applicable Requirements of Law to permit the Borrower or the Administrative Agent to determine the withholding or deduction required to be made;</w:t>
      </w:r>
    </w:p>
    <w:p>
      <w:pPr>
        <w:pStyle w:val="TextBody"/>
        <w:bidi w:val="0"/>
        <w:spacing w:lineRule="auto" w:line="240" w:before="239"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(iii)The Administrative Agent and each Lender (A) shall promptly notify the Borrower and the Administrative Agent of any change in circumstance that would modify or render invalid any claimed exemption or reduction, and (B) agrees that if any form or certification it previously delivered pursuant to this Section 2.17 expires or becomes inaccurate in any respect, it shall promptly (x) update such form or certification or</w:t>
      </w:r>
    </w:p>
    <w:p>
      <w:pPr>
        <w:pStyle w:val="TextBody"/>
        <w:bidi w:val="0"/>
        <w:spacing w:lineRule="auto" w:line="240" w:before="1" w:after="283"/>
        <w:jc w:val="both"/>
        <w:rPr>
          <w:rFonts w:ascii="Times New Roman;sans-serif" w:hAnsi="Times New Roman;sans-serif"/>
          <w:b w:val="false"/>
          <w:color w:val="000000"/>
          <w:sz w:val="24"/>
        </w:rPr>
      </w:pPr>
      <w:r>
        <w:rPr>
          <w:rFonts w:ascii="Times New Roman;sans-serif" w:hAnsi="Times New Roman;sans-serif"/>
          <w:b w:val="false"/>
          <w:color w:val="000000"/>
          <w:sz w:val="24"/>
        </w:rPr>
        <w:t>(y) notify the Borrower and the Administrative Agent in writing of its legal inability to do so.</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(iv)On or before the date that each applicable Administrative Agent (and any successor or replacement Administrative Agent) becomes the Administrative Agent hereunder, it shall deliver to the Borrower a duly completed and executed copy of either</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(i) IRS Form W-9 (or any successor form) or (ii) a U.S. branch withholding certificate on IRS Form W-8IMY (or any successor form) evidencing its agreement with the Borrower to be treated as a U.S. Person (with respect to amounts received on account of any Lender) and IRS Form W-8ECI (or any successor form) (with respect to amounts received on its own account), with the effect that, in any case, the Borrower will be entitled to make payments hereunder to the Administrative Agent without withholding or deduction on account of U.S. federal withholding Tax.</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6480175" cy="781050"/>
                <wp:effectExtent l="0" t="0" r="0" b="0"/>
                <wp:wrapNone/>
                <wp:docPr id="322" name="Frame321"/>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120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120</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ind w:left="0" w:right="0" w:firstLine="720"/>
        <w:jc w:val="both"/>
        <w:rPr/>
      </w:pPr>
      <w:r>
        <w:rPr>
          <w:rFonts w:ascii="Times New Roman;sans-serif" w:hAnsi="Times New Roman;sans-serif"/>
          <w:b w:val="false"/>
          <w:color w:val="000000"/>
          <w:sz w:val="24"/>
        </w:rPr>
        <w:t xml:space="preserve">(e)If any Lender or the Administrative Agent, as applicable, determines in good faith that it has received a refund of an Indemnified Tax or Other Tax for which a payment has been made by a Loan Party pursuant to this Agreement or any other Loan Document, which refund in the good faith judgment of such Lender or the Administrative Agent, as the case may be, is attributable to such payment made by such Loan Party, then the Lender or the Administrative Agent, as the case may be, shall reimburse the Loan Party for such amount (net of all reasonable out-of-pocket expenses of such Lender or the Administrative Agent, as the case may be, and without interest other than any interest received thereon from the relevant Governmental Authority with respect to such refund) as the Lender or Administrative Agent, as the case may be, determines in good faith to the be the portion of the refund as will leave it, after such reimbursement, in no better or worse position (taking into account expenses or any Taxes imposed on the refund) than it would have been in if the Indemnified Tax or Other Tax giving rise to such refund had not been imposed in the first instance;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the Loan Party, upon the request of the Lender or the Administrative Agent agrees to repay the amount paid over to the Loan Party (plus any penalties, interest (solely with respect to the time period during which the Loan Party actually held such funds, except to the extent that the refund was initially claimed at the written request of such Loan Party) or other charges imposed by the relevant Governmental Authority) to the Lender or the Administrative Agent in the event the Lender or the Administrative Agent is required to repay such refund to such Governmental Authority. In such event, such Lender or the Administrative Agent, as the case may be, shall, at the Borrower’s request, provide the Borrower with a copy of any notice of assessment or other evidence of the requirement to repay such refund received from the relevant Governmental Authority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such Lender or the Administrative Agent may delete any information therein that it deems confidential). A Lender or the Administrative Agent shall claim any refund that it determines is available to it, unless it concludes in its reasonable discretion that it would be adversely affected by making such a claim. No Lender nor the Administrative Agent shall be obliged to make available its Tax returns (or any other information relating to its Taxes that it deems confidential) to any Loan Party in connection with this clause</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(f)or any other provision of this Section 2.17. For purposes of this clause (e), all references to “refund” shall include the monetary benefit of a credit received in lieu of a refund.</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(f)If a payment made to any Lender or any Agent under this Agreement or any other Loan Document would be subject to U.S. federal withholding Tax imposed by FATCA if such Lender or such Agent were to fail to comply with the applicable reporting requirements of FATCA (including those contained in Section 1471(b) or 1472(b) of the Code, as applicable), such Lender or such Agent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to determine whether such Lender or Agent has or has not complied with such Lender’s or Agent’s obligations under FATCA or to determine the amount, if any, to deduct and withhold from such payment. Solely for purposes of this Section 2.17(f), “</w:t>
      </w:r>
      <w:r>
        <w:rPr>
          <w:rFonts w:ascii="Times New Roman;sans-serif" w:hAnsi="Times New Roman;sans-serif"/>
          <w:b w:val="false"/>
          <w:color w:val="000000"/>
          <w:sz w:val="24"/>
          <w:u w:val="single"/>
        </w:rPr>
        <w:t>FATCA</w:t>
      </w:r>
      <w:r>
        <w:rPr>
          <w:color w:val="000000"/>
        </w:rPr>
        <w:t xml:space="preserve">” </w:t>
      </w:r>
      <w:r>
        <w:rPr>
          <w:rFonts w:ascii="Times New Roman;sans-serif" w:hAnsi="Times New Roman;sans-serif"/>
          <w:b w:val="false"/>
          <w:color w:val="000000"/>
          <w:sz w:val="24"/>
        </w:rPr>
        <w:t>shall include any amendments made to FATCA after the date of this Agreement.</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6480175" cy="781050"/>
                <wp:effectExtent l="0" t="0" r="0" b="0"/>
                <wp:wrapNone/>
                <wp:docPr id="323" name="Frame322"/>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121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(g)Each Lender and Agent authorizes the Administrative Agent to deliver to the Borrower and to any successor Administrative Agent any documentation provided by the Lender or Agent to the Administrative Agent pursuant to Section 2.17(d) or (f).</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(h)The agreements in this Section 2.17 and any definitions referenced in this Section 2.17, shall survive the termination of this Agreement and the payment of the Loans and all other amounts payable under any Loan Document.</w:t>
      </w:r>
    </w:p>
    <w:p>
      <w:pPr>
        <w:pStyle w:val="TextBody"/>
        <w:bidi w:val="0"/>
        <w:spacing w:lineRule="auto" w:line="240" w:before="240" w:after="283"/>
        <w:ind w:left="0" w:right="0" w:firstLine="720"/>
        <w:jc w:val="left"/>
        <w:rPr/>
      </w:pPr>
      <w:r>
        <w:rPr>
          <w:rFonts w:ascii="Times New Roman;sans-serif" w:hAnsi="Times New Roman;sans-serif"/>
          <w:b w:val="false"/>
          <w:color w:val="000000"/>
          <w:sz w:val="24"/>
        </w:rPr>
        <w:t>For purposes of this Section 2.17, the term “</w:t>
      </w:r>
      <w:r>
        <w:rPr>
          <w:rFonts w:ascii="Times New Roman;sans-serif" w:hAnsi="Times New Roman;sans-serif"/>
          <w:b w:val="false"/>
          <w:color w:val="000000"/>
          <w:sz w:val="24"/>
          <w:u w:val="single"/>
        </w:rPr>
        <w:t>Lender</w:t>
      </w:r>
      <w:r>
        <w:rPr>
          <w:color w:val="000000"/>
        </w:rPr>
        <w:t xml:space="preserve">” </w:t>
      </w:r>
      <w:r>
        <w:rPr>
          <w:rFonts w:ascii="Times New Roman;sans-serif" w:hAnsi="Times New Roman;sans-serif"/>
          <w:b w:val="false"/>
          <w:color w:val="000000"/>
          <w:sz w:val="24"/>
        </w:rPr>
        <w:t>includes any Issuing Bank and the term “applicable Requirement of Law” includes FATCA.</w:t>
      </w:r>
    </w:p>
    <w:p>
      <w:pPr>
        <w:pStyle w:val="TextBody"/>
        <w:bidi w:val="0"/>
        <w:spacing w:lineRule="auto" w:line="240" w:before="240" w:after="283"/>
        <w:jc w:val="center"/>
        <w:rPr/>
      </w:pPr>
      <w:r>
        <w:rPr>
          <w:rFonts w:ascii="Times New Roman;sans-serif" w:hAnsi="Times New Roman;sans-serif"/>
          <w:b w:val="false"/>
          <w:color w:val="000000"/>
          <w:sz w:val="24"/>
        </w:rPr>
        <w:t xml:space="preserve">Section 2.18. </w:t>
      </w:r>
      <w:r>
        <w:rPr>
          <w:rFonts w:ascii="Times New Roman;sans-serif" w:hAnsi="Times New Roman;sans-serif"/>
          <w:b w:val="false"/>
          <w:color w:val="000000"/>
          <w:sz w:val="24"/>
          <w:u w:val="single"/>
        </w:rPr>
        <w:t>Payments Generally; Pro Rata Treatment; Sharing of Set-offs</w:t>
      </w:r>
      <w:r>
        <w:rPr>
          <w:rFonts w:ascii="Times New Roman;sans-serif" w:hAnsi="Times New Roman;sans-serif"/>
          <w:b w:val="false"/>
          <w:color w:val="000000"/>
          <w:sz w:val="24"/>
        </w:rPr>
        <w:t>.</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(a)Unless otherwise specified (including in Section 2.17(a)), the Borrower shall make each payment required to be made by it hereunder (whether of principal, interest, fees or reimbursement of any disbursement under any Letter of Credit, or of amounts payable under Sections 2.15, 2.16 or 2.17, or otherwise) prior to 2:00 p.m., Local Time, on the date when due, in immediately available funds, without condition or deduction for any defense, recoupment, set-off or counterclaim. Any amounts received after such time on any date may, in the discretion of the Administrative Agent, be deemed to have been received on the next succeeding Business Day for purposes of calculating interest thereon. All such payments shall be made to the Administrative Agent to the applicable account designated to the Borrower by the Administrative Agent, except payments to be made directly to the applicable Issuing Bank or the Swingline Lender as expressly provided herein and except that payments pursuant to Sections 2.15, 2.16, 2.17 and 9.05 shall be made directly to the persons entitled thereto. The Administrative Agent shall distribute any such payments received by it for the account of any other person to the appropriate recipient promptly following receipt thereof. Except as otherwise expressly provided herein, if any payment hereunder shall be due on a day that is not a Business Day, the date for payment shall be extended to the next succeeding Business Day, and, in the case of any payment accruing interest, interest thereon shall be payable for the period of such extension. All payments made under the Loan Documents shall be made in Dollars. Any payment required to be made by the Administrative Agent hereunder shall be deemed to have been made by the time required if the Administrative Agent shall, at or before such time, have taken the necessary steps to make such payment in accordance with the regulations or operating procedures of the clearing or settlement system used by the Administrative Agent to make such payment.</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(b)If any Lender shall, by exercising any right of set-off or counterclaim or otherwise, obtain payment in respect of any principal of, or interest on, any of its Term Loans, Revolving Facility Loans or participations in any disbursement under any Letter of Credit or Swingline Loans resulting in such Lender receiving payment of a greater proportion of the aggregate amount of its Term Loans, Revolving Facility Loans and participations in any disbursement under any Letter of Credit and Swingline Loans and accrued interest thereon than the proportion received by any other Lender, then the Lender receiving such greater proportion shall purchase (for cash at face value) participations in the Term Loans, Revolving Facility Loans and participations in any disbursement under any Letter of Credit and Swingline Loans of such Class of such other Lenders to the extent necessary so that the benefit of all such payments shall be shared by all such Lenders ratably in accordance with the principal amount of each such Lender’s respective Term Loans, Revolving</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6480175" cy="781050"/>
                <wp:effectExtent l="0" t="0" r="0" b="0"/>
                <wp:wrapNone/>
                <wp:docPr id="324" name="Frame323"/>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122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122</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jc w:val="both"/>
        <w:rPr/>
      </w:pPr>
      <w:r>
        <w:rPr>
          <w:rFonts w:ascii="Times New Roman;sans-serif" w:hAnsi="Times New Roman;sans-serif"/>
          <w:b w:val="false"/>
          <w:color w:val="000000"/>
          <w:sz w:val="24"/>
        </w:rPr>
        <w:t xml:space="preserve">Facility Loans and participations in any disbursement under any Letter of Credit and Swingline Loans and accrued interest thereon;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that (i) if any such participations are purchased and all or any portion of the payment giving rise thereto is recovered, such participations shall be rescinded and the purchase price restored to the extent of such recovery, without interest and (ii) the provisions of this clause (b) shall not be construed to apply to any payment made by the Borrower pursuant to and in accordance with the express terms of this Agreement or any payment obtained by a Lender as consideration for the assignment of or sale of a participation in any of its Loans or participations in any disbursement under any Letter of Credit to any assignee or participant. 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(c)Unless the Administrative Agent shall have received notice from the Borrower prior to the date on which any payment is due to the Administrative Agent for the account of the relevant Lenders or the applicable Issuing Bank hereunder that the Borrower will not make such payment, the Administrative Agent may assume that the Borrower has made such payment on such date in accordance herewith and may, in reliance upon such assumption, distribute to the relevant Lenders or the applicable Issuing Bank, as applicable, the amount due. In such event, if the Borrower has not in fact made such payment, then each of the relevant Lenders or the applicable Issuing Bank, as applicable, severally agrees to repay to the Administrative Agent forthwith on demand the amount so distributed to such Lender or Issuing Bank with interest thereon, for each day from and including the date such amount is distributed to it to but excluding the date of payment to the Administrative Agent, at the greater of the Federal Funds Rate and a rate determined by the Administrative Agent in accordance with banking industry rules on interbank compensation.</w:t>
      </w:r>
    </w:p>
    <w:p>
      <w:pPr>
        <w:pStyle w:val="TextBody"/>
        <w:bidi w:val="0"/>
        <w:spacing w:lineRule="auto" w:line="240" w:before="239"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(d)Subject to Section 2.24, if any Lender shall fail to make any payment required to be made by it pursuant to Section 2.04(b), 2.05(d) or (e), 2.06, or 2.18(c), then the Administrative Agent may, in its discretion (notwithstanding any contrary provision hereof), (i) apply any amounts thereafter received by the Administrative Agent for the account of such Lender to satisfy such Lender’s obligations under such Sections until all such unsatisfied obligations are fully paid and/or</w:t>
      </w:r>
    </w:p>
    <w:p>
      <w:pPr>
        <w:pStyle w:val="TextBody"/>
        <w:bidi w:val="0"/>
        <w:spacing w:lineRule="auto" w:line="240" w:before="1" w:after="283"/>
        <w:jc w:val="both"/>
        <w:rPr>
          <w:rFonts w:ascii="Times New Roman;sans-serif" w:hAnsi="Times New Roman;sans-serif"/>
          <w:b w:val="false"/>
          <w:color w:val="000000"/>
          <w:sz w:val="24"/>
        </w:rPr>
      </w:pPr>
      <w:r>
        <w:rPr>
          <w:rFonts w:ascii="Times New Roman;sans-serif" w:hAnsi="Times New Roman;sans-serif"/>
          <w:b w:val="false"/>
          <w:color w:val="000000"/>
          <w:sz w:val="24"/>
        </w:rPr>
        <w:t>(ii) hold any such amounts in a segregated account as cash collateral for, and application to, any future funding obligations of such Lender under any such Section; in the case of each of clauses</w:t>
      </w:r>
    </w:p>
    <w:p>
      <w:pPr>
        <w:pStyle w:val="TextBody"/>
        <w:bidi w:val="0"/>
        <w:spacing w:lineRule="auto" w:line="520" w:before="0" w:after="0"/>
        <w:ind w:left="0" w:right="0" w:hanging="720"/>
        <w:jc w:val="both"/>
        <w:rPr/>
      </w:pPr>
      <w:r>
        <w:rPr>
          <w:rFonts w:ascii="Times New Roman;sans-serif" w:hAnsi="Times New Roman;sans-serif"/>
          <w:b w:val="false"/>
          <w:color w:val="000000"/>
          <w:sz w:val="24"/>
        </w:rPr>
        <w:t xml:space="preserve">(i) and (ii) above, in any order as determined by the Administrative Agent in its discretion. Section 2.19. </w:t>
      </w:r>
      <w:r>
        <w:rPr>
          <w:rFonts w:ascii="Times New Roman;sans-serif" w:hAnsi="Times New Roman;sans-serif"/>
          <w:b w:val="false"/>
          <w:color w:val="000000"/>
          <w:sz w:val="24"/>
          <w:u w:val="single"/>
        </w:rPr>
        <w:t>Mitigation Obligations; Replacement of Lenders</w:t>
      </w:r>
      <w:r>
        <w:rPr>
          <w:rFonts w:ascii="Times New Roman;sans-serif" w:hAnsi="Times New Roman;sans-serif"/>
          <w:b w:val="false"/>
          <w:color w:val="000000"/>
          <w:sz w:val="24"/>
        </w:rPr>
        <w:t>.</w:t>
      </w:r>
    </w:p>
    <w:p>
      <w:pPr>
        <w:pStyle w:val="TextBody"/>
        <w:bidi w:val="0"/>
        <w:spacing w:lineRule="auto" w:line="240"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(a)If any Lender requests compensation under Section 2.15, or if the Borrower is required to pay any additional amount to any Lender or any Governmental Authority for the account of any Lender pursuant to Section 2.17 or mitigate the applicability of Section 2.20 or any event that gives rise to the operation of Section 2.20, then such Lender shall use reasonable efforts to designate a different Lending Office for funding or booking its Loans hereunder or to assign its rights and obligations hereunder to another of its offices, branches or Affiliates, if, in the reasonable judgment of such Lender, such designation or assignment (i) would eliminate or reduce amounts payable pursuant to Section 2.15 or Section 2.17, as applicable, in the future or mitigate the applicability of Section 2.20 or any event that gives rise to the operation of Section 2.20 and</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6480175" cy="781050"/>
                <wp:effectExtent l="0" t="0" r="0" b="0"/>
                <wp:wrapNone/>
                <wp:docPr id="325" name="Frame324"/>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123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123</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ind w:left="0" w:right="0" w:hanging="0"/>
        <w:jc w:val="both"/>
        <w:rPr>
          <w:rFonts w:ascii="Times New Roman;sans-serif" w:hAnsi="Times New Roman;sans-serif"/>
          <w:b w:val="false"/>
          <w:color w:val="000000"/>
          <w:sz w:val="24"/>
        </w:rPr>
      </w:pPr>
      <w:r>
        <w:rPr>
          <w:rFonts w:ascii="Times New Roman;sans-serif" w:hAnsi="Times New Roman;sans-serif"/>
          <w:b w:val="false"/>
          <w:color w:val="000000"/>
          <w:sz w:val="24"/>
        </w:rPr>
        <w:t>(ii) would not subject such Lender to any material unreimbursed cost or expense and would not otherwise be disadvantageous to such Lender in any material respect. The Borrower hereby agrees to pay all reasonable costs and expenses incurred by any Lender in connection with any such designation or assignment.</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 xml:space="preserve">(b)If (i) any Lender requests compensation under Section 2.15 (in excess of that being charged by other Lenders under the applicable Facility) or gives notice under Section 2.20, (ii) the Borrower is required to pay any additional amount to any Lender or any Governmental Authority for the account of any Lender pursuant to Section 2.17 (in a material amount in excess of that being charged by other Lenders), or (iii) any Lender is a Defaulting Lender, then the Borrower may, at its sole expense and effort, upon notice to such Lender and the Administrative Agent, require any such Lender to assign and delegate, without recourse (in accordance with and subject to the restrictions contained in Section 9.04), all its interests, rights and obligations under the Loan Documents to an assignee that shall assume such obligations (which assignee may be another Lender, if a Lender accepts such assignment);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that (i) the Borrower shall have received the prior written consent of the Administrative Agent (and, if in respect of any Revolving Facility Commitment, the Swingline Lender and each Issuing Bank), to the extent consent would be required under Section 9.04(b) for an assignment of Loans or Commitments, as applicable, which consent, in each case, shall not unreasonably be withheld, (ii) such Lender shall have received payment of an amount equal to the outstanding principal of its Loans and participations in any disbursement under any Letter of Credit and Swingline Loans, accrued interest thereon, accrued fees and all other amounts payable to it hereunder from the assignee (to the extent of such outstanding principal and accrued interest and fees) or the Borrower (in the case of all other amounts), (iii) in the case of any such assignment resulting from a claim for compensation under Section 2.15, payments required to be made pursuant to Section 2.17 or a notice given under Section 2.20, such assignment will result in a reduction in such compensation or payments and (iv) such assignment does not conflict with any applicable Requirement of Law. A Lender shall not be required to make any such assignment and delegation if, prior thereto, as a result of a waiver by such Lender or otherwise, the circumstances entitling the Borrower to require such assignment and delegation cease to apply. Nothing in this Section 2.19 shall be deemed to prejudice any rights that the Borrower may have against any Lender that is a Defaulting Lender. No action by or consent of the removed Lender shall be necessary in connection with such assignment, which shall be immediately and automatically effective upon payment of such purchase price. In connection with any such assignment the Borrower, Administrative Agent, such removed Lender and the replacement Lender shall otherwise comply with Section 9.04,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that if such removed Lender does not comply with Section 9.04 within one Business Day after the Borrower’s request, compliance with Section 9.04 (but only on the part of the removed Lender) shall not be required to effect such assignment.</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(c)If any Lender (such Lender, a “</w:t>
      </w:r>
      <w:r>
        <w:rPr>
          <w:rFonts w:ascii="Times New Roman;sans-serif" w:hAnsi="Times New Roman;sans-serif"/>
          <w:b w:val="false"/>
          <w:color w:val="000000"/>
          <w:sz w:val="24"/>
          <w:u w:val="single"/>
        </w:rPr>
        <w:t>Non-Consenting Lender</w:t>
      </w:r>
      <w:r>
        <w:rPr>
          <w:color w:val="000000"/>
        </w:rPr>
        <w:t>”</w:t>
      </w:r>
      <w:r>
        <w:rPr>
          <w:rFonts w:ascii="Times New Roman;sans-serif" w:hAnsi="Times New Roman;sans-serif"/>
          <w:b w:val="false"/>
          <w:color w:val="000000"/>
          <w:sz w:val="24"/>
        </w:rPr>
        <w:t>) has failed to consent to a proposed amendment, waiver or consent which pursuant to the terms of Section 9.08 requires the consent of all Lenders or all of the Lenders adversely affected and with respect to which the Required Lenders shall have granted their consent, then the Borrower shall have the right (unless such Non-Consenting Lender grants such consent) at its sole expense (including with respect to the processing and recordation fee referred to in Section 9.04(b)(ii)(C)) to replace such Non- Consenting Lender by requiring such Non-Consenting Lender to (and any such Non-Consenting Lender agrees that it shall, upon the Borrower’s request) assign its Loans and its Commitments</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6480175" cy="781050"/>
                <wp:effectExtent l="0" t="0" r="0" b="0"/>
                <wp:wrapNone/>
                <wp:docPr id="326" name="Frame325"/>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124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124</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jc w:val="both"/>
        <w:rPr/>
      </w:pPr>
      <w:r>
        <w:rPr>
          <w:rFonts w:ascii="Times New Roman;sans-serif" w:hAnsi="Times New Roman;sans-serif"/>
          <w:b w:val="false"/>
          <w:color w:val="000000"/>
          <w:sz w:val="24"/>
        </w:rPr>
        <w:t xml:space="preserve">(or, at the Borrower’s option, the Loans and Commitments under the Facility that is the subject of the proposed amendment, waiver or consent) hereunder to one or more assignees reasonably acceptable to (i) the Administrative Agent (unless, in the case of a Term Loan, such assignee is a Lender, an Affiliate of a Lender or an Approved Fund) and (ii) if in respect of any Revolving Facility Commitment, the Swingline Lender and the Issuing Bank;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that: (i) all Loan Obligations of the Borrower owing to such Non-Consenting Lender being replaced in respect of the assigned interest shall be paid in full in same day funds to such Non-Consenting Lender concurrently with such assignment, (ii) the replacement Lender shall purchase the foregoing by paying to such Non-Consenting Lender a price equal to the principal amount thereof plus accrued and unpaid interest thereon and the Borrower shall pay any amount required by Section 2.12(d), if applicable, and (iii) the replacement Lender shall grant its consent with respect to the applicable proposed amendment, waiver or consent. No action by or consent of the Non-Consenting Lender shall be necessary in connection with such assignment, which shall be immediately and automatically effective upon payment of such purchase price. In connection with any such assignment the Borrower, Administrative Agent, such Non-Consenting Lender and the replacement Lender shall otherwise comply with Section 9.04;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that if such Non- Consenting Lender does not comply with Section 9.04 within one Business Day after the Borrower’s request, compliance with Section 9.04 (but only on the part of the Non-Consenting Lender) shall not be required to effect such assignment.</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 xml:space="preserve">Section 2.20. </w:t>
      </w:r>
      <w:r>
        <w:rPr>
          <w:rFonts w:ascii="Times New Roman;sans-serif" w:hAnsi="Times New Roman;sans-serif"/>
          <w:b w:val="false"/>
          <w:color w:val="000000"/>
          <w:sz w:val="24"/>
          <w:u w:val="single"/>
        </w:rPr>
        <w:t>Illegality</w:t>
      </w:r>
      <w:r>
        <w:rPr>
          <w:rFonts w:ascii="Times New Roman;sans-serif" w:hAnsi="Times New Roman;sans-serif"/>
          <w:b w:val="false"/>
          <w:color w:val="000000"/>
          <w:sz w:val="24"/>
        </w:rPr>
        <w:t>. If any Lender reasonably determines that any Change in Law has made it unlawful, or that any Governmental Authority has asserted after the Closing Date that it is unlawful, for any Lender or its applicable Lending Office to make, maintain or fund any Term SOFR Loans, or to determine or charge interest rates based upon Term SOFR, or any Governmental Authority has imposed material restrictions on the authority of such Lender to purchase or sell, or to take deposits of, Dollars in the London interbank market then, on notice thereof by such Lender to the Borrower through the Administrative Agent, (i) any obligations of such Lender to make or continue Term SOFR Loans or to convert ABR Borrowings to Term SOFR Borrowings shall be suspended and (ii) if such notice asserts the illegality of such Lender making or maintaining ABR Loans the interest rate on which is determined by reference to the Term SOFR component of the ABR, the interest rate on which ABR Loans of such Lender shall, if necessary to avoid such illegality, be determined by the Administrative Agent without reference to the Term SOFR component of the ABR, in each case until such Lender notifies the Administrative Agent and the Borrower that the circumstances giving rise to such determination no longer exist. Upon receipt of such notice, (x) the Borrower shall upon demand from such Lender (with a copy to the Administrative Agent), convert all Term SOFR Borrowings of such Lender to ABR Borrowings (the interest rate on such ABR Loans of such Lender shall, if necessary to avoid such illegality, be determined by the Administrative Agent without reference to the Term SOFR component of the ABR), either on the last day of the Interest Period therefor, if such Lender may lawfully continue to maintain such Term SOFR Borrowings to such day, or immediately, if such Lender may not lawfully continue to maintain such Loans and (y) if such notice asserts the illegality of such Lender determining or charging interest rates based upon Term SOFR, the Administrative Agent shall during the period of such suspension compute the ABR applicable to such Lender without reference to the Term SOFR component thereof until the Administrative Agent is advised in writing by such Lender that it is no longer illegal for such Lender to determine or charge interest rates based upon Term SOFR. Upon any such prepayment or conversion, the Borrower shall also pay accrued interest on the amount so prepaid or converted.</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6480175" cy="781050"/>
                <wp:effectExtent l="0" t="0" r="0" b="0"/>
                <wp:wrapNone/>
                <wp:docPr id="327" name="Frame326"/>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125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125</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jc w:val="left"/>
        <w:rPr/>
      </w:pPr>
      <w:r>
        <w:rPr>
          <w:rFonts w:ascii="Times New Roman;sans-serif" w:hAnsi="Times New Roman;sans-serif"/>
          <w:b w:val="false"/>
          <w:color w:val="000000"/>
          <w:sz w:val="24"/>
        </w:rPr>
        <w:t xml:space="preserve">Section 2.21. </w:t>
      </w:r>
      <w:r>
        <w:rPr>
          <w:rFonts w:ascii="Times New Roman;sans-serif" w:hAnsi="Times New Roman;sans-serif"/>
          <w:b w:val="false"/>
          <w:color w:val="000000"/>
          <w:sz w:val="24"/>
          <w:u w:val="single"/>
        </w:rPr>
        <w:t>Incremental Commitments</w:t>
      </w:r>
      <w:r>
        <w:rPr>
          <w:rFonts w:ascii="Times New Roman;sans-serif" w:hAnsi="Times New Roman;sans-serif"/>
          <w:b w:val="false"/>
          <w:color w:val="000000"/>
          <w:sz w:val="24"/>
        </w:rPr>
        <w:t>.</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 xml:space="preserve">(a)The Borrower may, by written notice to the Administrative Agent from time to time, request Incremental Term Loan Commitments and/or Incremental Revolving Facility Commitments, as applicable, in an amount not to exceed the Incremental Amount available at the time such Incremental Term Loans are funded or Incremental Revolving Facility Commitments are established from one or more Incremental Term Lenders and/or Incremental Revolving Facility Lenders (which, in each case, may include any existing Lender) willing to provide such Incremental Term Loans and/or Incremental Revolving Facility Commitments, as the case may be, in their sole discretion (and no approval of any existing Lender other than in its capacity, if any, as a lender providing all or part of any Incremental Term Loan Commitments and/or Incremental Revolving Facility Commitments shall be required);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that each Incremental Revolving Facility Lender providing a commitment to make revolving loans shall be subject to the approval of the Administrative Agent and, to the extent the same would be required for an assignment under Section 9.04, each Issuing Bank and the Swingline Lender (which approvals shall not be unreasonably withheld, conditioned or delayed). Such notice shall set forth (i) the amount of the Incremental Term Loan Commitments and/or Incremental Revolving Facility Commitments being requested (which shall be in minimum increments of $1,000,000 and a minimum amount of $5,000,000, or equal to the remaining Incremental Amount or, in each case, such lesser amount approved by the Administrative Agent), (ii) the date on which such Incremental Term Loan Commitments and/or Incremental Revolving Facility Commitments are requested to become effective and (iii) in the case of Incremental Term Loan Commitments, whether such Incremental Term Loan Commitments are to be (x) commitments to make term loans with terms identical to (and which shall together with any then outstanding Initial Term Loans form a single Class of) Initial Term Loans or (y) commitments to make term loans with pricing, maturity, amortization, participation in mandatory prepayments and/or other terms different from the Initial Term Loans (“</w:t>
      </w:r>
      <w:r>
        <w:rPr>
          <w:rFonts w:ascii="Times New Roman;sans-serif" w:hAnsi="Times New Roman;sans-serif"/>
          <w:b w:val="false"/>
          <w:color w:val="000000"/>
          <w:sz w:val="24"/>
          <w:u w:val="single"/>
        </w:rPr>
        <w:t>Other Incremental Term Loans</w:t>
      </w:r>
      <w:r>
        <w:rPr>
          <w:color w:val="000000"/>
        </w:rPr>
        <w:t>”</w:t>
      </w:r>
      <w:r>
        <w:rPr>
          <w:rFonts w:ascii="Times New Roman;sans-serif" w:hAnsi="Times New Roman;sans-serif"/>
          <w:b w:val="false"/>
          <w:color w:val="000000"/>
          <w:sz w:val="24"/>
        </w:rPr>
        <w:t>).</w:t>
      </w:r>
    </w:p>
    <w:p>
      <w:pPr>
        <w:pStyle w:val="TextBody"/>
        <w:bidi w:val="0"/>
        <w:spacing w:lineRule="auto" w:line="240" w:before="239" w:after="283"/>
        <w:ind w:left="0" w:right="0" w:firstLine="720"/>
        <w:jc w:val="both"/>
        <w:rPr/>
      </w:pPr>
      <w:r>
        <w:rPr>
          <w:rFonts w:ascii="Times New Roman;sans-serif" w:hAnsi="Times New Roman;sans-serif"/>
          <w:b w:val="false"/>
          <w:color w:val="000000"/>
          <w:sz w:val="24"/>
        </w:rPr>
        <w:t xml:space="preserve">(b)The Borrower and each Incremental Term Lender and/or Incremental Revolving Facility Lender shall execute and deliver to the Administrative Agent an Incremental Assumption Agreement and such other documentation as the Administrative Agent shall reasonably specify to evidence the Incremental Term Loan Commitment of such Incremental Term Lender and/or Incremental Revolving Facility Commitment of such Incremental Revolving Facility Lender. Each Incremental Assumption Agreement shall specify the terms of the applicable Incremental Term Loans and/or Incremental Revolving Facility Commitments;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that:</w:t>
      </w:r>
    </w:p>
    <w:p>
      <w:pPr>
        <w:pStyle w:val="TextBody"/>
        <w:bidi w:val="0"/>
        <w:spacing w:lineRule="auto" w:line="240" w:before="241"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(i)any (x) commitments to make additional Initial Term Loans shall have the same terms as the Initial Term Loans, and shall form part of the same Class as the Initial Term Loans and (y) Incremental Revolving Facility Commitments shall have the same terms as the then outstanding Class of Revolving Facility Commitments (or, if more than one Class of Revolving Facility Commitments is then outstanding, the Revolving Facility Commitments with the then latest Revolving Facility Maturity Date) and shall require no scheduled amortization or mandatory commitment reduction prior to the Maturity Date of all then outstanding Revolving Facility Commitments,</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(ii)the Other Incremental Term Loans incurred pursuant to this Section 2.21 shall be entitled to benefit from the same guarantees as, and shall be entitled to be secured</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6480175" cy="781050"/>
                <wp:effectExtent l="0" t="0" r="0" b="0"/>
                <wp:wrapNone/>
                <wp:docPr id="328" name="Frame327"/>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126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126</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jc w:val="both"/>
        <w:rPr/>
      </w:pPr>
      <w:r>
        <w:rPr>
          <w:rFonts w:ascii="Times New Roman;sans-serif" w:hAnsi="Times New Roman;sans-serif"/>
          <w:b w:val="false"/>
          <w:color w:val="000000"/>
          <w:sz w:val="24"/>
        </w:rPr>
        <w:t xml:space="preserve">on a </w:t>
      </w:r>
      <w:r>
        <w:rPr>
          <w:rFonts w:ascii="Times New Roman;sans-serif" w:hAnsi="Times New Roman;sans-serif"/>
          <w:b w:val="false"/>
          <w:i/>
          <w:color w:val="000000"/>
          <w:sz w:val="24"/>
        </w:rPr>
        <w:t xml:space="preserve">pari passu </w:t>
      </w:r>
      <w:r>
        <w:rPr>
          <w:rFonts w:ascii="Times New Roman;sans-serif" w:hAnsi="Times New Roman;sans-serif"/>
          <w:b w:val="false"/>
          <w:color w:val="000000"/>
          <w:sz w:val="24"/>
        </w:rPr>
        <w:t>or junior basis by the same Collateral securing the Initial Term Loans (subject, in the case of any Incremental Term Loans secured on a junior basis, to a customary and reasonably satisfactory Intercreditor Agreement),</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 xml:space="preserve">(iii)except in the case of a bridge loan the terms of which provide for an automatic extension of the maturity date thereof to a date that is not earlier than the Initial Term Loan Maturity Date, the final maturity date of any Incremental Term Loans shall be no earlier than the Initial Term Loan Maturity Date in effect at the date of incurrence of such Incremental Term Loans and, subject to clause (i) above, except as to pricing, amortization, final maturity date and participation in mandatory prepayments (which shall, subject to the other clauses of this proviso, be determined by the Borrower and the Incremental Term Lenders in their sole discretion), shall have terms that are reasonably satisfactory in all respects to the Administrative Agent to the extent that such terms, except to the extent set forth above or below, are not substantially similar to the Initial Term Loans;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that any terms (x) that are added for the benefit of the Initial Term Lenders and the Revolving Facility Lenders pursuant to an amendment hereto (with no consent of the Lenders being required) or (y) that are only applicable to periods after the Initial Term Loan Maturity Date, in each case, shall be deemed reasonably satisfactory to the Administrative Agent,</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(iv)except in the case of a bridge loan the terms of which provide for an automatic extension of the maturity date thereof to a date that is not earlier than the Initial Term Loan Maturity Date, the Weighted Average Life to Maturity of any Incremental Term Loans that are not Initial Term Loans shall be no shorter than the remaining Weighted Average Life to Maturity of the Initial Term Loans,</w:t>
      </w:r>
    </w:p>
    <w:p>
      <w:pPr>
        <w:pStyle w:val="TextBody"/>
        <w:bidi w:val="0"/>
        <w:spacing w:lineRule="auto" w:line="240" w:before="241" w:after="283"/>
        <w:ind w:left="0" w:right="0" w:firstLine="720"/>
        <w:jc w:val="both"/>
        <w:rPr/>
      </w:pPr>
      <w:r>
        <w:rPr>
          <w:rFonts w:ascii="Times New Roman;sans-serif" w:hAnsi="Times New Roman;sans-serif"/>
          <w:b w:val="false"/>
          <w:color w:val="000000"/>
          <w:sz w:val="24"/>
        </w:rPr>
        <w:t xml:space="preserve">(v)with respect to any Incremental Term Loan secured on a </w:t>
      </w:r>
      <w:r>
        <w:rPr>
          <w:rFonts w:ascii="Times New Roman;sans-serif" w:hAnsi="Times New Roman;sans-serif"/>
          <w:b w:val="false"/>
          <w:i/>
          <w:color w:val="000000"/>
          <w:sz w:val="24"/>
        </w:rPr>
        <w:t xml:space="preserve">pari passu </w:t>
      </w:r>
      <w:r>
        <w:rPr>
          <w:rFonts w:ascii="Times New Roman;sans-serif" w:hAnsi="Times New Roman;sans-serif"/>
          <w:b w:val="false"/>
          <w:color w:val="000000"/>
          <w:sz w:val="24"/>
        </w:rPr>
        <w:t>basis with the Loan Obligations, the All-in Yield shall be as agreed by the respective Incremental Term Lenders and the Borrowers, except that during the first six (6) months following the Closing Date, the All-in Yield in respect of any such Incremental Term Loan that is a broadly syndicated term loan “B” (other than any Excluded Incremental Facility) may exceed the All-in Yield in respect of the Initial Term Loans by no more than 0.50%, or if it does so exceed such All-in Yield (such difference, the “</w:t>
      </w:r>
      <w:r>
        <w:rPr>
          <w:rFonts w:ascii="Times New Roman;sans-serif" w:hAnsi="Times New Roman;sans-serif"/>
          <w:b w:val="false"/>
          <w:color w:val="000000"/>
          <w:sz w:val="24"/>
          <w:u w:val="single"/>
        </w:rPr>
        <w:t>Term Yield Differential</w:t>
      </w:r>
      <w:r>
        <w:rPr>
          <w:color w:val="000000"/>
        </w:rPr>
        <w:t>”</w:t>
      </w:r>
      <w:r>
        <w:rPr>
          <w:rFonts w:ascii="Times New Roman;sans-serif" w:hAnsi="Times New Roman;sans-serif"/>
          <w:b w:val="false"/>
          <w:color w:val="000000"/>
          <w:sz w:val="24"/>
        </w:rPr>
        <w:t xml:space="preserve">) then the Applicable Margin (or the “Term SOFR floor” as provided in the following proviso) applicable to such Initial Term Loans shall be increased such that after giving effect to such increase, the Term Yield Differential shall not exceed 0.50%;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that to the extent any portion of the Term Yield Differential is attributable to a higher “Term SOFR floor” being applicable to such Incremental Term Loans, such floor shall only be included in the calculation of the Term Yield Differential to the extent such floor is greater than Term SOFR in effect for an Interest Period of three months’ duration at such time, and, with respect to such excess, the “Term SOFR floor” applicable to the outstanding Initial Term Loans shall be increased to an amount not to exceed the “Term SOFR floor” applicable to such Incremental Term Loans prior to any increase in the Applicable Margin applicable to such Initial Term Loans then outstanding (this clause (v), the “</w:t>
      </w:r>
      <w:r>
        <w:rPr>
          <w:rFonts w:ascii="Times New Roman;sans-serif" w:hAnsi="Times New Roman;sans-serif"/>
          <w:b w:val="false"/>
          <w:color w:val="000000"/>
          <w:sz w:val="24"/>
          <w:u w:val="single"/>
        </w:rPr>
        <w:t>MFN Provision</w:t>
      </w:r>
      <w:r>
        <w:rPr>
          <w:color w:val="000000"/>
        </w:rPr>
        <w:t>”</w:t>
      </w:r>
      <w:r>
        <w:rPr>
          <w:rFonts w:ascii="Times New Roman;sans-serif" w:hAnsi="Times New Roman;sans-serif"/>
          <w:b w:val="false"/>
          <w:color w:val="000000"/>
          <w:sz w:val="24"/>
        </w:rPr>
        <w:t>),</w:t>
      </w:r>
    </w:p>
    <w:p>
      <w:pPr>
        <w:pStyle w:val="TextBody"/>
        <w:bidi w:val="0"/>
        <w:spacing w:lineRule="auto" w:line="240" w:before="239" w:after="283"/>
        <w:ind w:left="0" w:right="0" w:firstLine="720"/>
        <w:jc w:val="both"/>
        <w:rPr/>
      </w:pPr>
      <w:r>
        <w:rPr>
          <w:rFonts w:ascii="Times New Roman;sans-serif" w:hAnsi="Times New Roman;sans-serif"/>
          <w:b w:val="false"/>
          <w:color w:val="000000"/>
          <w:sz w:val="24"/>
        </w:rPr>
        <w:t xml:space="preserve">(vi)such Other Incremental Term Loans may require participation on a </w:t>
      </w:r>
      <w:r>
        <w:rPr>
          <w:rFonts w:ascii="Times New Roman;sans-serif" w:hAnsi="Times New Roman;sans-serif"/>
          <w:b w:val="false"/>
          <w:color w:val="000000"/>
          <w:sz w:val="24"/>
          <w:u w:val="single"/>
        </w:rPr>
        <w:t>pro rata</w:t>
      </w:r>
      <w:r>
        <w:rPr>
          <w:color w:val="000000"/>
        </w:rPr>
        <w:t xml:space="preserve"> </w:t>
      </w:r>
      <w:r>
        <w:rPr>
          <w:rFonts w:ascii="Times New Roman;sans-serif" w:hAnsi="Times New Roman;sans-serif"/>
          <w:b w:val="false"/>
          <w:color w:val="000000"/>
          <w:sz w:val="24"/>
        </w:rPr>
        <w:t xml:space="preserve">basis or a less than pro rata basis (but not a greater than </w:t>
      </w:r>
      <w:r>
        <w:rPr>
          <w:rFonts w:ascii="Times New Roman;sans-serif" w:hAnsi="Times New Roman;sans-serif"/>
          <w:b w:val="false"/>
          <w:color w:val="000000"/>
          <w:sz w:val="24"/>
          <w:u w:val="single"/>
        </w:rPr>
        <w:t>pro rata</w:t>
      </w:r>
      <w:r>
        <w:rPr>
          <w:color w:val="000000"/>
        </w:rPr>
        <w:t xml:space="preserve"> </w:t>
      </w:r>
      <w:r>
        <w:rPr>
          <w:rFonts w:ascii="Times New Roman;sans-serif" w:hAnsi="Times New Roman;sans-serif"/>
          <w:b w:val="false"/>
          <w:color w:val="000000"/>
          <w:sz w:val="24"/>
        </w:rPr>
        <w:t>basis) with the Initial Term</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6480175" cy="781050"/>
                <wp:effectExtent l="0" t="0" r="0" b="0"/>
                <wp:wrapNone/>
                <wp:docPr id="329" name="Frame328"/>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127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127</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jc w:val="left"/>
        <w:rPr>
          <w:rFonts w:ascii="Times New Roman;sans-serif" w:hAnsi="Times New Roman;sans-serif"/>
          <w:b w:val="false"/>
          <w:color w:val="000000"/>
          <w:sz w:val="24"/>
        </w:rPr>
      </w:pPr>
      <w:r>
        <w:rPr>
          <w:rFonts w:ascii="Times New Roman;sans-serif" w:hAnsi="Times New Roman;sans-serif"/>
          <w:b w:val="false"/>
          <w:color w:val="000000"/>
          <w:sz w:val="24"/>
        </w:rPr>
        <w:t>Loans in any mandatory prepayment hereunder (other than as provided otherwise in the case of such prepayments pursuant to Section 2.11(b)(2)),</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 xml:space="preserve">(vii)such Other Incremental Term Loans may require participation on a </w:t>
      </w:r>
      <w:r>
        <w:rPr>
          <w:rFonts w:ascii="Times New Roman;sans-serif" w:hAnsi="Times New Roman;sans-serif"/>
          <w:b w:val="false"/>
          <w:color w:val="000000"/>
          <w:sz w:val="24"/>
          <w:u w:val="single"/>
        </w:rPr>
        <w:t>pro rata</w:t>
      </w:r>
      <w:r>
        <w:rPr>
          <w:color w:val="000000"/>
        </w:rPr>
        <w:t xml:space="preserve"> </w:t>
      </w:r>
      <w:r>
        <w:rPr>
          <w:rFonts w:ascii="Times New Roman;sans-serif" w:hAnsi="Times New Roman;sans-serif"/>
          <w:b w:val="false"/>
          <w:color w:val="000000"/>
          <w:sz w:val="24"/>
        </w:rPr>
        <w:t xml:space="preserve">basis or </w:t>
      </w:r>
      <w:r>
        <w:rPr>
          <w:rFonts w:ascii="Times New Roman;sans-serif" w:hAnsi="Times New Roman;sans-serif"/>
          <w:b w:val="false"/>
          <w:color w:val="000000"/>
          <w:sz w:val="24"/>
          <w:u w:val="single"/>
        </w:rPr>
        <w:t>non-pro rata</w:t>
      </w:r>
      <w:r>
        <w:rPr>
          <w:color w:val="000000"/>
        </w:rPr>
        <w:t xml:space="preserve"> </w:t>
      </w:r>
      <w:r>
        <w:rPr>
          <w:rFonts w:ascii="Times New Roman;sans-serif" w:hAnsi="Times New Roman;sans-serif"/>
          <w:b w:val="false"/>
          <w:color w:val="000000"/>
          <w:sz w:val="24"/>
        </w:rPr>
        <w:t>basis with the Initial Term Loans in any voluntary prepayment hereunder,</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(viii)there shall be no borrower (other than the Borrower) or guarantor (other than the Guarantors) in respect of any Incremental Term Loan Commitments or Incremental Revolving Facility Commitments,</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(ix)any Incremental Revolving Facility Commitment will be documented solely as an increase to the commitments with respect to the Revolving Facility Commitments, without any change in terms except for such upfront fees as may be agreed between the Lenders providing such Incremental Revolving Facility Commitments and the Borrower; and</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(x)Other Incremental Term Loans and Incremental Revolving Facility Commitments shall not be secured by any asset of the Borrower or its Subsidiaries other than the Collateral.</w:t>
      </w:r>
    </w:p>
    <w:p>
      <w:pPr>
        <w:pStyle w:val="TextBody"/>
        <w:bidi w:val="0"/>
        <w:spacing w:lineRule="auto" w:line="240"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Each party hereto hereby agrees that, upon the effectiveness of any Incremental Assumption Agreement, this Agreement shall be amended to the extent (but only to the extent) necessary to reflect the existence and terms of the Incremental Term Loan Commitments and/or Incremental Revolving Facility Commitments evidenced thereby as provided for in Section 9.08(e). Any amendment to this Agreement or any other Loan Document that is necessary to effect the provisions of this Section 2.21 and any such collateral and other documentation shall be deemed “Loan Documents” hereunder and may be memorialized in writing by the Administrative Agent with the Borrower’s consent (not to be unreasonably withheld) and furnished to the other parties hereto.</w:t>
      </w:r>
    </w:p>
    <w:p>
      <w:pPr>
        <w:pStyle w:val="TextBody"/>
        <w:bidi w:val="0"/>
        <w:spacing w:lineRule="auto" w:line="240" w:before="239"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(c)Notwithstanding the foregoing, no Incremental Term Loan Commitment or Incremental Revolving Facility Commitment shall become effective under this Section 2.21 unless</w:t>
      </w:r>
    </w:p>
    <w:p>
      <w:pPr>
        <w:pStyle w:val="TextBody"/>
        <w:bidi w:val="0"/>
        <w:spacing w:lineRule="auto" w:line="240" w:before="0" w:after="0"/>
        <w:jc w:val="both"/>
        <w:rPr/>
      </w:pPr>
      <w:r>
        <w:rPr>
          <w:rFonts w:ascii="Times New Roman;sans-serif" w:hAnsi="Times New Roman;sans-serif"/>
          <w:b w:val="false"/>
          <w:color w:val="000000"/>
          <w:sz w:val="24"/>
        </w:rPr>
        <w:t xml:space="preserve">(i) no Event of Default shall have occurred and be continuing;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that in the event that any tranche of Incremental Term Loans is used to finance a Limited Condition Transaction, (A) to the extent the Incremental Term Lenders participating in such tranche of Incremental Term Loans agree, the foregoing clause (i) shall be tested at the time of the execution of the acquisition agreement, the declaration of the dividend by the Board of Directors of the Borrower or the applicable Subsidiary or the giving of the irrevocable notice of repayment or redemption, as applicable related to such Limited Condition Transaction and (B) no Event of Default shall exist under Section 7.01(b), (c), (h) or (i) at the time such Incremental Term Loans are incurred; (ii) the representations and warranties of the Borrower set forth in this Agreement shall be true and correct in all material respects (other than to the extent qualified by materiality or “Material Adverse Effect,” in which case, such representations and warranties shall be true and correct);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that in the event that the tranche of Incremental Term Loans is used to finance a Limited Condition Transaction and to the extent the Incremental Term Lenders participating in such tranche of Incremental Term Loans agree, the foregoing clause (ii) shall be limited to the Specified</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6480175" cy="781050"/>
                <wp:effectExtent l="0" t="0" r="0" b="0"/>
                <wp:wrapNone/>
                <wp:docPr id="330" name="Frame329"/>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128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128</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jc w:val="both"/>
        <w:rPr>
          <w:rFonts w:ascii="Times New Roman;sans-serif" w:hAnsi="Times New Roman;sans-serif"/>
          <w:b w:val="false"/>
          <w:color w:val="000000"/>
          <w:sz w:val="24"/>
        </w:rPr>
      </w:pPr>
      <w:r>
        <w:rPr>
          <w:rFonts w:ascii="Times New Roman;sans-serif" w:hAnsi="Times New Roman;sans-serif"/>
          <w:b w:val="false"/>
          <w:color w:val="000000"/>
          <w:sz w:val="24"/>
        </w:rPr>
        <w:t>Representations (with the representation in Section 3.18 made on the date of funding of such Incremental Term Loans and after giving effect to such Limited Condition Transaction and other transactions on such date in connection therewith) and those representations of the seller or the target company (as applicable) included in the acquisition agreement related to the person or business to be acquired that are material to the interests of the Lenders and only to the extent that the Borrower or its applicable Subsidiary has the right to terminate its obligations under such acquisition agreement as a result of a failure of such representations to be accurate; and (iii) the Administrative Agent shall have received documents and legal opinions consistent with those delivered on the Closing Date as to such matters as are reasonably requested by the Administrative Agent. The Administrative Agent shall promptly notify each Lender as to the effectiveness of each Incremental Assumption Agreement.</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 xml:space="preserve">(d)Each of the parties hereto hereby agrees that the Administrative Agent may take any and all actions as may be reasonably necessary to ensure that (i) all Incremental Term Loans (other than Other Incremental Term Loans), when originally made, are included in each Borrowing of the outstanding applicable Class of Term Loans on a </w:t>
      </w:r>
      <w:r>
        <w:rPr>
          <w:rFonts w:ascii="Times New Roman;sans-serif" w:hAnsi="Times New Roman;sans-serif"/>
          <w:b w:val="false"/>
          <w:color w:val="000000"/>
          <w:sz w:val="24"/>
          <w:u w:val="single"/>
        </w:rPr>
        <w:t>pro rata</w:t>
      </w:r>
      <w:r>
        <w:rPr>
          <w:color w:val="000000"/>
        </w:rPr>
        <w:t xml:space="preserve"> </w:t>
      </w:r>
      <w:r>
        <w:rPr>
          <w:rFonts w:ascii="Times New Roman;sans-serif" w:hAnsi="Times New Roman;sans-serif"/>
          <w:b w:val="false"/>
          <w:color w:val="000000"/>
          <w:sz w:val="24"/>
        </w:rPr>
        <w:t xml:space="preserve">basis, and (ii) all Revolving Facility Loans in respect of Incremental Revolving Facility Commitments, when originally made, are included in each Borrowing of the applicable Class of outstanding Revolving Facility Loans on a </w:t>
      </w:r>
      <w:r>
        <w:rPr>
          <w:rFonts w:ascii="Times New Roman;sans-serif" w:hAnsi="Times New Roman;sans-serif"/>
          <w:b w:val="false"/>
          <w:color w:val="000000"/>
          <w:sz w:val="24"/>
          <w:u w:val="single"/>
        </w:rPr>
        <w:t>pro rata</w:t>
      </w:r>
      <w:r>
        <w:rPr>
          <w:color w:val="000000"/>
        </w:rPr>
        <w:t xml:space="preserve"> </w:t>
      </w:r>
      <w:r>
        <w:rPr>
          <w:rFonts w:ascii="Times New Roman;sans-serif" w:hAnsi="Times New Roman;sans-serif"/>
          <w:b w:val="false"/>
          <w:color w:val="000000"/>
          <w:sz w:val="24"/>
        </w:rPr>
        <w:t>basis. The Borrower agrees that Section 2.16 shall apply to any conversion of Term SOFR Loans to ABR Loans reasonably required by the Administrative Agent to effect the foregoing.</w:t>
      </w:r>
    </w:p>
    <w:p>
      <w:pPr>
        <w:pStyle w:val="TextBody"/>
        <w:bidi w:val="0"/>
        <w:spacing w:lineRule="auto" w:line="240" w:before="241" w:after="283"/>
        <w:jc w:val="left"/>
        <w:rPr/>
      </w:pPr>
      <w:r>
        <w:rPr>
          <w:rFonts w:ascii="Times New Roman;sans-serif" w:hAnsi="Times New Roman;sans-serif"/>
          <w:b w:val="false"/>
          <w:color w:val="000000"/>
          <w:sz w:val="24"/>
        </w:rPr>
        <w:t xml:space="preserve">Section 2.22. </w:t>
      </w:r>
      <w:r>
        <w:rPr>
          <w:rFonts w:ascii="Times New Roman;sans-serif" w:hAnsi="Times New Roman;sans-serif"/>
          <w:b w:val="false"/>
          <w:color w:val="000000"/>
          <w:sz w:val="24"/>
          <w:u w:val="single"/>
        </w:rPr>
        <w:t>Extensions of Loans and Commitments</w:t>
      </w:r>
      <w:r>
        <w:rPr>
          <w:rFonts w:ascii="Times New Roman;sans-serif" w:hAnsi="Times New Roman;sans-serif"/>
          <w:b w:val="false"/>
          <w:color w:val="000000"/>
          <w:sz w:val="24"/>
        </w:rPr>
        <w:t>.</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 xml:space="preserve">(a)Notwithstanding anything to the contrary in this Agreement, including Section 2.18(b) (which provisions shall not be applicable to this Section 2.22), pursuant to one or more offers made from time to time by the Borrower to all Lenders of any Class of Term Loans and/or Revolving Facility Commitments on a </w:t>
      </w:r>
      <w:r>
        <w:rPr>
          <w:rFonts w:ascii="Times New Roman;sans-serif" w:hAnsi="Times New Roman;sans-serif"/>
          <w:b w:val="false"/>
          <w:color w:val="000000"/>
          <w:sz w:val="24"/>
          <w:u w:val="single"/>
        </w:rPr>
        <w:t>pro rata</w:t>
      </w:r>
      <w:r>
        <w:rPr>
          <w:color w:val="000000"/>
        </w:rPr>
        <w:t xml:space="preserve"> </w:t>
      </w:r>
      <w:r>
        <w:rPr>
          <w:rFonts w:ascii="Times New Roman;sans-serif" w:hAnsi="Times New Roman;sans-serif"/>
          <w:b w:val="false"/>
          <w:color w:val="000000"/>
          <w:sz w:val="24"/>
        </w:rPr>
        <w:t>basis (based, in the case of an offer to the Lenders under any Class of Term Loans, on the aggregate outstanding Term Loans of such Class and, in the case of an offer to the Lenders under any Revolving Facility, on the aggregate outstanding Revolving Facility Commitments under such Revolving Facility, as applicable), and on the same terms to each such Lender (“</w:t>
      </w:r>
      <w:r>
        <w:rPr>
          <w:rFonts w:ascii="Times New Roman;sans-serif" w:hAnsi="Times New Roman;sans-serif"/>
          <w:b w:val="false"/>
          <w:color w:val="000000"/>
          <w:sz w:val="24"/>
          <w:u w:val="single"/>
        </w:rPr>
        <w:t>Pro Rata Extension Offers</w:t>
      </w:r>
      <w:r>
        <w:rPr>
          <w:color w:val="000000"/>
        </w:rPr>
        <w:t>”</w:t>
      </w:r>
      <w:r>
        <w:rPr>
          <w:rFonts w:ascii="Times New Roman;sans-serif" w:hAnsi="Times New Roman;sans-serif"/>
          <w:b w:val="false"/>
          <w:color w:val="000000"/>
          <w:sz w:val="24"/>
        </w:rPr>
        <w:t>), the Borrower is hereby permitted to consummate transactions with individual Lenders that agree to such transactions from time to time to extend the maturity date of such Lender’s Loans and/or Commitments of such Class and to otherwise modify the terms of such Lender’s Loans and/or Commitments of such Class pursuant to the terms of the relevant Pro Rata Extension Offer (including, without limitation, increasing the interest rate or fees payable in respect of such Lender’s Loans and/or Commitments and/or modifying the amortization schedule in respect of such Lender’s Loans). For the avoidance of doubt, the reference to “on the same terms” in the preceding sentence shall mean, (i) in the case of an offer to the Lenders under any Class of Term Loans, that all of the Term Loans of such Class are offered to be extended for the same amount of time and that the interest rate changes and fees payable with respect to such extension are the same and (ii) in the case of an offer to the Lenders under any Revolving Facility, that all of the Revolving Facility Commitments of such Facility are offered to be extended for the same amount of time and that the interest rate changes and fees payable with respect to such extension are the same. Any such extension (an “</w:t>
      </w:r>
      <w:r>
        <w:rPr>
          <w:rFonts w:ascii="Times New Roman;sans-serif" w:hAnsi="Times New Roman;sans-serif"/>
          <w:b w:val="false"/>
          <w:color w:val="000000"/>
          <w:sz w:val="24"/>
          <w:u w:val="single"/>
        </w:rPr>
        <w:t>Extension</w:t>
      </w:r>
      <w:r>
        <w:rPr>
          <w:color w:val="000000"/>
        </w:rPr>
        <w:t>”</w:t>
      </w:r>
      <w:r>
        <w:rPr>
          <w:rFonts w:ascii="Times New Roman;sans-serif" w:hAnsi="Times New Roman;sans-serif"/>
          <w:b w:val="false"/>
          <w:color w:val="000000"/>
          <w:sz w:val="24"/>
        </w:rPr>
        <w:t>) agreed to between the Borrower and any such Lender (an “</w:t>
      </w:r>
      <w:r>
        <w:rPr>
          <w:rFonts w:ascii="Times New Roman;sans-serif" w:hAnsi="Times New Roman;sans-serif"/>
          <w:b w:val="false"/>
          <w:color w:val="000000"/>
          <w:sz w:val="24"/>
          <w:u w:val="single"/>
        </w:rPr>
        <w:t>Extending Lender</w:t>
      </w:r>
      <w:r>
        <w:rPr>
          <w:color w:val="000000"/>
        </w:rPr>
        <w:t>”</w:t>
      </w:r>
      <w:r>
        <w:rPr>
          <w:rFonts w:ascii="Times New Roman;sans-serif" w:hAnsi="Times New Roman;sans-serif"/>
          <w:b w:val="false"/>
          <w:color w:val="000000"/>
          <w:sz w:val="24"/>
        </w:rPr>
        <w:t>) will be established under this Agreement by implementing an Other Term Loan for such Lender if such Lender is extending</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6480175" cy="781050"/>
                <wp:effectExtent l="0" t="0" r="0" b="0"/>
                <wp:wrapNone/>
                <wp:docPr id="331" name="Frame330"/>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129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129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jc w:val="both"/>
        <w:rPr/>
      </w:pPr>
      <w:r>
        <w:rPr>
          <w:rFonts w:ascii="Times New Roman;sans-serif" w:hAnsi="Times New Roman;sans-serif"/>
          <w:b w:val="false"/>
          <w:color w:val="000000"/>
          <w:sz w:val="24"/>
        </w:rPr>
        <w:t>an existing Term Loan (such extended Term Loan, an “</w:t>
      </w:r>
      <w:r>
        <w:rPr>
          <w:rFonts w:ascii="Times New Roman;sans-serif" w:hAnsi="Times New Roman;sans-serif"/>
          <w:b w:val="false"/>
          <w:color w:val="000000"/>
          <w:sz w:val="24"/>
          <w:u w:val="single"/>
        </w:rPr>
        <w:t>Extended Term Loan</w:t>
      </w:r>
      <w:r>
        <w:rPr>
          <w:color w:val="000000"/>
        </w:rPr>
        <w:t>”</w:t>
      </w:r>
      <w:r>
        <w:rPr>
          <w:rFonts w:ascii="Times New Roman;sans-serif" w:hAnsi="Times New Roman;sans-serif"/>
          <w:b w:val="false"/>
          <w:color w:val="000000"/>
          <w:sz w:val="24"/>
        </w:rPr>
        <w:t>) or an Other Revolving Facility Commitment for such Lender if such Lender is extending an existing Revolving Facility Commitment (such extended Revolving Facility Commitment, an “</w:t>
      </w:r>
      <w:r>
        <w:rPr>
          <w:rFonts w:ascii="Times New Roman;sans-serif" w:hAnsi="Times New Roman;sans-serif"/>
          <w:b w:val="false"/>
          <w:color w:val="000000"/>
          <w:sz w:val="24"/>
          <w:u w:val="single"/>
        </w:rPr>
        <w:t>Extended Revolving</w:t>
      </w:r>
      <w:r>
        <w:rPr>
          <w:color w:val="000000"/>
        </w:rPr>
        <w:t xml:space="preserve"> </w:t>
      </w:r>
      <w:r>
        <w:rPr>
          <w:rFonts w:ascii="Times New Roman;sans-serif" w:hAnsi="Times New Roman;sans-serif"/>
          <w:b w:val="false"/>
          <w:color w:val="000000"/>
          <w:sz w:val="24"/>
          <w:u w:val="single"/>
        </w:rPr>
        <w:t>Facility Commitment</w:t>
      </w:r>
      <w:r>
        <w:rPr>
          <w:rFonts w:ascii="Times New Roman;sans-serif" w:hAnsi="Times New Roman;sans-serif"/>
          <w:b w:val="false"/>
          <w:color w:val="000000"/>
          <w:sz w:val="24"/>
        </w:rPr>
        <w:t>,” and any Revolving Facility Loan made pursuant to such Extended Revolving Facility Commitment, an “</w:t>
      </w:r>
      <w:r>
        <w:rPr>
          <w:rFonts w:ascii="Times New Roman;sans-serif" w:hAnsi="Times New Roman;sans-serif"/>
          <w:b w:val="false"/>
          <w:color w:val="000000"/>
          <w:sz w:val="24"/>
          <w:u w:val="single"/>
        </w:rPr>
        <w:t>Extended Revolving Loan</w:t>
      </w:r>
      <w:r>
        <w:rPr>
          <w:color w:val="000000"/>
        </w:rPr>
        <w:t>”</w:t>
      </w:r>
      <w:r>
        <w:rPr>
          <w:rFonts w:ascii="Times New Roman;sans-serif" w:hAnsi="Times New Roman;sans-serif"/>
          <w:b w:val="false"/>
          <w:color w:val="000000"/>
          <w:sz w:val="24"/>
        </w:rPr>
        <w:t>). Each Pro Rata Extension Offer shall specify the date on which the Borrower proposes that the Extended Term Loan shall be made or the proposed Extended Revolving Facility Commitment shall become effective, which shall be a date not earlier than five (5) Business Days after the date on which notice is delivered to the Administrative Agent (or such shorter period agreed to by the Administrative Agent in its reasonable discretion).</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(b)The Borrower and each Extending Lender shall execute and deliver to the Administrative Agent an amendment to this Agreement (an “</w:t>
      </w:r>
      <w:r>
        <w:rPr>
          <w:rFonts w:ascii="Times New Roman;sans-serif" w:hAnsi="Times New Roman;sans-serif"/>
          <w:b w:val="false"/>
          <w:color w:val="000000"/>
          <w:sz w:val="24"/>
          <w:u w:val="single"/>
        </w:rPr>
        <w:t>Extension Amendment</w:t>
      </w:r>
      <w:r>
        <w:rPr>
          <w:color w:val="000000"/>
        </w:rPr>
        <w:t>”</w:t>
      </w:r>
      <w:r>
        <w:rPr>
          <w:rFonts w:ascii="Times New Roman;sans-serif" w:hAnsi="Times New Roman;sans-serif"/>
          <w:b w:val="false"/>
          <w:color w:val="000000"/>
          <w:sz w:val="24"/>
        </w:rPr>
        <w:t xml:space="preserve">) and such other documentation as the Administrative Agent shall reasonably specify to evidence the Extended Term Loans and/or Extended Revolving Facility Commitments of such Extending Lender. Each Extension Amendment shall specify the terms of the applicable Extended Term Loans and/or Extended Revolving Facility Commitments;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that (i) except as to interest rates, fees and any other pricing terms, and amortization, final maturity date and participation in prepayments and commitment reductions (which shall, subject to clauses (ii) and (iii) of this proviso, be determined by the Borrower and set forth in the Pro Rata Extension Offer), the Extended Term Loans shall have the same terms as the existing Class of Term Loans from which they are extended except for any terms which shall not apply until after the then Latest Maturity Date, (ii) the final maturity date of any Extended Term Loans shall be no earlier than the Term Facility Maturity Date of the Class of Term Loans subject to such Pro Rata Extension Offer, (iii) the Weighted Average Life to Maturity of any Extended Term Loans shall be no shorter than the remaining Weighted Average Life to Maturity of the Class of Term Loans to which such offer relates, (iv) except as to interest rates, fees, any other pricing terms and final maturity (which shall be determined by the Borrower and set forth in the Pro Rata Extension Offer), any Extended Revolving Facility Commitment shall have the same terms as the existing Class of Revolving Facility Commitments from which they are extended except for any terms which shall not apply until after the then Latest Maturity Date and, in respect of any other terms that would affect the rights or duties of any Issuing Bank or Swingline Lender, such terms as shall be reasonably satisfactory to such Issuing Bank or Swingline Lender, and (v) any Extended Term Loans may require participation on a </w:t>
      </w:r>
      <w:r>
        <w:rPr>
          <w:rFonts w:ascii="Times New Roman;sans-serif" w:hAnsi="Times New Roman;sans-serif"/>
          <w:b w:val="false"/>
          <w:color w:val="000000"/>
          <w:sz w:val="24"/>
          <w:u w:val="single"/>
        </w:rPr>
        <w:t>pro rata</w:t>
      </w:r>
      <w:r>
        <w:rPr>
          <w:color w:val="000000"/>
        </w:rPr>
        <w:t xml:space="preserve"> </w:t>
      </w:r>
      <w:r>
        <w:rPr>
          <w:rFonts w:ascii="Times New Roman;sans-serif" w:hAnsi="Times New Roman;sans-serif"/>
          <w:b w:val="false"/>
          <w:color w:val="000000"/>
          <w:sz w:val="24"/>
        </w:rPr>
        <w:t xml:space="preserve">basis or a less than </w:t>
      </w:r>
      <w:r>
        <w:rPr>
          <w:rFonts w:ascii="Times New Roman;sans-serif" w:hAnsi="Times New Roman;sans-serif"/>
          <w:b w:val="false"/>
          <w:color w:val="000000"/>
          <w:sz w:val="24"/>
          <w:u w:val="single"/>
        </w:rPr>
        <w:t>pro rata</w:t>
      </w:r>
      <w:r>
        <w:rPr>
          <w:color w:val="000000"/>
        </w:rPr>
        <w:t xml:space="preserve"> </w:t>
      </w:r>
      <w:r>
        <w:rPr>
          <w:rFonts w:ascii="Times New Roman;sans-serif" w:hAnsi="Times New Roman;sans-serif"/>
          <w:b w:val="false"/>
          <w:color w:val="000000"/>
          <w:sz w:val="24"/>
        </w:rPr>
        <w:t xml:space="preserve">basis (but not a greater than </w:t>
      </w:r>
      <w:r>
        <w:rPr>
          <w:rFonts w:ascii="Times New Roman;sans-serif" w:hAnsi="Times New Roman;sans-serif"/>
          <w:b w:val="false"/>
          <w:color w:val="000000"/>
          <w:sz w:val="24"/>
          <w:u w:val="single"/>
        </w:rPr>
        <w:t>pro rata</w:t>
      </w:r>
      <w:r>
        <w:rPr>
          <w:color w:val="000000"/>
        </w:rPr>
        <w:t xml:space="preserve"> </w:t>
      </w:r>
      <w:r>
        <w:rPr>
          <w:rFonts w:ascii="Times New Roman;sans-serif" w:hAnsi="Times New Roman;sans-serif"/>
          <w:b w:val="false"/>
          <w:color w:val="000000"/>
          <w:sz w:val="24"/>
        </w:rPr>
        <w:t>basis) than the Initial Term Loans in any mandatory prepayment hereunder (other than as provided otherwise in the case of such prepayments pursuant to Section 2.11(b)(2)). Upon the effectiveness of any Extension Amendment, this Agreement shall be amended to the extent (but only to the extent) necessary to reflect the existence and terms of the Extended Term Loans and/or Extended Revolving Facility Commitments evidenced thereby as provided for in Section 9.08(e). Any such deemed amendment may be memorialized in writing by the Administrative Agent with the Borrower’s consent (not to be unreasonably withheld) and furnished to the other parties hereto. If provided in any Extension Amendment with respect to any Extended Revolving Facility Commitments, and with the consent of the Swingline Lender and each Issuing Bank, participations in Swingline Loans and Letters of Credit shall be reallocated to lenders holding such Extended Revolving Facility Commitments in the manner specified in such Extension Amendment, including upon effectiveness of such Extended Revolving Facility Commitment or upon or prior to the maturity date for any Class of Revolving Facility Commitments.</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6480175" cy="781050"/>
                <wp:effectExtent l="0" t="0" r="0" b="0"/>
                <wp:wrapNone/>
                <wp:docPr id="332" name="Frame331"/>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130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130</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(c)Upon the effectiveness of any such Extension, the applicable Extending Lender’s Term Loan will be automatically designated an Extended Term Loan and/or such Extending Lender’s Revolving Facility Commitment will be automatically designated an Extended Revolving Facility Commitment. For purposes of this Agreement and the other Loan Documents,</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(i) if such Extending Lender is extending a Term Loan, such Extending Lender will be deemed to have an Other Term Loan having the terms of such Extended Term Loan and (ii) if such Extending Lender is extending a Revolving Facility Commitment, such Extending Lender will be deemed to have an Other Revolving Facility Commitment having the terms of such Extended Revolving Facility Commitment.</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(d)Notwithstanding anything to the contrary set forth in this Agreement or any other Loan Document (including without limitation this Section 2.22), (i) no Extended Term Loan or Extended Revolving Facility Commitment is required to be in any minimum amount or any minimum increment, (ii) any Extending Lender may extend all or any portion of its Term Loans and/or Revolving Facility Commitment pursuant to one or more Pro Rata Extension Offers (subject to applicable proration in the case of over participation) (including the extension of any Extended Term Loan and/or Extended Revolving Facility Commitment), (iii) there shall be no condition to any Extension of any Loan or Commitment at any time or from time to time other than notice to the Administrative Agent of such Extension and the terms of the Extended Term Loan or Extended Revolving Facility Commitment implemented thereby, (iv) all Extended Term Loans, Extended Revolving Facility Commitments and all obligations in respect thereof shall be Loan Obligations of the relevant Loan Parties under this Agreement and the other Loan Documents that rank equally and ratably in right of security with all other Obligations of the Class being extended (and all other Obligations secured by the same priority of Lien securing the Term Loans or Revolving Facility Loans being extended), (v) no Issuing Bank or Swingline Lender shall be obligated to provide Swingline Loans or issue Letters of Credit under such Extended Revolving Facility Commitments unless it shall have consented thereto and (vi) there shall be no borrower (other than the Borrower) and no guarantors (other than the Guarantors) in respect of any such Extended Term Loans or Extended Revolving Facility Commitments.</w:t>
      </w:r>
    </w:p>
    <w:p>
      <w:pPr>
        <w:pStyle w:val="TextBody"/>
        <w:bidi w:val="0"/>
        <w:spacing w:lineRule="auto" w:line="240" w:before="239" w:after="283"/>
        <w:ind w:left="0" w:right="0" w:firstLine="720"/>
        <w:jc w:val="both"/>
        <w:rPr/>
      </w:pPr>
      <w:r>
        <w:rPr>
          <w:rFonts w:ascii="Times New Roman;sans-serif" w:hAnsi="Times New Roman;sans-serif"/>
          <w:b w:val="false"/>
          <w:color w:val="000000"/>
          <w:sz w:val="24"/>
        </w:rPr>
        <w:t xml:space="preserve">(e)Each Extension shall be consummated pursuant to procedures set forth in the associated Pro Rata Extension Offer;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that the Borrower shall cooperate with the Administrative Agent prior to making any Pro Rata Extension Offer to establish reasonable procedures with respect to mechanical provisions relating to such Extension, including, without limitation, timing, rounding and other adjustments.</w:t>
      </w:r>
    </w:p>
    <w:p>
      <w:pPr>
        <w:pStyle w:val="TextBody"/>
        <w:bidi w:val="0"/>
        <w:spacing w:lineRule="auto" w:line="240" w:before="241" w:after="283"/>
        <w:jc w:val="left"/>
        <w:rPr/>
      </w:pPr>
      <w:r>
        <w:rPr>
          <w:rFonts w:ascii="Times New Roman;sans-serif" w:hAnsi="Times New Roman;sans-serif"/>
          <w:b w:val="false"/>
          <w:color w:val="000000"/>
          <w:sz w:val="24"/>
        </w:rPr>
        <w:t xml:space="preserve">Section 2.23. </w:t>
      </w:r>
      <w:r>
        <w:rPr>
          <w:rFonts w:ascii="Times New Roman;sans-serif" w:hAnsi="Times New Roman;sans-serif"/>
          <w:b w:val="false"/>
          <w:color w:val="000000"/>
          <w:sz w:val="24"/>
          <w:u w:val="single"/>
        </w:rPr>
        <w:t>Refinancing Amendments</w:t>
      </w:r>
      <w:r>
        <w:rPr>
          <w:rFonts w:ascii="Times New Roman;sans-serif" w:hAnsi="Times New Roman;sans-serif"/>
          <w:b w:val="false"/>
          <w:color w:val="000000"/>
          <w:sz w:val="24"/>
        </w:rPr>
        <w:t>.</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(a)Notwithstanding anything to the contrary in this Agreement, including Section 2.18(b) (which provisions shall not be applicable to this Section 2.23), the Borrower may by written notice to the Administrative Agent at any time after the Closing Date establish one or more additional tranches of term loans under this Agreement (such loans, “</w:t>
      </w:r>
      <w:r>
        <w:rPr>
          <w:rFonts w:ascii="Times New Roman;sans-serif" w:hAnsi="Times New Roman;sans-serif"/>
          <w:b w:val="false"/>
          <w:color w:val="000000"/>
          <w:sz w:val="24"/>
          <w:u w:val="single"/>
        </w:rPr>
        <w:t>Refinancing Term Loans</w:t>
      </w:r>
      <w:r>
        <w:rPr>
          <w:color w:val="000000"/>
        </w:rPr>
        <w:t>”</w:t>
      </w:r>
      <w:r>
        <w:rPr>
          <w:rFonts w:ascii="Times New Roman;sans-serif" w:hAnsi="Times New Roman;sans-serif"/>
          <w:b w:val="false"/>
          <w:color w:val="000000"/>
          <w:sz w:val="24"/>
        </w:rPr>
        <w:t>), all Net Proceeds of which are used to Refinance in whole or in part any Class of Term Loans pursuant to Section 2.11(b)(2). Each such notice shall specify the date (each, a “</w:t>
      </w:r>
      <w:r>
        <w:rPr>
          <w:rFonts w:ascii="Times New Roman;sans-serif" w:hAnsi="Times New Roman;sans-serif"/>
          <w:b w:val="false"/>
          <w:color w:val="000000"/>
          <w:sz w:val="24"/>
          <w:u w:val="single"/>
        </w:rPr>
        <w:t>Refinancing</w:t>
      </w:r>
      <w:r>
        <w:rPr>
          <w:color w:val="000000"/>
        </w:rPr>
        <w:t xml:space="preserve"> </w:t>
      </w:r>
      <w:r>
        <w:rPr>
          <w:rFonts w:ascii="Times New Roman;sans-serif" w:hAnsi="Times New Roman;sans-serif"/>
          <w:b w:val="false"/>
          <w:color w:val="000000"/>
          <w:sz w:val="24"/>
          <w:u w:val="single"/>
        </w:rPr>
        <w:t>Effective Date</w:t>
      </w:r>
      <w:r>
        <w:rPr>
          <w:color w:val="000000"/>
        </w:rPr>
        <w:t>”</w:t>
      </w:r>
      <w:r>
        <w:rPr>
          <w:rFonts w:ascii="Times New Roman;sans-serif" w:hAnsi="Times New Roman;sans-serif"/>
          <w:b w:val="false"/>
          <w:color w:val="000000"/>
          <w:sz w:val="24"/>
        </w:rPr>
        <w:t>) on which the Borrower proposes that the Refinancing Term Loans shall be made, which shall be a date not earlier than ten (10) Business Days after the date on which such notice is</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6480175" cy="781050"/>
                <wp:effectExtent l="0" t="0" r="0" b="0"/>
                <wp:wrapNone/>
                <wp:docPr id="333" name="Frame332"/>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131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131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jc w:val="left"/>
        <w:rPr/>
      </w:pPr>
      <w:r>
        <w:rPr>
          <w:rFonts w:ascii="Times New Roman;sans-serif" w:hAnsi="Times New Roman;sans-serif"/>
          <w:b w:val="false"/>
          <w:color w:val="000000"/>
          <w:sz w:val="24"/>
        </w:rPr>
        <w:t xml:space="preserve">delivered to the Administrative Agent (or such shorter period agreed to by the Administrative Agent in its sole discretion);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that:</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(i)after giving effect to the borrowing of such Refinancing Term Loans on the Refinancing Effective Date each of the conditions set forth in Section 4.02 shall be satisfied;</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(ii)the final maturity date of the Refinancing Term Loans shall be no earlier than the earlier of (x) the final maturity date of the refinanced Indebtedness and (y) the Latest Maturity Date in effect at the time of incurrence thereof;</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(iii)the Weighted Average Life to Maturity of such Refinancing Term Loans shall be no shorter than the lesser of (x) the then-remaining Weighted Average Life to Maturity of the refinanced Indebtedness and (y) the Weighted Average Life to Maturity of the Class of Term Loans then outstanding with the greatest remaining Weighted Average Life to Maturity;</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(iv)the aggregate principal amount of the Refinancing Term Loans shall not exceed the outstanding principal amount of the refinanced Indebtedness plus amounts used to pay fees, premiums, costs and expenses (including original issue discount) and accrued interest associated therewith;</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(v)all other terms applicable to such Refinancing Term Loans (other than provisions relating to original issue discount, upfront fees, interest rates and any other pricing terms and optional prepayment or mandatory prepayment terms, which shall be as agreed between the Borrower and the Lenders providing such Refinancing Term Loans) shall be substantially similar to, or (as determined by the Borrower in good faith) not materially more favorable to the lenders providing such Refinancing Term Loans, taken as a whole, as reasonably determined by the Borrower in good faith, than the terms applicable to the Term Loans being refinanced (except to the extent such covenants and other terms</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(x) apply solely to any period after the Latest Maturity Date, (y) are otherwise reasonably acceptable to the Administrative Agent or (z) reflect market terms and conditions (as determined by the Borrower in good faith) at the time of incurrence);</w:t>
      </w:r>
    </w:p>
    <w:p>
      <w:pPr>
        <w:pStyle w:val="TextBody"/>
        <w:bidi w:val="0"/>
        <w:spacing w:lineRule="auto" w:line="240" w:before="239"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(vi)there shall be no borrower (other than the Borrower) and no guarantors (other than the Guarantors) in respect of such Refinancing Term Loans;</w:t>
      </w:r>
    </w:p>
    <w:p>
      <w:pPr>
        <w:pStyle w:val="TextBody"/>
        <w:bidi w:val="0"/>
        <w:spacing w:lineRule="auto" w:line="240" w:before="241"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(vii)Refinancing Term Loans shall not be secured by any asset of the Borrower and its Subsidiaries other than the Collateral;</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 xml:space="preserve">(viii)Refinancing Term Loans may participate (x) on a </w:t>
      </w:r>
      <w:r>
        <w:rPr>
          <w:rFonts w:ascii="Times New Roman;sans-serif" w:hAnsi="Times New Roman;sans-serif"/>
          <w:b w:val="false"/>
          <w:color w:val="000000"/>
          <w:sz w:val="24"/>
          <w:u w:val="single"/>
        </w:rPr>
        <w:t>pro rata</w:t>
      </w:r>
      <w:r>
        <w:rPr>
          <w:color w:val="000000"/>
        </w:rPr>
        <w:t xml:space="preserve"> </w:t>
      </w:r>
      <w:r>
        <w:rPr>
          <w:rFonts w:ascii="Times New Roman;sans-serif" w:hAnsi="Times New Roman;sans-serif"/>
          <w:b w:val="false"/>
          <w:color w:val="000000"/>
          <w:sz w:val="24"/>
        </w:rPr>
        <w:t xml:space="preserve">basis or on a less than </w:t>
      </w:r>
      <w:r>
        <w:rPr>
          <w:rFonts w:ascii="Times New Roman;sans-serif" w:hAnsi="Times New Roman;sans-serif"/>
          <w:b w:val="false"/>
          <w:color w:val="000000"/>
          <w:sz w:val="24"/>
          <w:u w:val="single"/>
        </w:rPr>
        <w:t>pro rata</w:t>
      </w:r>
      <w:r>
        <w:rPr>
          <w:color w:val="000000"/>
        </w:rPr>
        <w:t xml:space="preserve"> </w:t>
      </w:r>
      <w:r>
        <w:rPr>
          <w:rFonts w:ascii="Times New Roman;sans-serif" w:hAnsi="Times New Roman;sans-serif"/>
          <w:b w:val="false"/>
          <w:color w:val="000000"/>
          <w:sz w:val="24"/>
        </w:rPr>
        <w:t xml:space="preserve">basis (but not on a greater than </w:t>
      </w:r>
      <w:r>
        <w:rPr>
          <w:rFonts w:ascii="Times New Roman;sans-serif" w:hAnsi="Times New Roman;sans-serif"/>
          <w:b w:val="false"/>
          <w:color w:val="000000"/>
          <w:sz w:val="24"/>
          <w:u w:val="single"/>
        </w:rPr>
        <w:t>pro rata</w:t>
      </w:r>
      <w:r>
        <w:rPr>
          <w:color w:val="000000"/>
        </w:rPr>
        <w:t xml:space="preserve"> </w:t>
      </w:r>
      <w:r>
        <w:rPr>
          <w:rFonts w:ascii="Times New Roman;sans-serif" w:hAnsi="Times New Roman;sans-serif"/>
          <w:b w:val="false"/>
          <w:color w:val="000000"/>
          <w:sz w:val="24"/>
        </w:rPr>
        <w:t xml:space="preserve">basis) in any mandatory prepayments (other than as provided otherwise in the case of such prepayments pursuant to Section 2.11(b)(2)) hereunder and (y) on a </w:t>
      </w:r>
      <w:r>
        <w:rPr>
          <w:rFonts w:ascii="Times New Roman;sans-serif" w:hAnsi="Times New Roman;sans-serif"/>
          <w:b w:val="false"/>
          <w:color w:val="000000"/>
          <w:sz w:val="24"/>
          <w:u w:val="single"/>
        </w:rPr>
        <w:t>pro rata</w:t>
      </w:r>
      <w:r>
        <w:rPr>
          <w:color w:val="000000"/>
        </w:rPr>
        <w:t xml:space="preserve"> </w:t>
      </w:r>
      <w:r>
        <w:rPr>
          <w:rFonts w:ascii="Times New Roman;sans-serif" w:hAnsi="Times New Roman;sans-serif"/>
          <w:b w:val="false"/>
          <w:color w:val="000000"/>
          <w:sz w:val="24"/>
        </w:rPr>
        <w:t xml:space="preserve">or on a </w:t>
      </w:r>
      <w:r>
        <w:rPr>
          <w:rFonts w:ascii="Times New Roman;sans-serif" w:hAnsi="Times New Roman;sans-serif"/>
          <w:b w:val="false"/>
          <w:color w:val="000000"/>
          <w:sz w:val="24"/>
          <w:u w:val="single"/>
        </w:rPr>
        <w:t>non-pro rata</w:t>
      </w:r>
      <w:r>
        <w:rPr>
          <w:color w:val="000000"/>
        </w:rPr>
        <w:t xml:space="preserve"> </w:t>
      </w:r>
      <w:r>
        <w:rPr>
          <w:rFonts w:ascii="Times New Roman;sans-serif" w:hAnsi="Times New Roman;sans-serif"/>
          <w:b w:val="false"/>
          <w:color w:val="000000"/>
          <w:sz w:val="24"/>
        </w:rPr>
        <w:t>basis in any voluntary prepayments, as specified in the applicable Refinancing Amendment;</w:t>
      </w:r>
    </w:p>
    <w:p>
      <w:pPr>
        <w:pStyle w:val="TextBody"/>
        <w:bidi w:val="0"/>
        <w:spacing w:lineRule="auto" w:line="240"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(b)The Borrower may approach any Lender or any other person that would be a permitted Assignee pursuant to Section 9.04 to provide all or a portion of the Refinancing Term</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6480175" cy="781050"/>
                <wp:effectExtent l="0" t="0" r="0" b="0"/>
                <wp:wrapNone/>
                <wp:docPr id="334" name="Frame333"/>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132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132</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60" w:after="283"/>
        <w:jc w:val="both"/>
        <w:rPr/>
      </w:pPr>
      <w:r>
        <w:rPr>
          <w:rFonts w:ascii="Times New Roman;sans-serif" w:hAnsi="Times New Roman;sans-serif"/>
          <w:b w:val="false"/>
          <w:color w:val="000000"/>
          <w:sz w:val="24"/>
        </w:rPr>
        <w:t xml:space="preserve">Loans;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that any Lender offered or approached to provide all or a portion of the Refinancing Term Loans may elect or decline, in its sole discretion, to provide a Refinancing Term Loan. Any Refinancing Term Loans made on any Refinancing Effective Date shall be designated an additional Class of Term Loans for all purposes of this Agreement;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w:t>
      </w:r>
      <w:r>
        <w:rPr>
          <w:color w:val="000000"/>
          <w:u w:val="single"/>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that any Refinancing Term Loans may, to the extent provided in the applicable Refinancing Amendment governing such Refinancing Term Loans, be designated as an increase in any previously established Class of Term Loans made to the Borrower.</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(c)Notwithstanding anything to the contrary in this Agreement, including Section 2.18(b) (which provisions shall not be applicable to this Section 2.23), the Borrower may by written notice to the Administrative Agent at any time after the Closing Date establish one or more additional Facilities (each, a “</w:t>
      </w:r>
      <w:r>
        <w:rPr>
          <w:rFonts w:ascii="Times New Roman;sans-serif" w:hAnsi="Times New Roman;sans-serif"/>
          <w:b w:val="false"/>
          <w:color w:val="000000"/>
          <w:sz w:val="24"/>
          <w:u w:val="single"/>
        </w:rPr>
        <w:t>Replacement Revolving Facility</w:t>
      </w:r>
      <w:r>
        <w:rPr>
          <w:color w:val="000000"/>
        </w:rPr>
        <w:t>”</w:t>
      </w:r>
      <w:r>
        <w:rPr>
          <w:rFonts w:ascii="Times New Roman;sans-serif" w:hAnsi="Times New Roman;sans-serif"/>
          <w:b w:val="false"/>
          <w:color w:val="000000"/>
          <w:sz w:val="24"/>
        </w:rPr>
        <w:t>) providing for revolving commitments (“</w:t>
      </w:r>
      <w:r>
        <w:rPr>
          <w:rFonts w:ascii="Times New Roman;sans-serif" w:hAnsi="Times New Roman;sans-serif"/>
          <w:b w:val="false"/>
          <w:color w:val="000000"/>
          <w:sz w:val="24"/>
          <w:u w:val="single"/>
        </w:rPr>
        <w:t>Replacement Revolving Facility Commitments</w:t>
      </w:r>
      <w:r>
        <w:rPr>
          <w:color w:val="000000"/>
        </w:rPr>
        <w:t xml:space="preserve">” </w:t>
      </w:r>
      <w:r>
        <w:rPr>
          <w:rFonts w:ascii="Times New Roman;sans-serif" w:hAnsi="Times New Roman;sans-serif"/>
          <w:b w:val="false"/>
          <w:color w:val="000000"/>
          <w:sz w:val="24"/>
        </w:rPr>
        <w:t>and the revolving loans thereunder, “</w:t>
      </w:r>
      <w:r>
        <w:rPr>
          <w:rFonts w:ascii="Times New Roman;sans-serif" w:hAnsi="Times New Roman;sans-serif"/>
          <w:b w:val="false"/>
          <w:color w:val="000000"/>
          <w:sz w:val="24"/>
          <w:u w:val="single"/>
        </w:rPr>
        <w:t>Replacement Revolving Loans</w:t>
      </w:r>
      <w:r>
        <w:rPr>
          <w:color w:val="000000"/>
        </w:rPr>
        <w:t>”</w:t>
      </w:r>
      <w:r>
        <w:rPr>
          <w:rFonts w:ascii="Times New Roman;sans-serif" w:hAnsi="Times New Roman;sans-serif"/>
          <w:b w:val="false"/>
          <w:color w:val="000000"/>
          <w:sz w:val="24"/>
        </w:rPr>
        <w:t>), which replace in whole or in part any Class of Revolving Facility Commitments under this Agreement. Each such notice shall specify the date (each, a “</w:t>
      </w:r>
      <w:r>
        <w:rPr>
          <w:rFonts w:ascii="Times New Roman;sans-serif" w:hAnsi="Times New Roman;sans-serif"/>
          <w:b w:val="false"/>
          <w:color w:val="000000"/>
          <w:sz w:val="24"/>
          <w:u w:val="single"/>
        </w:rPr>
        <w:t>Replacement Revolving Facility Effective Date</w:t>
      </w:r>
      <w:r>
        <w:rPr>
          <w:color w:val="000000"/>
        </w:rPr>
        <w:t>”</w:t>
      </w:r>
      <w:r>
        <w:rPr>
          <w:rFonts w:ascii="Times New Roman;sans-serif" w:hAnsi="Times New Roman;sans-serif"/>
          <w:b w:val="false"/>
          <w:color w:val="000000"/>
          <w:sz w:val="24"/>
        </w:rPr>
        <w:t xml:space="preserve">) on which the Borrower proposes that the Replacement Revolving Facility Commitments shall become effective, which shall be a date not less than ten (10) Business Days after the date on which such notice is delivered to the Administrative Agent (or such shorter period agreed to by the Administrative Agent in its reasonable discretion);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that: (i) after giving effect to the establishment of such Replacement Revolving Facility Commitments on the Replacement Revolving Facility Effective Date, each of the conditions set forth in Section 4.02 shall be satisfied; (ii) after giving effect to the establishment of any Replacement Revolving Facility Commitments and any concurrent reduction in the aggregate amount of any other Revolving Facility Commitments, the aggregate amount of Revolving Facility Commitments shall not exceed the aggregate amount of the Revolving Facility Commitments outstanding immediately prior to the applicable Replacement Revolving Facility Effective Date plus amounts used to pay fees, premiums, costs and expenses (including upfront fees) and accrued interest associated therewith; (iii) no Replacement Revolving Facility Commitments shall have a final maturity date (or require commitment reductions or amortizations) prior to the Revolving Facility Maturity Date for the Revolving Facility Commitments being replaced; (iv) all other terms applicable to such Replacement Revolving Facility (other than provisions relating to (x) fees, interest rates and other pricing terms and prepayment and commitment reduction and optional redemption terms which shall be as agreed between the Borrower and the Lenders providing such Replacement Revolving Facility Commitments and (y) the amount of any letter of credit sublimit and swingline commitment under such Replacement Revolving Facility, which shall be as agreed between the Borrower, the Lenders providing such Replacement Revolving Facility Commitments, the Administrative Agent and the replacement issuing bank and replacement swingline lender, if any, under such Replacement Revolving Facility Commitments) shall be substantially similar to, or (as determined by the Borrower in good faith) not materially more favorable to the lenders providing such Refinancing Term Loans, taken as a whole, as reasonably determined by the Borrower in good faith, than the terms applicable to the Revolving Facility Commitments being refinanced (except to the extent such covenants and other terms (x) apply solely to any period after the Latest Maturity Date, (y) are otherwise reasonably acceptable to the Administrative Agent or (z) reflect market terms and conditions (as determined by the Borrower in good faith) at the time of incurrence); (v) there shall be no borrower (other than the Borrower) and no guarantors (other than the Guarantors) in respect of such Replacement Revolving Facility; and (vi) Replacement Revolving Facility Commitments</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6480175" cy="781050"/>
                <wp:effectExtent l="0" t="0" r="0" b="0"/>
                <wp:wrapNone/>
                <wp:docPr id="335" name="Frame334"/>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133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133</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jc w:val="both"/>
        <w:rPr>
          <w:rFonts w:ascii="Times New Roman;sans-serif" w:hAnsi="Times New Roman;sans-serif"/>
          <w:b w:val="false"/>
          <w:color w:val="000000"/>
          <w:sz w:val="24"/>
        </w:rPr>
      </w:pPr>
      <w:r>
        <w:rPr>
          <w:rFonts w:ascii="Times New Roman;sans-serif" w:hAnsi="Times New Roman;sans-serif"/>
          <w:b w:val="false"/>
          <w:color w:val="000000"/>
          <w:sz w:val="24"/>
        </w:rPr>
        <w:t>and extensions of credit thereunder shall not be secured by any asset of the Borrower and its Subsidiaries other than the Collateral. In addition, the Borrower may establish Replacement Revolving Facility Commitments to refinance and/or replace all or any portion of a Term Loan hereunder (regardless of whether such Term Loan is repaid with the proceeds of Replacement Revolving Loans or otherwise), so long as the aggregate amount of such Replacement Revolving Facility Commitments does not exceed the aggregate amount of Term Loans repaid at the time of establishment thereof plus amounts used to pay fees, premiums, costs and expenses (including upfront fees) and accrued interest associated therewith (it being understood that such Replacement Revolving Facility Commitment may be provided by the Lenders holding the Term Loans being repaid and/or by any other person that would be a permitted Assignee hereunder) so long as (i) after giving effect to the establishment of such Replacement Revolving Facility Commitments on the Replacement Revolving Facility Effective Date each of the conditions set forth in Section 4.02 shall be satisfied to the extent required by the relevant agreement governing such Replacement Revolving Facility Commitments, (ii) the remaining life to termination of such Replacement Revolving Facility Commitments shall be no shorter than the Weighted Average Life to Maturity then applicable to the refinanced Term Loans, (iii) the final termination date of the Replacement Revolving Facility Commitments shall be no earlier than the Term Facility Maturity Date of the refinanced Term Loans, (iv) such Replacement Revolving Loans shall be secured by Liens on Collateral with the same priority as the Term Loans being refinanced, (v) there shall be no borrower (other than the Borrower) and no guarantors (other than the Guarantors) in respect of such Replacement Revolving Facility and (vi) all other terms applicable to such Replacement Revolving Facility (other than provisions relating to (x) fees, interest rates and other pricing terms and prepayment and commitment reduction and optional redemption terms which shall be as agreed between the Borrower and the Lenders providing such Replacement Revolving Facility Commitments and (y) the amount of any letter of credit sublimit and swingline commitment under such Replacement Revolving Facility, which shall be as agreed between the Borrower, the Lenders providing such Replacement Revolving Facility Commitments, the Administrative Agent and the replacement issuing bank and replacement swingline lender, if any, under such Replacement Revolving Facility Commitments) shall be substantially similar to, or (as determined by the Borrower in good faith) not materially more favorable to the lenders providing such Refinancing Term Loans, taken as a whole, as reasonably determined by the Borrower in good faith, than the terms applicable to the Revolving Facility Commitments being refinanced (except to the extent such covenants and other terms (x) apply solely to any period after the Latest Maturity Date, (y) are otherwise reasonably acceptable to the Administrative Agent or (z) reflect market terms and conditions (as determined by the Borrower in good faith) at the time of incurrence). Solely to the extent that an Issuing Bank or Swingline Lender is not a replacement issuing bank or replacement swingline lender, as the case may be, under a Replacement Revolving Facility, it is understood and agreed that such Issuing Bank or Swingline Lender shall not be required to issue any letters of credit or swingline loan under such Replacement Revolving Facility and, to the extent it is necessary for such Issuing Bank or Swingline Lender to withdraw as an Issuing Bank or Swingline Lender, as the case may be, at the time of the establishment of such Replacement Revolving Facility, such withdrawal shall be on terms and conditions reasonably satisfactory to such Issuing Bank or Swingline Lender, as the case may be, in its sole discretion. The Borrower agrees to reimburse each Issuing Bank or Swingline Lender, as the case may be, in full upon demand, for any reasonable and documented out-of-pocket cost or expense attributable to such withdrawal.</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6480175" cy="781050"/>
                <wp:effectExtent l="0" t="0" r="0" b="0"/>
                <wp:wrapNone/>
                <wp:docPr id="336" name="Frame335"/>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134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134</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ind w:left="0" w:right="0" w:firstLine="720"/>
        <w:jc w:val="both"/>
        <w:rPr/>
      </w:pPr>
      <w:r>
        <w:rPr>
          <w:rFonts w:ascii="Times New Roman;sans-serif" w:hAnsi="Times New Roman;sans-serif"/>
          <w:b w:val="false"/>
          <w:color w:val="000000"/>
          <w:sz w:val="24"/>
        </w:rPr>
        <w:t xml:space="preserve">(d)The Borrower may approach any Lender or any other person that would be a permitted Assignee of a Revolving Facility Commitment pursuant to Section 9.04 to provide all or a portion of the Replacement Revolving Facility Commitments (subject to receipt of any consents that would be required for an assignment of Revolving Facility Commitments to such person pursuant to Section 9.04);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that any Lender offered or approached to provide all or a portion of the Replacement Revolving Facility Commitments may elect or decline, in its sole discretion, to provide a Replacement Revolving Facility Commitment. Any Replacement Revolving Facility Commitment made on any Replacement Revolving Facility Effective Date shall be designated an additional Class of Revolving Facility Commitments for all purposes of this Agreement;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that any Replacement Revolving Facility Commitments may, to the extent provided in the applicable Refinancing Amendment, be designated as an increase in any previously established Class of Revolving Facility Commitments.</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(e)The Borrower and each Lender providing the applicable Refinancing Term Loans and/or Replacement Revolving Facility Commitments (as applicable) shall execute and deliver to the Administrative Agent an amendment to this Agreement (a “</w:t>
      </w:r>
      <w:r>
        <w:rPr>
          <w:rFonts w:ascii="Times New Roman;sans-serif" w:hAnsi="Times New Roman;sans-serif"/>
          <w:b w:val="false"/>
          <w:color w:val="000000"/>
          <w:sz w:val="24"/>
          <w:u w:val="single"/>
        </w:rPr>
        <w:t>Refinancing Amendment</w:t>
      </w:r>
      <w:r>
        <w:rPr>
          <w:color w:val="000000"/>
        </w:rPr>
        <w:t>”</w:t>
      </w:r>
      <w:r>
        <w:rPr>
          <w:rFonts w:ascii="Times New Roman;sans-serif" w:hAnsi="Times New Roman;sans-serif"/>
          <w:b w:val="false"/>
          <w:color w:val="000000"/>
          <w:sz w:val="24"/>
        </w:rPr>
        <w:t>) and such other documentation as the Administrative Agent shall reasonably specify to evidence such Refinancing Term Loans and/or Replacement Revolving Facility Commitments (as applicable). For purposes of this Agreement and the other Loan Documents, (A) if a Lender is providing a Refinancing Term Loan, such Lender will be deemed to have an Other Term Loan having the terms of such Refinancing Term Loan and (B) if a Lender is providing a Replacement Revolving Facility Commitment, such Lender will be deemed to have an Other Revolving Facility Commitment having the terms of such Replacement Revolving Facility Commitment. Notwithstanding anything to the contrary set forth in this Agreement or any other Loan Document (including without limitation this Section 2.23), (i) no Refinancing Term Loan or Replacement Revolving Facility Commitment is required to be in any minimum amount or any minimum increment, (ii) this Agreement shall impose no condition to any incurrence of any Refinancing Term Loan or Replacement Revolving Facility Commitment at any time or from time to time other than those set forth in clauses (a) or (c) above, as applicable, and (iii) all Refinancing Term Loans, Replacement Revolving Facility Commitments and all obligations in respect thereof shall be Loan Obligations under this Agreement and the other Loan Documents and shall have the same rank and Lien priority as the Term Facility or Revolving Facility being refinanced or replaced, as applicable.</w:t>
      </w:r>
    </w:p>
    <w:p>
      <w:pPr>
        <w:pStyle w:val="TextBody"/>
        <w:bidi w:val="0"/>
        <w:spacing w:lineRule="auto" w:line="240" w:before="240" w:after="283"/>
        <w:jc w:val="left"/>
        <w:rPr/>
      </w:pPr>
      <w:r>
        <w:rPr>
          <w:rFonts w:ascii="Times New Roman;sans-serif" w:hAnsi="Times New Roman;sans-serif"/>
          <w:b w:val="false"/>
          <w:color w:val="000000"/>
          <w:sz w:val="24"/>
        </w:rPr>
        <w:t xml:space="preserve">Section 2.24. </w:t>
      </w:r>
      <w:r>
        <w:rPr>
          <w:rFonts w:ascii="Times New Roman;sans-serif" w:hAnsi="Times New Roman;sans-serif"/>
          <w:b w:val="false"/>
          <w:color w:val="000000"/>
          <w:sz w:val="24"/>
          <w:u w:val="single"/>
        </w:rPr>
        <w:t>Defaulting Lenders</w:t>
      </w:r>
      <w:r>
        <w:rPr>
          <w:rFonts w:ascii="Times New Roman;sans-serif" w:hAnsi="Times New Roman;sans-serif"/>
          <w:b w:val="false"/>
          <w:color w:val="000000"/>
          <w:sz w:val="24"/>
        </w:rPr>
        <w:t>.</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Defaulting Lender Adjustments</w:t>
      </w:r>
      <w:r>
        <w:rPr>
          <w:rFonts w:ascii="Times New Roman;sans-serif" w:hAnsi="Times New Roman;sans-serif"/>
          <w:b w:val="false"/>
          <w:color w:val="000000"/>
          <w:sz w:val="24"/>
        </w:rPr>
        <w:t>. Notwithstanding anything to the contrary contained in this Agreement, if any Lender becomes a Defaulting Lender, then, until such time as such Lender is no longer a Defaulting Lender, to the extent permitted by applicable law:</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(i)</w:t>
      </w:r>
      <w:r>
        <w:rPr>
          <w:rFonts w:ascii="Times New Roman;sans-serif" w:hAnsi="Times New Roman;sans-serif"/>
          <w:b w:val="false"/>
          <w:color w:val="000000"/>
          <w:sz w:val="24"/>
          <w:u w:val="single"/>
        </w:rPr>
        <w:t>Waivers and Amendments</w:t>
      </w:r>
      <w:r>
        <w:rPr>
          <w:rFonts w:ascii="Times New Roman;sans-serif" w:hAnsi="Times New Roman;sans-serif"/>
          <w:b w:val="false"/>
          <w:color w:val="000000"/>
          <w:sz w:val="24"/>
        </w:rPr>
        <w:t>. Such Defaulting Lender’s right to approve or disapprove any amendment, waiver or consent with respect to this Agreement shall be restricted as set forth in the definitions of “</w:t>
      </w:r>
      <w:r>
        <w:rPr>
          <w:rFonts w:ascii="Times New Roman;sans-serif" w:hAnsi="Times New Roman;sans-serif"/>
          <w:b w:val="false"/>
          <w:color w:val="000000"/>
          <w:sz w:val="24"/>
          <w:u w:val="single"/>
        </w:rPr>
        <w:t>Majority Lenders</w:t>
      </w:r>
      <w:r>
        <w:rPr>
          <w:rFonts w:ascii="Times New Roman;sans-serif" w:hAnsi="Times New Roman;sans-serif"/>
          <w:b w:val="false"/>
          <w:color w:val="000000"/>
          <w:sz w:val="24"/>
        </w:rPr>
        <w:t>,” “</w:t>
      </w:r>
      <w:r>
        <w:rPr>
          <w:rFonts w:ascii="Times New Roman;sans-serif" w:hAnsi="Times New Roman;sans-serif"/>
          <w:b w:val="false"/>
          <w:color w:val="000000"/>
          <w:sz w:val="24"/>
          <w:u w:val="single"/>
        </w:rPr>
        <w:t>Required Lenders</w:t>
      </w:r>
      <w:r>
        <w:rPr>
          <w:rFonts w:ascii="Times New Roman;sans-serif" w:hAnsi="Times New Roman;sans-serif"/>
          <w:b w:val="false"/>
          <w:color w:val="000000"/>
          <w:sz w:val="24"/>
        </w:rPr>
        <w:t>,” or “</w:t>
      </w:r>
      <w:r>
        <w:rPr>
          <w:rFonts w:ascii="Times New Roman;sans-serif" w:hAnsi="Times New Roman;sans-serif"/>
          <w:b w:val="false"/>
          <w:color w:val="000000"/>
          <w:sz w:val="24"/>
          <w:u w:val="single"/>
        </w:rPr>
        <w:t>Required Revolving Facility Lenders</w:t>
      </w:r>
      <w:r>
        <w:rPr>
          <w:rFonts w:ascii="Times New Roman;sans-serif" w:hAnsi="Times New Roman;sans-serif"/>
          <w:b w:val="false"/>
          <w:color w:val="000000"/>
          <w:sz w:val="24"/>
        </w:rPr>
        <w:t>,” as applicable, and Section 9.08.</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(ii)</w:t>
      </w:r>
      <w:r>
        <w:rPr>
          <w:rFonts w:ascii="Times New Roman;sans-serif" w:hAnsi="Times New Roman;sans-serif"/>
          <w:b w:val="false"/>
          <w:color w:val="000000"/>
          <w:sz w:val="24"/>
          <w:u w:val="single"/>
        </w:rPr>
        <w:t>Defaulting Lender Waterfall</w:t>
      </w:r>
      <w:r>
        <w:rPr>
          <w:rFonts w:ascii="Times New Roman;sans-serif" w:hAnsi="Times New Roman;sans-serif"/>
          <w:b w:val="false"/>
          <w:color w:val="000000"/>
          <w:sz w:val="24"/>
        </w:rPr>
        <w:t>. Any payment of principal, interest, fees or other amounts received by the Administrative Agent for the account of such Defaulting</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6480175" cy="781050"/>
                <wp:effectExtent l="0" t="0" r="0" b="0"/>
                <wp:wrapNone/>
                <wp:docPr id="337" name="Frame336"/>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135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135</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jc w:val="both"/>
        <w:rPr/>
      </w:pPr>
      <w:r>
        <w:rPr>
          <w:rFonts w:ascii="Times New Roman;sans-serif" w:hAnsi="Times New Roman;sans-serif"/>
          <w:b w:val="false"/>
          <w:color w:val="000000"/>
          <w:sz w:val="24"/>
        </w:rPr>
        <w:t xml:space="preserve">Lender (whether voluntary or mandatory, at maturity, following an Event of Default or otherwise) or received by the Administrative Agent from a Defaulting Lender pursuant to Section 9.06 shall be applied at such time or times as may be determined by the Administrative Agent as follows: </w:t>
      </w:r>
      <w:r>
        <w:rPr>
          <w:rFonts w:ascii="Times New Roman;sans-serif" w:hAnsi="Times New Roman;sans-serif"/>
          <w:b w:val="false"/>
          <w:color w:val="000000"/>
          <w:sz w:val="24"/>
          <w:u w:val="single"/>
        </w:rPr>
        <w:t>first</w:t>
      </w:r>
      <w:r>
        <w:rPr>
          <w:rFonts w:ascii="Times New Roman;sans-serif" w:hAnsi="Times New Roman;sans-serif"/>
          <w:b w:val="false"/>
          <w:color w:val="000000"/>
          <w:sz w:val="24"/>
        </w:rPr>
        <w:t xml:space="preserve">, to the payment of any amounts owing by such Defaulting Lender to the Administrative Agent hereunder, </w:t>
      </w:r>
      <w:r>
        <w:rPr>
          <w:rFonts w:ascii="Times New Roman;sans-serif" w:hAnsi="Times New Roman;sans-serif"/>
          <w:b w:val="false"/>
          <w:color w:val="000000"/>
          <w:sz w:val="24"/>
          <w:u w:val="single"/>
        </w:rPr>
        <w:t>second</w:t>
      </w:r>
      <w:r>
        <w:rPr>
          <w:rFonts w:ascii="Times New Roman;sans-serif" w:hAnsi="Times New Roman;sans-serif"/>
          <w:b w:val="false"/>
          <w:color w:val="000000"/>
          <w:sz w:val="24"/>
        </w:rPr>
        <w:t xml:space="preserve">, to the payment on a </w:t>
      </w:r>
      <w:r>
        <w:rPr>
          <w:rFonts w:ascii="Times New Roman;sans-serif" w:hAnsi="Times New Roman;sans-serif"/>
          <w:b w:val="false"/>
          <w:color w:val="000000"/>
          <w:sz w:val="24"/>
          <w:u w:val="single"/>
        </w:rPr>
        <w:t>pro</w:t>
      </w:r>
      <w:r>
        <w:rPr>
          <w:color w:val="000000"/>
        </w:rPr>
        <w:t xml:space="preserve"> </w:t>
      </w:r>
      <w:r>
        <w:rPr>
          <w:rFonts w:ascii="Times New Roman;sans-serif" w:hAnsi="Times New Roman;sans-serif"/>
          <w:b w:val="false"/>
          <w:color w:val="000000"/>
          <w:sz w:val="24"/>
          <w:u w:val="single"/>
        </w:rPr>
        <w:t>rata</w:t>
      </w:r>
      <w:r>
        <w:rPr>
          <w:color w:val="000000"/>
        </w:rPr>
        <w:t xml:space="preserve"> </w:t>
      </w:r>
      <w:r>
        <w:rPr>
          <w:rFonts w:ascii="Times New Roman;sans-serif" w:hAnsi="Times New Roman;sans-serif"/>
          <w:b w:val="false"/>
          <w:color w:val="000000"/>
          <w:sz w:val="24"/>
        </w:rPr>
        <w:t xml:space="preserve">basis of any amounts owing by such Defaulting Lender to any Issuing Bank or the Swingline Lender hereunder, </w:t>
      </w:r>
      <w:r>
        <w:rPr>
          <w:rFonts w:ascii="Times New Roman;sans-serif" w:hAnsi="Times New Roman;sans-serif"/>
          <w:b w:val="false"/>
          <w:color w:val="000000"/>
          <w:sz w:val="24"/>
          <w:u w:val="single"/>
        </w:rPr>
        <w:t>third</w:t>
      </w:r>
      <w:r>
        <w:rPr>
          <w:rFonts w:ascii="Times New Roman;sans-serif" w:hAnsi="Times New Roman;sans-serif"/>
          <w:b w:val="false"/>
          <w:color w:val="000000"/>
          <w:sz w:val="24"/>
        </w:rPr>
        <w:t xml:space="preserve">, to Cash Collateralize the Issuing Banks’ Fronting Exposure with respect to such Defaulting Lender in accordance with Section 2.05(j), </w:t>
      </w:r>
      <w:r>
        <w:rPr>
          <w:rFonts w:ascii="Times New Roman;sans-serif" w:hAnsi="Times New Roman;sans-serif"/>
          <w:b w:val="false"/>
          <w:color w:val="000000"/>
          <w:sz w:val="24"/>
          <w:u w:val="single"/>
        </w:rPr>
        <w:t>fourth</w:t>
      </w:r>
      <w:r>
        <w:rPr>
          <w:rFonts w:ascii="Times New Roman;sans-serif" w:hAnsi="Times New Roman;sans-serif"/>
          <w:b w:val="false"/>
          <w:color w:val="000000"/>
          <w:sz w:val="24"/>
        </w:rPr>
        <w:t xml:space="preserve">, as the Borrower may request (so long as no Default or Event of Default then exists), to the funding of any Loan in respect of which such Defaulting Lender has failed to fund its portion thereof as required by this Agreement, as determined by the Administrative Agent, </w:t>
      </w:r>
      <w:r>
        <w:rPr>
          <w:rFonts w:ascii="Times New Roman;sans-serif" w:hAnsi="Times New Roman;sans-serif"/>
          <w:b w:val="false"/>
          <w:color w:val="000000"/>
          <w:sz w:val="24"/>
          <w:u w:val="single"/>
        </w:rPr>
        <w:t>fifth</w:t>
      </w:r>
      <w:r>
        <w:rPr>
          <w:rFonts w:ascii="Times New Roman;sans-serif" w:hAnsi="Times New Roman;sans-serif"/>
          <w:b w:val="false"/>
          <w:color w:val="000000"/>
          <w:sz w:val="24"/>
        </w:rPr>
        <w:t xml:space="preserve">, if so determined by the Administrative Agent and the Borrower, to be held in a deposit account and released </w:t>
      </w:r>
      <w:r>
        <w:rPr>
          <w:rFonts w:ascii="Times New Roman;sans-serif" w:hAnsi="Times New Roman;sans-serif"/>
          <w:b w:val="false"/>
          <w:color w:val="000000"/>
          <w:sz w:val="24"/>
          <w:u w:val="single"/>
        </w:rPr>
        <w:t>pro rata</w:t>
      </w:r>
      <w:r>
        <w:rPr>
          <w:color w:val="000000"/>
        </w:rPr>
        <w:t xml:space="preserve"> </w:t>
      </w:r>
      <w:r>
        <w:rPr>
          <w:rFonts w:ascii="Times New Roman;sans-serif" w:hAnsi="Times New Roman;sans-serif"/>
          <w:b w:val="false"/>
          <w:color w:val="000000"/>
          <w:sz w:val="24"/>
        </w:rPr>
        <w:t xml:space="preserve">in order to (x) satisfy such Defaulting Lender’s potential future funding obligations with respect to Loans under this Agreement and (y) Cash Collateralize the Issuing Banks’ future Fronting Exposure with respect to such Defaulting Lender with respect to future Letters of Credit issued under this Agreement, in accordance with Section 2.05(j), </w:t>
      </w:r>
      <w:r>
        <w:rPr>
          <w:rFonts w:ascii="Times New Roman;sans-serif" w:hAnsi="Times New Roman;sans-serif"/>
          <w:b w:val="false"/>
          <w:color w:val="000000"/>
          <w:sz w:val="24"/>
          <w:u w:val="single"/>
        </w:rPr>
        <w:t>sixth</w:t>
      </w:r>
      <w:r>
        <w:rPr>
          <w:rFonts w:ascii="Times New Roman;sans-serif" w:hAnsi="Times New Roman;sans-serif"/>
          <w:b w:val="false"/>
          <w:color w:val="000000"/>
          <w:sz w:val="24"/>
        </w:rPr>
        <w:t xml:space="preserve">, to the payment of any amounts owing to the Lenders, the Issuing Banks or the Swingline Lender as a result of any judgment of a court of competent jurisdiction obtained by any Lender, Issuing Bank or Swingline Lender against such Defaulting Lender as a result of such Defaulting Lender’s breach of its obligations under this Agreement, </w:t>
      </w:r>
      <w:r>
        <w:rPr>
          <w:rFonts w:ascii="Times New Roman;sans-serif" w:hAnsi="Times New Roman;sans-serif"/>
          <w:b w:val="false"/>
          <w:color w:val="000000"/>
          <w:sz w:val="24"/>
          <w:u w:val="single"/>
        </w:rPr>
        <w:t>seventh</w:t>
      </w:r>
      <w:r>
        <w:rPr>
          <w:rFonts w:ascii="Times New Roman;sans-serif" w:hAnsi="Times New Roman;sans-serif"/>
          <w:b w:val="false"/>
          <w:color w:val="000000"/>
          <w:sz w:val="24"/>
        </w:rPr>
        <w:t xml:space="preserve">, so long as no Default or Event of Default then exists,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Times New Roman;sans-serif" w:hAnsi="Times New Roman;sans-serif"/>
          <w:b w:val="false"/>
          <w:color w:val="000000"/>
          <w:sz w:val="24"/>
          <w:u w:val="single"/>
        </w:rPr>
        <w:t>eighth</w:t>
      </w:r>
      <w:r>
        <w:rPr>
          <w:rFonts w:ascii="Times New Roman;sans-serif" w:hAnsi="Times New Roman;sans-serif"/>
          <w:b w:val="false"/>
          <w:color w:val="000000"/>
          <w:sz w:val="24"/>
        </w:rPr>
        <w:t>, to such Defaulting Lender or as otherwise directed by a court of competent jurisdiction. Any payments, prepayments or other amounts paid or payable to a Defaulting Lender that are applied (or held) to pay amounts owed by a Defaulting Lender or to post Cash Collateral pursuant to this Section 2.24 shall be deemed paid to and redirected by such Defaulting Lender, and each Lender irrevocably consents hereto.</w:t>
      </w:r>
    </w:p>
    <w:p>
      <w:pPr>
        <w:pStyle w:val="TextBody"/>
        <w:bidi w:val="0"/>
        <w:spacing w:lineRule="auto" w:line="240" w:before="240" w:after="283"/>
        <w:ind w:left="0" w:right="0" w:hanging="720"/>
        <w:jc w:val="left"/>
        <w:rPr/>
      </w:pPr>
      <w:r>
        <w:rPr>
          <w:rFonts w:ascii="Times New Roman;sans-serif" w:hAnsi="Times New Roman;sans-serif"/>
          <w:b w:val="false"/>
          <w:color w:val="000000"/>
          <w:sz w:val="24"/>
        </w:rPr>
        <w:t>(iii)</w:t>
      </w:r>
      <w:r>
        <w:rPr>
          <w:rFonts w:ascii="Times New Roman;sans-serif" w:hAnsi="Times New Roman;sans-serif"/>
          <w:b w:val="false"/>
          <w:color w:val="000000"/>
          <w:sz w:val="24"/>
          <w:u w:val="single"/>
        </w:rPr>
        <w:t>Certain Fees</w:t>
      </w:r>
      <w:r>
        <w:rPr>
          <w:rFonts w:ascii="Times New Roman;sans-serif" w:hAnsi="Times New Roman;sans-serif"/>
          <w:b w:val="false"/>
          <w:color w:val="000000"/>
          <w:sz w:val="24"/>
        </w:rPr>
        <w:t>.</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(A)No Defaulting Lender shall be entitled to receive any Commitment Fee for any period during which that Lender is a Defaulting Lender (and, except as provided in clause (C) below, the Borrower shall not be required to pay any such fee that otherwise would have been paid to that Defaulting Lender).</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 xml:space="preserve">(B)Each Defaulting Lender shall be entitled to receive L/C Participation Fees for any period during which that Lender is a Defaulting Lender only to the extent allocable to its </w:t>
      </w:r>
      <w:r>
        <w:rPr>
          <w:rFonts w:ascii="Times New Roman;sans-serif" w:hAnsi="Times New Roman;sans-serif"/>
          <w:b w:val="false"/>
          <w:color w:val="000000"/>
          <w:sz w:val="24"/>
          <w:u w:val="single"/>
        </w:rPr>
        <w:t>pro rata</w:t>
      </w:r>
      <w:r>
        <w:rPr>
          <w:color w:val="000000"/>
        </w:rPr>
        <w:t xml:space="preserve"> </w:t>
      </w:r>
      <w:r>
        <w:rPr>
          <w:rFonts w:ascii="Times New Roman;sans-serif" w:hAnsi="Times New Roman;sans-serif"/>
          <w:b w:val="false"/>
          <w:color w:val="000000"/>
          <w:sz w:val="24"/>
        </w:rPr>
        <w:t>share of the stated amount of Letters of Credit for which it has provided Cash Collateral.</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(C)With respect to any Commitment Fee or L/C Participation Fee not required to be paid to any Defaulting Lender pursuant to clause (A) or (B) above, the Borrower shall (x) pay to each Non-Defaulting Lender that portion of any such fee otherwise payable to such Defaulting Lender with respect to such Defaulting Lender’s participation in Letters of Credit or Swingline Loans that has been</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6480175" cy="781050"/>
                <wp:effectExtent l="0" t="0" r="0" b="0"/>
                <wp:wrapNone/>
                <wp:docPr id="338" name="Frame337"/>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136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136</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jc w:val="both"/>
        <w:rPr>
          <w:rFonts w:ascii="Times New Roman;sans-serif" w:hAnsi="Times New Roman;sans-serif"/>
          <w:b w:val="false"/>
          <w:color w:val="000000"/>
          <w:sz w:val="24"/>
        </w:rPr>
      </w:pPr>
      <w:r>
        <w:rPr>
          <w:rFonts w:ascii="Times New Roman;sans-serif" w:hAnsi="Times New Roman;sans-serif"/>
          <w:b w:val="false"/>
          <w:color w:val="000000"/>
          <w:sz w:val="24"/>
        </w:rPr>
        <w:t>reallocated to such Non-Defaulting Lender pursuant to clause (iv) below, (y) pay to each Issuing Bank and the Swingline Lender, as applicable, the amount of any such fee otherwise payable to such Defaulting Lender to the extent allocable to such Issuing Bank’s or the Swingline Lender’s Fronting Exposure to such Defaulting Lender, and (z) not be required to pay the remaining amount of any such fee.</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(iv)</w:t>
      </w:r>
      <w:r>
        <w:rPr>
          <w:rFonts w:ascii="Times New Roman;sans-serif" w:hAnsi="Times New Roman;sans-serif"/>
          <w:b w:val="false"/>
          <w:color w:val="000000"/>
          <w:sz w:val="24"/>
          <w:u w:val="single"/>
        </w:rPr>
        <w:t>Reallocation of Participations to Reduce Fronting Exposure</w:t>
      </w:r>
      <w:r>
        <w:rPr>
          <w:rFonts w:ascii="Times New Roman;sans-serif" w:hAnsi="Times New Roman;sans-serif"/>
          <w:b w:val="false"/>
          <w:color w:val="000000"/>
          <w:sz w:val="24"/>
        </w:rPr>
        <w:t xml:space="preserve">. All or any part of such Defaulting Lender’s participation in Letters of Credit and Swingline Loans under any Revolving Facility shall be reallocated among the Non-Defaulting Lenders in accordance with their respective </w:t>
      </w:r>
      <w:r>
        <w:rPr>
          <w:rFonts w:ascii="Times New Roman;sans-serif" w:hAnsi="Times New Roman;sans-serif"/>
          <w:b w:val="false"/>
          <w:color w:val="000000"/>
          <w:sz w:val="24"/>
          <w:u w:val="single"/>
        </w:rPr>
        <w:t>pro rata</w:t>
      </w:r>
      <w:r>
        <w:rPr>
          <w:color w:val="000000"/>
        </w:rPr>
        <w:t xml:space="preserve"> </w:t>
      </w:r>
      <w:r>
        <w:rPr>
          <w:rFonts w:ascii="Times New Roman;sans-serif" w:hAnsi="Times New Roman;sans-serif"/>
          <w:b w:val="false"/>
          <w:color w:val="000000"/>
          <w:sz w:val="24"/>
        </w:rPr>
        <w:t>Commitments under such Revolving Facility (calculated without regard to such Defaulting Lender’s Commitment) so long as such reallocation does not cause the aggregate Revolving Facility Credit Exposure of any Non- Defaulting Lender under such Revolving Facility to exceed such Non-Defaulting Lender’s Revolving Facility Commitment under such Revolving Facility. Subject to Section 9.23,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(v)</w:t>
      </w:r>
      <w:r>
        <w:rPr>
          <w:rFonts w:ascii="Times New Roman;sans-serif" w:hAnsi="Times New Roman;sans-serif"/>
          <w:b w:val="false"/>
          <w:color w:val="000000"/>
          <w:sz w:val="24"/>
          <w:u w:val="single"/>
        </w:rPr>
        <w:t>Cash Collateral, Repayment of Swingline Loans</w:t>
      </w:r>
      <w:r>
        <w:rPr>
          <w:rFonts w:ascii="Times New Roman;sans-serif" w:hAnsi="Times New Roman;sans-serif"/>
          <w:b w:val="false"/>
          <w:color w:val="000000"/>
          <w:sz w:val="24"/>
        </w:rPr>
        <w:t>. If the reallocation described in clause (iv) above cannot, or can only partially, be effected, the Borrower shall, without prejudice to any right or remedy available to it hereunder or under law, within five</w:t>
      </w:r>
    </w:p>
    <w:p>
      <w:pPr>
        <w:pStyle w:val="TextBody"/>
        <w:bidi w:val="0"/>
        <w:spacing w:lineRule="auto" w:line="240" w:before="1" w:after="283"/>
        <w:jc w:val="both"/>
        <w:rPr/>
      </w:pPr>
      <w:r>
        <w:rPr>
          <w:rFonts w:ascii="Times New Roman;sans-serif" w:hAnsi="Times New Roman;sans-serif"/>
          <w:b w:val="false"/>
          <w:color w:val="000000"/>
          <w:sz w:val="24"/>
        </w:rPr>
        <w:t xml:space="preserve">(5) Business Days following the written request of the (i) Administrative Agent or (ii) the Swingline Lender or any Issuing Bank, as applicable (with a copy to the Administrative Agent), (x) </w:t>
      </w:r>
      <w:r>
        <w:rPr>
          <w:rFonts w:ascii="Times New Roman;sans-serif" w:hAnsi="Times New Roman;sans-serif"/>
          <w:b w:val="false"/>
          <w:color w:val="000000"/>
          <w:sz w:val="24"/>
          <w:u w:val="single"/>
        </w:rPr>
        <w:t>first</w:t>
      </w:r>
      <w:r>
        <w:rPr>
          <w:rFonts w:ascii="Times New Roman;sans-serif" w:hAnsi="Times New Roman;sans-serif"/>
          <w:b w:val="false"/>
          <w:color w:val="000000"/>
          <w:sz w:val="24"/>
        </w:rPr>
        <w:t xml:space="preserve">, prepay Swingline Loans in an amount equal to the Swingline Lender’s Fronting Exposure and (y) </w:t>
      </w:r>
      <w:r>
        <w:rPr>
          <w:rFonts w:ascii="Times New Roman;sans-serif" w:hAnsi="Times New Roman;sans-serif"/>
          <w:b w:val="false"/>
          <w:color w:val="000000"/>
          <w:sz w:val="24"/>
          <w:u w:val="single"/>
        </w:rPr>
        <w:t>second</w:t>
      </w:r>
      <w:r>
        <w:rPr>
          <w:rFonts w:ascii="Times New Roman;sans-serif" w:hAnsi="Times New Roman;sans-serif"/>
          <w:b w:val="false"/>
          <w:color w:val="000000"/>
          <w:sz w:val="24"/>
        </w:rPr>
        <w:t>, Cash Collateralize the Issuing Banks’ Fronting Exposure in accordance with the procedures set forth in Section 2.05(j).</w:t>
      </w:r>
    </w:p>
    <w:p>
      <w:pPr>
        <w:pStyle w:val="TextBody"/>
        <w:bidi w:val="0"/>
        <w:spacing w:lineRule="auto" w:line="240" w:before="238" w:after="283"/>
        <w:ind w:left="0" w:right="0" w:firstLine="72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Defaulting Lender Cure</w:t>
      </w:r>
      <w:r>
        <w:rPr>
          <w:rFonts w:ascii="Times New Roman;sans-serif" w:hAnsi="Times New Roman;sans-serif"/>
          <w:b w:val="false"/>
          <w:color w:val="000000"/>
          <w:sz w:val="24"/>
        </w:rPr>
        <w:t xml:space="preserve">. If the Borrower, the Administrative Agent, the Swingline Lender and each Issuing Bank agree in writing that a Lender is no longer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(together with any break funding costs incurred by the Non-Defaulting Lenders as a result of such purchase) that portion of outstanding Revolving Facility Loans of the other Lenders or take such other actions as the Administrative Agent may determine to be necessary to cause the Loans and funded and unfunded participations in Letters of Credit and Swingline Loans to be held </w:t>
      </w:r>
      <w:r>
        <w:rPr>
          <w:rFonts w:ascii="Times New Roman;sans-serif" w:hAnsi="Times New Roman;sans-serif"/>
          <w:b w:val="false"/>
          <w:color w:val="000000"/>
          <w:sz w:val="24"/>
          <w:u w:val="single"/>
        </w:rPr>
        <w:t>pro rata</w:t>
      </w:r>
      <w:r>
        <w:rPr>
          <w:color w:val="000000"/>
        </w:rPr>
        <w:t xml:space="preserve"> </w:t>
      </w:r>
      <w:r>
        <w:rPr>
          <w:rFonts w:ascii="Times New Roman;sans-serif" w:hAnsi="Times New Roman;sans-serif"/>
          <w:b w:val="false"/>
          <w:color w:val="000000"/>
          <w:sz w:val="24"/>
        </w:rPr>
        <w:t xml:space="preserve">by the Lenders in accordance with their Revolving Facility Commitments (without giving effect to Section 2.24(a)(iv)), whereupon such Lender will cease to be a Defaulting Lender;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that no adjustments will be made retroactively with respect to fees accrued or payments made by or on behalf of the Borrower while that Lender was a Defaulting Lender;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6480175" cy="781050"/>
                <wp:effectExtent l="0" t="0" r="0" b="0"/>
                <wp:wrapNone/>
                <wp:docPr id="339" name="Frame338"/>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137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137</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jc w:val="left"/>
        <w:rPr/>
      </w:pPr>
      <w:r>
        <w:rPr>
          <w:rFonts w:ascii="Times New Roman;sans-serif" w:hAnsi="Times New Roman;sans-serif"/>
          <w:b w:val="false"/>
          <w:color w:val="000000"/>
          <w:sz w:val="24"/>
        </w:rPr>
        <w:t xml:space="preserve">Section 2.25. </w:t>
      </w:r>
      <w:r>
        <w:rPr>
          <w:rFonts w:ascii="Times New Roman;sans-serif" w:hAnsi="Times New Roman;sans-serif"/>
          <w:b w:val="false"/>
          <w:color w:val="000000"/>
          <w:sz w:val="24"/>
          <w:u w:val="single"/>
        </w:rPr>
        <w:t>Loan Repurchases</w:t>
      </w:r>
      <w:r>
        <w:rPr>
          <w:rFonts w:ascii="Times New Roman;sans-serif" w:hAnsi="Times New Roman;sans-serif"/>
          <w:b w:val="false"/>
          <w:color w:val="000000"/>
          <w:sz w:val="24"/>
        </w:rPr>
        <w:t>.</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(a)Subject to the terms and conditions set forth or referred to below, the Borrower may from time to time, at its discretion, conduct modified Dutch auctions in order to purchase Term Loans of one or more Classes (as determined by the Borrower) (each, a “</w:t>
      </w:r>
      <w:r>
        <w:rPr>
          <w:rFonts w:ascii="Times New Roman;sans-serif" w:hAnsi="Times New Roman;sans-serif"/>
          <w:b w:val="false"/>
          <w:color w:val="000000"/>
          <w:sz w:val="24"/>
          <w:u w:val="single"/>
        </w:rPr>
        <w:t>Purchase Offer</w:t>
      </w:r>
      <w:r>
        <w:rPr>
          <w:color w:val="000000"/>
        </w:rPr>
        <w:t>”</w:t>
      </w:r>
      <w:r>
        <w:rPr>
          <w:rFonts w:ascii="Times New Roman;sans-serif" w:hAnsi="Times New Roman;sans-serif"/>
          <w:b w:val="false"/>
          <w:color w:val="000000"/>
          <w:sz w:val="24"/>
        </w:rPr>
        <w:t>), each such Purchase Offer to be managed exclusively by the Administrative Agent (or such other financial institution chosen by the Borrower and reasonably acceptable to the Administrative Agent) (in such capacity, the “</w:t>
      </w:r>
      <w:r>
        <w:rPr>
          <w:rFonts w:ascii="Times New Roman;sans-serif" w:hAnsi="Times New Roman;sans-serif"/>
          <w:b w:val="false"/>
          <w:color w:val="000000"/>
          <w:sz w:val="24"/>
          <w:u w:val="single"/>
        </w:rPr>
        <w:t>Auction Manager</w:t>
      </w:r>
      <w:r>
        <w:rPr>
          <w:color w:val="000000"/>
        </w:rPr>
        <w:t>”</w:t>
      </w:r>
      <w:r>
        <w:rPr>
          <w:rFonts w:ascii="Times New Roman;sans-serif" w:hAnsi="Times New Roman;sans-serif"/>
          <w:b w:val="false"/>
          <w:color w:val="000000"/>
          <w:sz w:val="24"/>
        </w:rPr>
        <w:t>), so long as the following conditions are satisfied:</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(i)each Purchase Offer shall be conducted in accordance with the procedures, terms and conditions set forth in this Section 2.25 and the Auction Procedures;</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(ii)no Default or Event of Default shall be continuing on the date of the delivery of each notice of an auction and at the time of (and immediately after giving effect to) the purchase of any Term Loans in connection with any Purchase Offer or shall result therefrom;</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(iii)the principal amount (calculated on the face amount thereof) of each and all Classes of Term Loans that the Borrower offers to purchase in any such Purchase Offer shall be no less than $10,000,000 (unless another amount is agreed to by the Administrative Agent) (across all such Classes);</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(iv)the principal amount of all Term Loans of the applicable Class or Classes so purchased by the Borrower shall automatically be cancelled and retired by the Borrower on the settlement date of the relevant purchase (and may not be resold) (without any increase to EBITDA as a result of any gains associated with cancellation of debt), and in no event shall the Borrower be entitled to any vote hereunder in connection with such Term Loans;</w:t>
      </w:r>
    </w:p>
    <w:p>
      <w:pPr>
        <w:pStyle w:val="TextBody"/>
        <w:bidi w:val="0"/>
        <w:spacing w:lineRule="auto" w:line="240" w:before="241"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(v)no more than one Purchase Offer with respect to any Class may be ongoing at any one time;</w:t>
      </w:r>
    </w:p>
    <w:p>
      <w:pPr>
        <w:pStyle w:val="TextBody"/>
        <w:bidi w:val="0"/>
        <w:spacing w:lineRule="auto" w:line="240" w:before="238"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(vi)either (A) (x) the Borrower shall represent and warrant that no Loan Party has any material non-public information with respect to the Loan Parties or their Subsidiaries, or with respect to the Loans or the securities of any such person, that (i) has not been previously disclosed in writing to the Administrative Agent and the Lenders (other than because such Lender does not wish to receive such material non-public information) prior to such time and (ii) could reasonably be expected to have a material effect upon, or otherwise be material to, a Lender’s decision to participate in the Purchase Offer or (y) shall state that it cannot make such representation set forth in clause (A)(x) or (B) such Purchase Offer shall contain customary “big boy” representations;</w:t>
      </w:r>
    </w:p>
    <w:p>
      <w:pPr>
        <w:pStyle w:val="TextBody"/>
        <w:bidi w:val="0"/>
        <w:spacing w:lineRule="auto" w:line="240" w:before="241" w:after="283"/>
        <w:ind w:left="0" w:right="0" w:firstLine="720"/>
        <w:jc w:val="both"/>
        <w:rPr/>
      </w:pPr>
      <w:r>
        <w:rPr>
          <w:rFonts w:ascii="Times New Roman;sans-serif" w:hAnsi="Times New Roman;sans-serif"/>
          <w:b w:val="false"/>
          <w:color w:val="000000"/>
          <w:sz w:val="24"/>
        </w:rPr>
        <w:t xml:space="preserve">(vii)any Purchase Offer with respect to any Class shall be offered to all Term Lenders holding Term Loans of such Class on a </w:t>
      </w:r>
      <w:r>
        <w:rPr>
          <w:rFonts w:ascii="Times New Roman;sans-serif" w:hAnsi="Times New Roman;sans-serif"/>
          <w:b w:val="false"/>
          <w:color w:val="000000"/>
          <w:sz w:val="24"/>
          <w:u w:val="single"/>
        </w:rPr>
        <w:t>pro rata</w:t>
      </w:r>
      <w:r>
        <w:rPr>
          <w:color w:val="000000"/>
        </w:rPr>
        <w:t xml:space="preserve"> </w:t>
      </w:r>
      <w:r>
        <w:rPr>
          <w:rFonts w:ascii="Times New Roman;sans-serif" w:hAnsi="Times New Roman;sans-serif"/>
          <w:b w:val="false"/>
          <w:color w:val="000000"/>
          <w:sz w:val="24"/>
        </w:rPr>
        <w:t>basis; and</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(viii)the Borrower shall not use the proceeds of any Revolving Facility Loan to purchase Term Loans pursuant to this Section 2.25.</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6480175" cy="781050"/>
                <wp:effectExtent l="0" t="0" r="0" b="0"/>
                <wp:wrapNone/>
                <wp:docPr id="340" name="Frame339"/>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138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138</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(b)The Borrower must terminate any Purchase Offer if it fails to satisfy one or more of the conditions set forth above which are required to be met at the time which otherwise would have been the time of purchase of Term Loans pursuant to such Purchase Offer. If the Borrower commences any Purchase Offer (and all relevant requirements set forth above which are required to be satisfied at the time of the commencement of such Purchase Offer have in fact been satisfied), and if at such time of commencement the Borrower reasonably believes that all required conditions set forth above which are required to be satisfied at the time of the consummation of such Purchase Offer shall be satisfied, then the Borrower shall have no liability to any Term Lender for any termination of such Purchase Offer as a result of its failure to satisfy one or more of the conditions set forth above which are required to be met at the time which otherwise would have been the time of consummation of such Purchase Offer, and any such failure shall not result in any Default or Event of Default hereunder. With respect to all purchases of Term Loans of any Class or Classes made by the Borrower pursuant to this Section 2.25, (x) the Borrower shall pay on the settlement date of each such purchase all accrued and unpaid interest (except to the extent otherwise set forth in the relevant offering documents), if any, on the purchased Term Loans of the applicable Class or Classes up to the settlement date of such purchase and (y) such purchases (and the payments made by the Borrower and the cancellation of the purchased Loans, in each case in connection therewith) shall not constitute voluntary or mandatory payments or prepayments for purposes of Section 2.11 hereof.</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(c)The Administrative Agent and the Lenders hereby consent to the Purchase Offers and the other transactions effected pursuant to and in accordance with the terms of this Section</w:t>
      </w:r>
    </w:p>
    <w:p>
      <w:pPr>
        <w:pStyle w:val="TextBody"/>
        <w:bidi w:val="0"/>
        <w:spacing w:lineRule="auto" w:line="240" w:before="1" w:after="283"/>
        <w:jc w:val="both"/>
        <w:rPr/>
      </w:pPr>
      <w:r>
        <w:rPr>
          <w:rFonts w:ascii="Times New Roman;sans-serif" w:hAnsi="Times New Roman;sans-serif"/>
          <w:b w:val="false"/>
          <w:color w:val="000000"/>
          <w:sz w:val="24"/>
        </w:rPr>
        <w:t xml:space="preserve">2.25;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that notwithstanding anything to the contrary contained herein, no Lender shall have an obligation to participate in any such Purchase Offer. For the avoidance of doubt, it is understood and agreed that the provisions of Sections 2.16, 2.18 and 9.04 will not apply to the purchases of Term Loans pursuant to Purchase Offers made pursuant to and in accordance with the provisions of this Section 2.25. The Auction Manager acting in its capacity as such hereunder shall be entitled to the benefits of the provisions of Article VIII and Section 9.05 to the same extent as if each reference therein to the “Agents” were a reference to the Auction Manager, and the Administrative Agent shall cooperate with the Auction Manager as reasonably requested by the Auction Manager in order to enable it to perform its responsibilities and duties in connection with each Purchase Offer.</w:t>
      </w:r>
    </w:p>
    <w:p>
      <w:pPr>
        <w:pStyle w:val="TextBody"/>
        <w:bidi w:val="0"/>
        <w:spacing w:lineRule="auto" w:line="240" w:before="239" w:after="283"/>
        <w:ind w:left="0" w:right="0" w:firstLine="720"/>
        <w:jc w:val="both"/>
        <w:rPr/>
      </w:pPr>
      <w:r>
        <w:rPr>
          <w:rFonts w:ascii="Times New Roman;sans-serif" w:hAnsi="Times New Roman;sans-serif"/>
          <w:b w:val="false"/>
          <w:color w:val="000000"/>
          <w:sz w:val="24"/>
        </w:rPr>
        <w:t xml:space="preserve">(d)Notwithstanding anything in this Agreement to the contrary, any Lender may assign all or a portion of its rights and obligations with respect to the Term Loans or the Term Loan Commitments, under this Agreement to the Borrower or any Subsidiaries through open market purchases on a </w:t>
      </w:r>
      <w:r>
        <w:rPr>
          <w:rFonts w:ascii="Times New Roman;sans-serif" w:hAnsi="Times New Roman;sans-serif"/>
          <w:b w:val="false"/>
          <w:color w:val="000000"/>
          <w:sz w:val="24"/>
          <w:u w:val="single"/>
        </w:rPr>
        <w:t>pro rata</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non-pro rata</w:t>
      </w:r>
      <w:r>
        <w:rPr>
          <w:color w:val="000000"/>
        </w:rPr>
        <w:t xml:space="preserve"> </w:t>
      </w:r>
      <w:r>
        <w:rPr>
          <w:rFonts w:ascii="Times New Roman;sans-serif" w:hAnsi="Times New Roman;sans-serif"/>
          <w:b w:val="false"/>
          <w:color w:val="000000"/>
          <w:sz w:val="24"/>
        </w:rPr>
        <w:t>basis, in each case subject to the following limitations:</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(i)(x) if the assignee is a Subsidiary, upon such assignment, transfer or contribution, the applicable assignee will automatically be deemed to have contributed or transferred the principal amount of such Term Loans, plus all accrued and unpaid interest thereon, to the Borrower or (y) if the assignee is the Borrower, (including through the contribution or transfers set forth in clause (x)), the principal amount of such Term Loans, along with all accrued and unpaid interest thereon, so contributed, assigned or transferred to the Borrower will be deemed automatically cancelled and extinguished upon such assignment, contribution or transfer; and</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6480175" cy="781050"/>
                <wp:effectExtent l="0" t="0" r="0" b="0"/>
                <wp:wrapNone/>
                <wp:docPr id="341" name="Frame340"/>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139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139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(ii)no Event of Default shall be continuing or shall result therefrom</w:t>
      </w:r>
    </w:p>
    <w:p>
      <w:pPr>
        <w:pStyle w:val="TextBody"/>
        <w:bidi w:val="0"/>
        <w:spacing w:lineRule="auto" w:line="240" w:before="240" w:after="283"/>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(e)This Section 2.25 shall supersede any provisions in this Agreement to the contrary.</w:t>
      </w:r>
    </w:p>
    <w:p>
      <w:pPr>
        <w:pStyle w:val="TextBody"/>
        <w:bidi w:val="0"/>
        <w:spacing w:lineRule="auto" w:line="240" w:before="24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ARTICLE III</w:t>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Representations and Warranties</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On (i) the Closing Date (in each case, after giving effect to the Transactions) and (ii) the date of each Credit Event (after the Closing Date), as provided in Section 4.02, the Borrower represents and warrants to the Lenders that:</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 xml:space="preserve">Section 3.01. </w:t>
      </w:r>
      <w:r>
        <w:rPr>
          <w:rFonts w:ascii="Times New Roman;sans-serif" w:hAnsi="Times New Roman;sans-serif"/>
          <w:b w:val="false"/>
          <w:color w:val="000000"/>
          <w:sz w:val="24"/>
          <w:u w:val="single"/>
        </w:rPr>
        <w:t>Organization; Powers</w:t>
      </w:r>
      <w:r>
        <w:rPr>
          <w:rFonts w:ascii="Times New Roman;sans-serif" w:hAnsi="Times New Roman;sans-serif"/>
          <w:b w:val="false"/>
          <w:color w:val="000000"/>
          <w:sz w:val="24"/>
        </w:rPr>
        <w:t>. The Borrower and each of the Subsidiaries which is a Loan Party (a) is a partnership, limited liability company, corporation or other entity duly organized, validly existing and in good standing under the laws of the jurisdiction of its organization (to the extent that each such concept exists in such jurisdiction), (b) has all requisite power and authority to own its property and assets and to carry on its business as now conducted,</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(f)is qualified to do business in each jurisdiction where such qualification is required, except in the case of clause (a) (other than with respect to the Borrower), clause (b) (other than with respect to the Borrower), and clause (c), where the failure so to be or have, individually or in the aggregate, would not reasonably be expected to have a Material Adverse Effect, and (d) has the power and authority to execute, deliver and perform its obligations under each of the Loan Documents and each other agreement or instrument contemplated thereby to which it is or will be a party and, in the case of the Borrower, to borrow and otherwise obtain credit hereunder.</w:t>
      </w:r>
    </w:p>
    <w:p>
      <w:pPr>
        <w:pStyle w:val="TextBody"/>
        <w:bidi w:val="0"/>
        <w:spacing w:lineRule="auto" w:line="240" w:before="241" w:after="283"/>
        <w:ind w:left="0" w:right="0" w:firstLine="720"/>
        <w:jc w:val="both"/>
        <w:rPr/>
      </w:pPr>
      <w:r>
        <w:rPr>
          <w:rFonts w:ascii="Times New Roman;sans-serif" w:hAnsi="Times New Roman;sans-serif"/>
          <w:b w:val="false"/>
          <w:color w:val="000000"/>
          <w:sz w:val="24"/>
        </w:rPr>
        <w:t xml:space="preserve">Section 3.02. </w:t>
      </w:r>
      <w:r>
        <w:rPr>
          <w:rFonts w:ascii="Times New Roman;sans-serif" w:hAnsi="Times New Roman;sans-serif"/>
          <w:b w:val="false"/>
          <w:color w:val="000000"/>
          <w:sz w:val="24"/>
          <w:u w:val="single"/>
        </w:rPr>
        <w:t>Authorization</w:t>
      </w:r>
      <w:r>
        <w:rPr>
          <w:rFonts w:ascii="Times New Roman;sans-serif" w:hAnsi="Times New Roman;sans-serif"/>
          <w:b w:val="false"/>
          <w:color w:val="000000"/>
          <w:sz w:val="24"/>
        </w:rPr>
        <w:t>. The execution, delivery and performance by the Borrower and each of the Guarantors of each of the Loan Documents to which it is a party and the borrowings and other extensions of credit hereunder (a) have been duly authorized by all corporate, stockholder, partnership, limited liability company or other organizational action required to be obtained by the Borrower and such Guarantors and (b) will not (i) violate (A) any provision of law, statute, rule or regulation applicable to the Borrower or any such Guarantor, (B) the certificate or articles of incorporation or other constitutive documents (including any partnership, limited liability company or operating agreements) or by-laws of the Borrower, or any such Guarantor,</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(C) any applicable order of any court or any law, rule, regulation or order of any Governmental Authority applicable to the Borrower or any such Guarantor or (D) any provision of any indenture, agreement or other instrument to which the Borrower or any such Guarantor is a party or by which any of them or any of their property is or may be bound, (ii) result in a breach of or constitute (alone or with due notice or lapse of time or both) a default under, give rise to a right of or result in any cancellation or acceleration of any right or obligation (including any payment) under any such indenture, agreement or other instrument, where any such conflict, violation, breach or default referred to in clause (i) (other than clause (i)(B)) or (ii) of this Section 3.02(b), would reasonably be expected to have, individually or in the aggregate, a Material Adverse Effect, or (iii) result in the creation or imposition of any Lien upon or with respect to any property or assets now owned or hereafter acquired by the Borrower or any such Guarantor, other than the Liens created by the Loan Documents and Permitted Liens.</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6480175" cy="781050"/>
                <wp:effectExtent l="0" t="0" r="0" b="0"/>
                <wp:wrapNone/>
                <wp:docPr id="342" name="Frame341"/>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140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140</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ind w:left="0" w:right="0" w:firstLine="720"/>
        <w:jc w:val="both"/>
        <w:rPr/>
      </w:pPr>
      <w:r>
        <w:rPr>
          <w:rFonts w:ascii="Times New Roman;sans-serif" w:hAnsi="Times New Roman;sans-serif"/>
          <w:b w:val="false"/>
          <w:color w:val="000000"/>
          <w:sz w:val="24"/>
        </w:rPr>
        <w:t xml:space="preserve">Section 3.03. </w:t>
      </w:r>
      <w:r>
        <w:rPr>
          <w:rFonts w:ascii="Times New Roman;sans-serif" w:hAnsi="Times New Roman;sans-serif"/>
          <w:b w:val="false"/>
          <w:color w:val="000000"/>
          <w:sz w:val="24"/>
          <w:u w:val="single"/>
        </w:rPr>
        <w:t>Enforceability</w:t>
      </w:r>
      <w:r>
        <w:rPr>
          <w:rFonts w:ascii="Times New Roman;sans-serif" w:hAnsi="Times New Roman;sans-serif"/>
          <w:b w:val="false"/>
          <w:color w:val="000000"/>
          <w:sz w:val="24"/>
        </w:rPr>
        <w:t>. This Agreement has been duly executed and delivered by the Borrower and constitutes, and each other Loan Document when executed and delivered by the Borrower and each Guarantor that is party thereto will constitute, a legal, valid and binding obligation of such Loan Party enforceable against the Borrower and each such Guarantor in accordance with its terms, subject to (a) the effects of bankruptcy, insolvency, moratorium, reorganization, fraudulent conveyance or other similar laws affecting creditors’ rights generally,</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(b) general principles of equity (regardless of whether such enforceability is considered in a proceeding in equity or at law), (c) implied covenants of good faith and fair dealing, and (d) the need for filings and registrations necessary to perfect the Liens on the Collateral granted by the Loan Parties in favor of the Collateral Agent.</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 xml:space="preserve">Section 3.04. </w:t>
      </w:r>
      <w:r>
        <w:rPr>
          <w:rFonts w:ascii="Times New Roman;sans-serif" w:hAnsi="Times New Roman;sans-serif"/>
          <w:b w:val="false"/>
          <w:color w:val="000000"/>
          <w:sz w:val="24"/>
          <w:u w:val="single"/>
        </w:rPr>
        <w:t>Governmental Approvals</w:t>
      </w:r>
      <w:r>
        <w:rPr>
          <w:rFonts w:ascii="Times New Roman;sans-serif" w:hAnsi="Times New Roman;sans-serif"/>
          <w:b w:val="false"/>
          <w:color w:val="000000"/>
          <w:sz w:val="24"/>
        </w:rPr>
        <w:t>. No action, consent or approval of, registration or filing with or any other action by any Governmental Authority is or will be required for the execution, delivery or performance of each Loan Document to which the Borrower or any Guarantor is a party, except for (a) the filing of Uniform Commercial Code financing statements,</w:t>
      </w:r>
    </w:p>
    <w:p>
      <w:pPr>
        <w:pStyle w:val="TextBody"/>
        <w:bidi w:val="0"/>
        <w:spacing w:lineRule="auto" w:line="240" w:before="0" w:after="0"/>
        <w:jc w:val="both"/>
        <w:rPr/>
      </w:pPr>
      <w:r>
        <w:rPr>
          <w:rFonts w:ascii="Times New Roman;sans-serif" w:hAnsi="Times New Roman;sans-serif"/>
          <w:b w:val="false"/>
          <w:color w:val="000000"/>
          <w:sz w:val="24"/>
        </w:rPr>
        <w:t xml:space="preserve">(b) filings with the United States Patent and Trademark Office and the United States Copyright Offices, (c) such as have been made or obtained and are in full force and effect, (d) such actions, consents and approvals the failure of which to be obtained or made would not reasonably be expected to have a Material Adverse Effect and (e) filings or other actions listed on </w:t>
      </w:r>
      <w:r>
        <w:rPr>
          <w:rFonts w:ascii="Times New Roman;sans-serif" w:hAnsi="Times New Roman;sans-serif"/>
          <w:b w:val="false"/>
          <w:color w:val="000000"/>
          <w:sz w:val="24"/>
          <w:u w:val="single"/>
        </w:rPr>
        <w:t>Schedule 3.04</w:t>
      </w:r>
      <w:r>
        <w:rPr>
          <w:color w:val="000000"/>
        </w:rPr>
        <w:t xml:space="preserve"> </w:t>
      </w:r>
      <w:r>
        <w:rPr>
          <w:rFonts w:ascii="Times New Roman;sans-serif" w:hAnsi="Times New Roman;sans-serif"/>
          <w:b w:val="false"/>
          <w:color w:val="000000"/>
          <w:sz w:val="24"/>
        </w:rPr>
        <w:t>and any other filings or registrations required to be made under the terms of the Security Documents to perfect Liens created by the Security Documents.</w:t>
      </w:r>
    </w:p>
    <w:p>
      <w:pPr>
        <w:pStyle w:val="TextBody"/>
        <w:bidi w:val="0"/>
        <w:spacing w:lineRule="auto" w:line="240" w:before="241" w:after="283"/>
        <w:jc w:val="left"/>
        <w:rPr/>
      </w:pPr>
      <w:r>
        <w:rPr>
          <w:rFonts w:ascii="Times New Roman;sans-serif" w:hAnsi="Times New Roman;sans-serif"/>
          <w:b w:val="false"/>
          <w:color w:val="000000"/>
          <w:sz w:val="24"/>
        </w:rPr>
        <w:t xml:space="preserve">Section 3.05. </w:t>
      </w:r>
      <w:r>
        <w:rPr>
          <w:rFonts w:ascii="Times New Roman;sans-serif" w:hAnsi="Times New Roman;sans-serif"/>
          <w:b w:val="false"/>
          <w:color w:val="000000"/>
          <w:sz w:val="24"/>
          <w:u w:val="single"/>
        </w:rPr>
        <w:t>Financial Statements</w:t>
      </w:r>
      <w:r>
        <w:rPr>
          <w:rFonts w:ascii="Times New Roman;sans-serif" w:hAnsi="Times New Roman;sans-serif"/>
          <w:b w:val="false"/>
          <w:color w:val="000000"/>
          <w:sz w:val="24"/>
        </w:rPr>
        <w:t>.</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(a)The audited consolidated balance sheets and the statements of operations, stockholders’ equity and cash flows for the Borrower and its consolidated subsidiaries as of and for each fiscal year of the Borrower in the three-fiscal year period ended on December 31, 2022, including the notes thereto, present fairly in all material respects the consolidated financial position of the Borrower and its consolidated subsidiaries as of the dates referred to therein and the results of operations and cash flows for the periods then ended, and were prepared in accordance with GAAP applied on a consistent basis throughout the periods covered thereby.</w:t>
      </w:r>
    </w:p>
    <w:p>
      <w:pPr>
        <w:pStyle w:val="TextBody"/>
        <w:bidi w:val="0"/>
        <w:spacing w:lineRule="auto" w:line="240" w:before="238"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(b)The unaudited consolidated balance sheet of the Borrower and its consolidated subsidiaries as of September 30, 2023 and the related consolidated statements of operations, stockholder’s equity and cash flows for the fiscal quarter ended on that date, including the notes thereto, present fairly in all material respects the consolidated financial position of the Borrower and its consolidated subsidiaries as of the dates and for the periods referred to therein and the results of operations and cash flows for the periods then ended, and were prepared in accordance with GAAP applied on a consistent basis throughout the period covered thereby, subject to normal year-end adjustments and the absence of footnotes.</w:t>
      </w:r>
    </w:p>
    <w:p>
      <w:pPr>
        <w:pStyle w:val="TextBody"/>
        <w:bidi w:val="0"/>
        <w:spacing w:lineRule="auto" w:line="240" w:before="241" w:after="283"/>
        <w:ind w:left="0" w:right="0" w:firstLine="720"/>
        <w:jc w:val="both"/>
        <w:rPr/>
      </w:pPr>
      <w:r>
        <w:rPr>
          <w:rFonts w:ascii="Times New Roman;sans-serif" w:hAnsi="Times New Roman;sans-serif"/>
          <w:b w:val="false"/>
          <w:color w:val="000000"/>
          <w:sz w:val="24"/>
        </w:rPr>
        <w:t xml:space="preserve">Section 3.06. </w:t>
      </w:r>
      <w:r>
        <w:rPr>
          <w:rFonts w:ascii="Times New Roman;sans-serif" w:hAnsi="Times New Roman;sans-serif"/>
          <w:b w:val="false"/>
          <w:color w:val="000000"/>
          <w:sz w:val="24"/>
          <w:u w:val="single"/>
        </w:rPr>
        <w:t>No Material Adverse Effect</w:t>
      </w:r>
      <w:r>
        <w:rPr>
          <w:rFonts w:ascii="Times New Roman;sans-serif" w:hAnsi="Times New Roman;sans-serif"/>
          <w:b w:val="false"/>
          <w:color w:val="000000"/>
          <w:sz w:val="24"/>
        </w:rPr>
        <w:t>. Since December 31, 2022, there has been no event or circumstance that, individually or in the aggregate with other events or circumstances, has had or would reasonably be expected to have a Material Adverse Effect.</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 xml:space="preserve">Section 3.07. </w:t>
      </w:r>
      <w:r>
        <w:rPr>
          <w:rFonts w:ascii="Times New Roman;sans-serif" w:hAnsi="Times New Roman;sans-serif"/>
          <w:b w:val="false"/>
          <w:color w:val="000000"/>
          <w:sz w:val="24"/>
          <w:u w:val="single"/>
        </w:rPr>
        <w:t>Title to Properties</w:t>
      </w:r>
      <w:r>
        <w:rPr>
          <w:rFonts w:ascii="Times New Roman;sans-serif" w:hAnsi="Times New Roman;sans-serif"/>
          <w:b w:val="false"/>
          <w:color w:val="000000"/>
          <w:sz w:val="24"/>
        </w:rPr>
        <w:t>. Each of the Borrower and the Subsidiaries has valid title in fee simple or equivalent to, or valid leasehold interests in, or easements or other limited property</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6480175" cy="781050"/>
                <wp:effectExtent l="0" t="0" r="0" b="0"/>
                <wp:wrapNone/>
                <wp:docPr id="343" name="Frame342"/>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141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141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jc w:val="both"/>
        <w:rPr>
          <w:rFonts w:ascii="Times New Roman;sans-serif" w:hAnsi="Times New Roman;sans-serif"/>
          <w:b w:val="false"/>
          <w:color w:val="000000"/>
          <w:sz w:val="24"/>
        </w:rPr>
      </w:pPr>
      <w:r>
        <w:rPr>
          <w:rFonts w:ascii="Times New Roman;sans-serif" w:hAnsi="Times New Roman;sans-serif"/>
          <w:b w:val="false"/>
          <w:color w:val="000000"/>
          <w:sz w:val="24"/>
        </w:rPr>
        <w:t>interests in, all its Real Properties and has valid title to its personal property and assets, in each case, free and clear of all Liens except for Permitted Liens and except for defects in title that do not materially interfere with its ability to conduct its business as currently conducted or to utilize such properties and assets for their intended purposes and except where the failures to have such title or such Liens would not reasonably be expected to have, individually or in the aggregate, a Material Adverse Effect.</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 xml:space="preserve">Section 3.08. </w:t>
      </w:r>
      <w:r>
        <w:rPr>
          <w:rFonts w:ascii="Times New Roman;sans-serif" w:hAnsi="Times New Roman;sans-serif"/>
          <w:b w:val="false"/>
          <w:color w:val="000000"/>
          <w:sz w:val="24"/>
          <w:u w:val="single"/>
        </w:rPr>
        <w:t>Subsidiaries</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Schedule 3.08</w:t>
      </w:r>
      <w:r>
        <w:rPr>
          <w:color w:val="000000"/>
        </w:rPr>
        <w:t xml:space="preserve"> </w:t>
      </w:r>
      <w:r>
        <w:rPr>
          <w:rFonts w:ascii="Times New Roman;sans-serif" w:hAnsi="Times New Roman;sans-serif"/>
          <w:b w:val="false"/>
          <w:color w:val="000000"/>
          <w:sz w:val="24"/>
        </w:rPr>
        <w:t>sets forth as of the Closing Date, after giving effect to the Transactions, the name and jurisdiction of incorporation, formation or organization of each subsidiary of the Borrower and, as to each such subsidiary, the percentage of the Equity Interests of such subsidiary owned by the Borrower or by any such subsidiary.</w:t>
      </w:r>
    </w:p>
    <w:p>
      <w:pPr>
        <w:pStyle w:val="TextBody"/>
        <w:bidi w:val="0"/>
        <w:spacing w:lineRule="auto" w:line="240" w:before="240" w:after="283"/>
        <w:jc w:val="left"/>
        <w:rPr/>
      </w:pPr>
      <w:r>
        <w:rPr>
          <w:rFonts w:ascii="Times New Roman;sans-serif" w:hAnsi="Times New Roman;sans-serif"/>
          <w:b w:val="false"/>
          <w:color w:val="000000"/>
          <w:sz w:val="24"/>
        </w:rPr>
        <w:t xml:space="preserve">Section 3.09. </w:t>
      </w:r>
      <w:r>
        <w:rPr>
          <w:rFonts w:ascii="Times New Roman;sans-serif" w:hAnsi="Times New Roman;sans-serif"/>
          <w:b w:val="false"/>
          <w:color w:val="000000"/>
          <w:sz w:val="24"/>
          <w:u w:val="single"/>
        </w:rPr>
        <w:t>Litigation; Compliance with Laws</w:t>
      </w:r>
      <w:r>
        <w:rPr>
          <w:rFonts w:ascii="Times New Roman;sans-serif" w:hAnsi="Times New Roman;sans-serif"/>
          <w:b w:val="false"/>
          <w:color w:val="000000"/>
          <w:sz w:val="24"/>
        </w:rPr>
        <w:t>.</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 xml:space="preserve">(a)There are no actions, suits, proceedings or investigations at law or in equity or by or on behalf of any Governmental Authority or in arbitration now pending, or, to the knowledge of the Borrower, threatened in writing against the Borrower or any of the Subsidiaries or any business, property or rights of any such person (i) that involve any Loan Document, to the extent that the applicable action, suit, proceeding or investigation is brought by the Borrower or any of its Subsidiaries or (ii) that would reasonably be expected to have, individually or in the aggregate, a Material Adverse Effect, except for any action, suit or proceeding at law or in equity or by or on behalf of any Governmental Authority or in arbitration which has been disclosed on </w:t>
      </w:r>
      <w:r>
        <w:rPr>
          <w:rFonts w:ascii="Times New Roman;sans-serif" w:hAnsi="Times New Roman;sans-serif"/>
          <w:b w:val="false"/>
          <w:color w:val="000000"/>
          <w:sz w:val="24"/>
          <w:u w:val="single"/>
        </w:rPr>
        <w:t>Schedule 3.09</w:t>
      </w:r>
      <w:r>
        <w:rPr>
          <w:color w:val="000000"/>
        </w:rPr>
        <w:t xml:space="preserve"> </w:t>
      </w:r>
      <w:r>
        <w:rPr>
          <w:rFonts w:ascii="Times New Roman;sans-serif" w:hAnsi="Times New Roman;sans-serif"/>
          <w:b w:val="false"/>
          <w:color w:val="000000"/>
          <w:sz w:val="24"/>
        </w:rPr>
        <w:t>or in the Borrower’s Annual Report on Form 10-K for the year ended December 31, 2022.</w:t>
      </w:r>
    </w:p>
    <w:p>
      <w:pPr>
        <w:pStyle w:val="TextBody"/>
        <w:bidi w:val="0"/>
        <w:spacing w:lineRule="auto" w:line="240" w:before="241"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(b)None of the Borrower, the Subsidiaries and their respective properties or assets is in violation of (nor will the continued operation of their material properties and assets as currently conducted violate) any law, rule or regulation (including any zoning, building, ordinance, code or approval or any building permit, but excluding any Environmental Laws, which are the subject of Section 3.16) or any restriction of record or indenture, agreement or instrument affecting any Real Property, or is in default with respect to any judgment, writ, injunction or decree of any Governmental Authority, where such violation or default would reasonably be expected to have, individually or in the aggregate, a Material Adverse Effect.</w:t>
      </w:r>
    </w:p>
    <w:p>
      <w:pPr>
        <w:pStyle w:val="TextBody"/>
        <w:bidi w:val="0"/>
        <w:spacing w:lineRule="auto" w:line="240" w:before="238" w:after="283"/>
        <w:ind w:left="0" w:right="0" w:firstLine="720"/>
        <w:jc w:val="both"/>
        <w:rPr/>
      </w:pPr>
      <w:r>
        <w:rPr>
          <w:rFonts w:ascii="Times New Roman;sans-serif" w:hAnsi="Times New Roman;sans-serif"/>
          <w:b w:val="false"/>
          <w:color w:val="000000"/>
          <w:sz w:val="24"/>
        </w:rPr>
        <w:t xml:space="preserve">Section 3.10. </w:t>
      </w:r>
      <w:r>
        <w:rPr>
          <w:rFonts w:ascii="Times New Roman;sans-serif" w:hAnsi="Times New Roman;sans-serif"/>
          <w:b w:val="false"/>
          <w:color w:val="000000"/>
          <w:sz w:val="24"/>
          <w:u w:val="single"/>
        </w:rPr>
        <w:t>Federal Reserve Regulations</w:t>
      </w:r>
      <w:r>
        <w:rPr>
          <w:rFonts w:ascii="Times New Roman;sans-serif" w:hAnsi="Times New Roman;sans-serif"/>
          <w:b w:val="false"/>
          <w:color w:val="000000"/>
          <w:sz w:val="24"/>
        </w:rPr>
        <w:t>. No part of the proceeds of any Loans and no Letter of Credit will be used by the Borrower and its Subsidiaries in any manner that would result in a violation of Regulation T, Regulation U or Regulation X.</w:t>
      </w:r>
    </w:p>
    <w:p>
      <w:pPr>
        <w:pStyle w:val="TextBody"/>
        <w:bidi w:val="0"/>
        <w:spacing w:lineRule="auto" w:line="240" w:before="241" w:after="283"/>
        <w:ind w:left="0" w:right="0" w:firstLine="720"/>
        <w:jc w:val="both"/>
        <w:rPr/>
      </w:pPr>
      <w:r>
        <w:rPr>
          <w:rFonts w:ascii="Times New Roman;sans-serif" w:hAnsi="Times New Roman;sans-serif"/>
          <w:b w:val="false"/>
          <w:color w:val="000000"/>
          <w:sz w:val="24"/>
        </w:rPr>
        <w:t xml:space="preserve">Section 3.11. </w:t>
      </w:r>
      <w:r>
        <w:rPr>
          <w:rFonts w:ascii="Times New Roman;sans-serif" w:hAnsi="Times New Roman;sans-serif"/>
          <w:b w:val="false"/>
          <w:color w:val="000000"/>
          <w:sz w:val="24"/>
          <w:u w:val="single"/>
        </w:rPr>
        <w:t>Investment Company Act</w:t>
      </w:r>
      <w:r>
        <w:rPr>
          <w:rFonts w:ascii="Times New Roman;sans-serif" w:hAnsi="Times New Roman;sans-serif"/>
          <w:b w:val="false"/>
          <w:color w:val="000000"/>
          <w:sz w:val="24"/>
        </w:rPr>
        <w:t>. None of the Borrower or any of the Subsidiaries are required to be registered as an “investment company” within the meaning of the Investment Company Act of 1940, as amended.</w:t>
      </w:r>
    </w:p>
    <w:p>
      <w:pPr>
        <w:pStyle w:val="TextBody"/>
        <w:bidi w:val="0"/>
        <w:spacing w:lineRule="auto" w:line="240" w:before="240" w:after="283"/>
        <w:jc w:val="left"/>
        <w:rPr/>
      </w:pPr>
      <w:r>
        <w:rPr>
          <w:rFonts w:ascii="Times New Roman;sans-serif" w:hAnsi="Times New Roman;sans-serif"/>
          <w:b w:val="false"/>
          <w:color w:val="000000"/>
          <w:sz w:val="24"/>
        </w:rPr>
        <w:t xml:space="preserve">Section 3.12. </w:t>
      </w:r>
      <w:r>
        <w:rPr>
          <w:rFonts w:ascii="Times New Roman;sans-serif" w:hAnsi="Times New Roman;sans-serif"/>
          <w:b w:val="false"/>
          <w:color w:val="000000"/>
          <w:sz w:val="24"/>
          <w:u w:val="single"/>
        </w:rPr>
        <w:t>Use of Proceeds</w:t>
      </w:r>
      <w:r>
        <w:rPr>
          <w:rFonts w:ascii="Times New Roman;sans-serif" w:hAnsi="Times New Roman;sans-serif"/>
          <w:b w:val="false"/>
          <w:color w:val="000000"/>
          <w:sz w:val="24"/>
        </w:rPr>
        <w:t>.</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(a)The Borrower will use the proceeds of the Revolving Facility Loans and Swingline Loans, and may request the issuance of Letters of Credit, solely for general corporate purposes (including, without limitation, for working capital purposes, for capital expenditures, for Permitted Business Acquisitions, in the case of Letters of Credit, for the back-up or replacement of existing letters of credit and to pay fees and expenses related to the foregoing).</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6480175" cy="781050"/>
                <wp:effectExtent l="0" t="0" r="0" b="0"/>
                <wp:wrapNone/>
                <wp:docPr id="344" name="Frame343"/>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142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142</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(b)The Borrower will use the proceeds of the Initial Term Loans borrowed on the Closing Date to finance the Transactions.</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(c)The Borrower will use the proceeds of any Incremental Loans solely for general corporate purposes of the Borrower and its Subsidiaries (including Permitted Business Acquisitions, Capital Expenditures and permitted Restricted Payments) or as otherwise set forth in the applicable Incremental Assumption Agreement.</w:t>
      </w:r>
    </w:p>
    <w:p>
      <w:pPr>
        <w:pStyle w:val="TextBody"/>
        <w:bidi w:val="0"/>
        <w:spacing w:lineRule="auto" w:line="240" w:before="240" w:after="283"/>
        <w:jc w:val="left"/>
        <w:rPr/>
      </w:pPr>
      <w:r>
        <w:rPr>
          <w:rFonts w:ascii="Times New Roman;sans-serif" w:hAnsi="Times New Roman;sans-serif"/>
          <w:b w:val="false"/>
          <w:color w:val="000000"/>
          <w:sz w:val="24"/>
        </w:rPr>
        <w:t xml:space="preserve">Section 3.13. </w:t>
      </w:r>
      <w:r>
        <w:rPr>
          <w:rFonts w:ascii="Times New Roman;sans-serif" w:hAnsi="Times New Roman;sans-serif"/>
          <w:b w:val="false"/>
          <w:color w:val="000000"/>
          <w:sz w:val="24"/>
          <w:u w:val="single"/>
        </w:rPr>
        <w:t>Tax Returns</w:t>
      </w:r>
      <w:r>
        <w:rPr>
          <w:rFonts w:ascii="Times New Roman;sans-serif" w:hAnsi="Times New Roman;sans-serif"/>
          <w:b w:val="false"/>
          <w:color w:val="000000"/>
          <w:sz w:val="24"/>
        </w:rPr>
        <w:t>.</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(a)Except as would not, individually or in the aggregate, reasonably be expected to result in a Material Adverse Effect, the Borrower and each of the Subsidiaries has filed or caused to be filed all federal, state, local and non-U.S. Tax returns required to have been filed by it (including in its capacity as Withholding Agent) and each such Tax return is true and correct; and</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(b)Except as would not, individually or in the aggregate, reasonably be expected to result in a Material Adverse Effect, the Borrower and each of the Subsidiaries has timely paid or caused to be timely paid all Taxes shown to be due and payable by it on the returns referred to in clause (a) and all other Taxes or assessments (or made adequate provision (in accordance with GAAP) for the payment of all Taxes due), except Taxes or assessments for which the Borrower or any of the Subsidiaries (as the case may be) has set aside on its books adequate reserves in accordance with GAAP and, to the extent such Taxes are due and payable pursuant to a governmental assessment, the amount thereof is being contested in good faith by appropriate proceedings.</w:t>
      </w:r>
    </w:p>
    <w:p>
      <w:pPr>
        <w:pStyle w:val="TextBody"/>
        <w:bidi w:val="0"/>
        <w:spacing w:lineRule="auto" w:line="240" w:before="241" w:after="283"/>
        <w:jc w:val="left"/>
        <w:rPr/>
      </w:pPr>
      <w:r>
        <w:rPr>
          <w:rFonts w:ascii="Times New Roman;sans-serif" w:hAnsi="Times New Roman;sans-serif"/>
          <w:b w:val="false"/>
          <w:color w:val="000000"/>
          <w:sz w:val="24"/>
        </w:rPr>
        <w:t xml:space="preserve">Section 3.14. </w:t>
      </w:r>
      <w:r>
        <w:rPr>
          <w:rFonts w:ascii="Times New Roman;sans-serif" w:hAnsi="Times New Roman;sans-serif"/>
          <w:b w:val="false"/>
          <w:color w:val="000000"/>
          <w:sz w:val="24"/>
          <w:u w:val="single"/>
        </w:rPr>
        <w:t>No Material Misstatements</w:t>
      </w:r>
      <w:r>
        <w:rPr>
          <w:rFonts w:ascii="Times New Roman;sans-serif" w:hAnsi="Times New Roman;sans-serif"/>
          <w:b w:val="false"/>
          <w:color w:val="000000"/>
          <w:sz w:val="24"/>
        </w:rPr>
        <w:t>.</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(a)All written information (other than the projections, forward looking information and information of a general economic or industry specific nature) (the “</w:t>
      </w:r>
      <w:r>
        <w:rPr>
          <w:rFonts w:ascii="Times New Roman;sans-serif" w:hAnsi="Times New Roman;sans-serif"/>
          <w:b w:val="false"/>
          <w:color w:val="000000"/>
          <w:sz w:val="24"/>
          <w:u w:val="single"/>
        </w:rPr>
        <w:t>Information</w:t>
      </w:r>
      <w:r>
        <w:rPr>
          <w:color w:val="000000"/>
        </w:rPr>
        <w:t>”</w:t>
      </w:r>
      <w:r>
        <w:rPr>
          <w:rFonts w:ascii="Times New Roman;sans-serif" w:hAnsi="Times New Roman;sans-serif"/>
          <w:b w:val="false"/>
          <w:color w:val="000000"/>
          <w:sz w:val="24"/>
        </w:rPr>
        <w:t>) concerning the Borrower, the Subsidiaries, the Transactions and any other transactions contemplated hereby prepared by or on behalf of the foregoing or their representatives and made available to any Lenders or the Administrative Agent in connection with the Transactions or the other transactions contemplated hereby, when taken as a whole, was true and correct in all material respects, as of the date such Information was furnished to the Lenders (and as of the Closing Date, with respect to Information provided prior thereto) and did not, taken as a whole, contain any untrue statement of a material fact as of any such date or omit to state a material fact necessary in order to make the statements contained therein, taken as a whole, not materially misleading in light of the circumstances under which such statements were made.</w:t>
      </w:r>
    </w:p>
    <w:p>
      <w:pPr>
        <w:pStyle w:val="TextBody"/>
        <w:bidi w:val="0"/>
        <w:spacing w:lineRule="auto" w:line="240" w:before="239"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(b)The projections and other forward looking information prepared by or on behalf of the Borrower or any of their representatives and that have been made available to any Lenders or the Administrative Agent in connection with the Transactions or the other transactions contemplated hereby have been prepared in good faith based upon assumptions believed by the Borrower to be reasonable as of the date thereof (it being understood that such projections and other forward looking information are as to future events and are not to be viewed as facts, such projections and other forward looking information are subject to significant uncertainties and contingencies and that actual results during the period or periods covered by any such projections</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6480175" cy="781050"/>
                <wp:effectExtent l="0" t="0" r="0" b="0"/>
                <wp:wrapNone/>
                <wp:docPr id="345" name="Frame344"/>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143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143</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jc w:val="both"/>
        <w:rPr>
          <w:rFonts w:ascii="Times New Roman;sans-serif" w:hAnsi="Times New Roman;sans-serif"/>
          <w:b w:val="false"/>
          <w:color w:val="000000"/>
          <w:sz w:val="24"/>
        </w:rPr>
      </w:pPr>
      <w:r>
        <w:rPr>
          <w:rFonts w:ascii="Times New Roman;sans-serif" w:hAnsi="Times New Roman;sans-serif"/>
          <w:b w:val="false"/>
          <w:color w:val="000000"/>
          <w:sz w:val="24"/>
        </w:rPr>
        <w:t>or other forward looking information may differ significantly from the projected results, and that no assurance can be given that the projected results will be realized), as of the date such projections and information were furnished to the Lenders.</w:t>
      </w:r>
    </w:p>
    <w:p>
      <w:pPr>
        <w:pStyle w:val="TextBody"/>
        <w:bidi w:val="0"/>
        <w:spacing w:lineRule="auto" w:line="240" w:before="240" w:after="283"/>
        <w:jc w:val="left"/>
        <w:rPr/>
      </w:pPr>
      <w:r>
        <w:rPr>
          <w:rFonts w:ascii="Times New Roman;sans-serif" w:hAnsi="Times New Roman;sans-serif"/>
          <w:b w:val="false"/>
          <w:color w:val="000000"/>
          <w:sz w:val="24"/>
        </w:rPr>
        <w:t xml:space="preserve">Section 3.15. </w:t>
      </w:r>
      <w:r>
        <w:rPr>
          <w:rFonts w:ascii="Times New Roman;sans-serif" w:hAnsi="Times New Roman;sans-serif"/>
          <w:b w:val="false"/>
          <w:color w:val="000000"/>
          <w:sz w:val="24"/>
          <w:u w:val="single"/>
        </w:rPr>
        <w:t>EEA Financial Institutions</w:t>
      </w:r>
      <w:r>
        <w:rPr>
          <w:rFonts w:ascii="Times New Roman;sans-serif" w:hAnsi="Times New Roman;sans-serif"/>
          <w:b w:val="false"/>
          <w:color w:val="000000"/>
          <w:sz w:val="24"/>
        </w:rPr>
        <w:t>. No Loan Party is an EEA Financial Institution.</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 xml:space="preserve">Section 3.16. </w:t>
      </w:r>
      <w:r>
        <w:rPr>
          <w:rFonts w:ascii="Times New Roman;sans-serif" w:hAnsi="Times New Roman;sans-serif"/>
          <w:b w:val="false"/>
          <w:color w:val="000000"/>
          <w:sz w:val="24"/>
          <w:u w:val="single"/>
        </w:rPr>
        <w:t>Environmental Matters</w:t>
      </w:r>
      <w:r>
        <w:rPr>
          <w:rFonts w:ascii="Times New Roman;sans-serif" w:hAnsi="Times New Roman;sans-serif"/>
          <w:b w:val="false"/>
          <w:color w:val="000000"/>
          <w:sz w:val="24"/>
        </w:rPr>
        <w:t>. Except as to matters that would not reasonably be expected to have, individually or in the aggregate, a Material Adverse Effect: (a) no written notice, request for information, order, complaint or penalty has been received by the Borrower or any of its Subsidiaries, and there are no judicial, administrative or other actions, suits or proceedings pending or, to the Borrower’s knowledge, threatened which allege a violation of or liability under any Environmental Laws, in each case relating to the Borrower or any of its Subsidiaries, (b) each of the Borrower and its Subsidiaries has all environmental permits, licenses, authorizations and other approvals necessary for its operations to comply with all Environmental Laws (“</w:t>
      </w:r>
      <w:r>
        <w:rPr>
          <w:rFonts w:ascii="Times New Roman;sans-serif" w:hAnsi="Times New Roman;sans-serif"/>
          <w:b w:val="false"/>
          <w:color w:val="000000"/>
          <w:sz w:val="24"/>
          <w:u w:val="single"/>
        </w:rPr>
        <w:t>Environmental Permits</w:t>
      </w:r>
      <w:r>
        <w:rPr>
          <w:color w:val="000000"/>
        </w:rPr>
        <w:t>”</w:t>
      </w:r>
      <w:r>
        <w:rPr>
          <w:rFonts w:ascii="Times New Roman;sans-serif" w:hAnsi="Times New Roman;sans-serif"/>
          <w:b w:val="false"/>
          <w:color w:val="000000"/>
          <w:sz w:val="24"/>
        </w:rPr>
        <w:t>) and is in compliance with the terms of such Environmental Permits and with all other Environmental Laws, (c) no Hazardous Material is located at, on or under any property currently or, to Borrower’s knowledge, formerly owned, operated or leased by the Borrower or any of its Subsidiaries that would reasonably be expected to give rise to any cost, liability or obligation of the Borrower or any of its Subsidiaries under any Environmental Laws or Environmental Permits, and no Hazardous Material has been generated, used, treated, stored, handled, disposed of or controlled, transported or released by Borrower or its Subsidiaries, or, to the Borrower’s knowledge, otherwise at any location in a manner that would reasonably be expected to give rise to any cost, liability or obligation of the Borrower or any of its Subsidiaries under any Environmental Laws or Environmental Permits, (d) there are no agreements in which the Borrower or any of its Subsidiaries has expressly assumed or undertaken responsibility for any known or reasonably likely liability or obligation of any other person arising under or relating to Environmental Laws and (e) there has been no written environmental assessment or audit (other than customary assessments not revealing anything that would reasonably be expected to result in a Material Adverse Effect) conducted during the past five years, by or on behalf of the Borrower or any of the Subsidiaries of any property currently or, to the Borrower’s knowledge, formerly owned, operated or leased by the Borrower or any of the Subsidiaries that is in the current possession or control of Borrower or its Subsidiaries or of which Borrower has knowledge that has not been made available to the Administrative Agent prior to the Closing Date.</w:t>
      </w:r>
    </w:p>
    <w:p>
      <w:pPr>
        <w:pStyle w:val="TextBody"/>
        <w:bidi w:val="0"/>
        <w:spacing w:lineRule="auto" w:line="240" w:before="240" w:after="283"/>
        <w:jc w:val="left"/>
        <w:rPr/>
      </w:pPr>
      <w:r>
        <w:rPr>
          <w:rFonts w:ascii="Times New Roman;sans-serif" w:hAnsi="Times New Roman;sans-serif"/>
          <w:b w:val="false"/>
          <w:color w:val="000000"/>
          <w:sz w:val="24"/>
        </w:rPr>
        <w:t xml:space="preserve">Section 3.17. </w:t>
      </w:r>
      <w:r>
        <w:rPr>
          <w:rFonts w:ascii="Times New Roman;sans-serif" w:hAnsi="Times New Roman;sans-serif"/>
          <w:b w:val="false"/>
          <w:color w:val="000000"/>
          <w:sz w:val="24"/>
          <w:u w:val="single"/>
        </w:rPr>
        <w:t>Security Documents</w:t>
      </w:r>
      <w:r>
        <w:rPr>
          <w:rFonts w:ascii="Times New Roman;sans-serif" w:hAnsi="Times New Roman;sans-serif"/>
          <w:b w:val="false"/>
          <w:color w:val="000000"/>
          <w:sz w:val="24"/>
        </w:rPr>
        <w:t>.</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(a)Each Security Document when executed by the applicable parties thereto is effective to create in favor of the Collateral Agent for the benefit of the Secured Parties a legal, valid and enforceable security interest in the Collateral described therein and proceeds thereof to the extent contemplated by such Security Document and the other Loan Documents. In the case of the Pledged Collateral described in the Collateral Agreement, when certificates or promissory notes, as applicable, representing such Pledged Collateral and required to be delivered under the applicable Security Document are delivered to the Collateral Agent, and in the case of the other Collateral described in the Collateral Agreement (other than the Intellectual Property), when financing statements and other filings specified in the Perfection Certificate are filed in the offices specified in the Perfection Certificate, the Collateral Agent (for the benefit of the Secured Parties) shall have a fully perfected Lien (subject to no Liens other than Permitted Liens) on, and security</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6480175" cy="781050"/>
                <wp:effectExtent l="0" t="0" r="0" b="0"/>
                <wp:wrapNone/>
                <wp:docPr id="346" name="Frame345"/>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144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144</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jc w:val="both"/>
        <w:rPr>
          <w:rFonts w:ascii="Times New Roman;sans-serif" w:hAnsi="Times New Roman;sans-serif"/>
          <w:b w:val="false"/>
          <w:color w:val="000000"/>
          <w:sz w:val="24"/>
        </w:rPr>
      </w:pPr>
      <w:r>
        <w:rPr>
          <w:rFonts w:ascii="Times New Roman;sans-serif" w:hAnsi="Times New Roman;sans-serif"/>
          <w:b w:val="false"/>
          <w:color w:val="000000"/>
          <w:sz w:val="24"/>
        </w:rPr>
        <w:t>interest in, all right, title and interest of the Loan Parties in such Collateral and, subject to Section 9-315 of the New York Uniform Commercial Code, the proceeds thereof, as security for the Obligations to the extent perfection can be obtained by filing Uniform Commercial Code financing statements or possession, in each case prior and superior in right to the Lien of any other person (except Permitted Liens).</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(b)When the Collateral Agreement or an ancillary document thereunder is properly filed and recorded in the United States Patent and Trademark Office and the United States Copyright Office, and, with respect to Collateral in which a security interest cannot be perfected by such filings, upon the proper filing of the financing statements referred to in clause (a) above, the Collateral Agent (for the benefit of the Secured Parties) shall have a fully perfected Lien on, and security interest in, all right, title and interest of the Loan Parties thereunder in the material United States Intellectual Property included in the Collateral listed in such ancillary document, in each case prior and superior in right to the Lien of any other person, except for Permitted Liens (it being understood that subsequent recordings in the United States Patent and Trademark Office and the United States Copyright Office may be necessary to perfect a Lien on material registered trademarks and patents, trademark and patent applications and registered copyrights acquired by the Loan Parties after the Closing Date).</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(c)Notwithstanding anything herein (including this Section 3.17) or in any other Loan Document to the contrary, neither the Borrower nor any other Loan Party makes any representation or warranty as to the effects of perfection or non-perfection, the priority or the enforceability of any pledge of or security interest in any Equity Interests of any Foreign Subsidiary, or as to the rights and remedies of the Agents or any Lender with respect thereto, under foreign law.</w:t>
      </w:r>
    </w:p>
    <w:p>
      <w:pPr>
        <w:pStyle w:val="TextBody"/>
        <w:bidi w:val="0"/>
        <w:spacing w:lineRule="auto" w:line="240" w:before="241" w:after="283"/>
        <w:ind w:left="0" w:right="0" w:firstLine="720"/>
        <w:jc w:val="both"/>
        <w:rPr/>
      </w:pPr>
      <w:r>
        <w:rPr>
          <w:rFonts w:ascii="Times New Roman;sans-serif" w:hAnsi="Times New Roman;sans-serif"/>
          <w:b w:val="false"/>
          <w:color w:val="000000"/>
          <w:sz w:val="24"/>
        </w:rPr>
        <w:t xml:space="preserve">Section 3.18. </w:t>
      </w:r>
      <w:r>
        <w:rPr>
          <w:rFonts w:ascii="Times New Roman;sans-serif" w:hAnsi="Times New Roman;sans-serif"/>
          <w:b w:val="false"/>
          <w:color w:val="000000"/>
          <w:sz w:val="24"/>
          <w:u w:val="single"/>
        </w:rPr>
        <w:t>Solvency</w:t>
      </w:r>
      <w:r>
        <w:rPr>
          <w:rFonts w:ascii="Times New Roman;sans-serif" w:hAnsi="Times New Roman;sans-serif"/>
          <w:b w:val="false"/>
          <w:color w:val="000000"/>
          <w:sz w:val="24"/>
        </w:rPr>
        <w:t>. Immediately after giving effect to the Transactions on the Closing Date, (i) the fair value of the assets of the Borrower and its Subsidiaries on a consolidated basis, exceeds, on a consolidated basis, their debts and liabilities, subordinated, contingent or otherwise; (ii) the present fair saleable value of the property of the Borrower and its Subsidiaries, on a consolidated basis, is greater than the amount that will be required to pay the probable liability, on a consolidated basis, of their debts and other liabilities, subordinated, contingent or otherwise, as such debts and other liabilities become absolute and matured; (iii) the Borrower and its Subsidiaries, on a consolidated basis, are able to pay their debts and liabilities, subordinated, contingent or otherwise, as such debts and liabilities become absolute and matured; and (iv) the Borrower and its Subsidiaries, on a consolidated basis, are not engaged in, and are not about to engage in, business for which they have unreasonably small capital. For purposes of the foregoing, the amount of any contingent liability at any time shall be computed as the amount that would reasonably be expected to become an actual and matured liability.</w:t>
      </w:r>
    </w:p>
    <w:p>
      <w:pPr>
        <w:pStyle w:val="TextBody"/>
        <w:bidi w:val="0"/>
        <w:spacing w:lineRule="auto" w:line="240" w:before="239" w:after="283"/>
        <w:ind w:left="0" w:right="0" w:firstLine="720"/>
        <w:jc w:val="both"/>
        <w:rPr/>
      </w:pPr>
      <w:r>
        <w:rPr>
          <w:rFonts w:ascii="Times New Roman;sans-serif" w:hAnsi="Times New Roman;sans-serif"/>
          <w:b w:val="false"/>
          <w:color w:val="000000"/>
          <w:sz w:val="24"/>
        </w:rPr>
        <w:t xml:space="preserve">Section 3.19. </w:t>
      </w:r>
      <w:r>
        <w:rPr>
          <w:rFonts w:ascii="Times New Roman;sans-serif" w:hAnsi="Times New Roman;sans-serif"/>
          <w:b w:val="false"/>
          <w:color w:val="000000"/>
          <w:sz w:val="24"/>
          <w:u w:val="single"/>
        </w:rPr>
        <w:t>ERISA</w:t>
      </w:r>
      <w:r>
        <w:rPr>
          <w:rFonts w:ascii="Times New Roman;sans-serif" w:hAnsi="Times New Roman;sans-serif"/>
          <w:b w:val="false"/>
          <w:color w:val="000000"/>
          <w:sz w:val="24"/>
        </w:rPr>
        <w:t>. No ERISA Event has occurred or is reasonably expected to occur that, when taken together with all other such ERISA Events, could reasonably be expected to result in a Material Adverse Effect. None of the Borrower, any Subsidiary nor any ERISA Affiliate has engaged in a transaction that could be subject to Section 4069 or 4212(c) of ERISA that would reasonably be expected to result in a Material Adverse Effect.</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 xml:space="preserve">Section 3.20. </w:t>
      </w:r>
      <w:r>
        <w:rPr>
          <w:rFonts w:ascii="Times New Roman;sans-serif" w:hAnsi="Times New Roman;sans-serif"/>
          <w:b w:val="false"/>
          <w:color w:val="000000"/>
          <w:sz w:val="24"/>
          <w:u w:val="single"/>
        </w:rPr>
        <w:t>Labor Matters</w:t>
      </w:r>
      <w:r>
        <w:rPr>
          <w:rFonts w:ascii="Times New Roman;sans-serif" w:hAnsi="Times New Roman;sans-serif"/>
          <w:b w:val="false"/>
          <w:color w:val="000000"/>
          <w:sz w:val="24"/>
        </w:rPr>
        <w:t>. Except as, individually or in the aggregate, would not reasonably be expected to have a Material Adverse Effect: (a) there are no strikes or other labor</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6480175" cy="781050"/>
                <wp:effectExtent l="0" t="0" r="0" b="0"/>
                <wp:wrapNone/>
                <wp:docPr id="347" name="Frame346"/>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145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145</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jc w:val="both"/>
        <w:rPr>
          <w:rFonts w:ascii="Times New Roman;sans-serif" w:hAnsi="Times New Roman;sans-serif"/>
          <w:b w:val="false"/>
          <w:color w:val="000000"/>
          <w:sz w:val="24"/>
        </w:rPr>
      </w:pPr>
      <w:r>
        <w:rPr>
          <w:rFonts w:ascii="Times New Roman;sans-serif" w:hAnsi="Times New Roman;sans-serif"/>
          <w:b w:val="false"/>
          <w:color w:val="000000"/>
          <w:sz w:val="24"/>
        </w:rPr>
        <w:t>disputes pending or threatened against the Borrower or any of the Subsidiaries; (b) the hours worked and payments made to employees of the Borrower and the Subsidiaries have not been in violation of the Fair Labor Standards Act or any other applicable law dealing with such matters; and (c) all payments due from the Borrower or any of the Subsidiaries or for which any claim may be made against the Borrower or any of the Subsidiaries, on account of wages and employee health and welfare insurance and other benefits have been paid or accrued as a liability on the books of the Borrower or such Subsidiary to the extent required by GAAP.</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 xml:space="preserve">Section 3.21. </w:t>
      </w:r>
      <w:r>
        <w:rPr>
          <w:rFonts w:ascii="Times New Roman;sans-serif" w:hAnsi="Times New Roman;sans-serif"/>
          <w:b w:val="false"/>
          <w:color w:val="000000"/>
          <w:sz w:val="24"/>
          <w:u w:val="single"/>
        </w:rPr>
        <w:t>Insurance</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Schedule 3.21</w:t>
      </w:r>
      <w:r>
        <w:rPr>
          <w:color w:val="000000"/>
        </w:rPr>
        <w:t xml:space="preserve"> </w:t>
      </w:r>
      <w:r>
        <w:rPr>
          <w:rFonts w:ascii="Times New Roman;sans-serif" w:hAnsi="Times New Roman;sans-serif"/>
          <w:b w:val="false"/>
          <w:color w:val="000000"/>
          <w:sz w:val="24"/>
        </w:rPr>
        <w:t>sets forth a true, complete and correct description, in all material respects, of all material insurance (excluding any title insurance) maintained by or on behalf of any Loan Party as of the Closing Date after giving effect to the Transactions. As of such date, such insurance is in full force and effect.</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 xml:space="preserve">Section 3.22. </w:t>
      </w:r>
      <w:r>
        <w:rPr>
          <w:rFonts w:ascii="Times New Roman;sans-serif" w:hAnsi="Times New Roman;sans-serif"/>
          <w:b w:val="false"/>
          <w:color w:val="000000"/>
          <w:sz w:val="24"/>
          <w:u w:val="single"/>
        </w:rPr>
        <w:t>Intellectual Property; Licenses, Etc.</w:t>
      </w:r>
      <w:r>
        <w:rPr>
          <w:color w:val="000000"/>
        </w:rPr>
        <w:t xml:space="preserve"> </w:t>
      </w:r>
      <w:r>
        <w:rPr>
          <w:rFonts w:ascii="Times New Roman;sans-serif" w:hAnsi="Times New Roman;sans-serif"/>
          <w:b w:val="false"/>
          <w:color w:val="000000"/>
          <w:sz w:val="24"/>
        </w:rPr>
        <w:t xml:space="preserve">Except as would not reasonably be expected to have a Material Adverse Effect or as set forth in </w:t>
      </w:r>
      <w:r>
        <w:rPr>
          <w:rFonts w:ascii="Times New Roman;sans-serif" w:hAnsi="Times New Roman;sans-serif"/>
          <w:b w:val="false"/>
          <w:color w:val="000000"/>
          <w:sz w:val="24"/>
          <w:u w:val="single"/>
        </w:rPr>
        <w:t>Schedule 3.22</w:t>
      </w:r>
      <w:r>
        <w:rPr>
          <w:rFonts w:ascii="Times New Roman;sans-serif" w:hAnsi="Times New Roman;sans-serif"/>
          <w:b w:val="false"/>
          <w:color w:val="000000"/>
          <w:sz w:val="24"/>
        </w:rPr>
        <w:t>, (a) the Borrower and each of its Subsidiaries owns, or possesses the right to use, all Intellectual Property that are used or held for use or is otherwise reasonably necessary in the operation of their respective businesses,</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(b) to the knowledge of the Borrower and its Subsidiaries, the Borrower and its Subsidiaries are not interfering with, infringing upon, misappropriating or otherwise violating Intellectual Property of any person and (c) (i) no claim or litigation regarding any of the Intellectual Property owned by the Borrower and its Subsidiaries is pending or, to the knowledge of the Borrower, threatened and</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(ii) to the knowledge of the Borrower, no claim or litigation regarding any other Intellectual Property described in the foregoing clauses (a) and (b) is pending or threatened.</w:t>
      </w:r>
    </w:p>
    <w:p>
      <w:pPr>
        <w:pStyle w:val="TextBody"/>
        <w:bidi w:val="0"/>
        <w:spacing w:lineRule="auto" w:line="240" w:before="241" w:after="283"/>
        <w:ind w:left="0" w:right="0" w:firstLine="720"/>
        <w:jc w:val="both"/>
        <w:rPr/>
      </w:pPr>
      <w:r>
        <w:rPr>
          <w:rFonts w:ascii="Times New Roman;sans-serif" w:hAnsi="Times New Roman;sans-serif"/>
          <w:b w:val="false"/>
          <w:color w:val="000000"/>
          <w:sz w:val="24"/>
        </w:rPr>
        <w:t xml:space="preserve">Section 3.23. </w:t>
      </w:r>
      <w:r>
        <w:rPr>
          <w:rFonts w:ascii="Times New Roman;sans-serif" w:hAnsi="Times New Roman;sans-serif"/>
          <w:b w:val="false"/>
          <w:color w:val="000000"/>
          <w:sz w:val="24"/>
          <w:u w:val="single"/>
        </w:rPr>
        <w:t>USA PATRIOT Act</w:t>
      </w:r>
      <w:r>
        <w:rPr>
          <w:rFonts w:ascii="Times New Roman;sans-serif" w:hAnsi="Times New Roman;sans-serif"/>
          <w:b w:val="false"/>
          <w:color w:val="000000"/>
          <w:sz w:val="24"/>
        </w:rPr>
        <w:t>. The Borrower and each of its Subsidiaries is in compliance in all material respects with the United and Strengthening America by Providing Appropriate Tools Required to Intercept and Obstruct Terrorism Act of 2001, Public Law 107-56, and other applicable anti-money laundering laws. As of the Closing Date, the information included in the Beneficial Ownership Certification is true and correct in all respects.</w:t>
      </w:r>
    </w:p>
    <w:p>
      <w:pPr>
        <w:pStyle w:val="TextBody"/>
        <w:bidi w:val="0"/>
        <w:spacing w:lineRule="auto" w:line="240" w:before="238" w:after="283"/>
        <w:ind w:left="0" w:right="0" w:firstLine="720"/>
        <w:jc w:val="both"/>
        <w:rPr/>
      </w:pPr>
      <w:r>
        <w:rPr>
          <w:rFonts w:ascii="Times New Roman;sans-serif" w:hAnsi="Times New Roman;sans-serif"/>
          <w:b w:val="false"/>
          <w:color w:val="000000"/>
          <w:sz w:val="24"/>
        </w:rPr>
        <w:t xml:space="preserve">Section 3.24. </w:t>
      </w:r>
      <w:r>
        <w:rPr>
          <w:rFonts w:ascii="Times New Roman;sans-serif" w:hAnsi="Times New Roman;sans-serif"/>
          <w:b w:val="false"/>
          <w:color w:val="000000"/>
          <w:sz w:val="24"/>
          <w:u w:val="single"/>
        </w:rPr>
        <w:t>Anti-Corruption Laws and Sanctions</w:t>
      </w:r>
      <w:r>
        <w:rPr>
          <w:rFonts w:ascii="Times New Roman;sans-serif" w:hAnsi="Times New Roman;sans-serif"/>
          <w:b w:val="false"/>
          <w:color w:val="000000"/>
          <w:sz w:val="24"/>
        </w:rPr>
        <w:t>. (a) Neither (i) the Borrower nor any Subsidiary, (ii) to the knowledge of the Borrower, any director, officer, employee, agent or affiliate of the Borrower or any Subsidiary of the Borrower, nor (iii) any director or officer of any Subsidiary, is the subject of Sanctions or in violation of any applicable Anti-Corruption Laws, (b) neither the Borrower nor any Subsidiary is located, organized or resident in a Sanctioned Country and (c) no part of the proceeds of the Loans and no Letter of Credit shall be used, directly or, to the knowledge of the Borrower, indirectly, in a manner that would result in a violation of applicable Anti-Corruption Laws or Sanctions by any party hereto.</w:t>
      </w:r>
    </w:p>
    <w:p>
      <w:pPr>
        <w:pStyle w:val="TextBody"/>
        <w:bidi w:val="0"/>
        <w:spacing w:lineRule="auto" w:line="240" w:before="241"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ARTICLE IV</w:t>
      </w:r>
    </w:p>
    <w:p>
      <w:pPr>
        <w:pStyle w:val="TextBody"/>
        <w:bidi w:val="0"/>
        <w:spacing w:lineRule="auto" w:line="240" w:before="276" w:after="283"/>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Conditions of Lending</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 xml:space="preserve">Section 4.01. </w:t>
      </w:r>
      <w:r>
        <w:rPr>
          <w:rFonts w:ascii="Times New Roman;sans-serif" w:hAnsi="Times New Roman;sans-serif"/>
          <w:b w:val="false"/>
          <w:color w:val="000000"/>
          <w:sz w:val="24"/>
          <w:u w:val="single"/>
        </w:rPr>
        <w:t>Closing Date</w:t>
      </w:r>
      <w:r>
        <w:rPr>
          <w:rFonts w:ascii="Times New Roman;sans-serif" w:hAnsi="Times New Roman;sans-serif"/>
          <w:b w:val="false"/>
          <w:color w:val="000000"/>
          <w:sz w:val="24"/>
        </w:rPr>
        <w:t>. The obligations of (i) (a) the Revolving Facility Lenders to make Revolving Facility Loans and the Swingline Lender to make Swingline Loans, (b) any Issuing Bank to issue, amend or extend or renew Letters of Credit or increase the amounts of Letters of Credit hereunder, (c) each Lender with an Initial Term Loan Commitment to make Initial</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6480175" cy="781050"/>
                <wp:effectExtent l="0" t="0" r="0" b="0"/>
                <wp:wrapNone/>
                <wp:docPr id="348" name="Frame347"/>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146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146</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jc w:val="both"/>
        <w:rPr>
          <w:rFonts w:ascii="Times New Roman;sans-serif" w:hAnsi="Times New Roman;sans-serif"/>
          <w:b w:val="false"/>
          <w:color w:val="000000"/>
          <w:sz w:val="24"/>
        </w:rPr>
      </w:pPr>
      <w:r>
        <w:rPr>
          <w:rFonts w:ascii="Times New Roman;sans-serif" w:hAnsi="Times New Roman;sans-serif"/>
          <w:b w:val="false"/>
          <w:color w:val="000000"/>
          <w:sz w:val="24"/>
        </w:rPr>
        <w:t>Term Loans to the Borrower and (d) the Issuing Bank that issued an Existing Letter of Credit to deem such Existing Letters of Credit to be Letters of Credit under this Agreement, in each case, on the Closing Date are subject solely to the satisfaction (or waiver in accordance with Section 9.08) of the following conditions at or prior to the Closing Date:</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(a)The Administrative Agent shall have received from the Borrower a counterpart of this Agreement signed on behalf of the Borrower.</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(b)To the extent required to be satisfied on the Closing Date, the Collateral and Guarantee Requirement shall be satisfied as of the Closing Date.</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 xml:space="preserve">(c)The representations and warranties made by the Loan Parties herein are true and correct in all material respects as of the Closing Date (after giving effect to the Transactions) as though made on and as of such date, except to the extent such representations and warranties expressly relate to an earlier date (in which case such representations and warranties shall be true and correct in all material respects as of such earlier date);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any representation and warranty that is qualified as to “materiality,” “Material Adverse Effect” or similar language shall be true and correct (after giving effect to any qualification therein) in all respects on such respective dates and the Administrative Agent shall have received a certificate of a Responsible Officer of the Borrower certifying that (i) the conditions set forth in this clause (c) and clause (l) below have been satisfied and (ii) as of the Closing Date (after giving effect to the Transactions), no Event of Default or Default shall have occurred or be continuing immediately after giving effect to the Transactions.</w:t>
      </w:r>
    </w:p>
    <w:p>
      <w:pPr>
        <w:pStyle w:val="TextBody"/>
        <w:bidi w:val="0"/>
        <w:spacing w:lineRule="auto" w:line="240" w:before="241"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(d)The Administrative Agent shall have received a Borrowing Request with respect to the Initial Term Loan as required by Section 2.03.</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 xml:space="preserve">(e)The Lenders shall have received a solvency certificate substantially in the form of </w:t>
      </w:r>
      <w:r>
        <w:rPr>
          <w:rFonts w:ascii="Times New Roman;sans-serif" w:hAnsi="Times New Roman;sans-serif"/>
          <w:b w:val="false"/>
          <w:color w:val="000000"/>
          <w:sz w:val="24"/>
          <w:u w:val="single"/>
        </w:rPr>
        <w:t>Exhibit C</w:t>
      </w:r>
      <w:r>
        <w:rPr>
          <w:color w:val="000000"/>
        </w:rPr>
        <w:t xml:space="preserve"> </w:t>
      </w:r>
      <w:r>
        <w:rPr>
          <w:rFonts w:ascii="Times New Roman;sans-serif" w:hAnsi="Times New Roman;sans-serif"/>
          <w:b w:val="false"/>
          <w:color w:val="000000"/>
          <w:sz w:val="24"/>
        </w:rPr>
        <w:t>and signed by the chief financial officer, chief accounting officer or other officer with equivalent duties of the Borrower confirming the solvency of the Borrower and its Subsidiaries on a consolidated basis immediately after giving effect to the Transactions on the Closing Date.</w:t>
      </w:r>
    </w:p>
    <w:p>
      <w:pPr>
        <w:pStyle w:val="TextBody"/>
        <w:bidi w:val="0"/>
        <w:spacing w:lineRule="auto" w:line="240" w:before="238"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(f)The Administrative Agent shall have received, on behalf of itself, the Lenders and each Issuing Bank, a written opinion of Latham &amp; Watkins LLP, as counsel for the Loan Parties, or such other firm as may be reasonably acceptable to the Administrative Agent, with respect to the enforceability of the Loan Documents and other related matters, in each case (A) dated the Closing Date, (B) addressed to each Administrative Agent, the Collateral Agent and the Lenders on the Closing Date and (C) in form and substance reasonably satisfactory to the Administrative Agent covering such matters relating to the Loan Documents as the Administrative Agent shall reasonably request.</w:t>
      </w:r>
    </w:p>
    <w:p>
      <w:pPr>
        <w:pStyle w:val="TextBody"/>
        <w:bidi w:val="0"/>
        <w:spacing w:lineRule="auto" w:line="240" w:before="241"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(g)The Administrative Agent shall have received a certificate of the Secretary or Assistant Secretary or similar officer of each Loan Party dated the Closing Date and certifying:</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(i)that attached thereto is a true and complete copy of the certificate or articles of incorporation, certificate of limited partnership, certificate of formation or other equivalent constituent and governing documents, including all amendments thereto, of such Loan Party, certified as of a recent date by the Secretary of State (or other similar</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6480175" cy="781050"/>
                <wp:effectExtent l="0" t="0" r="0" b="0"/>
                <wp:wrapNone/>
                <wp:docPr id="349" name="Frame348"/>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147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147</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jc w:val="both"/>
        <w:rPr>
          <w:rFonts w:ascii="Times New Roman;sans-serif" w:hAnsi="Times New Roman;sans-serif"/>
          <w:b w:val="false"/>
          <w:color w:val="000000"/>
          <w:sz w:val="24"/>
        </w:rPr>
      </w:pPr>
      <w:r>
        <w:rPr>
          <w:rFonts w:ascii="Times New Roman;sans-serif" w:hAnsi="Times New Roman;sans-serif"/>
          <w:b w:val="false"/>
          <w:color w:val="000000"/>
          <w:sz w:val="24"/>
        </w:rPr>
        <w:t>official or Governmental Authority) of the jurisdiction of its organization or by the Secretary or Assistant Secretary or similar officer of such Loan Party or other person duly authorized by the constituent documents of such Loan Party,</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(ii)that attached thereto is a true and complete copy of the by-laws (or partnership agreement, limited liability company agreement or other equivalent constituent and governing documents) of such Loan Party as in effect on the Closing Date and at all times since a date prior to the date of the resolutions described in the following clause (iii),</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(iii)that attached thereto is a true and complete copy of resolutions duly adopted by the Board of Directors (or equivalent governing body) of such Loan Party (or its managing general partner or managing member), authorizing the execution, delivery and performance of the Loan Documents to which such person is a party and that such resolutions have not been modified, rescinded or amended and are in full force and effect on the Closing Date, and</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(iv)as to the incumbency and specimen signature of each officer or authorized signatory executing any Loan Document or any other document delivered in connection herewith on behalf of such Loan Party.</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(h)The Administrative Agent shall have received a completed Perfection Certificate, dated the Closing Date and signed by a Responsible Officer of each Loan Party, together with the results of a search of the Uniform Commercial Code (or equivalent), Tax and judgment, United States Patent and Trademark Office and United States Copyright Office filings made with respect to the Loan Parties in the jurisdictions contemplated by the Perfection Certificate and copies of the financing statements (or similar documents) disclosed by such search and evidence reasonably satisfactory to the Administrative Agent that the Liens indicated by such financing statements (or similar documents) are Permitted Liens or have been, or will be simultaneously or substantially concurrently with the Closing Date, released.</w:t>
      </w:r>
    </w:p>
    <w:p>
      <w:pPr>
        <w:pStyle w:val="TextBody"/>
        <w:bidi w:val="0"/>
        <w:spacing w:lineRule="auto" w:line="240" w:before="239" w:after="283"/>
        <w:ind w:left="0" w:right="0" w:firstLine="720"/>
        <w:jc w:val="both"/>
        <w:rPr/>
      </w:pPr>
      <w:r>
        <w:rPr>
          <w:rFonts w:ascii="Times New Roman;sans-serif" w:hAnsi="Times New Roman;sans-serif"/>
          <w:b w:val="false"/>
          <w:color w:val="000000"/>
          <w:sz w:val="24"/>
        </w:rPr>
        <w:t xml:space="preserve">(i)The Administrative Agent shall have received (A) audited consolidated balance sheets and related statements of operations, stockholders’ equity and cash flows of the Borrower the last three full fiscal years ended at least ninety (90) days prior to the Closing Date and (B) unaudited consolidated balance sheets and related statements of operations, stockholders’ equity and cash flows of the Borrower for each subsequent interim quarterly period ended at least forty- five (45) days prior to the Closing Date (excluding the fourth quarter of any fiscal year);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the filing by the Borrower of the required audited financial statements on Form 10-K or required unaudited financial statements on Form 10-Q, in each case, will satisfy the requirements under clause (A) or (B), as applicable, of this Section 4.01(i).</w:t>
      </w:r>
    </w:p>
    <w:p>
      <w:pPr>
        <w:pStyle w:val="TextBody"/>
        <w:bidi w:val="0"/>
        <w:spacing w:lineRule="auto" w:line="240" w:before="241" w:after="283"/>
        <w:ind w:left="0" w:right="0" w:firstLine="720"/>
        <w:jc w:val="both"/>
        <w:rPr/>
      </w:pPr>
      <w:r>
        <w:rPr>
          <w:rFonts w:ascii="Times New Roman;sans-serif" w:hAnsi="Times New Roman;sans-serif"/>
          <w:b w:val="false"/>
          <w:color w:val="000000"/>
          <w:sz w:val="24"/>
        </w:rPr>
        <w:t>(j)The Administrative Agent shall have received with respect to each Loan Party a long-form (if available) certificate of good standing of such Loan Party from the Secretary of State or other applicable Governmental Authority of the jurisdiction in which such Loan Party is organized (dated as of a date reasonably near the Closing Date</w:t>
      </w:r>
      <w:r>
        <w:rPr>
          <w:rFonts w:ascii="MS Gothic;sans-serif" w:hAnsi="MS Gothic;sans-serif"/>
          <w:b w:val="false"/>
          <w:color w:val="000000"/>
          <w:sz w:val="24"/>
        </w:rPr>
        <w:t>).</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(k)The Administrative Agent shall have received, at least three (3) Business Days prior to the Closing Date, (x) all documentation and other information required with respect to the Loan</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6480175" cy="781050"/>
                <wp:effectExtent l="0" t="0" r="0" b="0"/>
                <wp:wrapNone/>
                <wp:docPr id="350" name="Frame349"/>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148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148</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jc w:val="both"/>
        <w:rPr>
          <w:rFonts w:ascii="Times New Roman;sans-serif" w:hAnsi="Times New Roman;sans-serif"/>
          <w:b w:val="false"/>
          <w:color w:val="000000"/>
          <w:sz w:val="24"/>
        </w:rPr>
      </w:pPr>
      <w:r>
        <w:rPr>
          <w:rFonts w:ascii="Times New Roman;sans-serif" w:hAnsi="Times New Roman;sans-serif"/>
          <w:b w:val="false"/>
          <w:color w:val="000000"/>
          <w:sz w:val="24"/>
        </w:rPr>
        <w:t>Parties by regulatory authorities under applicable “know your customer” and anti-money laundering rules and regulations, including without limitation the USA PATRIOT Act and (y) a Beneficial Ownership Certification, in each case, to the extent requested in writing at least 10 Business Days prior to the Closing Date.</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(l)Since December 31, 2022, there has not been any event, occurrence, change, development or state of circumstances or facts that has had or would reasonably be expected to have, individually or in the aggregate, a Material Adverse Effect.</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(m)Substantially concurrently with the initial Credit Event, the Closing Date Refinancing shall have occurred.</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(n)The Agents and Arrangers shall have received all fees payable thereto or to any Lender on or prior to the Closing Date and, to the extent invoiced at least three (3) Business Days prior to the Closing Date, reimbursement or payment of all reasonable and documented out-of- pocket expenses (including reasonable fees, charges and disbursements of Cravath, Swaine &amp; Moore LLP), in each case, required to be reimbursed or paid by the Loan Parties hereunder, under the Engagement Letter, the Agent Fee Letters or under any Loan Document on or prior to the Closing Date.</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 xml:space="preserve">Section 4.02. </w:t>
      </w:r>
      <w:r>
        <w:rPr>
          <w:rFonts w:ascii="Times New Roman;sans-serif" w:hAnsi="Times New Roman;sans-serif"/>
          <w:b w:val="false"/>
          <w:color w:val="000000"/>
          <w:sz w:val="24"/>
          <w:u w:val="single"/>
        </w:rPr>
        <w:t>Subsequent Credit Events</w:t>
      </w:r>
      <w:r>
        <w:rPr>
          <w:rFonts w:ascii="Times New Roman;sans-serif" w:hAnsi="Times New Roman;sans-serif"/>
          <w:b w:val="false"/>
          <w:color w:val="000000"/>
          <w:sz w:val="24"/>
        </w:rPr>
        <w:t>. Each Credit Event after the Closing Date is subject to the satisfaction (or waiver in accordance with Section 9.08) of the following conditions on the date of each Borrowing and on the date of each issuance or renewal of a Letter of Credit:</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(a)The Administrative Agent shall have received, in the case of a Borrowing, a Borrowing Request as required by Section 2.03 (or a Borrowing Request shall have been deemed given) or, in the case of the issuance of a Letter of Credit, the applicable Issuing Bank and the Administrative Agent shall have received a notice requesting the issuance of such Letter of Credit as required by Section 2.05(b).</w:t>
      </w:r>
    </w:p>
    <w:p>
      <w:pPr>
        <w:pStyle w:val="TextBody"/>
        <w:bidi w:val="0"/>
        <w:spacing w:lineRule="auto" w:line="240" w:before="241" w:after="283"/>
        <w:ind w:left="0" w:right="0" w:firstLine="720"/>
        <w:jc w:val="both"/>
        <w:rPr/>
      </w:pPr>
      <w:r>
        <w:rPr>
          <w:rFonts w:ascii="Times New Roman;sans-serif" w:hAnsi="Times New Roman;sans-serif"/>
          <w:b w:val="false"/>
          <w:color w:val="000000"/>
          <w:sz w:val="24"/>
        </w:rPr>
        <w:t xml:space="preserve">(b)Except as set forth in Section 2.21(c) with respect to Incremental Term Loans used to finance a Limited Condition Transaction, or as otherwise contemplated by Section 1.10 hereof, the representations and warranties of the Borrowers and each other Loan Party contained in Article III or any other Loan Document shall be true and correct in all material respects on and as of the date of such Credit Event;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that, to the extent that such representations and warranties specifically refer to an earlier date, they shall be true and correct in all material respects as of such earlier date;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that any representation and warranty that is qualified as to “materiality,” “Material Adverse Effect” or similar language shall be true and correct (after giving effect to any qualification therein) in all respects on such respective dates.</w:t>
      </w:r>
    </w:p>
    <w:p>
      <w:pPr>
        <w:pStyle w:val="TextBody"/>
        <w:bidi w:val="0"/>
        <w:spacing w:lineRule="auto" w:line="240" w:before="239"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(c)Except as set forth in Section 2.21(c) with respect to Incremental Term Loans used to finance a Limited Condition Transaction, or as otherwise contemplated by Section 1.10 hereof, at the time of and immediately after such Credit Event (other than an amendment, extension or renewal of a Letter of Credit without any increase in the stated amount of such Letter of Credit), as applicable, no Event of Default or Default shall be continuing.</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 xml:space="preserve">Section 4.03. </w:t>
      </w:r>
      <w:r>
        <w:rPr>
          <w:rFonts w:ascii="Times New Roman;sans-serif" w:hAnsi="Times New Roman;sans-serif"/>
          <w:b w:val="false"/>
          <w:color w:val="000000"/>
          <w:sz w:val="24"/>
          <w:u w:val="single"/>
        </w:rPr>
        <w:t>Determinations Under Section 4.01</w:t>
      </w:r>
      <w:r>
        <w:rPr>
          <w:rFonts w:ascii="Times New Roman;sans-serif" w:hAnsi="Times New Roman;sans-serif"/>
          <w:b w:val="false"/>
          <w:color w:val="000000"/>
          <w:sz w:val="24"/>
        </w:rPr>
        <w:t xml:space="preserve">. For purposes of determining compliance with the conditions specified in </w:t>
      </w:r>
      <w:r>
        <w:rPr>
          <w:rFonts w:ascii="Times New Roman;sans-serif" w:hAnsi="Times New Roman;sans-serif"/>
          <w:b w:val="false"/>
          <w:color w:val="000000"/>
          <w:sz w:val="24"/>
          <w:u w:val="single"/>
        </w:rPr>
        <w:t>Section 4.01</w:t>
      </w:r>
      <w:r>
        <w:rPr>
          <w:rFonts w:ascii="Times New Roman;sans-serif" w:hAnsi="Times New Roman;sans-serif"/>
          <w:b w:val="false"/>
          <w:color w:val="000000"/>
          <w:sz w:val="24"/>
        </w:rPr>
        <w:t>, each Lender shall be deemed to have</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6480175" cy="781050"/>
                <wp:effectExtent l="0" t="0" r="0" b="0"/>
                <wp:wrapNone/>
                <wp:docPr id="351" name="Frame350"/>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149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149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jc w:val="both"/>
        <w:rPr>
          <w:rFonts w:ascii="Times New Roman;sans-serif" w:hAnsi="Times New Roman;sans-serif"/>
          <w:b w:val="false"/>
          <w:color w:val="000000"/>
          <w:sz w:val="24"/>
        </w:rPr>
      </w:pPr>
      <w:r>
        <w:rPr>
          <w:rFonts w:ascii="Times New Roman;sans-serif" w:hAnsi="Times New Roman;sans-serif"/>
          <w:b w:val="false"/>
          <w:color w:val="000000"/>
          <w:sz w:val="24"/>
        </w:rPr>
        <w:t>consented to, approved or accepted or to be satisfied with each document or other matter required thereunder to be consented to or approved by or acceptable or satisfactory to the Administrative Agent or the Lenders unless an officer of the Administrative Agent responsible for the transactions contemplated by this Agreement shall have received written notice from such Lender prior to, with respect to conditions specified in Section 4.01, the Closing Date, specifying its objection thereto in reasonable detail. The Administrative Agent shall promptly notify the Lenders and the Borrower in writing of the occurrence of the Closing Date and each such notification shall be conclusive and binding.</w:t>
      </w:r>
    </w:p>
    <w:p>
      <w:pPr>
        <w:pStyle w:val="TextBody"/>
        <w:bidi w:val="0"/>
        <w:spacing w:lineRule="auto" w:line="240" w:before="24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ARTICLE V</w:t>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Affirmative Covenants</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Borrower covenants and agrees with each Lender that from and after the Closing Date until the Termination Date, unless the Required Lenders shall otherwise consent in writing, the Borrower will, and (except in the case of Sections 5.04 and 5.05) will cause each of the Subsidiaries to:</w:t>
      </w:r>
    </w:p>
    <w:p>
      <w:pPr>
        <w:pStyle w:val="TextBody"/>
        <w:bidi w:val="0"/>
        <w:spacing w:lineRule="auto" w:line="240" w:before="240" w:after="283"/>
        <w:jc w:val="left"/>
        <w:rPr/>
      </w:pPr>
      <w:r>
        <w:rPr>
          <w:rFonts w:ascii="Times New Roman;sans-serif" w:hAnsi="Times New Roman;sans-serif"/>
          <w:b w:val="false"/>
          <w:color w:val="000000"/>
          <w:sz w:val="24"/>
        </w:rPr>
        <w:t xml:space="preserve">Section 5.01. </w:t>
      </w:r>
      <w:r>
        <w:rPr>
          <w:rFonts w:ascii="Times New Roman;sans-serif" w:hAnsi="Times New Roman;sans-serif"/>
          <w:b w:val="false"/>
          <w:color w:val="000000"/>
          <w:sz w:val="24"/>
          <w:u w:val="single"/>
        </w:rPr>
        <w:t>Existence; Business and Properties</w:t>
      </w:r>
      <w:r>
        <w:rPr>
          <w:rFonts w:ascii="Times New Roman;sans-serif" w:hAnsi="Times New Roman;sans-serif"/>
          <w:b w:val="false"/>
          <w:color w:val="000000"/>
          <w:sz w:val="24"/>
        </w:rPr>
        <w:t>.</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 xml:space="preserve">(a)Do or cause to be done all things necessary to preserve, renew and keep in full force and effect its legal existence, except (i) in the case of a Subsidiary of the Borrower, where the failure to do so would not reasonably be expected to have a Material Adverse Effect, (ii) as otherwise permitted under Section 6.05 and Section 6.09 and (iii) for the liquidation or dissolution of Subsidiaries if the assets of any such Subsidiary (to the extent they exceed estimated liabilities of such Subsidiary) are acquired by the Borrower or a Wholly-Owned Subsidiary of the Borrower in such liquidation or dissolution;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that (x) Guarantors may not be liquidated into Subsidiaries that are not Loan Parties and (y) Domestic Subsidiaries may not be liquidated into Foreign Subsidiaries (except in each case as permitted under Section 6.05);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neither the Borrower nor any of the Subsidiaries shall be required to preserve any such existence (other than the Borrower) if a Responsible Officer of such Person or such Person’s Board of Directors determines that the preservation thereof is no longer desirable in the conduct of the business of such Person, and that the loss thereof is not disadvantageous in any material respect to such Person or to the Lenders.</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(b)Except where the failure to do so would not reasonably be expected to have a Material Adverse Effect, do or cause to be done all things necessary to (i) lawfully obtain, preserve, renew, extend and keep in full force and effect the permits, franchises, authorizations, Intellectual Property, licenses and rights with respect thereto used in the conduct of its business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neither the Borrower nor any of the Subsidiaries shall be required to preserve any such permits, franchise, authorizations, Intellectual Property, license or rights if a Responsible Officer of such Person or such Person’s Board of Directors determines that the preservation thereof is no longer desirable in the conduct of the business of such Person, and that the loss thereof is not disadvantageous in any material respect to such Person or to the Lenders) and (ii) at all times maintain, protect and preserve all property necessary to the normal conduct of its business and keep such property in good repair, working order and condition (casualty, condemnation and ordinary wear and tear excepted), from time to time make, or cause to be made, all needed and</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6480175" cy="781050"/>
                <wp:effectExtent l="0" t="0" r="0" b="0"/>
                <wp:wrapNone/>
                <wp:docPr id="352" name="Frame351"/>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150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150</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proper repairs necessary in order that the business carried on in connection therewith, if any, may be properly conducted (in each case except as permitted by this Agreement).</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 xml:space="preserve">Section 5.02. </w:t>
      </w:r>
      <w:r>
        <w:rPr>
          <w:rFonts w:ascii="Times New Roman;sans-serif" w:hAnsi="Times New Roman;sans-serif"/>
          <w:b w:val="false"/>
          <w:color w:val="000000"/>
          <w:sz w:val="24"/>
          <w:u w:val="single"/>
        </w:rPr>
        <w:t>Insurance</w:t>
      </w:r>
      <w:r>
        <w:rPr>
          <w:rFonts w:ascii="Times New Roman;sans-serif" w:hAnsi="Times New Roman;sans-serif"/>
          <w:b w:val="false"/>
          <w:color w:val="000000"/>
          <w:sz w:val="24"/>
        </w:rPr>
        <w:t>. Maintain, with financially sound and reputable insurance companies, insurance (subject to customary deductibles and retentions) in such amounts and against such risks as are customarily maintained by similarly situated companies engaged in the same or similar businesses operating in the same or similar locations (as determined by the Borrower in good faith but not, for the avoidance of doubt, flood insurance except to the extent required by applicable Requirements of Law), and to cause (within 30 days (or such longer period as agreed by the Administrative Agent in its reasonable discretion) following the commencement of any insurance policy (or 90 days (or such longer period as agreed by the Administrative Agent in its reasonable discretion) following the Closing Date with respect to any insurance policy in existence on the Closing Date)) the Collateral Agent to be listed as a lenders loss payee or mortgagee, as applicable, on property and casualty policies with respect to tangible personal property and assets constituting Collateral located in the United States of America and as an additional insured on all general liability policies. Notwithstanding the foregoing, the Borrower and the Subsidiaries may (i) maintain all such insurance with any combination of primary and excess insurance, (ii) maintain any or all such insurance pursuant to master or so-called “blanket policies” insuring any or all Collateral and/or other assets which do not constitute Collateral (and in such event the lenders loss payee endorsement shall be limited or otherwise modified accordingly), and/or (iii) self-insure with respect to such risks with respect to which companies of established reputation engaged in the same general line of business in the same general area usually self-insure (as reasonably determined by the Borrower).</w:t>
      </w:r>
    </w:p>
    <w:p>
      <w:pPr>
        <w:pStyle w:val="TextBody"/>
        <w:bidi w:val="0"/>
        <w:spacing w:lineRule="auto" w:line="240" w:before="241"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If any portion of any Mortgaged Property is at any time located in an area identified by the Federal Emergency Management Agency (or any successor agency) as a special flood hazard area with respect to which flood insurance has been made available under the National Flood Insurance Act of 1968 (as now or hereafter in effect or successor act thereto), then the Borrower shall (i) maintain, or cause to be maintained flood insurance in an amount and otherwise sufficient to comply with all applicable rules and regulations promulgated pursuant to the Flood Insurance Laws and (ii) deliver to the Administrative Agent evidence of such compliance in form and substance reasonably acceptable to the Administrative Agent.</w:t>
      </w:r>
    </w:p>
    <w:p>
      <w:pPr>
        <w:pStyle w:val="TextBody"/>
        <w:bidi w:val="0"/>
        <w:spacing w:lineRule="auto" w:line="240" w:before="239" w:after="283"/>
        <w:ind w:left="0" w:right="0" w:firstLine="720"/>
        <w:jc w:val="both"/>
        <w:rPr/>
      </w:pPr>
      <w:r>
        <w:rPr>
          <w:rFonts w:ascii="Times New Roman;sans-serif" w:hAnsi="Times New Roman;sans-serif"/>
          <w:b w:val="false"/>
          <w:color w:val="000000"/>
          <w:sz w:val="24"/>
        </w:rPr>
        <w:t xml:space="preserve">Section 5.03. </w:t>
      </w:r>
      <w:r>
        <w:rPr>
          <w:rFonts w:ascii="Times New Roman;sans-serif" w:hAnsi="Times New Roman;sans-serif"/>
          <w:b w:val="false"/>
          <w:color w:val="000000"/>
          <w:sz w:val="24"/>
          <w:u w:val="single"/>
        </w:rPr>
        <w:t>Taxes</w:t>
      </w:r>
      <w:r>
        <w:rPr>
          <w:rFonts w:ascii="Times New Roman;sans-serif" w:hAnsi="Times New Roman;sans-serif"/>
          <w:b w:val="false"/>
          <w:color w:val="000000"/>
          <w:sz w:val="24"/>
        </w:rPr>
        <w:t>. Pay its obligations in respect of all Tax liabilities, assessments and governmental charges, before the same shall become delinquent or in default, except where (i) the Borrower or a Subsidiary thereof has set aside on its books adequate reserves therefor in accordance with GAAP and, to the extent due and payable pursuant to a governmental assessment, the amount thereof is being contested in good faith by appropriate proceedings or (ii) the failure to make payment could not reasonably be expected, individually or in the aggregate, to result in a Material Adverse Effect.</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 xml:space="preserve">Section 5.04. </w:t>
      </w:r>
      <w:r>
        <w:rPr>
          <w:rFonts w:ascii="Times New Roman;sans-serif" w:hAnsi="Times New Roman;sans-serif"/>
          <w:b w:val="false"/>
          <w:color w:val="000000"/>
          <w:sz w:val="24"/>
          <w:u w:val="single"/>
        </w:rPr>
        <w:t>Financial Statements, Reports, Etc.</w:t>
      </w:r>
      <w:r>
        <w:rPr>
          <w:color w:val="000000"/>
        </w:rPr>
        <w:t xml:space="preserve"> </w:t>
      </w:r>
      <w:r>
        <w:rPr>
          <w:rFonts w:ascii="Times New Roman;sans-serif" w:hAnsi="Times New Roman;sans-serif"/>
          <w:b w:val="false"/>
          <w:color w:val="000000"/>
          <w:sz w:val="24"/>
        </w:rPr>
        <w:t>Furnish to the Administrative Agent (which will promptly furnish such information to the Lenders):</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(a)within 90 days after the end of each fiscal year, a consolidated balance sheet and related statements of operations showing the financial position of the Borrower and its Subsidiaries as of the close of such fiscal year and the consolidated results of their operations during such year</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6480175" cy="781050"/>
                <wp:effectExtent l="0" t="0" r="0" b="0"/>
                <wp:wrapNone/>
                <wp:docPr id="353" name="Frame352"/>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151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151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jc w:val="both"/>
        <w:rPr>
          <w:rFonts w:ascii="Times New Roman;sans-serif" w:hAnsi="Times New Roman;sans-serif"/>
          <w:b w:val="false"/>
          <w:color w:val="000000"/>
          <w:sz w:val="24"/>
        </w:rPr>
      </w:pPr>
      <w:r>
        <w:rPr>
          <w:rFonts w:ascii="Times New Roman;sans-serif" w:hAnsi="Times New Roman;sans-serif"/>
          <w:b w:val="false"/>
          <w:color w:val="000000"/>
          <w:sz w:val="24"/>
        </w:rPr>
        <w:t>and setting forth in comparative form the corresponding figures for the prior fiscal year (and including, to the extent not otherwise included in the Borrower’s annual report on Form 10-K for such fiscal year, a customary “management discussion and analysis of financial condition and results of operations”), which consolidated balance sheet and related statements of operations and audited by independent public accountants of recognized national standing and accompanied by an opinion of such accountants (which opinion shall not be qualified as to the status of the Borrower as a going concern other than resulting solely from (x) an upcoming maturity date of any Indebtedness occurring within one year from the time such opinion is delivered, (y) an anticipated or actual financial covenant default or (z) the activities, operations, financial results, assets or liabilities of any Unrestricted Subsidiary) to the effect that such consolidated financial statements fairly present, in all material respects, the financial position and results of operations of the Borrower and its Subsidiaries on a consolidated basis in accordance with GAAP;</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(b)within forty-five (45) days after the first three fiscal quarters of each fiscal year, a consolidated balance sheet and related statements of operations showing the financial position of the Borrower and its Subsidiaries as of the close of such fiscal quarter and the consolidated results of their operations during such fiscal quarter and the then-elapsed portion of the fiscal year and setting forth in comparative form the corresponding figures for the corresponding periods of the prior fiscal year (and including, to the extent not otherwise including in the Borrower’s quarterly report on Form 10-Q for such fiscal quarter, a customary “management discussion and analysis of financial condition and results of operations”) and which consolidated balance sheet and related statements of operations shall be certified by a Financial Officer of the Borrower on behalf of the Borrower as fairly presenting, in all material respects, the financial position and results of operations of the Borrower and its Subsidiaries on a consolidated basis in accordance with GAAP (subject to normal year-end audit adjustments and the absence of certain footnotes);</w:t>
      </w:r>
    </w:p>
    <w:p>
      <w:pPr>
        <w:pStyle w:val="TextBody"/>
        <w:bidi w:val="0"/>
        <w:spacing w:lineRule="auto" w:line="240" w:before="241"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(c)within five (5) Business Days of delivery of financial statements under clause (a) or (b) above, a certificate of a Financial Officer of the Borrower (i) certifying that no Event of Default or Default has occurred since the date of the last certificate delivered pursuant to this Section 5.04(c) (or since the Closing Date in the case of the first such certificate) or, if such an Event of Default or Default has occurred during such period, specifying the nature and extent thereof and any corrective action taken or proposed to be taken with respect thereto, (ii) commencing with the end of the first full fiscal quarter after the Closing Date, setting forth computations in reasonable detail showing the First Lien Net Leverage Ratio as of the most recently ended Test Period (and, solely to the extent the Financial Covenant is then applicable, compliance with the Financial Covenant), (iii) a summary of the pro forma adjustments necessary to eliminate the accounts of Unrestricted Subsidiaries (if any) from the consolidated statement of operations and the consolidated balance sheet and (iv) a list identifying each subsidiary of the Borrower as a Subsidiary or an Unrestricted Subsidiary as of the date of delivery of such certificate or confirming that there is no change in such information since the later of the Closing Date and the date of the last such list;</w:t>
      </w:r>
    </w:p>
    <w:p>
      <w:pPr>
        <w:pStyle w:val="TextBody"/>
        <w:bidi w:val="0"/>
        <w:spacing w:lineRule="auto" w:line="240" w:before="239" w:after="283"/>
        <w:ind w:left="0" w:right="0" w:firstLine="720"/>
        <w:jc w:val="both"/>
        <w:rPr/>
      </w:pPr>
      <w:r>
        <w:rPr>
          <w:rFonts w:ascii="Times New Roman;sans-serif" w:hAnsi="Times New Roman;sans-serif"/>
          <w:b w:val="false"/>
          <w:color w:val="000000"/>
          <w:sz w:val="24"/>
        </w:rPr>
        <w:t xml:space="preserve">(d)promptly, from time to time, such other information regarding the operations, business affairs and financial condition of the Borrower or any of the Subsidiaries;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neither the Borrower nor any Subsidiary shall be required to disclose or provide any information (i) that constitutes non-financial trade secrets or non-financial proprietary information of the Borrower or any of its subsidiaries or any of their respective customers and/or suppliers, (ii)</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6480175" cy="781050"/>
                <wp:effectExtent l="0" t="0" r="0" b="0"/>
                <wp:wrapNone/>
                <wp:docPr id="354" name="Frame353"/>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152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152</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jc w:val="both"/>
        <w:rPr/>
      </w:pPr>
      <w:r>
        <w:rPr>
          <w:rFonts w:ascii="Times New Roman;sans-serif" w:hAnsi="Times New Roman;sans-serif"/>
          <w:b w:val="false"/>
          <w:color w:val="000000"/>
          <w:sz w:val="24"/>
        </w:rPr>
        <w:t>in respect of which disclosure to the Administrative Agent or any Lender (or any of their respective representatives) is prohibited by any applicable Requirement of Law, (iii) that is subject to attorney-client or similar privilege or constitutes attorney work product or (iv) in respect of which the Borrower or any Subsidiary owes confidentiality obligations to any third party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such confidentiality obligations were not entered into in contemplation of the requirements of this Section 5.04(d)); and</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 xml:space="preserve">(e)concurrently with the delivery of financial statements under clause (a) above, an updated Perfection Certificate reflecting all changes since the date of the information most recently received pursuant to this clause (e) or Section 4.01(h), as applicable (or a certificate of a Responsible Officer certifying as to the absence of any changes to the previously delivered update, if applicable);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the obligation to update the Perfection Certificate on an annual basis shall be limited to Sections 1, 2 and 7 of such Perfection Certificate.</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The Borrower hereby acknowledges that (a) the Administrative Agent and/or the Arrangers may, but shall not be obligated to, make available to the Lenders and the Issuing Banks materials and/or information provided by or on behalf of the Borrower hereunder (collectively, “</w:t>
      </w:r>
      <w:r>
        <w:rPr>
          <w:rFonts w:ascii="Times New Roman;sans-serif" w:hAnsi="Times New Roman;sans-serif"/>
          <w:b w:val="false"/>
          <w:color w:val="000000"/>
          <w:sz w:val="24"/>
          <w:u w:val="single"/>
        </w:rPr>
        <w:t>Borrower</w:t>
      </w:r>
      <w:r>
        <w:rPr>
          <w:color w:val="000000"/>
        </w:rPr>
        <w:t xml:space="preserve"> </w:t>
      </w:r>
      <w:r>
        <w:rPr>
          <w:rFonts w:ascii="Times New Roman;sans-serif" w:hAnsi="Times New Roman;sans-serif"/>
          <w:b w:val="false"/>
          <w:color w:val="000000"/>
          <w:sz w:val="24"/>
          <w:u w:val="single"/>
        </w:rPr>
        <w:t>Materials</w:t>
      </w:r>
      <w:r>
        <w:rPr>
          <w:color w:val="000000"/>
        </w:rPr>
        <w:t>”</w:t>
      </w:r>
      <w:r>
        <w:rPr>
          <w:rFonts w:ascii="Times New Roman;sans-serif" w:hAnsi="Times New Roman;sans-serif"/>
          <w:b w:val="false"/>
          <w:color w:val="000000"/>
          <w:sz w:val="24"/>
        </w:rPr>
        <w:t>) by posting the Borrower Materials on IntraLinks, Syndtrak, ClearPar or a substantially similar electronic transmission system (the “</w:t>
      </w:r>
      <w:r>
        <w:rPr>
          <w:rFonts w:ascii="Times New Roman;sans-serif" w:hAnsi="Times New Roman;sans-serif"/>
          <w:b w:val="false"/>
          <w:color w:val="000000"/>
          <w:sz w:val="24"/>
          <w:u w:val="single"/>
        </w:rPr>
        <w:t>Platform</w:t>
      </w:r>
      <w:r>
        <w:rPr>
          <w:color w:val="000000"/>
        </w:rPr>
        <w:t>”</w:t>
      </w:r>
      <w:r>
        <w:rPr>
          <w:rFonts w:ascii="Times New Roman;sans-serif" w:hAnsi="Times New Roman;sans-serif"/>
          <w:b w:val="false"/>
          <w:color w:val="000000"/>
          <w:sz w:val="24"/>
        </w:rPr>
        <w:t>) and (b) certain of the Lenders (each, a “</w:t>
      </w:r>
      <w:r>
        <w:rPr>
          <w:rFonts w:ascii="Times New Roman;sans-serif" w:hAnsi="Times New Roman;sans-serif"/>
          <w:b w:val="false"/>
          <w:color w:val="000000"/>
          <w:sz w:val="24"/>
          <w:u w:val="single"/>
        </w:rPr>
        <w:t>Public Lender</w:t>
      </w:r>
      <w:r>
        <w:rPr>
          <w:color w:val="000000"/>
        </w:rPr>
        <w:t>”</w:t>
      </w:r>
      <w:r>
        <w:rPr>
          <w:rFonts w:ascii="Times New Roman;sans-serif" w:hAnsi="Times New Roman;sans-serif"/>
          <w:b w:val="false"/>
          <w:color w:val="000000"/>
          <w:sz w:val="24"/>
        </w:rPr>
        <w:t>) may have personnel who do not wish to receive material non-public information with respect to the Borrower or its Affiliates, or the respective securities of any of the foregoing, and who may be engaged in investment and other market-related activities with respect to such persons’ securities. The Borrower hereby agrees that (w) the Borrower Materials that are to be distributed to the Public Lenders shall be clearly and conspicuously marked “PUBLIC” which, at a minimum, shall mean that the word “PUBLIC” shall appear prominently on the first page thereof;</w:t>
      </w:r>
    </w:p>
    <w:p>
      <w:pPr>
        <w:pStyle w:val="TextBody"/>
        <w:bidi w:val="0"/>
        <w:spacing w:lineRule="auto" w:line="240" w:before="1" w:after="283"/>
        <w:jc w:val="both"/>
        <w:rPr>
          <w:rFonts w:ascii="Times New Roman;sans-serif" w:hAnsi="Times New Roman;sans-serif"/>
          <w:b w:val="false"/>
          <w:color w:val="000000"/>
          <w:sz w:val="24"/>
        </w:rPr>
      </w:pPr>
      <w:r>
        <w:rPr>
          <w:rFonts w:ascii="Times New Roman;sans-serif" w:hAnsi="Times New Roman;sans-serif"/>
          <w:b w:val="false"/>
          <w:color w:val="000000"/>
          <w:sz w:val="24"/>
        </w:rPr>
        <w:t>(x) by marking Borrower Materials “PUBLIC,” the Borrower shall be deemed to have authorized the Administrative Agent, the Arrangers, the Issuing Banks and the Lenders to treat such Borrower Materials as not containing any material non-public information (although it may be sensitive and proprietary) with respect to the Borrower, its Subsidiaries or any of their respective securities for purposes of United States Federal and state securities laws; (y) all Borrower Materials marked “PUBLIC” are permitted to be made available through a portion of the Platform designated “Public Side Information”; and (z) the Administrative Agent and the Arrangers shall be entitled to treat any Borrower Materials that are not marked “PUBLIC” as being suitable only for posting on a portion of the Platform not designated “Public Side Information.”</w:t>
      </w:r>
    </w:p>
    <w:p>
      <w:pPr>
        <w:pStyle w:val="TextBody"/>
        <w:bidi w:val="0"/>
        <w:spacing w:lineRule="auto" w:line="240" w:before="239" w:after="283"/>
        <w:ind w:left="0" w:right="0" w:firstLine="720"/>
        <w:jc w:val="both"/>
        <w:rPr/>
      </w:pPr>
      <w:r>
        <w:rPr>
          <w:rFonts w:ascii="Times New Roman;sans-serif" w:hAnsi="Times New Roman;sans-serif"/>
          <w:b w:val="false"/>
          <w:color w:val="000000"/>
          <w:sz w:val="24"/>
        </w:rPr>
        <w:t xml:space="preserve">Section 5.05. </w:t>
      </w:r>
      <w:r>
        <w:rPr>
          <w:rFonts w:ascii="Times New Roman;sans-serif" w:hAnsi="Times New Roman;sans-serif"/>
          <w:b w:val="false"/>
          <w:color w:val="000000"/>
          <w:sz w:val="24"/>
          <w:u w:val="single"/>
        </w:rPr>
        <w:t>Litigation and Other Notices</w:t>
      </w:r>
      <w:r>
        <w:rPr>
          <w:rFonts w:ascii="Times New Roman;sans-serif" w:hAnsi="Times New Roman;sans-serif"/>
          <w:b w:val="false"/>
          <w:color w:val="000000"/>
          <w:sz w:val="24"/>
        </w:rPr>
        <w:t>. Furnish to the Administrative Agent (which will promptly thereafter furnish to the Lenders) written notice of the following promptly after any Responsible Officer of the Borrower obtains actual knowledge thereof:</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(a)any Event of Default or Default, specifying the nature and extent thereof and the corrective action (if any) proposed to be taken with respect thereto;</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(b)the filing or commencement of, or any written threat or notice of intention of any person to file or commence, any action, suit or proceeding, whether at law or in equity or by or before any Governmental Authority or in arbitration, against the Borrower or any of the Subsidiaries as to which an adverse determination is reasonably probable and which, if adversely determined, would reasonably be expected to have a Material Adverse Effect;</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6480175" cy="781050"/>
                <wp:effectExtent l="0" t="0" r="0" b="0"/>
                <wp:wrapNone/>
                <wp:docPr id="355" name="Frame354"/>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153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153</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(c)any other development specific to the Borrower or any of the Subsidiaries that is not a matter of general public knowledge and that has had, or would reasonably be expected to have, a Material Adverse Effect;</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(d)promptly, such additional information regarding compliance by any Lender with the Beneficial Ownership Regulation, as the Administrative Agent may from time to time reasonably request; and</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(e)the occurrence of any ERISA Event that, together with all other ERISA Events that have occurred, would reasonably be expected to have a Material Adverse Effect.</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 xml:space="preserve">Section 5.06. </w:t>
      </w:r>
      <w:r>
        <w:rPr>
          <w:rFonts w:ascii="Times New Roman;sans-serif" w:hAnsi="Times New Roman;sans-serif"/>
          <w:b w:val="false"/>
          <w:color w:val="000000"/>
          <w:sz w:val="24"/>
          <w:u w:val="single"/>
        </w:rPr>
        <w:t>Compliance with Laws</w:t>
      </w:r>
      <w:r>
        <w:rPr>
          <w:rFonts w:ascii="Times New Roman;sans-serif" w:hAnsi="Times New Roman;sans-serif"/>
          <w:b w:val="false"/>
          <w:color w:val="000000"/>
          <w:sz w:val="24"/>
        </w:rPr>
        <w:t xml:space="preserve">. Comply with all laws, rules, regulations and orders of any Governmental Authority applicable to it or its property, except where the failure to do so, individually or in the aggregate, would not reasonably be expected to result in a Material Adverse Effect;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that this Section 5.06 shall not apply to Environmental Laws, which are the subject of Section 5.09, or to laws related to Taxes, which are the subject of Section 5.03.</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 xml:space="preserve">Section 5.07. </w:t>
      </w:r>
      <w:r>
        <w:rPr>
          <w:rFonts w:ascii="Times New Roman;sans-serif" w:hAnsi="Times New Roman;sans-serif"/>
          <w:b w:val="false"/>
          <w:color w:val="000000"/>
          <w:sz w:val="24"/>
          <w:u w:val="single"/>
        </w:rPr>
        <w:t>Maintaining Records; Access to Properties and Inspections</w:t>
      </w:r>
      <w:r>
        <w:rPr>
          <w:rFonts w:ascii="Times New Roman;sans-serif" w:hAnsi="Times New Roman;sans-serif"/>
          <w:b w:val="false"/>
          <w:color w:val="000000"/>
          <w:sz w:val="24"/>
        </w:rPr>
        <w:t xml:space="preserve">. Maintain all financial records in accordance with GAAP and permit any persons designated by the Administrative Agent or, upon the occurrence and continuance of an Event of Default pursuant to Section 7.01(b), (c), (h) or (i), any Lender to visit and inspect the financial records and the properties of the Borrower or any of the Subsidiaries at reasonable times, upon reasonable prior notice to the Borrower, and to make extracts from and copies of such financial records, and permit any persons designated by the Administrative Agent or, upon the occurrence and continuance of an Event of Default pursuant to Section 7.01(b), (c), (h) or (i), any Lender upon reasonable prior notice to the Borrower to discuss the affairs, finances and condition of the Borrower or any of the Subsidiaries with the officers thereof and independent accountants therefor (so long as the Borrower has the opportunity to participate in any such discussions with such accountants);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(a) only the Administrative Agent on behalf of the Lenders may exercise the rights of the Administrative Agent and the Lenders under this Section 5.07, (b) except as expressly set forth in clause (c) below during the continuance of an Event of Default, (i) the Administrative Agent shall not exercise such rights more often than one time during any calendar year and (ii) only one such time per calendar year shall be at the expense of the Borrower and the Subsidiaries,</w:t>
      </w:r>
    </w:p>
    <w:p>
      <w:pPr>
        <w:pStyle w:val="TextBody"/>
        <w:bidi w:val="0"/>
        <w:spacing w:lineRule="auto" w:line="240" w:before="0" w:after="0"/>
        <w:jc w:val="both"/>
        <w:rPr/>
      </w:pPr>
      <w:r>
        <w:rPr>
          <w:rFonts w:ascii="Times New Roman;sans-serif" w:hAnsi="Times New Roman;sans-serif"/>
          <w:b w:val="false"/>
          <w:color w:val="000000"/>
          <w:sz w:val="24"/>
        </w:rPr>
        <w:t>(f)when an Event of Default has occurred and is continuing, the Administrative Agent (or any of its representatives or independent contractors) may do any of the foregoing at the expense of the Borrower at any time during normal business hours and upon reasonable advance notice and (d) notwithstanding anything to the contrary herein, neither the Borrower nor any Subsidiary shall be required to disclose, permit the inspection, examination or making of copies of or taking abstracts from, or discuss any document, information or other matter (i) that constitutes non-financial trade secrets or non-financial proprietary information of the Borrower and its subsidiaries and/or any of their respective customers and/or suppliers, (ii) in respect of which disclosure to the Administrative Agent or any Lender (or any of their respective representatives or contractors) is prohibited by applicable Requirements of Law, (iii) that is subject to attorney-client or similar privilege or constitutes attorney work product or (iv) in respect of which the Borrower or any Subsidiary owes confidentiality obligations to any third party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such confidentiality obligations were not entered into in contemplation of the requirements of this Section 5.07).</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6480175" cy="781050"/>
                <wp:effectExtent l="0" t="0" r="0" b="0"/>
                <wp:wrapNone/>
                <wp:docPr id="356" name="Frame355"/>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154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154</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ind w:left="0" w:right="0" w:firstLine="720"/>
        <w:jc w:val="both"/>
        <w:rPr/>
      </w:pPr>
      <w:r>
        <w:rPr>
          <w:rFonts w:ascii="Times New Roman;sans-serif" w:hAnsi="Times New Roman;sans-serif"/>
          <w:b w:val="false"/>
          <w:color w:val="000000"/>
          <w:sz w:val="24"/>
        </w:rPr>
        <w:t xml:space="preserve">Section 5.08. </w:t>
      </w:r>
      <w:r>
        <w:rPr>
          <w:rFonts w:ascii="Times New Roman;sans-serif" w:hAnsi="Times New Roman;sans-serif"/>
          <w:b w:val="false"/>
          <w:color w:val="000000"/>
          <w:sz w:val="24"/>
          <w:u w:val="single"/>
        </w:rPr>
        <w:t>Use of Proceeds</w:t>
      </w:r>
      <w:r>
        <w:rPr>
          <w:rFonts w:ascii="Times New Roman;sans-serif" w:hAnsi="Times New Roman;sans-serif"/>
          <w:b w:val="false"/>
          <w:color w:val="000000"/>
          <w:sz w:val="24"/>
        </w:rPr>
        <w:t>. Use the proceeds of the Loans made and use the Letters of Credit issued only in the manner contemplated by Section 3.12.</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 xml:space="preserve">Section 5.09. </w:t>
      </w:r>
      <w:r>
        <w:rPr>
          <w:rFonts w:ascii="Times New Roman;sans-serif" w:hAnsi="Times New Roman;sans-serif"/>
          <w:b w:val="false"/>
          <w:color w:val="000000"/>
          <w:sz w:val="24"/>
          <w:u w:val="single"/>
        </w:rPr>
        <w:t>Compliance with Environmental Laws</w:t>
      </w:r>
      <w:r>
        <w:rPr>
          <w:rFonts w:ascii="Times New Roman;sans-serif" w:hAnsi="Times New Roman;sans-serif"/>
          <w:b w:val="false"/>
          <w:color w:val="000000"/>
          <w:sz w:val="24"/>
        </w:rPr>
        <w:t>. Comply, and make reasonable efforts to cause all lessees and other persons occupying its properties to comply, with all applicable Environmental Laws; and obtain and renew all required Environmental Permits, except, in each case with respect to this Section 5.09, to the extent the failure to do so would not reasonably be expected to have, individually or in the aggregate, a Material Adverse Effect.</w:t>
      </w:r>
    </w:p>
    <w:p>
      <w:pPr>
        <w:pStyle w:val="TextBody"/>
        <w:bidi w:val="0"/>
        <w:spacing w:lineRule="auto" w:line="240" w:before="240" w:after="283"/>
        <w:jc w:val="left"/>
        <w:rPr/>
      </w:pPr>
      <w:r>
        <w:rPr>
          <w:rFonts w:ascii="Times New Roman;sans-serif" w:hAnsi="Times New Roman;sans-serif"/>
          <w:b w:val="false"/>
          <w:color w:val="000000"/>
          <w:sz w:val="24"/>
        </w:rPr>
        <w:t xml:space="preserve">Section 5.10. </w:t>
      </w:r>
      <w:r>
        <w:rPr>
          <w:rFonts w:ascii="Times New Roman;sans-serif" w:hAnsi="Times New Roman;sans-serif"/>
          <w:b w:val="false"/>
          <w:color w:val="000000"/>
          <w:sz w:val="24"/>
          <w:u w:val="single"/>
        </w:rPr>
        <w:t>Further Assurances; Additional Security</w:t>
      </w:r>
      <w:r>
        <w:rPr>
          <w:rFonts w:ascii="Times New Roman;sans-serif" w:hAnsi="Times New Roman;sans-serif"/>
          <w:b w:val="false"/>
          <w:color w:val="000000"/>
          <w:sz w:val="24"/>
        </w:rPr>
        <w:t>.</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(a)Execute any and all further documents, financing statements, agreements and instruments, and take all such further actions (including the filing and recording of financing statements and other documents), that the Collateral Agent may reasonably request (including those required by applicable law), to satisfy the Collateral and Guarantee Requirement and to cause the Collateral and Guarantee Requirement to be and remain satisfied, all at the expense of the Loan Parties and provide to the Collateral Agent, from time to time upon reasonable request, evidence reasonably satisfactory to the Collateral Agent as to the perfection and priority of the Liens created or intended to be created by the Security Documents.</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(b)If any asset is acquired by any Loan Party after the Closing Date or owned by an entity at the time it becomes a Loan Party (in each case other than (x) assets constituting Collateral under a Security Document that automatically become subject to the Lien of such Security Document upon acquisition thereof and (y) assets constituting Excluded Property) such Loan Party will, (i) notify the Collateral Agent of such acquisition or ownership and (ii) cause such asset to be subjected to a valid and perfected Lien (subject to no Liens other than Permitted Liens) securing the Obligations by, and take, and cause the Guarantors to take, such actions as shall be reasonably requested by the Collateral Agent to cause the Collateral and Guarantee Requirement to be satisfied with respect to such asset, including actions described in clause (a) of this Section 5.10, all at the expense of the Loan Parties, subject to the penultimate and last paragraphs of this Section 5.10 and the definition of “Excluded Property” (it being understood that perfection actions with respect to Intellectual Property that are required to be taken after the Closing Date shall be subject to Section 3.05(d) of the Collateral Agreement).</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(c)If any additional direct or indirect Subsidiary of the Borrower is formed, including by division, acquired or ceases to constitute an Excluded Subsidiary following the Closing Date and such Subsidiary is (1) a direct or indirect Wholly-Owned Domestic Subsidiary of the Borrower that is not an Excluded Subsidiary or (2) any other Domestic Subsidiary of the Borrower that may be designated in writing to the Administrative Agent by the Borrower in its sole discretion, within forty-five (45) Business Days after the date such Subsidiary is formed or acquired or meets such criteria (or first becomes subject to such requirement) or such longer period as the Collateral Agent may agree in its sole discretion, cause such Subsidiary to become a Guarantor and cause the Collateral and Guarantee Requirement to be satisfied with respect to such Subsidiary and with respect to any Equity Interest in or Indebtedness of such Subsidiary owned by or on behalf of any Guarantor, subject to the third to last and penultimate paragraphs of this Section 5.10. Notwithstanding anything to the contrary herein, in no circumstance shall an Excluded Subsidiary become a Guarantor unless designated as a Guarantor by the Borrower (with any such designation</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6480175" cy="781050"/>
                <wp:effectExtent l="0" t="0" r="0" b="0"/>
                <wp:wrapNone/>
                <wp:docPr id="357" name="Frame356"/>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155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155</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jc w:val="both"/>
        <w:rPr>
          <w:rFonts w:ascii="Times New Roman;sans-serif" w:hAnsi="Times New Roman;sans-serif"/>
          <w:b w:val="false"/>
          <w:color w:val="000000"/>
          <w:sz w:val="24"/>
        </w:rPr>
      </w:pPr>
      <w:r>
        <w:rPr>
          <w:rFonts w:ascii="Times New Roman;sans-serif" w:hAnsi="Times New Roman;sans-serif"/>
          <w:b w:val="false"/>
          <w:color w:val="000000"/>
          <w:sz w:val="24"/>
        </w:rPr>
        <w:t>of a Foreign Subsidiary being subject to the Administrative Agent’s consent as to the jurisdiction of organization thereof (such consent not to be unreasonably withheld, conditioned or delayed)) and no Subsidiary (other than any Subsidiary that is subject to clauses (a) and/or (h) of the definition of Excluded Subsidiary) that is designated as a Guarantor by the Borrower shall be released solely on the basis that it was not required to become a Guarantor.</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(d)Furnish to the Collateral Agent prompt (and in any event within forty-five (45) days of the applicable change) written notice of any change (A) in any Loan Party’s corporate or organization name, (B) in any Loan Party’s identity or organizational structure, (C) in any Loan Party’s organizational identification number (to the extent relevant in the applicable jurisdiction of organization) and (D) in any Loan Party’s jurisdiction of organization, accompanied by certified organizational documents reflecting such changes, and take all action reasonably satisfactory to the Collateral Agent to maintain the perfection and priority of the security interest of the Collateral Agent for the benefit of the Secured Parties in the Collateral, if applicable.</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(e)If any Foreign Subsidiary of the Borrower is formed or acquired after the Closing Date (with any Subsidiary Redesignation resulting in an Unrestricted Subsidiary becoming a Subsidiary being deemed to constitute the acquisition of a Subsidiary) and if such Subsidiary is a “first tier” Foreign Subsidiary of a Loan Party, within sixty (60) days after the date such Foreign Subsidiary is formed or acquired or such longer period as the Collateral Agent may agree in its reasonable discretion, cause the Collateral and Guarantee Requirement to be satisfied with respect to any Equity Interest in such Foreign Subsidiary owned by or on behalf of any Loan Party, subject to the penultimate and last paragraphs of this Section 5.10 and the definition of “Excluded Property”.</w:t>
      </w:r>
    </w:p>
    <w:p>
      <w:pPr>
        <w:pStyle w:val="TextBody"/>
        <w:bidi w:val="0"/>
        <w:spacing w:lineRule="auto" w:line="240" w:before="241"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(f)Within 90 days after the acquisition by the Borrower or any Guarantor of any Mortgaged Property (or such longer period as the Administrative Agent may reasonably agree), the Borrower shall or shall cause such Loan Party to comply with the requirements set forth in clause (g) of the definition of “Collateral and Guarantee Requirement”.</w:t>
      </w:r>
    </w:p>
    <w:p>
      <w:pPr>
        <w:pStyle w:val="TextBody"/>
        <w:bidi w:val="0"/>
        <w:spacing w:lineRule="auto" w:line="240" w:before="238"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Notwithstanding anything to the contrary in this Agreement or in the other Loan Documents, the Collateral and Guarantee Requirement and the other provisions of this Section</w:t>
      </w:r>
    </w:p>
    <w:p>
      <w:pPr>
        <w:pStyle w:val="TextBody"/>
        <w:bidi w:val="0"/>
        <w:spacing w:lineRule="auto" w:line="240" w:before="0" w:after="0"/>
        <w:jc w:val="both"/>
        <w:rPr/>
      </w:pPr>
      <w:r>
        <w:rPr>
          <w:rFonts w:ascii="Times New Roman;sans-serif" w:hAnsi="Times New Roman;sans-serif"/>
          <w:b w:val="false"/>
          <w:color w:val="000000"/>
          <w:sz w:val="24"/>
        </w:rPr>
        <w:t>5.10 and the other Loan Documents with respect to Collateral need not be satisfied with respect to any of the following (collectively, the “</w:t>
      </w:r>
      <w:r>
        <w:rPr>
          <w:rFonts w:ascii="Times New Roman;sans-serif" w:hAnsi="Times New Roman;sans-serif"/>
          <w:b w:val="false"/>
          <w:color w:val="000000"/>
          <w:sz w:val="24"/>
          <w:u w:val="single"/>
        </w:rPr>
        <w:t>Excluded Property</w:t>
      </w:r>
      <w:r>
        <w:rPr>
          <w:color w:val="000000"/>
        </w:rPr>
        <w:t>”</w:t>
      </w:r>
      <w:r>
        <w:rPr>
          <w:rFonts w:ascii="Times New Roman;sans-serif" w:hAnsi="Times New Roman;sans-serif"/>
          <w:b w:val="false"/>
          <w:color w:val="000000"/>
          <w:sz w:val="24"/>
        </w:rPr>
        <w:t>): (i) (a) any interest in fee owned real property that is not in excess of $2,000,000 individually and (b) all leasehold interests in real property (including requirements to deliver landlord lien waivers, estoppels and collateral access letters); (ii) motor vehicles, airplanes and other assets subject to certificates of title (other than to the extent that a security interest therein can be perfected by the filing of a financing statement under the Uniform Commercial Code); (iii) letters of credit and letter of credit rights (other than to the extent that a security interest therein can be perfected by the filing of a financing statement under the Uniform Commercial Code); (iv) commercial tort claims (as defined in the Uniform Commercial Code) reasonably expected to result in a recovery of less than $20,000,000; (v) leases, licenses, permits and other agreements or any property subject to a purchase money security interest or similar arrangement to the extent, and so long as, the pledge thereof as Collateral would violate the terms thereof or create a right of termination in favor of any other party thereto (other than the Borrower or a Subsidiary), but only to the extent, and for so long as, such prohibition or limitation is not terminated or rendered unenforceable or otherwise deemed ineffective by the</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6480175" cy="781050"/>
                <wp:effectExtent l="0" t="0" r="0" b="0"/>
                <wp:wrapNone/>
                <wp:docPr id="358" name="Frame357"/>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156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156</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jc w:val="both"/>
        <w:rPr>
          <w:rFonts w:ascii="Times New Roman;sans-serif" w:hAnsi="Times New Roman;sans-serif"/>
          <w:b w:val="false"/>
          <w:color w:val="000000"/>
          <w:sz w:val="24"/>
        </w:rPr>
      </w:pPr>
      <w:r>
        <w:rPr>
          <w:rFonts w:ascii="Times New Roman;sans-serif" w:hAnsi="Times New Roman;sans-serif"/>
          <w:b w:val="false"/>
          <w:color w:val="000000"/>
          <w:sz w:val="24"/>
        </w:rPr>
        <w:t>Uniform Commercial Code, the Bankruptcy Code or other Debtor Relief Law or other Requirement of Law, other proceeds and receivable thereof, the assignment of which is expressly deemed effective under applicable law; (vi) other assets to the extent the pledge thereof or the security interest therein is prohibited by applicable law, rule or regulation (other than to the extent such prohibition is not terminated or rendered unenforceable or otherwise deemed ineffective by the Uniform Commercial Code, Bankruptcy Code or any other Requirement of Law) or which could require governmental (including regulatory) consent, approval, license or authorization to be pledged (unless such consent, approval, license or authorization has been received) other than to the extent such requirement is not terminated or rendered unenforceable or otherwise deemed ineffective by the Uniform Commercial Code, Bankruptcy Code or any other Requirement of Law;</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(vii) those assets as to which the Administrative Agent and the Borrower shall reasonably agree that the costs or other adverse consequences (including, without limitations, Tax consequences) of obtaining such security interest are excessive in relation to the value of the security to be afforded thereby; (viii) “intent-to-use” trademark applications prior to the filing of a “Statement of Use” or “Amendment to Allege Use” with respect thereto, to the extent that the grant of a security interest therein would impair the validity or enforceability of, or render void or voidable or result in the cancellation of the applicable grantor’s right, title or interest therein or in any trademark issued as a result of such application under applicable law; (ix) any governmental licenses, permits or state or local franchises, charters and authorizations, to the extent Liens and security interests therein are prohibited or restricted thereby after giving effect to the applicable anti-assignment provisions of the UCC and other applicable law; (x) property and assets to the extent that a pledge thereof or creation of security interest therein is restricted by applicable law, rule or regulation or which would require governmental consent, approval, license or authorization (in each case, only for so long as such restriction remains in effect or until such consent, approval or license is obtained, as applicable), other than to the extent such prohibition or limitation is rendered ineffective under the UCC or other applicable law notwithstanding such prohibition; (xi) Excluded Securities; (xii) any intercompany loans, Indebtedness or receivables owed by any CFC or FSHCO (or treated as owed by any CFC or FSHCO for income tax purposes); (xiii) cash collateral that is the subject of a deposit or pledge constituting a Permitted Lien, but only to the extent the agreements governing such deposit or pledge prohibit the existence of a Lien therein in favor of the Administrative Agent;</w:t>
      </w:r>
    </w:p>
    <w:p>
      <w:pPr>
        <w:pStyle w:val="TextBody"/>
        <w:bidi w:val="0"/>
        <w:spacing w:lineRule="auto" w:line="240" w:before="0" w:after="0"/>
        <w:jc w:val="both"/>
        <w:rPr/>
      </w:pPr>
      <w:r>
        <w:rPr>
          <w:rFonts w:ascii="Times New Roman;sans-serif" w:hAnsi="Times New Roman;sans-serif"/>
          <w:b w:val="false"/>
          <w:color w:val="000000"/>
          <w:sz w:val="24"/>
        </w:rPr>
        <w:t xml:space="preserve">(xiv) any assets of any CFC or FSHCO or any Subsidiary thereof and (xv) for the avoidance of doubt, any assets of any person other than a Loan Party;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further</w:t>
      </w:r>
      <w:r>
        <w:rPr>
          <w:color w:val="000000"/>
        </w:rPr>
        <w:t xml:space="preserve"> </w:t>
      </w:r>
      <w:r>
        <w:rPr>
          <w:rFonts w:ascii="Times New Roman;sans-serif" w:hAnsi="Times New Roman;sans-serif"/>
          <w:b w:val="false"/>
          <w:color w:val="000000"/>
          <w:sz w:val="24"/>
        </w:rPr>
        <w:t>that the Borrower may in its sole discretion elect to exclude any property from the definition of Excluded Property by expressly notifying the Collateral Agent of it decision to do so with reference to this proviso.</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addition, in no event shall (1) landlord, mortgagee and bailee waivers or similar subordination agreements be required, (2) control agreements, lockbox or similar arrangements with respect to any deposit account, securities account, commodities account or other bank account be required, (3) notices be required to be sent to account debtors or other contractual third parties unless an Event of Default has occurred and is continuing and (4) foreign-law governed security documents or perfection under foreign law be required.</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Notwithstanding anything herein to the contrary, (A) the Collateral Agent may grant extensions of time or waiver or modification of requirement for (x) the creation or perfection of security interests in, (y) the obtaining of insurance with respect to particular assets or (z) any other action required pursuant to the Collateral and Guarantee Requirement (including extensions beyond the Closing Date for the perfection of security interests in the assets of the Loan Parties on</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6480175" cy="781050"/>
                <wp:effectExtent l="0" t="0" r="0" b="0"/>
                <wp:wrapNone/>
                <wp:docPr id="359" name="Frame358"/>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157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157</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jc w:val="both"/>
        <w:rPr>
          <w:rFonts w:ascii="Times New Roman;sans-serif" w:hAnsi="Times New Roman;sans-serif"/>
          <w:b w:val="false"/>
          <w:color w:val="000000"/>
          <w:sz w:val="24"/>
        </w:rPr>
      </w:pPr>
      <w:r>
        <w:rPr>
          <w:rFonts w:ascii="Times New Roman;sans-serif" w:hAnsi="Times New Roman;sans-serif"/>
          <w:b w:val="false"/>
          <w:color w:val="000000"/>
          <w:sz w:val="24"/>
        </w:rPr>
        <w:t>such date), in each case, where it reasonably determines, in consultation with the Borrower, that perfection or obtaining of such items (or the satisfaction by the Loan Parties of the Collateral and Guarantee Requirement) cannot reasonably be accomplished without undue effort or expense or is otherwise impracticable by the time or times at and/or in the form or manner in which it would otherwise be required by this Agreement or the other Loan Documents and (B) Liens required to be granted from time to time pursuant to, or any other requirements of, the Collateral and Guarantee Requirement and the Security Documents shall be subject to exceptions and limitations set forth in the Security Documents.</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 xml:space="preserve">Section 5.11. </w:t>
      </w:r>
      <w:r>
        <w:rPr>
          <w:rFonts w:ascii="Times New Roman;sans-serif" w:hAnsi="Times New Roman;sans-serif"/>
          <w:b w:val="false"/>
          <w:color w:val="000000"/>
          <w:sz w:val="24"/>
          <w:u w:val="single"/>
        </w:rPr>
        <w:t>Ratings</w:t>
      </w:r>
      <w:r>
        <w:rPr>
          <w:rFonts w:ascii="Times New Roman;sans-serif" w:hAnsi="Times New Roman;sans-serif"/>
          <w:b w:val="false"/>
          <w:color w:val="000000"/>
          <w:sz w:val="24"/>
        </w:rPr>
        <w:t xml:space="preserve">. Use commercially reasonable efforts to obtain and to maintain (a) public ratings from Moody’s and S&amp;P for the Term Loans and (b) public corporate credit ratings and corporate family ratings from Moody’s and S&amp;P in respect of the Borrower;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in each case, that the Borrower and its Subsidiaries shall not be required to obtain or maintain any specific rating.</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 xml:space="preserve">Section 5.12. </w:t>
      </w:r>
      <w:r>
        <w:rPr>
          <w:rFonts w:ascii="Times New Roman;sans-serif" w:hAnsi="Times New Roman;sans-serif"/>
          <w:b w:val="false"/>
          <w:color w:val="000000"/>
          <w:sz w:val="24"/>
          <w:u w:val="single"/>
        </w:rPr>
        <w:t>Restricted and Unrestricted Subsidiaries</w:t>
      </w:r>
      <w:r>
        <w:rPr>
          <w:rFonts w:ascii="Times New Roman;sans-serif" w:hAnsi="Times New Roman;sans-serif"/>
          <w:b w:val="false"/>
          <w:color w:val="000000"/>
          <w:sz w:val="24"/>
        </w:rPr>
        <w:t>. Designate any Subsidiary as an Unrestricted Subsidiary only in accordance with the definition of “Unrestricted Subsidiary” contained herein.</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 xml:space="preserve">Section 5.13. </w:t>
      </w:r>
      <w:r>
        <w:rPr>
          <w:rFonts w:ascii="Times New Roman;sans-serif" w:hAnsi="Times New Roman;sans-serif"/>
          <w:b w:val="false"/>
          <w:color w:val="000000"/>
          <w:sz w:val="24"/>
          <w:u w:val="single"/>
        </w:rPr>
        <w:t>Post-Closing</w:t>
      </w:r>
      <w:r>
        <w:rPr>
          <w:rFonts w:ascii="Times New Roman;sans-serif" w:hAnsi="Times New Roman;sans-serif"/>
          <w:b w:val="false"/>
          <w:color w:val="000000"/>
          <w:sz w:val="24"/>
        </w:rPr>
        <w:t xml:space="preserve">. Take all necessary actions to satisfy the items described on </w:t>
      </w:r>
      <w:r>
        <w:rPr>
          <w:rFonts w:ascii="Times New Roman;sans-serif" w:hAnsi="Times New Roman;sans-serif"/>
          <w:b w:val="false"/>
          <w:color w:val="000000"/>
          <w:sz w:val="24"/>
          <w:u w:val="single"/>
        </w:rPr>
        <w:t>Schedule 5.13</w:t>
      </w:r>
      <w:r>
        <w:rPr>
          <w:color w:val="000000"/>
        </w:rPr>
        <w:t xml:space="preserve"> </w:t>
      </w:r>
      <w:r>
        <w:rPr>
          <w:rFonts w:ascii="Times New Roman;sans-serif" w:hAnsi="Times New Roman;sans-serif"/>
          <w:b w:val="false"/>
          <w:color w:val="000000"/>
          <w:sz w:val="24"/>
        </w:rPr>
        <w:t>within the applicable period of time specified in such Schedule (or such longer period as the Administrative Agent may agree in its sole discretion). All representations and warranties contained in this Agreement and the other Loan Documents shall be deemed modified (or waived on a limited basis) to the extent necessary to give effect to the foregoing (and to permit the taking of the actions described in this Section 5.13 within the time periods specified thereon), and, to the extent any provision of this Agreement or any other Loan Document would be violated or breached (or any non-compliance with any such provision would result in a Default or Event of Default hereunder) as a result of any such extended deadline, such provision shall be deemed modified (or waived on a limited basis) to the extent necessary to give effect to this Section 5.13.</w:t>
      </w:r>
    </w:p>
    <w:p>
      <w:pPr>
        <w:pStyle w:val="TextBody"/>
        <w:bidi w:val="0"/>
        <w:spacing w:lineRule="auto" w:line="240" w:before="239" w:after="283"/>
        <w:ind w:left="0" w:right="0" w:firstLine="720"/>
        <w:jc w:val="both"/>
        <w:rPr/>
      </w:pPr>
      <w:r>
        <w:rPr>
          <w:rFonts w:ascii="Times New Roman;sans-serif" w:hAnsi="Times New Roman;sans-serif"/>
          <w:b w:val="false"/>
          <w:color w:val="000000"/>
          <w:sz w:val="24"/>
        </w:rPr>
        <w:t xml:space="preserve">Section 5.14. </w:t>
      </w:r>
      <w:r>
        <w:rPr>
          <w:rFonts w:ascii="Times New Roman;sans-serif" w:hAnsi="Times New Roman;sans-serif"/>
          <w:b w:val="false"/>
          <w:color w:val="000000"/>
          <w:sz w:val="24"/>
          <w:u w:val="single"/>
        </w:rPr>
        <w:t>Quarterly Lender Calls</w:t>
      </w:r>
      <w:r>
        <w:rPr>
          <w:rFonts w:ascii="Times New Roman;sans-serif" w:hAnsi="Times New Roman;sans-serif"/>
          <w:b w:val="false"/>
          <w:color w:val="000000"/>
          <w:sz w:val="24"/>
        </w:rPr>
        <w:t xml:space="preserve">. Following delivery of the financial statements pursuant to Section 5.04(a) or (b), as applicable, promptly host a conference call with a Financial Officer of the Borrower, such other members of senior management of the Borrower as the Borrower deems appropriate, the Lenders and the Lenders’ respective representatives and advisors to review the financial information presented therein at a time as may be agreed between the Borrower and the Administrative Agent;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the requirements set forth in this Section</w:t>
      </w:r>
    </w:p>
    <w:p>
      <w:pPr>
        <w:pStyle w:val="TextBody"/>
        <w:bidi w:val="0"/>
        <w:spacing w:lineRule="auto" w:line="240" w:before="1" w:after="283"/>
        <w:jc w:val="both"/>
        <w:rPr>
          <w:rFonts w:ascii="Times New Roman;sans-serif" w:hAnsi="Times New Roman;sans-serif"/>
          <w:b w:val="false"/>
          <w:color w:val="000000"/>
          <w:sz w:val="24"/>
        </w:rPr>
      </w:pPr>
      <w:r>
        <w:rPr>
          <w:rFonts w:ascii="Times New Roman;sans-serif" w:hAnsi="Times New Roman;sans-serif"/>
          <w:b w:val="false"/>
          <w:color w:val="000000"/>
          <w:sz w:val="24"/>
        </w:rPr>
        <w:t>5.14 may be satisfied with a public earnings calls for the applicable period.</w:t>
      </w:r>
    </w:p>
    <w:p>
      <w:pPr>
        <w:pStyle w:val="TextBody"/>
        <w:bidi w:val="0"/>
        <w:spacing w:lineRule="auto" w:line="240" w:before="24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ARTICLE VI</w:t>
      </w:r>
    </w:p>
    <w:p>
      <w:pPr>
        <w:pStyle w:val="TextBody"/>
        <w:bidi w:val="0"/>
        <w:spacing w:lineRule="auto" w:line="240" w:before="276" w:after="283"/>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Negative Covenants</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Borrower covenants and agrees with each Lender that from the Closing Date until the Termination Date, unless the Required Lenders (or, in the case of the Financial Covenant, the Required Revolving Facility Lenders) shall otherwise consent in writing, the Borrower will not, and the Borrower will not permit any of the Subsidiaries to:</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6480175" cy="781050"/>
                <wp:effectExtent l="0" t="0" r="0" b="0"/>
                <wp:wrapNone/>
                <wp:docPr id="360" name="Frame359"/>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158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158</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ind w:left="0" w:right="0" w:firstLine="720"/>
        <w:jc w:val="left"/>
        <w:rPr/>
      </w:pPr>
      <w:r>
        <w:rPr>
          <w:rFonts w:ascii="Times New Roman;sans-serif" w:hAnsi="Times New Roman;sans-serif"/>
          <w:b w:val="false"/>
          <w:color w:val="000000"/>
          <w:sz w:val="24"/>
        </w:rPr>
        <w:t xml:space="preserve">Section 6.01. </w:t>
      </w:r>
      <w:r>
        <w:rPr>
          <w:rFonts w:ascii="Times New Roman;sans-serif" w:hAnsi="Times New Roman;sans-serif"/>
          <w:b w:val="false"/>
          <w:color w:val="000000"/>
          <w:sz w:val="24"/>
          <w:u w:val="single"/>
        </w:rPr>
        <w:t>Indebtedness</w:t>
      </w:r>
      <w:r>
        <w:rPr>
          <w:rFonts w:ascii="Times New Roman;sans-serif" w:hAnsi="Times New Roman;sans-serif"/>
          <w:b w:val="false"/>
          <w:color w:val="000000"/>
          <w:sz w:val="24"/>
        </w:rPr>
        <w:t>. Incur, create, assume or otherwise become directly or indirectly liable with respect to any Indebtedness, except:</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(a)Indebtedness, including Capitalized Lease Obligations (other than Indebtedness described in Section 6.01(b) below), existing or committed on the Closing Date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that any such Indebtedness that is owed to any person other than the Borrower and/or one or more of its Subsidiaries, in an aggregate amount in excess of $2,000,000 shall be set forth in </w:t>
      </w:r>
      <w:r>
        <w:rPr>
          <w:rFonts w:ascii="Times New Roman;sans-serif" w:hAnsi="Times New Roman;sans-serif"/>
          <w:b w:val="false"/>
          <w:color w:val="000000"/>
          <w:sz w:val="24"/>
          <w:u w:val="single"/>
        </w:rPr>
        <w:t>Schedule 6.01</w:t>
      </w:r>
      <w:r>
        <w:rPr>
          <w:rFonts w:ascii="Times New Roman;sans-serif" w:hAnsi="Times New Roman;sans-serif"/>
          <w:b w:val="false"/>
          <w:color w:val="000000"/>
          <w:sz w:val="24"/>
        </w:rPr>
        <w:t>) and any Permitted Refinancing Indebtedness incurred to Refinance such Indebtedness;</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(b)Indebtedness created hereunder (including pursuant to Section 2.21, Section 2.22 and Section 2.23) and under the other Loan Documents and any Refinancing Notes incurred to Refinance such Indebtedness;</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(c)Indebtedness of the Borrower or any Subsidiary pursuant to Hedging Agreements entered into for non-speculative purposes;</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(d)Indebtedness owed to (including obligations in respect of letters of credit or bank guarantees or similar instruments for the benefit of) any person providing workers’ compensation, health, disability or other employee benefits or property, casualty or liability insurance to the Borrower or any Subsidiary, pursuant to reimbursement or indemnification obligations to such person, in each case in the ordinary course of business or consistent with past practice or industry practices;</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 xml:space="preserve">(e)Indebtedness of the Borrower to any Subsidiary and of any Subsidiary to the Borrower or any other Subsidiary;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that (i) Indebtedness of any Subsidiary that is not a Loan Party owing to a Loan Party pursuant to this Section 6.01(e) shall be subject to Section 6.04(b) and (ii) Indebtedness owed by any Loan Party to any Subsidiary that is not a Guarantor pursuant to this Section 6.01(e) shall be subordinated in right of payment to the Loan Obligations on terms reasonably satisfactory to the Administrative Agent or at least as favorable to the Lender as those set forth in the form of intercompany note attached as </w:t>
      </w:r>
      <w:r>
        <w:rPr>
          <w:rFonts w:ascii="Times New Roman;sans-serif" w:hAnsi="Times New Roman;sans-serif"/>
          <w:b w:val="false"/>
          <w:color w:val="000000"/>
          <w:sz w:val="24"/>
          <w:u w:val="single"/>
        </w:rPr>
        <w:t>Exhibit G</w:t>
      </w:r>
      <w:r>
        <w:rPr>
          <w:rFonts w:ascii="Times New Roman;sans-serif" w:hAnsi="Times New Roman;sans-serif"/>
          <w:b w:val="false"/>
          <w:color w:val="000000"/>
          <w:sz w:val="24"/>
        </w:rPr>
        <w:t>;</w:t>
      </w:r>
    </w:p>
    <w:p>
      <w:pPr>
        <w:pStyle w:val="TextBody"/>
        <w:bidi w:val="0"/>
        <w:spacing w:lineRule="auto" w:line="240" w:before="239"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(f)Indebtedness in respect of performance bonds, bid bonds, appeal bonds, surety bonds and completion guarantees and similar obligations, in each case provided in the ordinary course of business or consistent with past practice or industry practices, including those incurred to secure health, safety and environmental obligations in the ordinary course of business or consistent with past practice or industry practices;</w:t>
      </w:r>
    </w:p>
    <w:p>
      <w:pPr>
        <w:pStyle w:val="TextBody"/>
        <w:bidi w:val="0"/>
        <w:spacing w:lineRule="auto" w:line="240" w:before="241"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(g)Indebtedness arising from the honoring by a bank or other financial institution of a check, draft or similar instrument drawn against insufficient funds in the ordinary course of business or other cash management services, in each case arising in the ordinary course of business;</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 xml:space="preserve">(h)(i) Indebtedness of a Subsidiary acquired after the Closing Date or a person merged or consolidated with the Borrower or any Subsidiary after the Closing Date and Indebtedness otherwise assumed by any Loan Party in connection with the acquisition of assets or Equity Interests (including a Permitted Business Acquisition), where such acquisition, merger, amalgamation or consolidation is not prohibited by this Agreement, in each case, pursuant to this subclause (h)(i);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that, (x) Indebtedness acquired or assumed pursuant to this subclause (h)(i) shall be in existence prior to the respective merger or acquisition of assets or</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6480175" cy="781050"/>
                <wp:effectExtent l="0" t="0" r="0" b="0"/>
                <wp:wrapNone/>
                <wp:docPr id="361" name="Frame360"/>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159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159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jc w:val="both"/>
        <w:rPr/>
      </w:pPr>
      <w:r>
        <w:rPr>
          <w:rFonts w:ascii="Times New Roman;sans-serif" w:hAnsi="Times New Roman;sans-serif"/>
          <w:b w:val="false"/>
          <w:color w:val="000000"/>
          <w:sz w:val="24"/>
        </w:rPr>
        <w:t xml:space="preserve">Equity Interests (including a Permitted Business Acquisition) and shall not have been created in contemplation thereof or in connection therewith, and (y) immediately after giving effect to the acquisition or assumption of such Indebtedness, (A) if such Indebtedness is secured by a Lien that is </w:t>
      </w:r>
      <w:r>
        <w:rPr>
          <w:rFonts w:ascii="Times New Roman;sans-serif" w:hAnsi="Times New Roman;sans-serif"/>
          <w:b w:val="false"/>
          <w:i/>
          <w:color w:val="000000"/>
          <w:sz w:val="24"/>
        </w:rPr>
        <w:t xml:space="preserve">pari passu </w:t>
      </w:r>
      <w:r>
        <w:rPr>
          <w:rFonts w:ascii="Times New Roman;sans-serif" w:hAnsi="Times New Roman;sans-serif"/>
          <w:b w:val="false"/>
          <w:color w:val="000000"/>
          <w:sz w:val="24"/>
        </w:rPr>
        <w:t xml:space="preserve">with the Lien securing the Initial Term Loans, the Revolving Facility Loans or Other First Lien Debt, the First Lien Net Leverage Ratio, calculated on a Pro Forma Basis for the then most recently ended Test Period, shall not be greater than either (x) 3.00:1.00 or (y) the First Lien Net Leverage Ratio for the then most recently ended Test Period, (B) if such Indebtedness is secured by a Junior Lien, the Secured Net Leverage Ratio, calculated on a Pro Forma Basis for the then most recently ended Test Period, shall not be greater than either (x) 3.00:1.00 or (y) the Secured Net Leverage Ratio for the then most recently ended Test Period and (C) if such Indebtedness is unsecured, either, (a) the Consolidated Interest Coverage Ratio is at least equal to either (x) 2.00:1.00 or (y) the Consolidated Interest Coverage Ratio for the then most recently ended Test Period, or (b) the Total Net Leverage Ratio, calculated on a Pro Forma Basis for the then most recently ended Test Period shall not be greater than (x) 5.00:1.00 or (y) the Total Net Leverage Ratio for the then most recently ended Test Period;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that the aggregate outstanding amount of Indebtedness by Subsidiaries that are not Guarantors under this clause (h) and under clause (v) below (such outstanding amount measured solely when incurred, created or assumed) shall not exceed the greater of (x) $50,000,000 and (y) 25.0% of EBITDA for the most recently ended Test Period (plus any increase in the amount thereof in connection with any refinancing, renewal or extension thereof to the extent such increase is permitted by the definition of “Permitted Refinancing Indebtedness”); and (ii) any Permitted Refinancing Indebtedness incurred to Refinance any such Indebtedness;</w:t>
      </w:r>
    </w:p>
    <w:p>
      <w:pPr>
        <w:pStyle w:val="TextBody"/>
        <w:bidi w:val="0"/>
        <w:spacing w:lineRule="auto" w:line="240" w:before="241"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(i)(x) mortgage financings and other Indebtedness incurred by the Borrower or any Subsidiary prior to or within 360 days after the acquisition, lease, construction, repair, replacement or improvement of fixed or capital assets in order to finance such acquisition, lease, construction, repair, replacement or improvement (whether through the direct purchase of property or the Equity Interests of any person owning such property) and (y) Capitalized Lease Obligations (and, in each case of clause (x) and (y), any Permitted Refinancing Indebtedness in respect thereof) in an aggregate principal outstanding amount pursuant to this clause (i) (such outstanding amount measured solely at the time of incurrence, creation or assumption) not to exceed the greater of (x)</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$50,000,000 and (y) 25.0% of EBITDA for the most recently ended Test Period (plus any increase in the amount thereof in connection with any refinancing, renewal or extension thereof to the extent such increase is permitted by the definition of “Permitted Refinancing Indebtedness”);</w:t>
      </w:r>
    </w:p>
    <w:p>
      <w:pPr>
        <w:pStyle w:val="TextBody"/>
        <w:bidi w:val="0"/>
        <w:spacing w:lineRule="auto" w:line="240" w:before="239"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(j)Indebtedness of the Borrower and/or any Subsidiary (including, for the avoidance of doubt, any Guarantees thereof), in an aggregate principal outstanding amount (such outstanding amount measured solely when incurred, created or assumed) pursuant to this clause (j) that, together with any Permitted Refinancing Indebtedness in respect thereof, does not exceed the greater of (x) $80,000,000 and (y) 40.0% of EBITDA for the most recently ended Test Period (plus any increase in the amount thereof in connection with any refinancing, renewal or extension thereof to the extent such increase is permitted by the definition of “Permitted Refinancing Indebtedness”);</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(k)Guarantees (A) by the Borrower of Indebtedness of any Subsidiary, (B) by any Subsidiary that is not a Guarantor or a Subsidiary of a Guarantor of Indebtedness of any other</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6480175" cy="781050"/>
                <wp:effectExtent l="0" t="0" r="0" b="0"/>
                <wp:wrapNone/>
                <wp:docPr id="362" name="Frame361"/>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160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160</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Subsidiary that is not a Guarantor or a Subsidiary of a Guarantor and (C) by any Guarantor or Subsidiary of such Guarantor of Indebtedness of any other Subsidiary of such Guarantor;</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(l)Indebtedness arising from agreements of the Borrower or any Subsidiary providing for indemnification, adjustment of purchase or acquisition price or similar obligations (including earn-outs), in each case, in connection with any Permitted Business Acquisition or similar Investment or the disposition of any business, assets or a Subsidiary not prohibited by this Agreement;</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(m)Indebtedness in respect of letters of credit, bank guarantees, warehouse receipts or similar instruments issued in the ordinary course of business or consistent with past practice or industry practices and not supporting obligations in respect of Indebtedness for borrowed money;</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(n)obligations in respect of Cash Management Agreements in the ordinary course of business;</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 xml:space="preserve">(o)Indebtedness in the ordinary course of business in respect of obligations of the Borrower or any Subsidiary to pay the deferred purchase price of goods or services or progress payments in connection with such goods and services;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that such obligations are in connection with open accounts extended by suppliers on customary trade terms in the ordinary course of business and not in connection with the borrowing of money or any Hedging Agreements;</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(p)Indebtedness representing deferred compensation to employees, consultants or independent contractors of the Borrower or any Subsidiary in the ordinary course of business;</w:t>
      </w:r>
    </w:p>
    <w:p>
      <w:pPr>
        <w:pStyle w:val="TextBody"/>
        <w:bidi w:val="0"/>
        <w:spacing w:lineRule="auto" w:line="240" w:before="241" w:after="283"/>
        <w:ind w:left="0" w:right="0" w:firstLine="720"/>
        <w:jc w:val="both"/>
        <w:rPr/>
      </w:pPr>
      <w:r>
        <w:rPr>
          <w:rFonts w:ascii="Times New Roman;sans-serif" w:hAnsi="Times New Roman;sans-serif"/>
          <w:b w:val="false"/>
          <w:color w:val="000000"/>
          <w:sz w:val="24"/>
        </w:rPr>
        <w:t xml:space="preserve">(q)(i) Indebtedness in an outstanding amount not to exceed (such outstanding amount measured solely when incurred, created or assumed) the then available Incremental Amount consisting of the issuance of senior secured (on a </w:t>
      </w:r>
      <w:r>
        <w:rPr>
          <w:rFonts w:ascii="Times New Roman;sans-serif" w:hAnsi="Times New Roman;sans-serif"/>
          <w:b w:val="false"/>
          <w:i/>
          <w:color w:val="000000"/>
          <w:sz w:val="24"/>
        </w:rPr>
        <w:t xml:space="preserve">pari passu </w:t>
      </w:r>
      <w:r>
        <w:rPr>
          <w:rFonts w:ascii="Times New Roman;sans-serif" w:hAnsi="Times New Roman;sans-serif"/>
          <w:b w:val="false"/>
          <w:color w:val="000000"/>
          <w:sz w:val="24"/>
        </w:rPr>
        <w:t>basis with the Loan Obligations), junior lien, unsecured or subordinated notes or loans (including “mezzanine” debt and bridge loans) (“</w:t>
      </w:r>
      <w:r>
        <w:rPr>
          <w:rFonts w:ascii="Times New Roman;sans-serif" w:hAnsi="Times New Roman;sans-serif"/>
          <w:b w:val="false"/>
          <w:color w:val="000000"/>
          <w:sz w:val="24"/>
          <w:u w:val="single"/>
        </w:rPr>
        <w:t>Incremental Equivalent Debt</w:t>
      </w:r>
      <w:r>
        <w:rPr>
          <w:color w:val="000000"/>
        </w:rPr>
        <w:t>”</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such Incremental Equivalent Debt shall be subject to (a) Sections 2.21(b)(ii), 2.21(b)(iii), 2.21(b)(iv), 2.21(b)(viii), 2.21(b)(x), 2.21(c)(i) and 2.21(c)(ii), (b) if such Incremental Equivalent Debt consists of term loans secured on a </w:t>
      </w:r>
      <w:r>
        <w:rPr>
          <w:rFonts w:ascii="Times New Roman;sans-serif" w:hAnsi="Times New Roman;sans-serif"/>
          <w:b w:val="false"/>
          <w:i/>
          <w:color w:val="000000"/>
          <w:sz w:val="24"/>
        </w:rPr>
        <w:t xml:space="preserve">pari passu </w:t>
      </w:r>
      <w:r>
        <w:rPr>
          <w:rFonts w:ascii="Times New Roman;sans-serif" w:hAnsi="Times New Roman;sans-serif"/>
          <w:b w:val="false"/>
          <w:color w:val="000000"/>
          <w:sz w:val="24"/>
        </w:rPr>
        <w:t>basis with the Loan Obligations, 2.21(b)(v), (c) if the Incremental Equivalent Debt is a notes issuance, no mandatory prepayment or redemption provisions other than customary prepayments for notes offerings required as a result of a “change of control” or asset sales or other prepayment events consistent with market practice at the time of issuance, (d) if such Incremental Equivalent Debt consists of broadly syndicated U.S. dollar term “B” loans, the terms thereof, to the extent not substantially similar to the terms of the Term Loans, being, taken as a whole, not materially more restrictive than the terms of the Initial Term Loans and Initial Revolving Loans as determined in good faith by the Borrower (but excluding any terms (x) that are added in the Initial Term Loans and Initial Revolving Loans for the benefit of the Lenders pursuant to an amendment hereto (with no consent of the Lenders being required), (y) that are only applicable to periods after the Latest Maturity Date or (z) reflect market terms and conditions (as determined by the Borrower in good faith) at the time of incurrence or issuance) and (ii) any Permitted Refinancing Indebtedness incurred to Refinance any such Indebtedness and (e) if such Incremental Equivalent Debt is</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6480175" cy="781050"/>
                <wp:effectExtent l="0" t="0" r="0" b="0"/>
                <wp:wrapNone/>
                <wp:docPr id="363" name="Frame362"/>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161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161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secured by Collateral, it shall be subject to the provisions of a Permitted First Lien Intercreditor Agreement or a Permitted Junior Intercreditor Agreement, as applicable;</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(r)(i) Capitalized Lease Obligations and any other Indebtedness incurred by the Borrower or any Subsidiary arising from any Permitted Sale Lease-Back Transaction and (ii) any Permitted Refinancing Indebtedness in respect thereof;</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(s)Indebtedness issued by the Borrower or any Subsidiary to current or former officers, directors, employees and consultants of the Borrower or any Subsidiary, their respective estates, spouses or former spouses to finance the purchase or redemption of Equity Interests of the Borrower permitted by Section 6.03 (other than Section 6.03(a)(xvi));</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(t)Indebtedness consisting of obligations of the Borrower or any Subsidiary under deferred compensation or other similar arrangements of such person in connection with Permitted Business Acquisitions or any other Investment permitted hereunder;</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(u)Indebtedness consisting of (i) the financing of insurance premiums or (ii) take-or- pay obligations contained in supply arrangements, in each case, in the ordinary course of business;</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(v)(x) Indebtedness of the Borrower and/or any Subsidiary (measured solely when incurred, created or assumed) pursuant to this clause (v)(x) so long as:</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 xml:space="preserve">(i)any such Indebtedness secured by Liens on the Collateral ranking </w:t>
      </w:r>
      <w:r>
        <w:rPr>
          <w:rFonts w:ascii="Times New Roman;sans-serif" w:hAnsi="Times New Roman;sans-serif"/>
          <w:b w:val="false"/>
          <w:i/>
          <w:color w:val="000000"/>
          <w:sz w:val="24"/>
        </w:rPr>
        <w:t xml:space="preserve">pari passu </w:t>
      </w:r>
      <w:r>
        <w:rPr>
          <w:rFonts w:ascii="Times New Roman;sans-serif" w:hAnsi="Times New Roman;sans-serif"/>
          <w:b w:val="false"/>
          <w:color w:val="000000"/>
          <w:sz w:val="24"/>
        </w:rPr>
        <w:t xml:space="preserve">with the Liens securing the Initial Term Loans, the Revolving Facility Loans or Other First Lien Debt (without regard to control of remedies) or is otherwise secured by an asset of a non-Loan Party, on a Pro Forma Basis immediately after giving effect to such Indebtedness and the use of the proceeds thereof, the First Lien Net Leverage Ratio does not exceed either (x) 3.00:1.00 or (y) if incurred in connection with a Permitted Business Acquisition or other permitted Investment, the First Lien Net Leverage Ratio for the then most recently ended Test Period prior to giving effect to such incurrence of Indebtedness and any transactions occurring in connection therewith;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(x) any such Indebtedness pursuant to this clause (i) that is secured by Collateral shall be subject to the provisions of a Permitted First Lien Intercreditor Agreement and (y) any such Indebtedness pursuant to this clause (i) that consists of term loans secured on a </w:t>
      </w:r>
      <w:r>
        <w:rPr>
          <w:rFonts w:ascii="Times New Roman;sans-serif" w:hAnsi="Times New Roman;sans-serif"/>
          <w:b w:val="false"/>
          <w:i/>
          <w:color w:val="000000"/>
          <w:sz w:val="24"/>
        </w:rPr>
        <w:t xml:space="preserve">pari passu </w:t>
      </w:r>
      <w:r>
        <w:rPr>
          <w:rFonts w:ascii="Times New Roman;sans-serif" w:hAnsi="Times New Roman;sans-serif"/>
          <w:b w:val="false"/>
          <w:color w:val="000000"/>
          <w:sz w:val="24"/>
        </w:rPr>
        <w:t>basis with the Loan Obligations shall be subject to the provisions of Section 2.21(b)(v);</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 xml:space="preserve">(ii)any such Indebtedness secured by Junior Liens, on a Pro Forma Basis immediately after giving effect to such Indebtedness and the use of the proceeds thereof, the Secured Net Leverage Ratio does not exceed either (x) 3.00:1.00 or (y) if incurred in connection with a Permitted Business Acquisition or other permitted Investment, the Secured Net Leverage Ratio for the then most recently ended Test Period prior to giving effect to such incurrence of Indebtedness and any transactions occurring in connection therewith;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any such Indebtedness pursuant to this clause (ii) that is secured by Collateral shall be subject to the provisions of a Permitted Junior Intercreditor Agreement; and</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(iii)any such Indebtedness that is unsecured, on a Pro Forma Basis immediately after giving effect to such Indebtedness and the use of the proceeds thereof, either (A) the</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6480175" cy="781050"/>
                <wp:effectExtent l="0" t="0" r="0" b="0"/>
                <wp:wrapNone/>
                <wp:docPr id="364" name="Frame363"/>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162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162</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jc w:val="both"/>
        <w:rPr>
          <w:rFonts w:ascii="Times New Roman;sans-serif" w:hAnsi="Times New Roman;sans-serif"/>
          <w:b w:val="false"/>
          <w:color w:val="000000"/>
          <w:sz w:val="24"/>
        </w:rPr>
      </w:pPr>
      <w:r>
        <w:rPr>
          <w:rFonts w:ascii="Times New Roman;sans-serif" w:hAnsi="Times New Roman;sans-serif"/>
          <w:b w:val="false"/>
          <w:color w:val="000000"/>
          <w:sz w:val="24"/>
        </w:rPr>
        <w:t>Consolidated Interest Coverage Ratio is at least equal to either (x) 2.00:1.00 or (y) if incurred in connection with a Permitted Business Acquisition or other permitted Investment, the Consolidated Interest Coverage Ratio for the then most recently ended Test Period prior to giving effect to such incurrence of Indebtedness and any transactions occurring in connection therewith, or (B) the Total Net Leverage Ratio does not exceed (x) 5.00:1.00 or (y) if incurred in connection with a Permitted Business Acquisition or other permitted Investment, the Total Net Leverage Ratio for the then most recently ended Test Period prior to giving effect to such incurrence of Indebtedness and any transactions occurring in connection therewith; and</w:t>
      </w:r>
    </w:p>
    <w:p>
      <w:pPr>
        <w:pStyle w:val="TextBody"/>
        <w:bidi w:val="0"/>
        <w:spacing w:lineRule="auto" w:line="240"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(iv)any Permitted Refinancing Indebtedness incurred to Refinance any such Indebtedness;</w:t>
      </w:r>
    </w:p>
    <w:p>
      <w:pPr>
        <w:pStyle w:val="TextBody"/>
        <w:bidi w:val="0"/>
        <w:spacing w:lineRule="auto" w:line="240" w:before="240" w:after="283"/>
        <w:jc w:val="both"/>
        <w:rPr/>
      </w:pP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that the aggregate outstanding amount of Indebtedness (such outstanding amount measured solely when incurred, created or assumed) by Subsidiaries that are not Guarantors under this clause (v) and under clause (h) above shall not exceed the greater of (x) $50,000,000 and (y) 25.0% of EBITDA (plus any increase in the amount thereof in connection with any refinancing, renewal or extension thereof to the extent such increase is permitted by the definition of “Permitted Refinancing Indebtedness”);</w:t>
      </w:r>
    </w:p>
    <w:p>
      <w:pPr>
        <w:pStyle w:val="TextBody"/>
        <w:bidi w:val="0"/>
        <w:spacing w:lineRule="auto" w:line="240"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(w)the Borrower’s 0.25% convertible senior notes due 2026 (and any Permitted Refinancing Indebtedness in respect thereof);</w:t>
      </w:r>
    </w:p>
    <w:p>
      <w:pPr>
        <w:pStyle w:val="TextBody"/>
        <w:bidi w:val="0"/>
        <w:spacing w:lineRule="auto" w:line="240" w:before="240" w:after="283"/>
        <w:ind w:left="0" w:right="0" w:hanging="721"/>
        <w:jc w:val="left"/>
        <w:rPr>
          <w:rFonts w:ascii="Times New Roman;sans-serif" w:hAnsi="Times New Roman;sans-serif"/>
          <w:b w:val="false"/>
          <w:color w:val="000000"/>
          <w:sz w:val="24"/>
        </w:rPr>
      </w:pPr>
      <w:r>
        <w:rPr>
          <w:rFonts w:ascii="Times New Roman;sans-serif" w:hAnsi="Times New Roman;sans-serif"/>
          <w:b w:val="false"/>
          <w:color w:val="000000"/>
          <w:sz w:val="24"/>
        </w:rPr>
        <w:t>(x)[reserved];</w:t>
      </w:r>
    </w:p>
    <w:p>
      <w:pPr>
        <w:pStyle w:val="TextBody"/>
        <w:bidi w:val="0"/>
        <w:spacing w:lineRule="auto" w:line="240" w:before="241" w:after="283"/>
        <w:ind w:left="0" w:right="0" w:hanging="721"/>
        <w:jc w:val="left"/>
        <w:rPr>
          <w:rFonts w:ascii="Times New Roman;sans-serif" w:hAnsi="Times New Roman;sans-serif"/>
          <w:b w:val="false"/>
          <w:color w:val="000000"/>
          <w:sz w:val="24"/>
        </w:rPr>
      </w:pPr>
      <w:r>
        <w:rPr>
          <w:rFonts w:ascii="Times New Roman;sans-serif" w:hAnsi="Times New Roman;sans-serif"/>
          <w:b w:val="false"/>
          <w:color w:val="000000"/>
          <w:sz w:val="24"/>
        </w:rPr>
        <w:t>(y)[reserved];</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(z)(i) Indebtedness pursuant to this clause (z)(i) in respect of Permitted Receivables Financings and (ii) any Permitted Refinancing Indebtedness incurred to Refinance any such Indebtedness;</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(aa) so long as no Event of Default is continuing or would result therefrom, Indebtedness of any Subsidiary that is not a Loan Party in an outstanding amount (such outstanding amount measured solely when incurred, created or assumed) pursuant to this clause (aa) that, together with any Permitted Refinancing Indebtedness in respect thereof, does not exceed the greater of $50,000,000 and 25.0% of EBITDA for the most recently ended Test Period (plus any increase in the amount thereof in connection with any refinancing, renewal or extension thereof to the extent such increase is permitted by the definition of “Permitted Refinancing Indebtedness”);</w:t>
      </w:r>
    </w:p>
    <w:p>
      <w:pPr>
        <w:pStyle w:val="TextBody"/>
        <w:bidi w:val="0"/>
        <w:spacing w:lineRule="auto" w:line="240" w:before="239" w:after="283"/>
        <w:ind w:left="0" w:right="0" w:firstLine="720"/>
        <w:jc w:val="both"/>
        <w:rPr/>
      </w:pPr>
      <w:r>
        <w:rPr>
          <w:rFonts w:ascii="Times New Roman;sans-serif" w:hAnsi="Times New Roman;sans-serif"/>
          <w:b w:val="false"/>
          <w:color w:val="000000"/>
          <w:sz w:val="24"/>
        </w:rPr>
        <w:t xml:space="preserve">(bb) Guarantees by the Borrower and/or any Subsidiary of Indebtedness or other obligations of the Borrower, any Subsidiary and/or any joint venture with respect to Indebtedness otherwise permitted pursuant to this Section 6.01 or other obligations not prohibited by this Agreement;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in the case of any Guarantee by any Loan Party of the obligations of any non-Loan Party, the related Investment is permitted under Section 6.04;</w:t>
      </w:r>
    </w:p>
    <w:p>
      <w:pPr>
        <w:pStyle w:val="TextBody"/>
        <w:bidi w:val="0"/>
        <w:spacing w:lineRule="auto" w:line="240"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(cc) [reserved];</w:t>
      </w:r>
    </w:p>
    <w:p>
      <w:pPr>
        <w:pStyle w:val="TextBody"/>
        <w:bidi w:val="0"/>
        <w:spacing w:lineRule="auto" w:line="240"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(dd) [reserved];</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6480175" cy="781050"/>
                <wp:effectExtent l="0" t="0" r="0" b="0"/>
                <wp:wrapNone/>
                <wp:docPr id="365" name="Frame364"/>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163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163</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(ee)    [reserved];</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(ff) Indebtedness of the Borrower and/or any Subsidiary in respect of any letter of credit or bank guarantee issued in favor of any Issuing Bank to support any Defaulting Lender’s participation in Letters of Credit issued hereunder;</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(gg) Indebtedness of the Borrower and/or any Subsidiary supported by any Letter of Credit or any other letter of credit, bank guaranty or similar instrument otherwise permitted by this Section 6.01;</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(hh) unfunded pension fund and other employee benefit plan obligations and liabilities of the Borrower and/or any Subsidiary in the ordinary course of business to the extent that the unfunded amounts would not otherwise cause an Event of Default under Section 7.01(k);</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(ii)without duplication of any other Indebtedness, all premiums (if any), interest (including post-petition interest and payment in kind interest), accretion or amortization of original issue discount, fees, expenses and charges with respect to Indebtedness of the Borrower and/or any Subsidiary otherwise permitted under this Section 6.01;</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(jj) Indebtedness of the Borrower or any Subsidiary in connection with, or as a result of, their exercise of appraisal rights and the settlement of any claims or actions (whether actual, contingent or potential) with respect thereto, in each case, with respect to the Transactions or any other Investment permitted hereunder;</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(kk) Indebtedness of any subsidiary that is a joint venture in an outstanding amount (such outstanding amount measured solely when incurred, created or assumed) pursuant to this clause (kk) that, together with any Permitted Refinancing Indebtedness in respect thereof, does not exceed the greater of $10,000,000 and 5.0% of EBITDA for the most recently ended Test Period (plus any increase in the amount thereof in connection with any refinancing, renewal or extension thereof to the extent such increase is permitted by the definition of “Permitted Refinancing Indebtedness”); and</w:t>
      </w:r>
    </w:p>
    <w:p>
      <w:pPr>
        <w:pStyle w:val="TextBody"/>
        <w:bidi w:val="0"/>
        <w:spacing w:lineRule="auto" w:line="240" w:before="239"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(ll) customer deposits and advance payments received in the ordinary course of business from customers for goods and services purchased in the ordinary course of business.</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 xml:space="preserve">For purposes of determining compliance with this Section 6.01 or Section 6.02, the amount of any Indebtedness denominated in any currency other than Dollars shall be calculated based on currency exchange rates in effect, in the case of such Indebtedness incurred (in respect of term Indebtedness) or committed (in respect of revolving Indebtedness) on or prior to the Closing Date, on the Closing Date and, in the case of such Indebtedness incurred (in respect of term Indebtedness) or committed (in respect of revolving Indebtedness) after the Closing Date, on the date on which such Indebtedness was incurred (in respect of term Indebtedness) or committed (in respect of revolving Indebtedness);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that if such Indebtedness is incurred to refinance other Indebtedness denominated in a currency other than Dollars (or in a different currency from the Indebtedness being refinanced), and such refinancing would cause the applicable Dollar- denominated restriction to be exceeded if calculated at the relevant currency exchange rate in effect on the date of such refinancing, such Dollar-denominated restriction shall be deemed not to have been exceeded so long as the principal amount of such refinancing Indebtedness does not exceed</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6480175" cy="781050"/>
                <wp:effectExtent l="0" t="0" r="0" b="0"/>
                <wp:wrapNone/>
                <wp:docPr id="366" name="Frame365"/>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164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164</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jc w:val="both"/>
        <w:rPr>
          <w:rFonts w:ascii="Times New Roman;sans-serif" w:hAnsi="Times New Roman;sans-serif"/>
          <w:b w:val="false"/>
          <w:color w:val="000000"/>
          <w:sz w:val="24"/>
        </w:rPr>
      </w:pPr>
      <w:r>
        <w:rPr>
          <w:rFonts w:ascii="Times New Roman;sans-serif" w:hAnsi="Times New Roman;sans-serif"/>
          <w:b w:val="false"/>
          <w:color w:val="000000"/>
          <w:sz w:val="24"/>
        </w:rPr>
        <w:t>(i) the outstanding or committed principal amount, as applicable, of such Indebtedness being refinanced plus (ii) the aggregate amount of fees, underwriting discounts, premiums (including tender premiums), defeasance costs and other costs and expenses incurred in connection with such refinancing.</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This Agreement will not treat (1) unsecured Indebtedness as subordinated or junior in right of payment to secured Indebtedness merely because it is unsecured or (2) senior Indebtedness as subordinated or junior in right of payment to any other senior Indebtedness merely because it has a junior priority with respect to the same collateral.</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 xml:space="preserve">Section 6.02. </w:t>
      </w:r>
      <w:r>
        <w:rPr>
          <w:rFonts w:ascii="Times New Roman;sans-serif" w:hAnsi="Times New Roman;sans-serif"/>
          <w:b w:val="false"/>
          <w:color w:val="000000"/>
          <w:sz w:val="24"/>
          <w:u w:val="single"/>
        </w:rPr>
        <w:t>Liens</w:t>
      </w:r>
      <w:r>
        <w:rPr>
          <w:rFonts w:ascii="Times New Roman;sans-serif" w:hAnsi="Times New Roman;sans-serif"/>
          <w:b w:val="false"/>
          <w:color w:val="000000"/>
          <w:sz w:val="24"/>
        </w:rPr>
        <w:t>. Create, incur, assume or suffer to exist any Lien on any property or assets (including stock or other securities of any person) of the Borrower or any Subsidiary now owned or hereafter acquired by it, except the following (collectively, “</w:t>
      </w:r>
      <w:r>
        <w:rPr>
          <w:rFonts w:ascii="Times New Roman;sans-serif" w:hAnsi="Times New Roman;sans-serif"/>
          <w:b w:val="false"/>
          <w:color w:val="000000"/>
          <w:sz w:val="24"/>
          <w:u w:val="single"/>
        </w:rPr>
        <w:t>Permitted Liens</w:t>
      </w:r>
      <w:r>
        <w:rPr>
          <w:color w:val="000000"/>
        </w:rPr>
        <w:t>”</w:t>
      </w:r>
      <w:r>
        <w:rPr>
          <w:rFonts w:ascii="Times New Roman;sans-serif" w:hAnsi="Times New Roman;sans-serif"/>
          <w:b w:val="false"/>
          <w:color w:val="000000"/>
          <w:sz w:val="24"/>
        </w:rPr>
        <w:t>):</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 xml:space="preserve">(a)Liens on property or assets of the Borrower and/or the Subsidiaries existing on the Closing Date and, to the extent securing Indebtedness in an aggregate principal amount in excess of $2,000,000, set forth on </w:t>
      </w:r>
      <w:r>
        <w:rPr>
          <w:rFonts w:ascii="Times New Roman;sans-serif" w:hAnsi="Times New Roman;sans-serif"/>
          <w:b w:val="false"/>
          <w:color w:val="000000"/>
          <w:sz w:val="24"/>
          <w:u w:val="single"/>
        </w:rPr>
        <w:t>Schedule 6.02(a)</w:t>
      </w:r>
      <w:r>
        <w:rPr>
          <w:color w:val="000000"/>
        </w:rPr>
        <w:t xml:space="preserve"> </w:t>
      </w:r>
      <w:r>
        <w:rPr>
          <w:rFonts w:ascii="Times New Roman;sans-serif" w:hAnsi="Times New Roman;sans-serif"/>
          <w:b w:val="false"/>
          <w:color w:val="000000"/>
          <w:sz w:val="24"/>
        </w:rPr>
        <w:t xml:space="preserve">and any modifications, replacements, renewals or extensions thereof;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that such Liens shall secure only those obligations that they secure on the Closing Date (and any Permitted Refinancing Indebtedness in respect of such obligations permitted by Section 6.01) and shall not subsequently apply to any other property or assets of the Borrower or any Subsidiary other than (A) after-acquired property that is affixed or incorporated into the property or property type covered by such Lien and (B) proceeds and products thereof;</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(b)any Lien created under the Loan Documents (including Liens under the Security Documents securing obligations in respect of Secured Hedge Agreements and Secured Cash Management Agreements);</w:t>
      </w:r>
    </w:p>
    <w:p>
      <w:pPr>
        <w:pStyle w:val="TextBody"/>
        <w:bidi w:val="0"/>
        <w:spacing w:lineRule="auto" w:line="240" w:before="241" w:after="283"/>
        <w:ind w:left="0" w:right="0" w:firstLine="720"/>
        <w:jc w:val="both"/>
        <w:rPr/>
      </w:pPr>
      <w:r>
        <w:rPr>
          <w:rFonts w:ascii="Times New Roman;sans-serif" w:hAnsi="Times New Roman;sans-serif"/>
          <w:b w:val="false"/>
          <w:color w:val="000000"/>
          <w:sz w:val="24"/>
        </w:rPr>
        <w:t xml:space="preserve">(c)any Lien on any property or asset of the Borrower or any Subsidiary securing Indebtedness or Permitted Refinancing Indebtedness permitted by Section 6.01(h);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that</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(i) such Lien is not created in contemplation of or in connection with such acquisition or such person becoming a Subsidiary, as the case may be, and (ii) such Lien does not apply to any other property or assets of the Borrower or any of the Subsidiaries not securing such Indebtedness at the date of the acquisition of such property or asset and accessions and additions thereto and proceeds and products thereof (other than accessions thereto and proceeds thereof so acquired or any after- acquired property of such person becoming a Subsidiary (but not of the Borrower or any other Loan Party, including any Loan Party into which such acquired entity is merged) required to be subjected to such Lien pursuant to the terms of such Indebtedness (and Permitted Refinancing Indebtedness in respect thereof));</w:t>
      </w:r>
    </w:p>
    <w:p>
      <w:pPr>
        <w:pStyle w:val="TextBody"/>
        <w:bidi w:val="0"/>
        <w:spacing w:lineRule="auto" w:line="240" w:before="239"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(d)Liens for Taxes, assessments or other governmental charges or levies not yet delinquent by more than 30 days or that are being contested in good faith in compliance with Section 5.03;</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(e)Liens imposed by law, constituting landlord’s, carriers’, warehousemen’s, mechanics’, materialmen’s, repairmen’s, supplier’s, construction or other like Liens, securing obligations that are not overdue by more than 60 days or that are being contested in good faith by</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6480175" cy="781050"/>
                <wp:effectExtent l="0" t="0" r="0" b="0"/>
                <wp:wrapNone/>
                <wp:docPr id="367" name="Frame366"/>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165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165</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appropriate proceedings and in respect of which, if applicable, the Borrower or any Subsidiary shall have set aside on its books reserves in accordance with GAAP;</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(f)(i) pledges and deposits and other Liens made in the ordinary course of business in compliance with the Federal Employers Liability Act or any other workers’ compensation, unemployment insurance and other social security laws or regulations and deposits securing liability to insurance carriers under insurance or self-insurance arrangements in respect of such obligations and (ii) pledges and deposits and other Liens securing liability for reimbursement or indemnification obligations of (including obligations in respect of letters of credit or bank guarantees for the benefit of) insurance carriers providing property, casualty or liability insurance to the Borrower or any Subsidiary;</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(g)deposits and other Liens to secure the performance of bids, trade contracts (other than for Indebtedness), leases (other than Capitalized Lease Obligations), statutory obligations, surety and appeal bonds, performance and return of money bonds, bids, leases, government contracts, trade contracts, agreements with utilities, and other obligations of a like nature (including letters of credit in lieu of any such bonds or to support the issuance thereof), in each case to the extent such deposits and other Liens are in the ordinary course of business, including those incurred to secure health, safety and environmental obligations in the ordinary course of business;</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(h)zoning, land use and building restrictions, regulations and ordinances, easements, survey exceptions, minor encroachments by and on the Real Property, railroad trackage rights, sidings and spur tracks, leases (other than Capitalized Lease Obligations), subleases, licenses, special assessments, rights-of-way, covenants, conditions, restrictions and declarations on or with respect to the use of Real Property, reservations, restrictions and leases of or with respect to oil, gas, mineral, riparian and water rights and water usage, servicing agreements, development agreements, site plan agreements and other similar encumbrances in the ordinary course of business and title defects or irregularities that are of a minor nature and that, in the aggregate, do not interfere in any material respect with the ordinary conduct of the business of the Borrower or any Subsidiary;</w:t>
      </w:r>
    </w:p>
    <w:p>
      <w:pPr>
        <w:pStyle w:val="TextBody"/>
        <w:bidi w:val="0"/>
        <w:spacing w:lineRule="auto" w:line="240" w:before="239" w:after="283"/>
        <w:ind w:left="0" w:right="0" w:firstLine="720"/>
        <w:jc w:val="both"/>
        <w:rPr/>
      </w:pPr>
      <w:r>
        <w:rPr>
          <w:rFonts w:ascii="Times New Roman;sans-serif" w:hAnsi="Times New Roman;sans-serif"/>
          <w:b w:val="false"/>
          <w:color w:val="000000"/>
          <w:sz w:val="24"/>
        </w:rPr>
        <w:t xml:space="preserve">(i)Liens securing Indebtedness permitted by Section 6.01(i);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that such Liens do not apply to any property or assets of the Borrower and/or any Subsidiary other than the property or assets acquired, leased, constructed, replaced, repaired or improved with such Indebtedness (or the Indebtedness Refinanced thereby), and accessions and additions thereto, proceeds and products thereof, customary security deposits and related property; </w:t>
      </w:r>
      <w:r>
        <w:rPr>
          <w:rFonts w:ascii="Times New Roman;sans-serif" w:hAnsi="Times New Roman;sans-serif"/>
          <w:b w:val="false"/>
          <w:color w:val="000000"/>
          <w:sz w:val="24"/>
          <w:u w:val="single"/>
        </w:rPr>
        <w:t>provided, further</w:t>
      </w:r>
      <w:r>
        <w:rPr>
          <w:rFonts w:ascii="Times New Roman;sans-serif" w:hAnsi="Times New Roman;sans-serif"/>
          <w:b w:val="false"/>
          <w:color w:val="000000"/>
          <w:sz w:val="24"/>
        </w:rPr>
        <w:t>, that individual financings provided by one lender may be cross-collateralized to other financings provided by such lender (and its Affiliates);</w:t>
      </w:r>
    </w:p>
    <w:p>
      <w:pPr>
        <w:pStyle w:val="TextBody"/>
        <w:bidi w:val="0"/>
        <w:spacing w:lineRule="auto" w:line="240" w:before="241"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(j)Liens arising out of any Permitted Sale Lease-Back Transaction, so long as such Liens attach only to the property sold and being leased in such transaction and any accessions and additions thereto or proceeds and products thereof and related property;</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(k)(i) Liens securing judgments, awards, attachments and/or decrees and notice of lis pendens and associated rights relating to litigation that do not constitute an Event of Default under Section 7.01(j) and (ii) any pledge and/or deposit securing any settlement of litigation;</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6480175" cy="781050"/>
                <wp:effectExtent l="0" t="0" r="0" b="0"/>
                <wp:wrapNone/>
                <wp:docPr id="368" name="Frame367"/>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166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166</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(l)any interest or title of a ground lessor or any other lessor, sublessor or licensor under any ground leases or any other leases, subleases or licenses entered into by the Borrower or any Subsidiary in the ordinary course of business, and all Liens suffered or created by any such ground lessor or any other lessor, sublessor or licensor (or any predecessor in interest) with respect to any such interest or title in the real property which is subject thereof;</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(m)Liens that are contractual rights of set-off (i) relating to the establishment of depository relations with banks and other financial institutions not given in connection with the issuance of Indebtedness, (ii) relating to pooled deposits, sweep accounts, reserve accounts or similar accounts of the Borrower or any Subsidiary to permit satisfaction of overdraft or similar obligations in the ordinary course of business of the Borrower or any Subsidiary, including with respect to credit card charge-backs and similar obligations, or (iii) relating to purchase orders and other agreements entered into with customers, suppliers or service providers of the Borrower or any Subsidiary in the ordinary course of business;</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(n)Liens (i) arising solely by virtue of any statutory or common law provision or customary contractual provision in account documentation relating to banker’s liens, rights of setoff or similar rights, (ii) attaching to commodity trading accounts or other commodity brokerage accounts in the ordinary course of business, (iii) encumbering reasonable customary initial deposits and margin deposits and similar Liens attaching to brokerage accounts in the ordinary course of business and not for speculative purposes, (iv) in respect of Third Party Funds, (v) in favor of credit card companies pursuant to agreements therewith or (vi) in favor of banks or other financial institutions related to check, draft or similar instruments drawn against insufficient funds in the ordinary course of business or other cash management services;</w:t>
      </w:r>
    </w:p>
    <w:p>
      <w:pPr>
        <w:pStyle w:val="TextBody"/>
        <w:bidi w:val="0"/>
        <w:spacing w:lineRule="auto" w:line="240" w:before="241"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(o)Liens securing obligations in respect of letters of credit, bank guarantees, warehouse receipts, or similar obligations permitted under Section 6.01 and in the ordinary course of business or consistent with past practice or industry practices and not supporting obligations in respect of Indebtedness for borrowed money;</w:t>
      </w:r>
    </w:p>
    <w:p>
      <w:pPr>
        <w:pStyle w:val="TextBody"/>
        <w:bidi w:val="0"/>
        <w:spacing w:lineRule="auto" w:line="240" w:before="238"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(p)leases or subleases, and licenses or sublicenses (including with respect to any fixtures, furnishings, equipment, vehicles or other personal property, or Intellectual Property), granted to others in the ordinary course of business not interfering in any material respect with the business of the Borrower and its Subsidiaries, taken as a whole;</w:t>
      </w:r>
    </w:p>
    <w:p>
      <w:pPr>
        <w:pStyle w:val="TextBody"/>
        <w:bidi w:val="0"/>
        <w:spacing w:lineRule="auto" w:line="240" w:before="241"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(q)Liens in favor of customs and revenue authorities arising as a matter of law to secure payment of customs duties in connection with the importation of goods;</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(r)Liens solely on any cash earnest money deposits made by the Borrower or any of the Subsidiaries in connection with any letter of intent or purchase agreement in respect of any Investment permitted hereunder;</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(s)Liens with respect to property or assets of any Subsidiary that is not a Loan Party securing obligations in respect of Indebtedness of any Subsidiary that is not a Loan Party permitted under Section 6.01;</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(t)Liens (a) on any amounts held by a trustee under any indenture or other debt agreement issued in escrow pursuant to customary escrow arrangements pending the release</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6480175" cy="781050"/>
                <wp:effectExtent l="0" t="0" r="0" b="0"/>
                <wp:wrapNone/>
                <wp:docPr id="369" name="Frame368"/>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167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167</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jc w:val="both"/>
        <w:rPr>
          <w:rFonts w:ascii="Times New Roman;sans-serif" w:hAnsi="Times New Roman;sans-serif"/>
          <w:b w:val="false"/>
          <w:color w:val="000000"/>
          <w:sz w:val="24"/>
        </w:rPr>
      </w:pPr>
      <w:r>
        <w:rPr>
          <w:rFonts w:ascii="Times New Roman;sans-serif" w:hAnsi="Times New Roman;sans-serif"/>
          <w:b w:val="false"/>
          <w:color w:val="000000"/>
          <w:sz w:val="24"/>
        </w:rPr>
        <w:t>thereof, or under any indenture or other debt agreement pursuant to customary discharge, redemption or defeasance provisions or (b) on any amounts subject to an Escrow, pending the application of such amounts in connection with the consummation of a transaction;</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(u)the prior rights of consignees and their lenders under consignment arrangements entered into in the ordinary course of business;</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(v)agreements to subordinate any interest of the Borrower or any Subsidiary in any accounts receivable or other proceeds arising from inventory consigned by the Borrower or any of their Subsidiaries pursuant to an agreement entered into in the ordinary course of business;</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(w)Liens arising from precautionary Uniform Commercial Code financing statements regarding operating leases or other obligations not constituting Indebtedness;</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(x)Liens (i) on Equity Interests in joint ventures (A) securing obligations of such joint venture or (B) pursuant to the relevant joint venture agreement or arrangement, (ii) customary rights of first refusal and tag, drag and similar rights in joint venture agreements and agreements with respect to non-Wholly-Owned Subsidiaries and (iii) on Equity Interests in Unrestricted Subsidiaries;</w:t>
      </w:r>
    </w:p>
    <w:p>
      <w:pPr>
        <w:pStyle w:val="TextBody"/>
        <w:bidi w:val="0"/>
        <w:spacing w:lineRule="auto" w:line="240" w:before="240" w:after="283"/>
        <w:ind w:left="0" w:right="0" w:hanging="721"/>
        <w:jc w:val="left"/>
        <w:rPr>
          <w:rFonts w:ascii="Times New Roman;sans-serif" w:hAnsi="Times New Roman;sans-serif"/>
          <w:b w:val="false"/>
          <w:color w:val="000000"/>
          <w:sz w:val="24"/>
        </w:rPr>
      </w:pPr>
      <w:r>
        <w:rPr>
          <w:rFonts w:ascii="Times New Roman;sans-serif" w:hAnsi="Times New Roman;sans-serif"/>
          <w:b w:val="false"/>
          <w:color w:val="000000"/>
          <w:sz w:val="24"/>
        </w:rPr>
        <w:t>(y)[reserved];</w:t>
      </w:r>
    </w:p>
    <w:p>
      <w:pPr>
        <w:pStyle w:val="TextBody"/>
        <w:bidi w:val="0"/>
        <w:spacing w:lineRule="auto" w:line="240" w:before="240" w:after="283"/>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(z)[reserved];</w:t>
      </w:r>
    </w:p>
    <w:p>
      <w:pPr>
        <w:pStyle w:val="TextBody"/>
        <w:bidi w:val="0"/>
        <w:spacing w:lineRule="auto" w:line="240" w:before="24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(aa)    Liens securing insurance premiums financing arrangements;</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(bb) in the case of Real Property that constitutes a leasehold interest, any Lien to which the fee simple interest (or any superior leasehold interest) is subject (including ground leases in respect of real property on which facilities owned or leased by the Borrower or any of the Subsidiaries are located);</w:t>
      </w:r>
    </w:p>
    <w:p>
      <w:pPr>
        <w:pStyle w:val="TextBody"/>
        <w:bidi w:val="0"/>
        <w:spacing w:lineRule="auto" w:line="240" w:before="241"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(cc) Liens securing Indebtedness or other obligations (i) of the Borrower or a Subsidiary in favor of the Borrower or any Guarantor and (ii) of any Subsidiary that is not a Guarantor in favor of any Subsidiary that is not a Guarantor;</w:t>
      </w:r>
    </w:p>
    <w:p>
      <w:pPr>
        <w:pStyle w:val="TextBody"/>
        <w:bidi w:val="0"/>
        <w:spacing w:lineRule="auto" w:line="240" w:before="238"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(dd) Liens on cash or Cash Equivalents securing Hedging Agreements in the ordinary course of business;</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 xml:space="preserve">(ee) Liens on goods or inventory the purchase, shipment or storage price of which is financed by a letter of credit or bank guarantee issued or created for the account of the Borrower or any Subsidiary in the ordinary course of business;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that such Lien secures only the obligations of the Borrower or such Subsidiaries in respect of such letter of credit, bank guarantee or banker’s acceptance to the extent permitted under Section 6.01;</w:t>
      </w:r>
    </w:p>
    <w:p>
      <w:pPr>
        <w:pStyle w:val="TextBody"/>
        <w:bidi w:val="0"/>
        <w:spacing w:lineRule="auto" w:line="240" w:before="241"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(ff) Subordination, non-disturbance and/or attornment agreements with any ground lessor, lessor or any mortgagor of any of the foregoing, with respect to any ground lease or other lease or sublease entered into by Borrower or any Subsidiary;</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6480175" cy="781050"/>
                <wp:effectExtent l="0" t="0" r="0" b="0"/>
                <wp:wrapNone/>
                <wp:docPr id="370" name="Frame369"/>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168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168</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(gg) Liens on Collateral that are Other First Liens or Junior Liens, so long as such Other First Liens or Junior Liens secure Indebtedness permitted by Sections 6.01(b), 6.01(q) and/or 6.01(v);</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(hh) Liens arising out of conditional sale, title retention or similar arrangements for the sale or purchase of goods by the Borrower or any of the Subsidiaries in the ordinary course of business;</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 xml:space="preserve">(ii)with respect to any Real Property which is acquired in fee after the Closing Date, Liens which exist immediately prior to the date of acquisition, excluding any Liens securing Indebtedness which is not otherwise permitted hereunder;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that (i) such Lien is not created in contemplation of or in connection with such acquisition and (ii) such Lien does not apply to any other property or assets of the Borrower or any of its Subsidiaries;</w:t>
      </w:r>
    </w:p>
    <w:p>
      <w:pPr>
        <w:pStyle w:val="TextBody"/>
        <w:bidi w:val="0"/>
        <w:spacing w:lineRule="auto" w:line="240" w:before="240" w:after="283"/>
        <w:jc w:val="left"/>
        <w:rPr>
          <w:rFonts w:ascii="Times New Roman;sans-serif" w:hAnsi="Times New Roman;sans-serif"/>
          <w:b w:val="false"/>
          <w:color w:val="000000"/>
          <w:sz w:val="24"/>
        </w:rPr>
      </w:pPr>
      <w:r>
        <w:rPr>
          <w:rFonts w:ascii="Times New Roman;sans-serif" w:hAnsi="Times New Roman;sans-serif"/>
          <w:b w:val="false"/>
          <w:color w:val="000000"/>
          <w:sz w:val="24"/>
        </w:rPr>
        <w:t>(jj)    [reserved];</w:t>
      </w:r>
    </w:p>
    <w:p>
      <w:pPr>
        <w:pStyle w:val="TextBody"/>
        <w:bidi w:val="0"/>
        <w:spacing w:lineRule="auto" w:line="240" w:before="240" w:after="283"/>
        <w:jc w:val="left"/>
        <w:rPr>
          <w:rFonts w:ascii="Times New Roman;sans-serif" w:hAnsi="Times New Roman;sans-serif"/>
          <w:b w:val="false"/>
          <w:color w:val="000000"/>
          <w:sz w:val="24"/>
        </w:rPr>
      </w:pPr>
      <w:r>
        <w:rPr>
          <w:rFonts w:ascii="Times New Roman;sans-serif" w:hAnsi="Times New Roman;sans-serif"/>
          <w:b w:val="false"/>
          <w:color w:val="000000"/>
          <w:sz w:val="24"/>
        </w:rPr>
        <w:t>(kk)    [reserved];</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(ll) Liens on assets and Equity Interests of Subsidiaries that are not Loan Parties (including Equity Interests owned by such persons) securing Indebtedness of Subsidiaries that are not Loan Parties;</w:t>
      </w:r>
    </w:p>
    <w:p>
      <w:pPr>
        <w:pStyle w:val="TextBody"/>
        <w:bidi w:val="0"/>
        <w:spacing w:lineRule="auto" w:line="240" w:before="24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(mm) Liens on receivables and related assets in connection with Section 6.01(z);</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(nn) Liens on assets that are not Collateral pursuant to this clause (nn) (x) securing Indebtedness in an amount then outstanding (such outstanding amount measured solely when incurred, created or assumed), not to exceed the greater of (a) $50,000,000 and (b) 25.0% of EBITDA for the most recently ended Test Period or (y) so long as the Initial Term Loans and Initial Revolving Loans are equally and ratably secured;</w:t>
      </w:r>
    </w:p>
    <w:p>
      <w:pPr>
        <w:pStyle w:val="TextBody"/>
        <w:bidi w:val="0"/>
        <w:spacing w:lineRule="auto" w:line="240" w:before="241"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(oo) Liens (i) incidental to the conduct of the Borrower’s and/or its Subsidiaries’ businesses or the ownership of its property not securing any Indebtedness of the Borrower or a Subsidiary of the Borrower, and which do not in the aggregate materially detract from the value of the Borrower’s and its Subsidiaries’ property when taken as a whole, or materially impair the use thereof in the operation of its business and/or (ii) with respect to property or assets of the Borrower and/or any Subsidiary securing obligations under this clause (oo)(ii) in an aggregate outstanding principal amount (such outstanding amount measured solely when incurred, created or assumed) that, together with the aggregate principal amount of other obligations that are secured pursuant to this clause (oo)(ii), immediately after giving effect to such Liens, would not exceed the greater of (x) $80,000,000 and (y) 40.0% of EBITDA for the most recently ended Test Period.</w:t>
      </w:r>
    </w:p>
    <w:p>
      <w:pPr>
        <w:pStyle w:val="TextBody"/>
        <w:bidi w:val="0"/>
        <w:spacing w:lineRule="auto" w:line="240" w:before="239"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(pp) leases, licenses, subleases or sublicenses granted to others in the ordinary course of business (and other agreements pursuant to which the Borrower or any Subsidiary has granted rights to end users to access and use the Borrower’s or any Subsidiary’s products, technologies or services) which do not secure any Indebtedness, and which do not materially interfere with the ordinary conduct of business of the Borrower and any of the Subsidiaries, taken as a whole;</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6480175" cy="781050"/>
                <wp:effectExtent l="0" t="0" r="0" b="0"/>
                <wp:wrapNone/>
                <wp:docPr id="371" name="Frame370"/>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169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169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(qq) Liens on securities that are the subject of repurchase agreements constituting Investments permitted under Section 6.04 arising out of such repurchase transaction and reasonable customary initial deposits and margin deposits and similar Liens attaching to commodity trading accounts or other brokerage accounts maintained in the ordinary course of business and not for speculative purposes;</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(rr) Liens securing Indebtedness permitted by Section 6.01(jj) (to the extent arising by operation of law) and/or 6.01(kk) (only with respect to the assets of the joint venture); and</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(ss) with respect to any Foreign Subsidiary, Liens arising mandatorily by legal requirements (and not as a result of under-capitalization of such Foreign Subsidiary).</w:t>
      </w:r>
    </w:p>
    <w:p>
      <w:pPr>
        <w:pStyle w:val="TextBody"/>
        <w:bidi w:val="0"/>
        <w:spacing w:lineRule="auto" w:line="240" w:before="240" w:after="283"/>
        <w:jc w:val="left"/>
        <w:rPr/>
      </w:pPr>
      <w:r>
        <w:rPr>
          <w:rFonts w:ascii="Times New Roman;sans-serif" w:hAnsi="Times New Roman;sans-serif"/>
          <w:b w:val="false"/>
          <w:color w:val="000000"/>
          <w:sz w:val="24"/>
        </w:rPr>
        <w:t xml:space="preserve">Section 6.03. </w:t>
      </w:r>
      <w:r>
        <w:rPr>
          <w:rFonts w:ascii="Times New Roman;sans-serif" w:hAnsi="Times New Roman;sans-serif"/>
          <w:b w:val="false"/>
          <w:color w:val="000000"/>
          <w:sz w:val="24"/>
          <w:u w:val="single"/>
        </w:rPr>
        <w:t>Restricted Payments; Restricted Debt Payments</w:t>
      </w:r>
      <w:r>
        <w:rPr>
          <w:rFonts w:ascii="Times New Roman;sans-serif" w:hAnsi="Times New Roman;sans-serif"/>
          <w:b w:val="false"/>
          <w:color w:val="000000"/>
          <w:sz w:val="24"/>
        </w:rPr>
        <w:t>.</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(a)(A) Declare or pay any dividend or make any other distribution (by reduction of capital or otherwise), whether in cash, property, securities or a combination thereof, with respect to any of its Equity Interests (other than dividends and distributions on Equity Interests payable solely by the issuance of Qualified Equity Interests of the person declaring, paying or making such dividends or distributions) or (B) directly or indirectly redeem, purchase, retire or otherwise acquire for value (or permit any Subsidiary to purchase or acquire) any of its Equity Interests or set aside any amount for any such purpose (other than through the issuance of Qualified Equity Interests) (all of the foregoing, “</w:t>
      </w:r>
      <w:r>
        <w:rPr>
          <w:rFonts w:ascii="Times New Roman;sans-serif" w:hAnsi="Times New Roman;sans-serif"/>
          <w:b w:val="false"/>
          <w:color w:val="000000"/>
          <w:sz w:val="24"/>
          <w:u w:val="single"/>
        </w:rPr>
        <w:t>Restricted Payments</w:t>
      </w:r>
      <w:r>
        <w:rPr>
          <w:color w:val="000000"/>
        </w:rPr>
        <w:t>”</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(i)Restricted Payments may be made to the Borrower or any Subsidiary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that Restricted Payments made by a non-Wholly-Owned Subsidiary must be made on a </w:t>
      </w:r>
      <w:r>
        <w:rPr>
          <w:rFonts w:ascii="Times New Roman;sans-serif" w:hAnsi="Times New Roman;sans-serif"/>
          <w:b w:val="false"/>
          <w:color w:val="000000"/>
          <w:sz w:val="24"/>
          <w:u w:val="single"/>
        </w:rPr>
        <w:t>pro rata</w:t>
      </w:r>
      <w:r>
        <w:rPr>
          <w:color w:val="000000"/>
        </w:rPr>
        <w:t xml:space="preserve"> </w:t>
      </w:r>
      <w:r>
        <w:rPr>
          <w:rFonts w:ascii="Times New Roman;sans-serif" w:hAnsi="Times New Roman;sans-serif"/>
          <w:b w:val="false"/>
          <w:color w:val="000000"/>
          <w:sz w:val="24"/>
        </w:rPr>
        <w:t>basis (or more favorable basis from the perspective of the Borrower or such Subsidiary) to the Borrower or any Subsidiary that is a direct or indirect parent of such Subsidiary based on its ownership interests in such non-Wholly-Owned Subsidiary);</w:t>
      </w:r>
    </w:p>
    <w:p>
      <w:pPr>
        <w:pStyle w:val="TextBody"/>
        <w:bidi w:val="0"/>
        <w:spacing w:lineRule="auto" w:line="240" w:before="241"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(ii)the Borrower may repurchase, redeem, retire or otherwise acquire or retire for value Equity Interests of the Borrower or any subsidiary thereof held by any future, present or former employee, director, officer or consultant (or any immediate family member thereof) of the Borrower or any subsidiary of any of the foregoing (or any options, warrants, restricted stock units or stock appreciation rights or other equity-linked interests issued with respect to any of such Equity Interests), together with any amounts needed to pay amounts needed to pay social security and medicare taxes for such Person’s share of any payroll or employment Taxes related to the foregoing:</w:t>
      </w:r>
    </w:p>
    <w:p>
      <w:pPr>
        <w:pStyle w:val="TextBody"/>
        <w:bidi w:val="0"/>
        <w:spacing w:lineRule="auto" w:line="240" w:before="239"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(A)with cash and Cash Equivalents (and including, to the extent constituting a Restricted Payment, amounts paid in respect of Indebtedness issued to evidence any obligation to repurchase, redeem, retire or otherwise acquire or retire for value the Equity Interests of the Borrower or any subsidiary thereof held by any future, present or former employee, director, officer or consultant (or any immediate family member thereof) of the Borrower or any subsidiary of any of the foregoing) in an amount not to exceed $15,000,000, which, if not used in such fiscal year, may be carried forward to the succeeding fiscal year;</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6480175" cy="781050"/>
                <wp:effectExtent l="0" t="0" r="0" b="0"/>
                <wp:wrapNone/>
                <wp:docPr id="372" name="Frame371"/>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170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170</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(B)with the proceeds of any sale or issuance of the Equity Interest of the Borrower (to the extent such proceeds are contributed in respect of Qualified Equity Interests, the Borrower or any Subsidiary, are not used to increase the Builder Basket or the Available Excluded Contribution Amount); and/or</w:t>
      </w:r>
    </w:p>
    <w:p>
      <w:pPr>
        <w:pStyle w:val="TextBody"/>
        <w:bidi w:val="0"/>
        <w:spacing w:lineRule="auto" w:line="240" w:before="240" w:after="283"/>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(C)with the net proceeds of any key-person life insurance policy;</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(iii)any person may make non-cash repurchases of Equity Interests deemed to occur upon exercise or settlement of stock options or other Equity Interests to the extent such Equity Interests represent a portion of the exercise price of or withholding obligation with respect to such options or other Equity Interests;</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(iv)so long as no Event of Default is continuing or would result therefrom, Restricted Payments may be made pursuant to this clause (iv) from a substantially concurrent receipt of proceeds of any equity contribution (that is not in exchange for Disqualified Equity Interests) or any issuance of Qualified Equity Interests received by the Borrower after the Closing Date that do not increase either the Builder Basket or the Available Excluded Contribution Amount;</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(v)any payments in connection with a Permitted Convertible Indebtedness Call Transaction;</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(vi)Restricted Payments may be made to make payments, in cash, in lieu of the issuance of fractional shares, upon the exercise of warrants or upon the conversion or exchange of Equity Interests of any such person;</w:t>
      </w:r>
    </w:p>
    <w:p>
      <w:pPr>
        <w:pStyle w:val="TextBody"/>
        <w:bidi w:val="0"/>
        <w:spacing w:lineRule="auto" w:line="240" w:before="241"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(vii)so long as no Event of Default has occurred and is continuing, Restricted Payments may be made pursuant to this clause (vii) in an aggregate amount not to exceed the greater of (x) $40,000,000 and (y) 20.0% of EBITDA for the last Test Period;</w:t>
      </w:r>
    </w:p>
    <w:p>
      <w:pPr>
        <w:pStyle w:val="TextBody"/>
        <w:bidi w:val="0"/>
        <w:spacing w:lineRule="auto" w:line="240" w:before="240" w:after="283"/>
        <w:ind w:left="0" w:right="0" w:hanging="721"/>
        <w:jc w:val="left"/>
        <w:rPr>
          <w:rFonts w:ascii="Times New Roman;sans-serif" w:hAnsi="Times New Roman;sans-serif"/>
          <w:b w:val="false"/>
          <w:color w:val="000000"/>
          <w:sz w:val="24"/>
        </w:rPr>
      </w:pPr>
      <w:r>
        <w:rPr>
          <w:rFonts w:ascii="Times New Roman;sans-serif" w:hAnsi="Times New Roman;sans-serif"/>
          <w:b w:val="false"/>
          <w:color w:val="000000"/>
          <w:sz w:val="24"/>
        </w:rPr>
        <w:t>(viii)[reserved];</w:t>
      </w:r>
    </w:p>
    <w:p>
      <w:pPr>
        <w:pStyle w:val="TextBody"/>
        <w:bidi w:val="0"/>
        <w:spacing w:lineRule="auto" w:line="240" w:before="240" w:after="283"/>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(ix)[reserved];</w:t>
      </w:r>
    </w:p>
    <w:p>
      <w:pPr>
        <w:pStyle w:val="TextBody"/>
        <w:bidi w:val="0"/>
        <w:spacing w:lineRule="auto" w:line="240" w:before="240" w:after="283"/>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(x)[reserved];</w:t>
      </w:r>
    </w:p>
    <w:p>
      <w:pPr>
        <w:pStyle w:val="TextBody"/>
        <w:bidi w:val="0"/>
        <w:spacing w:lineRule="auto" w:line="240" w:before="238" w:after="283"/>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(xi)[reserved];</w:t>
      </w:r>
    </w:p>
    <w:p>
      <w:pPr>
        <w:pStyle w:val="TextBody"/>
        <w:bidi w:val="0"/>
        <w:spacing w:lineRule="auto" w:line="240" w:before="240" w:after="283"/>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(xii)[reserved];</w:t>
      </w:r>
    </w:p>
    <w:p>
      <w:pPr>
        <w:pStyle w:val="TextBody"/>
        <w:bidi w:val="0"/>
        <w:spacing w:lineRule="auto" w:line="240" w:before="240" w:after="283"/>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(xiii)[reserved];</w:t>
      </w:r>
    </w:p>
    <w:p>
      <w:pPr>
        <w:pStyle w:val="TextBody"/>
        <w:bidi w:val="0"/>
        <w:spacing w:lineRule="auto" w:line="240" w:before="241"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(xiv)Restricted Payments may be made pursuant to this clause (xiv) in an amount not to exceed the portion, if any, of the Builder Basket on such date that the Borrower elects to apply to this clause (xiv) so long as (x) with respect to the portion of the Builder Basket referred to in clauses (iii), (iv) and (vii) of the definition thereof, no Event of Default pursuant to Section 7.01(b), (c), (h) or (i) has occurred and is continuing at the time of the Restricted Payment and (y) with respect to any other portion of the Builder Basket, (i) no</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6480175" cy="781050"/>
                <wp:effectExtent l="0" t="0" r="0" b="0"/>
                <wp:wrapNone/>
                <wp:docPr id="373" name="Frame372"/>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171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171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Event of Default has occurred and is continuing at the time of such Restricted Payment and</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(ii) the Total Net Leverage Ratio, calculated on a Pro Forma Basis would not exceed 5.40:1.00;</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(xv)so long as no Event of Default has occurred and is continuing, Restricted Payments may be made pursuant to this clause (xv) in an amount not to exceed the Available Excluded Contribution Amount;</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(xvi)to the extent constituting a Restricted Payment, Restricted Payments may be made under any transactions permitted by Sections (i) 6.01, (ii) Section 6.03(b), (iii)</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6.04 (other than Section 6.04(dd)), (iv) 6.05 (other than Section 6.05(e)) and (v) 6.06 (other than Section 6.06(b)(vii));</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(xvii)Restricted Payments may be made pursuant to this clause (xvii) to (i) redeem, repurchase, retire or otherwise acquire any Equity Interest (“</w:t>
      </w:r>
      <w:r>
        <w:rPr>
          <w:rFonts w:ascii="Times New Roman;sans-serif" w:hAnsi="Times New Roman;sans-serif"/>
          <w:b w:val="false"/>
          <w:color w:val="000000"/>
          <w:sz w:val="24"/>
          <w:u w:val="single"/>
        </w:rPr>
        <w:t>Treasury Capital</w:t>
      </w:r>
      <w:r>
        <w:rPr>
          <w:color w:val="000000"/>
        </w:rPr>
        <w:t xml:space="preserve"> </w:t>
      </w:r>
      <w:r>
        <w:rPr>
          <w:rFonts w:ascii="Times New Roman;sans-serif" w:hAnsi="Times New Roman;sans-serif"/>
          <w:b w:val="false"/>
          <w:color w:val="000000"/>
          <w:sz w:val="24"/>
          <w:u w:val="single"/>
        </w:rPr>
        <w:t>Stock</w:t>
      </w:r>
      <w:r>
        <w:rPr>
          <w:color w:val="000000"/>
        </w:rPr>
        <w:t>”</w:t>
      </w:r>
      <w:r>
        <w:rPr>
          <w:rFonts w:ascii="Times New Roman;sans-serif" w:hAnsi="Times New Roman;sans-serif"/>
          <w:b w:val="false"/>
          <w:color w:val="000000"/>
          <w:sz w:val="24"/>
        </w:rPr>
        <w:t>) of the Borrower and/or any Subsidiary in exchange for, or out of the proceeds of the substantially concurrent sale (other than to the Borrower and/or any Subsidiary) of, Qualified Equity Interests of the Borrower (“</w:t>
      </w:r>
      <w:r>
        <w:rPr>
          <w:rFonts w:ascii="Times New Roman;sans-serif" w:hAnsi="Times New Roman;sans-serif"/>
          <w:b w:val="false"/>
          <w:color w:val="000000"/>
          <w:sz w:val="24"/>
          <w:u w:val="single"/>
        </w:rPr>
        <w:t>Refunding Capital Stock</w:t>
      </w:r>
      <w:r>
        <w:rPr>
          <w:color w:val="000000"/>
        </w:rPr>
        <w:t>”</w:t>
      </w:r>
      <w:r>
        <w:rPr>
          <w:rFonts w:ascii="Times New Roman;sans-serif" w:hAnsi="Times New Roman;sans-serif"/>
          <w:b w:val="false"/>
          <w:color w:val="000000"/>
          <w:sz w:val="24"/>
        </w:rPr>
        <w:t>) and (ii) declare and pay dividends on any Treasury Capital Stock out of the proceeds of the substantially concurrent sale (other than to the Borrower or a Subsidiary) of any Refunding Capital Stock;</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(xviii)to the extent constituting a Restricted Payment, the consummation of the Transactions;</w:t>
      </w:r>
    </w:p>
    <w:p>
      <w:pPr>
        <w:pStyle w:val="TextBody"/>
        <w:bidi w:val="0"/>
        <w:spacing w:lineRule="auto" w:line="240" w:before="241"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(xix)Restricted Payments may be made pursuant to this clause (xix) to repurchase Equity Interests upon the exercise of warrants, options or other securities convertible into or exchangeable for Equity Interests if such Equity Interests represents all or a portion of the exercise price of such warrants, options or other securities convertible into or exchangeable for Equity Interests as part of a “cashless” exercise or required withholding or similar Taxes;</w:t>
      </w:r>
    </w:p>
    <w:p>
      <w:pPr>
        <w:pStyle w:val="TextBody"/>
        <w:bidi w:val="0"/>
        <w:spacing w:lineRule="auto" w:line="240" w:before="238"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(xx)to the extent constituting a Restricted Payment, payments of cash upon settlements of conversions or exchanges of convertible notes; and</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 xml:space="preserve">(xxi)unlimited Restricted Payments may be made pursuant to this clause (xxi);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at the time of such Restricted Payment, (A) the Total Net Leverage Ratio, calculated on a Pro Forma Basis, would not exceed 4.15:1.00 and (B) no Event of Default has occurred and is continuing or would result therefrom.</w:t>
      </w:r>
    </w:p>
    <w:p>
      <w:pPr>
        <w:pStyle w:val="TextBody"/>
        <w:bidi w:val="0"/>
        <w:spacing w:lineRule="auto" w:line="240" w:before="241" w:after="283"/>
        <w:ind w:left="0" w:right="0" w:firstLine="720"/>
        <w:jc w:val="both"/>
        <w:rPr/>
      </w:pPr>
      <w:r>
        <w:rPr>
          <w:rFonts w:ascii="Times New Roman;sans-serif" w:hAnsi="Times New Roman;sans-serif"/>
          <w:b w:val="false"/>
          <w:color w:val="000000"/>
          <w:sz w:val="24"/>
        </w:rPr>
        <w:t>(b)make any payment in cash on or in respect of principal of or interest on any Indebtedness secured by Junior Liens or any Subordinated Indebtedness, in each case that constitutes Material Indebtedness (collectively, “</w:t>
      </w:r>
      <w:r>
        <w:rPr>
          <w:rFonts w:ascii="Times New Roman;sans-serif" w:hAnsi="Times New Roman;sans-serif"/>
          <w:b w:val="false"/>
          <w:color w:val="000000"/>
          <w:sz w:val="24"/>
          <w:u w:val="single"/>
        </w:rPr>
        <w:t>Junior Financing</w:t>
      </w:r>
      <w:r>
        <w:rPr>
          <w:color w:val="000000"/>
        </w:rPr>
        <w:t>”</w:t>
      </w:r>
      <w:r>
        <w:rPr>
          <w:rFonts w:ascii="Times New Roman;sans-serif" w:hAnsi="Times New Roman;sans-serif"/>
          <w:b w:val="false"/>
          <w:color w:val="000000"/>
          <w:sz w:val="24"/>
        </w:rPr>
        <w:t>), including any sinking fund or similar deposit, on account of the purchase, redemption, retirement, acquisition, cancellation or termination of any such Junior Financing, more than one year prior to the scheduled maturity date thereof (collectively, “</w:t>
      </w:r>
      <w:r>
        <w:rPr>
          <w:rFonts w:ascii="Times New Roman;sans-serif" w:hAnsi="Times New Roman;sans-serif"/>
          <w:b w:val="false"/>
          <w:color w:val="000000"/>
          <w:sz w:val="24"/>
          <w:u w:val="single"/>
        </w:rPr>
        <w:t>Restricted Debt Payments</w:t>
      </w:r>
      <w:r>
        <w:rPr>
          <w:color w:val="000000"/>
        </w:rPr>
        <w:t>”</w:t>
      </w:r>
      <w:r>
        <w:rPr>
          <w:rFonts w:ascii="Times New Roman;sans-serif" w:hAnsi="Times New Roman;sans-serif"/>
          <w:b w:val="false"/>
          <w:color w:val="000000"/>
          <w:sz w:val="24"/>
        </w:rPr>
        <w:t>), except:</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6480175" cy="781050"/>
                <wp:effectExtent l="0" t="0" r="0" b="0"/>
                <wp:wrapNone/>
                <wp:docPr id="374" name="Frame373"/>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172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172</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(i)with respect to any purchase, defeasance, redemption, repurchase, repayment or other acquisition or retirement thereof made by exchange for, or out of the proceeds of, Permitted Refinancing Indebtedness permitted by Section 6.01;</w:t>
      </w:r>
    </w:p>
    <w:p>
      <w:pPr>
        <w:pStyle w:val="TextBody"/>
        <w:bidi w:val="0"/>
        <w:spacing w:lineRule="auto" w:line="240" w:before="240" w:after="283"/>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(ii)as part of an applicable high yield discount obligation catch-up payment;</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(iii)payments of regularly scheduled principal and interest and payments of fees, expenses and indemnification obligations as and when due;</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(iv)so long as, at the time of delivery of an irrevocable notice with respect thereto, no Event of Default exists or would result therefrom, Restricted Debt Payments pursuant to this clause (iv) in an aggregate amount not to exceed the greater of $40,000,000 and 20.0% of EBITDA for the most recently ended Test Period;</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(v)(A) Restricted Debt Payments in exchange for, or with proceeds of any issuance of, Qualified Equity Interests of the Borrower and/or any Subsidiary and/or any capital contribution in respect of Qualified Equity Interests of the Borrower or any Subsidiary (in each case, other than to the Borrower or any of the Subsidiaries received by the Borrower after the Closing Date that do not increase either the Builder Basket or the Available Excluded Contribution Amount), (B) Restricted Debt Payments as a result of the conversion of all or any portion of any Junior Financing into Qualified Equity Interests of the Borrower and/or any Subsidiary and (C) to the extent constituting a Restricted Debt Payment, payment in-kind interest with respect to any Junior Financing that is permitted under Section 6.01;</w:t>
      </w:r>
    </w:p>
    <w:p>
      <w:pPr>
        <w:pStyle w:val="TextBody"/>
        <w:bidi w:val="0"/>
        <w:spacing w:lineRule="auto" w:line="240" w:before="241"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(vi)Restricted Debt Payments pursuant to this clause (vi) in an aggregate amount not to exceed (A) the portion, if any, of the Builder Basket on such date that the Borrower elects to apply to this clause (vi)(A) so long as (x) with respect to the portion of the Builder Basket referred to in clauses (iii), (iv) and (vii) of the definition thereof, no Event of Default pursuant to Section 7.01(b), (c), (h) or (i) has occurred and is continuing or would result therefrom and (y) with respect to any other portion of the Builder Basket,</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(i) no Event of Default has occurred and is continuing or would result therefrom and (ii) the Total Net Leverage Ratio, calculated on a Pro Forma Basis would not exceed 5.40:1.00, and/or (B) the portion, if any, of the Available Excluded Contribution Amount on such date that the Borrower elects to apply to this clause (vi)(B);</w:t>
      </w:r>
    </w:p>
    <w:p>
      <w:pPr>
        <w:pStyle w:val="TextBody"/>
        <w:bidi w:val="0"/>
        <w:spacing w:lineRule="auto" w:line="240" w:before="239" w:after="283"/>
        <w:ind w:left="0" w:right="0" w:firstLine="720"/>
        <w:jc w:val="both"/>
        <w:rPr/>
      </w:pPr>
      <w:r>
        <w:rPr>
          <w:rFonts w:ascii="Times New Roman;sans-serif" w:hAnsi="Times New Roman;sans-serif"/>
          <w:b w:val="false"/>
          <w:color w:val="000000"/>
          <w:sz w:val="24"/>
        </w:rPr>
        <w:t xml:space="preserve">(vii)unlimited Restricted Debt Payments pursuant to this clause (vii);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at the time of such Restricted Debt Payment, (A) the Total Net Leverage Ratio, calculated on a Pro Forma Basis would not exceed 4.15:1.00 and (B) no Event of Default has occurred and is continuing or would result therefrom;</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 xml:space="preserve">(viii)Restricted Debt Payments that at the time of such Restricted Debt Payment would have been permitted as Restricted Payments at such time as set forth in Section 6.03(a)(vii);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the amount of such Restricted Debt Payments shall constitute usage of a corresponding amount of Restricted Payment capacity under Section 6.03(a)(vii) for all purposes of this Agreement;</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6480175" cy="781050"/>
                <wp:effectExtent l="0" t="0" r="0" b="0"/>
                <wp:wrapNone/>
                <wp:docPr id="375" name="Frame374"/>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173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173</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(ix)so long as no Event of Default exists or would result therefrom, redemptions, repayments and repurchases of the Borrower’s outstanding 0.25% convertible senior notes due 2026; and</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(x)to the extent constituting a Restricted Debt Payment, payments of cash upon settlements of conversions or exchanges of convertible notes.</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 xml:space="preserve">Section 6.04. </w:t>
      </w:r>
      <w:r>
        <w:rPr>
          <w:rFonts w:ascii="Times New Roman;sans-serif" w:hAnsi="Times New Roman;sans-serif"/>
          <w:b w:val="false"/>
          <w:color w:val="000000"/>
          <w:sz w:val="24"/>
          <w:u w:val="single"/>
        </w:rPr>
        <w:t>Investments, Loans and Advances</w:t>
      </w:r>
      <w:r>
        <w:rPr>
          <w:rFonts w:ascii="Times New Roman;sans-serif" w:hAnsi="Times New Roman;sans-serif"/>
          <w:b w:val="false"/>
          <w:color w:val="000000"/>
          <w:sz w:val="24"/>
        </w:rPr>
        <w:t>. (i) Purchase or acquire (including pursuant to any merger with a person that is a non-Wholly-Owned Subsidiary immediately prior to such merger) any Equity Interests, evidences of Indebtedness or other securities of any other person, (ii) make any loans or advances to or Guarantees of the Indebtedness of any other person, or (iii) purchase or otherwise acquire, in one transaction or a series of related transactions, (x) all or substantially all of the property and assets or business of another person or (y) assets constituting a business unit, line of business or division of such person (each of the foregoing, an “</w:t>
      </w:r>
      <w:r>
        <w:rPr>
          <w:rFonts w:ascii="Times New Roman;sans-serif" w:hAnsi="Times New Roman;sans-serif"/>
          <w:b w:val="false"/>
          <w:color w:val="000000"/>
          <w:sz w:val="24"/>
          <w:u w:val="single"/>
        </w:rPr>
        <w:t>Investment</w:t>
      </w:r>
      <w:r>
        <w:rPr>
          <w:color w:val="000000"/>
        </w:rPr>
        <w:t>”</w:t>
      </w:r>
      <w:r>
        <w:rPr>
          <w:rFonts w:ascii="Times New Roman;sans-serif" w:hAnsi="Times New Roman;sans-serif"/>
          <w:b w:val="false"/>
          <w:color w:val="000000"/>
          <w:sz w:val="24"/>
        </w:rPr>
        <w:t>), except:</w:t>
      </w:r>
    </w:p>
    <w:p>
      <w:pPr>
        <w:pStyle w:val="TextBody"/>
        <w:bidi w:val="0"/>
        <w:spacing w:lineRule="auto" w:line="240" w:before="240" w:after="283"/>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(a)[reserved];</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 xml:space="preserve">(b)Investments by the Borrower or any Subsidiary in the Borrower or any Subsidiary;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(i) the outstanding amount (valued at the time of the making thereof, and without giving effect to any write-downs or write-offs thereof) of such Investments by Loan Parties in Subsidiaries that are not Loan Parties shall not exceed the greater of (x) $30,000,000 and (y) 15.0% of EBITDA for the most recently ended Test Period;</w:t>
      </w:r>
    </w:p>
    <w:p>
      <w:pPr>
        <w:pStyle w:val="TextBody"/>
        <w:bidi w:val="0"/>
        <w:spacing w:lineRule="auto" w:line="240" w:before="240" w:after="283"/>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(c)Investments in cash and Cash Equivalents;</w:t>
      </w:r>
    </w:p>
    <w:p>
      <w:pPr>
        <w:pStyle w:val="TextBody"/>
        <w:bidi w:val="0"/>
        <w:spacing w:lineRule="auto" w:line="240" w:before="241"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(d)Investments arising out of the receipt by the Borrower or any Subsidiary of noncash consideration for the Disposition of assets permitted under Section 6.05 (other than Section 6.05(e));</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(e)loans and advances to officers, directors, employees or consultants of the Borrower or any Subsidiary (i) in an aggregate outstanding amount pursuant to this clause (e)(i) (valued at the time of the making thereof, and without giving effect to any write-downs or write-offs thereof) not to exceed the greater of $2,500,000 and 1.25% of EBITDA for the most recently ended Test Period, (ii) in respect of payroll payments and expenses in the ordinary course of business and (iii) in connection with such person’s purchase of Equity Interests of the Borrower;</w:t>
      </w:r>
    </w:p>
    <w:p>
      <w:pPr>
        <w:pStyle w:val="TextBody"/>
        <w:bidi w:val="0"/>
        <w:spacing w:lineRule="auto" w:line="240" w:before="239"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(f)accounts receivable, security deposits and prepayments arising and trade credit granted in the ordinary course of business and any assets or securities received in satisfaction or partial satisfaction thereof from financially troubled account debtors to the extent reasonably necessary in order to prevent or limit loss and any prepayments and other credits to suppliers made in the ordinary course of business;</w:t>
      </w:r>
    </w:p>
    <w:p>
      <w:pPr>
        <w:pStyle w:val="TextBody"/>
        <w:bidi w:val="0"/>
        <w:spacing w:lineRule="auto" w:line="240" w:before="240" w:after="283"/>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(g)Hedging Agreements entered into for non-speculative purposes;</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 xml:space="preserve">(h)Investments (not in Subsidiaries, which are provided in clause (b) above) existing on, or contractually committed as of, the Closing Date and set forth on </w:t>
      </w:r>
      <w:r>
        <w:rPr>
          <w:rFonts w:ascii="Times New Roman;sans-serif" w:hAnsi="Times New Roman;sans-serif"/>
          <w:b w:val="false"/>
          <w:color w:val="000000"/>
          <w:sz w:val="24"/>
          <w:u w:val="single"/>
        </w:rPr>
        <w:t>Schedule 6.04</w:t>
      </w:r>
      <w:r>
        <w:rPr>
          <w:color w:val="000000"/>
        </w:rPr>
        <w:t xml:space="preserve"> </w:t>
      </w:r>
      <w:r>
        <w:rPr>
          <w:rFonts w:ascii="Times New Roman;sans-serif" w:hAnsi="Times New Roman;sans-serif"/>
          <w:b w:val="false"/>
          <w:color w:val="000000"/>
          <w:sz w:val="24"/>
        </w:rPr>
        <w:t>and any extensions, renewals, replacements or reinvestments thereof, so long as the aggregate amount of</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6480175" cy="781050"/>
                <wp:effectExtent l="0" t="0" r="0" b="0"/>
                <wp:wrapNone/>
                <wp:docPr id="376" name="Frame375"/>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174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174</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jc w:val="both"/>
        <w:rPr>
          <w:rFonts w:ascii="Times New Roman;sans-serif" w:hAnsi="Times New Roman;sans-serif"/>
          <w:b w:val="false"/>
          <w:color w:val="000000"/>
          <w:sz w:val="24"/>
        </w:rPr>
      </w:pPr>
      <w:r>
        <w:rPr>
          <w:rFonts w:ascii="Times New Roman;sans-serif" w:hAnsi="Times New Roman;sans-serif"/>
          <w:b w:val="false"/>
          <w:color w:val="000000"/>
          <w:sz w:val="24"/>
        </w:rPr>
        <w:t>all Investments pursuant to this clause (h) is not increased at any time above the amount of such Investment existing or committed on the Closing Date (other than pursuant to an increase as required by the terms of any such Investment as in existence on the Closing Date or as otherwise permitted by this Section 6.04);</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(i)Investments resulting from pledges and deposits under Sections 6.02(a), (f), (g), (m), (n), (q), (r), (t), (dd), (ii) and (kk);</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 xml:space="preserve">(j)Investments by the Borrower or any Subsidiary in an aggregate outstanding amount pursuant to this clause (j) (valued at the time of the making thereof, and without giving effect to any write-downs or write-offs thereof) not to exceed the greater of (x) $60,000,000 and (y) 30.0% of EBITDA for the most recently ended Test Period (such outstanding amount measured solely at the time of the making of any such Investment);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that if any Investment pursuant to this Section 6.04(j) is made in any person that was not a Subsidiary on the date on which such Investment was made but becomes a Subsidiary thereafter, then such Investment may, at the option of the Borrower, upon such person becoming a Subsidiary and so long as such person remains a Subsidiary, be deemed to have been made pursuant to Section 6.04(b) (to the extent permitted by the provisions thereof) and not in reliance on this Section 6.04(j);</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 xml:space="preserve">(k)Permitted Business Acquisitions;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(i) the outstanding amount (valued at the time of the making thereof, and without giving effect to any write-downs or write-offs thereof) of such Investments in Subsidiaries that do not become Guarantors (or, in the case of an acquisition of assets, assets that do not become Collateral) shall not exceed the greater of (x)</w:t>
      </w:r>
    </w:p>
    <w:p>
      <w:pPr>
        <w:pStyle w:val="TextBody"/>
        <w:bidi w:val="0"/>
        <w:spacing w:lineRule="auto" w:line="240" w:before="1" w:after="283"/>
        <w:jc w:val="both"/>
        <w:rPr>
          <w:rFonts w:ascii="Times New Roman;sans-serif" w:hAnsi="Times New Roman;sans-serif"/>
          <w:b w:val="false"/>
          <w:color w:val="000000"/>
          <w:sz w:val="24"/>
        </w:rPr>
      </w:pPr>
      <w:r>
        <w:rPr>
          <w:rFonts w:ascii="Times New Roman;sans-serif" w:hAnsi="Times New Roman;sans-serif"/>
          <w:b w:val="false"/>
          <w:color w:val="000000"/>
          <w:sz w:val="24"/>
        </w:rPr>
        <w:t>$30,000,000 and (y) 15.0% of EBITDA for the most recently ended Test Period and (ii) after giving effect to such Investment, the Total Net Leverage Ratio, on a Pro Forma Basis, would be less than or equal to 5.40:1.00;</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(l)Investments received in connection with the bankruptcy or reorganization of, or settlement of delinquent accounts and disputes with or judgments against, customers and suppliers, in each case in the ordinary course of business or Investments acquired by the Borrower or a Subsidiary as a result of a foreclosure by the Borrower or any of the Subsidiaries with respect to any secured Investments or other transfer of title with respect to any secured Investment in default;</w:t>
      </w:r>
    </w:p>
    <w:p>
      <w:pPr>
        <w:pStyle w:val="TextBody"/>
        <w:bidi w:val="0"/>
        <w:spacing w:lineRule="auto" w:line="240" w:before="238"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(m)Investments of a Subsidiary acquired after the Closing Date or of a person merged into the Borrower or merged into or consolidated with a Subsidiary after the Closing Date, in each case, (i) to the extent such acquisition, merger, amalgamation or consolidation is permitted under this Section 6.04, (ii) in the case of any acquisition, merger, amalgamation or consolidation, in accordance with Section 6.05 (other than Section 6.05(e)) and (iii) to the extent that such Investments were not made in contemplation of or in connection with such acquisition, merger, amalgamation or consolidation and were in existence on the date of such acquisition, merger, amalgamation or consolidation;</w:t>
      </w:r>
    </w:p>
    <w:p>
      <w:pPr>
        <w:pStyle w:val="TextBody"/>
        <w:bidi w:val="0"/>
        <w:spacing w:lineRule="auto" w:line="240" w:before="241"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(n)acquisitions by the Borrower of obligations of one or more officers or other employees of the Borrower or its Subsidiaries in connection with such officer’s or employee’s acquisition of Equity Interests of the Borrower, so long as no cash is actually advanced by the Borrower or any of the Subsidiaries to such officers or employees in connection with the acquisition of any such obligations;</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6480175" cy="781050"/>
                <wp:effectExtent l="0" t="0" r="0" b="0"/>
                <wp:wrapNone/>
                <wp:docPr id="377" name="Frame376"/>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175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175</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(o)Guarantees by the Borrower or any Subsidiary of operating leases (other than Capitalized Lease Obligations) or of other obligations that do not constitute Indebtedness of the kind described in clauses (b), (f), (g), (h), (i) or (j) of the definition thereof, in each case entered into by the Borrower or any Subsidiary in the ordinary course of business;</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(p)Investments to the extent that payment for such Investments is made with Qualified Equity Interests of the Borrower;</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(q)Investments in the ordinary course of business consisting of Uniform Commercial Code Article 3 endorsements for collection or deposit and Uniform Commercial Code Article 4 customary trade arrangements with customers;</w:t>
      </w:r>
    </w:p>
    <w:p>
      <w:pPr>
        <w:pStyle w:val="TextBody"/>
        <w:bidi w:val="0"/>
        <w:spacing w:lineRule="auto" w:line="240" w:before="240" w:after="283"/>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(r)any Permitted Convertible Indebtedness Call Transaction;</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(s)advances in the form of a prepayment of expenses, so long as such expenses are being paid in accordance with customary trade terms of the Borrower or such Subsidiary;</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(t)Investments by the Borrower and/or any Subsidiary pursuant to this clause (t), if the Borrower or any Subsidiary would otherwise be permitted to make a Restricted Payment under Section 6.03(a)(vii) in such amount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that the amount of any such Investment shall constitute usage of a corresponding amount of Restricted Payment capacity under Section 6.03(a)(vii) for all purposes of this Agreement);</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(u)so long as no Event of Default has occurred and is continuing or would result therefrom, Investments in joint ventures and Unrestricted Subsidiaries in an outstanding amount pursuant to this clause (u) (valued at the time of the making thereof, and without giving effect to any write-downs or write-offs thereof) not to exceed the greater of (x) $10,000,000 and (y) 5.0% of EBITDA for the most recently ended Test Period;</w:t>
      </w:r>
    </w:p>
    <w:p>
      <w:pPr>
        <w:pStyle w:val="TextBody"/>
        <w:bidi w:val="0"/>
        <w:spacing w:lineRule="auto" w:line="240" w:before="241"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(v)Investments consisting of the licensing or contribution of Intellectual Property pursuant to joint marketing or other similar arrangements with other persons;</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(w)to the extent constituting Investments, purchases and acquisitions of inventory, supplies, materials and equipment or purchases of contract rights or licenses or leases of Intellectual Property in each case in the ordinary course of business;</w:t>
      </w:r>
    </w:p>
    <w:p>
      <w:pPr>
        <w:pStyle w:val="TextBody"/>
        <w:bidi w:val="0"/>
        <w:spacing w:lineRule="auto" w:line="240" w:before="238" w:after="283"/>
        <w:ind w:left="0" w:right="0" w:firstLine="720"/>
        <w:jc w:val="both"/>
        <w:rPr/>
      </w:pPr>
      <w:r>
        <w:rPr>
          <w:rFonts w:ascii="Times New Roman;sans-serif" w:hAnsi="Times New Roman;sans-serif"/>
          <w:b w:val="false"/>
          <w:color w:val="000000"/>
          <w:sz w:val="24"/>
        </w:rPr>
        <w:t>(x)any Investment in fixed income or other assets by any Subsidiary that is a so-called “captive” insurance company (each, an “</w:t>
      </w:r>
      <w:r>
        <w:rPr>
          <w:rFonts w:ascii="Times New Roman;sans-serif" w:hAnsi="Times New Roman;sans-serif"/>
          <w:b w:val="false"/>
          <w:color w:val="000000"/>
          <w:sz w:val="24"/>
          <w:u w:val="single"/>
        </w:rPr>
        <w:t>Insurance Subsidiary</w:t>
      </w:r>
      <w:r>
        <w:rPr>
          <w:color w:val="000000"/>
        </w:rPr>
        <w:t>”</w:t>
      </w:r>
      <w:r>
        <w:rPr>
          <w:rFonts w:ascii="Times New Roman;sans-serif" w:hAnsi="Times New Roman;sans-serif"/>
          <w:b w:val="false"/>
          <w:color w:val="000000"/>
          <w:sz w:val="24"/>
        </w:rPr>
        <w:t>) consistent with its customary practices of portfolio management;</w:t>
      </w:r>
    </w:p>
    <w:p>
      <w:pPr>
        <w:pStyle w:val="TextBody"/>
        <w:bidi w:val="0"/>
        <w:spacing w:lineRule="auto" w:line="240" w:before="241" w:after="283"/>
        <w:ind w:left="0" w:right="0" w:hanging="721"/>
        <w:jc w:val="left"/>
        <w:rPr>
          <w:rFonts w:ascii="Times New Roman;sans-serif" w:hAnsi="Times New Roman;sans-serif"/>
          <w:b w:val="false"/>
          <w:color w:val="000000"/>
          <w:sz w:val="24"/>
        </w:rPr>
      </w:pPr>
      <w:r>
        <w:rPr>
          <w:rFonts w:ascii="Times New Roman;sans-serif" w:hAnsi="Times New Roman;sans-serif"/>
          <w:b w:val="false"/>
          <w:color w:val="000000"/>
          <w:sz w:val="24"/>
        </w:rPr>
        <w:t>(y)Investments in connection with Permitted Reorganizations;</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(z)Investments pursuant to this clause (z) funded with the sale of Equity Interests of the Borrower or contributions to the Borrower that does not increase the Builder Basket or the Available Excluded Contribution Amount or consideration paid in Equity Interests of the Borrower;</w:t>
      </w:r>
    </w:p>
    <w:p>
      <w:pPr>
        <w:pStyle w:val="TextBody"/>
        <w:bidi w:val="0"/>
        <w:spacing w:lineRule="auto" w:line="240" w:before="24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(aa)    [reserved];</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6480175" cy="781050"/>
                <wp:effectExtent l="0" t="0" r="0" b="0"/>
                <wp:wrapNone/>
                <wp:docPr id="378" name="Frame377"/>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176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176</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6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(bb) so long as no Event of Default pursuant to Section 7.01(b), (c), (h) and (i) has occurred and is continuing or would result therefrom, Investments pursuant to this clause (bb) of up to the available amount of the Builder Basket at the time such Investment is made;</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(cc) Investments pursuant to this clause (cc), so long as, at the time any such Investment is made and immediately after giving effect thereto, (i) no Event of Default shall have occurred and is continuing and (ii) the Total Net Leverage Ratio, on a Pro Forma Basis, would be less than or equal to 4.40:1.00;</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(dd) Investments consisting of (or resulting from) Indebtedness permitted under Section 6.01, Permitted Liens, Restricted Payments permitted under Section 6.03(a) (other than Section 6.03(a)(xvi)), Restricted Debt Payments permitted by Section 6.03(b) and mergers, consolidations, amalgamations, liquidations, windings up, dissolutions or Dispositions permitted by Section 6.05 (other than Section 6.05(e));</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(ee) Investments pursuant to this clause (ee) made with the Available Excluded Contribution Amount;</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 xml:space="preserve">(ff) Investments pursuant to this clause (ff) that at the time any such Investment is made would have been permitted as Restricted Debt Payments at such time as set forth in Section 6.03(b)(iv);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the amount of such Investment shall constitute usage of a corresponding amount of Restricted Payment capacity under Section 6.03(b)(iv) for all purposes under this Agreement;</w:t>
      </w:r>
    </w:p>
    <w:p>
      <w:pPr>
        <w:pStyle w:val="TextBody"/>
        <w:bidi w:val="0"/>
        <w:spacing w:lineRule="auto" w:line="240" w:before="240" w:after="283"/>
        <w:jc w:val="left"/>
        <w:rPr>
          <w:rFonts w:ascii="Times New Roman;sans-serif" w:hAnsi="Times New Roman;sans-serif"/>
          <w:b w:val="false"/>
          <w:color w:val="000000"/>
          <w:sz w:val="24"/>
        </w:rPr>
      </w:pPr>
      <w:r>
        <w:rPr>
          <w:rFonts w:ascii="Times New Roman;sans-serif" w:hAnsi="Times New Roman;sans-serif"/>
          <w:b w:val="false"/>
          <w:color w:val="000000"/>
          <w:sz w:val="24"/>
        </w:rPr>
        <w:t>(gg)    [reserved];</w:t>
      </w:r>
    </w:p>
    <w:p>
      <w:pPr>
        <w:pStyle w:val="TextBody"/>
        <w:bidi w:val="0"/>
        <w:spacing w:lineRule="auto" w:line="240" w:before="241"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(hh) Investments in the Borrower or any Subsidiary and/or any joint venture in connection with intercompany cash management arrangements and related activities in the ordinary course of business;</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(ii)any Investment made by any Unrestricted Subsidiary prior to the date on which such Unrestricted Subsidiary is designated as a Subsidiary so long as the relevant Investment was not made in contemplation of the designation of such Unrestricted Subsidiary as a Subsidiary;</w:t>
      </w:r>
    </w:p>
    <w:p>
      <w:pPr>
        <w:pStyle w:val="TextBody"/>
        <w:bidi w:val="0"/>
        <w:spacing w:lineRule="auto" w:line="240" w:before="238"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(jj) Investments in subsidiaries in the form of receivables and related assets required in connection with a Permitted Receivables Financing;</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(kk) contributions to a “rabbi” trust for the benefit of employees, directors, consult ants, independent contractors or other service providers or other grantor trust subject to claims of creditors in the case of a bankruptcy of the Borrower;</w:t>
      </w:r>
    </w:p>
    <w:p>
      <w:pPr>
        <w:pStyle w:val="TextBody"/>
        <w:bidi w:val="0"/>
        <w:spacing w:lineRule="auto" w:line="240" w:before="241"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(ll) to the extent that they constitute Investments, purchases and acquisitions of inventory, supplies, materials or equipment or purchases, acquisitions, licenses or leases of other assets, intellectual property, or other rights or the contribution of intellectual property pursuant to joint marketing arrangements, in each case in the ordinary course of business; and</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(mm) commission, travel and similar advances to officers, directors, employees and consultants made in the ordinary course of business.</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6480175" cy="781050"/>
                <wp:effectExtent l="0" t="0" r="0" b="0"/>
                <wp:wrapNone/>
                <wp:docPr id="379" name="Frame378"/>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177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177</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Neither the Borrower nor any Subsidiary will transfer to an Unrestricted Subsidiary the ownership of (x) any intellectual property or (y) any other assets (other than cash or Cash Equivalents), in either case, that the Borrower determines in good faith is material to the Borrower and its Subsidiaries taken as a whole.</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amount of any Investment made other than in the form of cash or cash equivalents shall be the Fair Market Value thereof valued at the time of the making thereof, and without giving effect to any subsequent write-downs or write-offs thereof. For the avoidance of doubt, the outstanding amount of any Investment pursuant to this Section 6.04 shall be reduced by any returns on such Investments received by the Borrower or any Subsidiary.</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 xml:space="preserve">Section 6.05. </w:t>
      </w:r>
      <w:r>
        <w:rPr>
          <w:rFonts w:ascii="Times New Roman;sans-serif" w:hAnsi="Times New Roman;sans-serif"/>
          <w:b w:val="false"/>
          <w:color w:val="000000"/>
          <w:sz w:val="24"/>
          <w:u w:val="single"/>
        </w:rPr>
        <w:t>Mergers, Consolidations; Asset Sales</w:t>
      </w:r>
      <w:r>
        <w:rPr>
          <w:rFonts w:ascii="Times New Roman;sans-serif" w:hAnsi="Times New Roman;sans-serif"/>
          <w:b w:val="false"/>
          <w:color w:val="000000"/>
          <w:sz w:val="24"/>
        </w:rPr>
        <w:t>. Merge into, amalgamate with or consolidate with any other person, or permit any other person to merge into, amalgamate with or consolidate with it, or Dispose of (solely in one non-ordinary course transaction or in a series of related non-ordinary course transactions other than, in each case, sales of assets in the ordinary course of business) all or any part of its assets or any Equity Interests of any Subsidiary (whether now owned or hereafter acquired), in each case, for (x) any individual Disposition involving assets with a Fair Market Value in excess of the greater of $4,000,000 and 2.0% of EBITDA of the Borrower and its Subsidiaries for the most recently ended Test Period or (y) all such Dispositions made in any fiscal year involving assets with an aggregate Fair Market Value in excess of the greater of $10,000,000 and 5.0% of EBITDA of the Borrower and its Subsidiaries for the most recently ended Test Period, except that this Section 6.05 shall not prohibit:</w:t>
      </w:r>
    </w:p>
    <w:p>
      <w:pPr>
        <w:pStyle w:val="TextBody"/>
        <w:bidi w:val="0"/>
        <w:spacing w:lineRule="auto" w:line="240" w:before="241"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(a)(i) the purchase and Disposition of inventory or equipment or other assets (including on an intercompany basis), (ii) the acquisition or lease (pursuant to an operating lease) of any other asset, (iii) the Disposition of surplus, obsolete, damaged or worn out equipment or other property and (iv) the Disposition of Cash Equivalents, in each case pursuant to this clause (a) (as determined in good faith by the Borrower), by the Borrower or any Subsidiary in the ordinary course of business or, with respect to operating leases, otherwise for Fair Market Value on market terms;</w:t>
      </w:r>
    </w:p>
    <w:p>
      <w:pPr>
        <w:pStyle w:val="TextBody"/>
        <w:bidi w:val="0"/>
        <w:spacing w:lineRule="auto" w:line="240" w:before="238"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(b)if at the time thereof and immediately after giving effect thereto no Event of Default shall have occurred and be continuing or would result therefrom, (i) the merger, amalgamation or consolidation of any Subsidiary with or into the Borrower in a transaction in which such Borrower is the survivor, (ii) the merger, amalgamation or consolidation of any Subsidiary with or into any Guarantor in a transaction in which the surviving or resulting entity is or becomes a Guarantor and, in the case of each of clauses (i) and (ii), no person other than the Borrower or a Guarantor receives any consideration (unless otherwise permitted by Section 6.04), (iii) the merger, amalgamation or consolidation of any Subsidiary that is not a Guarantor with or into any other Subsidiary that is not a Guarantor, (iv) the liquidation or dissolution or change in form of entity of any Subsidiary if (x) the Borrower determines in good faith that such liquidation, dissolution or change in form is in the best interests of the Borrower and is not materially disadvantageous to the Lenders and (y) the same meets the requirements contained in the proviso to Section 5.01(a), (v) any Subsidiary may merge, amalgamate or consolidate with any other person in order to effect an Investment permitted pursuant to Section 6.04 so long as the continuing or surviving person shall be a Subsidiary (unless otherwise permitted by Section 6.04 (other than Section 6.04(m)(ii))), which shall be a Loan Party if the merging, amalgamating or consolidating Subsidiary was a Loan</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6480175" cy="781050"/>
                <wp:effectExtent l="0" t="0" r="0" b="0"/>
                <wp:wrapNone/>
                <wp:docPr id="380" name="Frame379"/>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178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178</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jc w:val="both"/>
        <w:rPr>
          <w:rFonts w:ascii="Times New Roman;sans-serif" w:hAnsi="Times New Roman;sans-serif"/>
          <w:b w:val="false"/>
          <w:color w:val="000000"/>
          <w:sz w:val="24"/>
        </w:rPr>
      </w:pPr>
      <w:r>
        <w:rPr>
          <w:rFonts w:ascii="Times New Roman;sans-serif" w:hAnsi="Times New Roman;sans-serif"/>
          <w:b w:val="false"/>
          <w:color w:val="000000"/>
          <w:sz w:val="24"/>
        </w:rPr>
        <w:t>Party and which together with each of its Subsidiaries shall have complied with any applicable requirements of Section 5.10 or (vi) any Subsidiary may merge, amalgamate or consolidate with any other person in order to effect an Asset Sale otherwise permitted pursuant to this Section 6.05;</w:t>
      </w:r>
    </w:p>
    <w:p>
      <w:pPr>
        <w:pStyle w:val="TextBody"/>
        <w:bidi w:val="0"/>
        <w:spacing w:lineRule="auto" w:line="240" w:before="240" w:after="283"/>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(c)Dispositions from a Loan Party to any other Loan Party;</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 xml:space="preserve">(d)Dispositions of any property subject to a Permitted Sale Lease-Back Transaction;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that the Net Proceeds thereof, if any, are applied in accordance with Section 2.11(b) to the extent required thereby.</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(e)Investments permitted by Section 6.04 (other than Section 6.04(d), Section 6.04(m)(ii), including intercompany dispositions permitted thereunder, and Section 6.04(dd)), Permitted Liens, and Restricted Payments and Restricted Debt Payments permitted by Section 6.03 (other than Section 6.03(a)(xvi));</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(f)the discount or sale, in each case without recourse and in the ordinary course of business, of past due receivables arising in the ordinary course of business, but only in connection with the compromise or collection thereof consistent with customary industry practice (and not as part of any bulk sale or financing of receivables);</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 xml:space="preserve">(g)Dispositions of assets;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that (i) the Net Proceeds thereof, if any, are applied in accordance with Section 2.11(b) to the extent required thereby, (ii) any such Dispositions shall comply with the final sentence of this Section 6.05 and (iii) the Borrower may not dispose of all or substantially all of the assets of the Borrower and its Subsidiaries taken as a whole in one transaction or a series of related transactions pursuant to this clause (g);</w:t>
      </w:r>
    </w:p>
    <w:p>
      <w:pPr>
        <w:pStyle w:val="TextBody"/>
        <w:bidi w:val="0"/>
        <w:spacing w:lineRule="auto" w:line="240" w:before="241" w:after="283"/>
        <w:ind w:left="0" w:right="0" w:firstLine="720"/>
        <w:jc w:val="both"/>
        <w:rPr/>
      </w:pPr>
      <w:r>
        <w:rPr>
          <w:rFonts w:ascii="Times New Roman;sans-serif" w:hAnsi="Times New Roman;sans-serif"/>
          <w:b w:val="false"/>
          <w:color w:val="000000"/>
          <w:sz w:val="24"/>
        </w:rPr>
        <w:t xml:space="preserve">(h)Permitted Business Acquisitions (including any merger, consolidation or amalgamation in order to effect a Permitted Business Acquisition);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that following any such merger, consolidation or amalgamation involving the Borrower, such Borrower is the surviving entity or the requirements of Section 6.05(q) are otherwise complied with;</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(i)leases, licenses or subleases or sublicenses of any real or personal property in the ordinary course of business;</w:t>
      </w:r>
    </w:p>
    <w:p>
      <w:pPr>
        <w:pStyle w:val="TextBody"/>
        <w:bidi w:val="0"/>
        <w:spacing w:lineRule="auto" w:line="240" w:before="238"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(j)Dispositions of inventory or Dispositions or abandonment of Intellectual Property of the Borrower and its Subsidiaries determined in good faith by the management of the Borrower to be no longer economically practicable to maintain or useful or necessary in the operation of the business of the Borrower or any of the Subsidiaries;</w:t>
      </w:r>
    </w:p>
    <w:p>
      <w:pPr>
        <w:pStyle w:val="TextBody"/>
        <w:bidi w:val="0"/>
        <w:spacing w:lineRule="auto" w:line="240" w:before="241"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(k)the settlement or early termination of any Permitted Convertible Indebtedness Call Transaction;</w:t>
      </w:r>
    </w:p>
    <w:p>
      <w:pPr>
        <w:pStyle w:val="TextBody"/>
        <w:bidi w:val="0"/>
        <w:spacing w:lineRule="auto" w:line="240" w:before="240" w:after="283"/>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(l)the Transactions;</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(m)exchanges or swaps of assets in exchange for other assets (including any combination of assets along with cash or Cash Equivalents so long as the Net Proceeds thereof, if any, are applied in accordance with Section 2.11(b) to the extent required thereby) of comparable</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6480175" cy="781050"/>
                <wp:effectExtent l="0" t="0" r="0" b="0"/>
                <wp:wrapNone/>
                <wp:docPr id="381" name="Frame380"/>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179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179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jc w:val="left"/>
        <w:rPr>
          <w:rFonts w:ascii="Times New Roman;sans-serif" w:hAnsi="Times New Roman;sans-serif"/>
          <w:b w:val="false"/>
          <w:color w:val="000000"/>
          <w:sz w:val="24"/>
        </w:rPr>
      </w:pPr>
      <w:r>
        <w:rPr>
          <w:rFonts w:ascii="Times New Roman;sans-serif" w:hAnsi="Times New Roman;sans-serif"/>
          <w:b w:val="false"/>
          <w:color w:val="000000"/>
          <w:sz w:val="24"/>
        </w:rPr>
        <w:t>or greater value or usefulness to the business of the Borrower and its Subsidiaries as a whole, determined in good faith by the management of the Borrower;</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(n)Dispositions of non-core assets acquired in connection with a Permitted Business Acquisition or other permitted Investment or made to obtain the approval of an anti-trust authority and any Dispositions made to comply with an order of any agency or state authority or other regulatory body or any applicable law or regulation, in each case so long as the Net Proceeds thereof, if any, are applied in accordance with Section 2.11(b) to the extent required thereby;</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(o)Dispositions of (i) accounts receivable in the ordinary course of business (including any discount and/or forgiveness thereof and sales to factors or similar third parties) or in connection with the collection or compromise thereof and (ii) receivables and related assets pursuant to any Permitted Receivables Financing;</w:t>
      </w:r>
    </w:p>
    <w:p>
      <w:pPr>
        <w:pStyle w:val="TextBody"/>
        <w:bidi w:val="0"/>
        <w:spacing w:lineRule="auto" w:line="240" w:before="240" w:after="283"/>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(p)licensing arrangements entered into in the ordinary course of business;</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 xml:space="preserve">(q)if at the time thereof and immediately after giving effect thereto no Event of Default shall be continuing or would result therefrom, (A) any Subsidiary or any other person may be merged, amalgamated or consolidated with or into the Borrower;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the Borrower shall be the surviving entity or (B) any Subsidiary or any other person may be merged, amalgamated or consolidated with or into the Borrower or all or substantially all of the assets of the Borrower and its Subsidiaries taken as a whole may be Disposed of to any person;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in the case of this subclause (B) either the Borrower shall be the surviving entity or, if the surviving person (or the person to whom all or substantially all of the assets of the Borrower and its Subsidiaries are disposed) is not the Borrower (such other person, the “</w:t>
      </w:r>
      <w:r>
        <w:rPr>
          <w:rFonts w:ascii="Times New Roman;sans-serif" w:hAnsi="Times New Roman;sans-serif"/>
          <w:b w:val="false"/>
          <w:color w:val="000000"/>
          <w:sz w:val="24"/>
          <w:u w:val="single"/>
        </w:rPr>
        <w:t>Successor Borrower</w:t>
      </w:r>
      <w:r>
        <w:rPr>
          <w:color w:val="000000"/>
        </w:rPr>
        <w:t>”</w:t>
      </w:r>
      <w:r>
        <w:rPr>
          <w:rFonts w:ascii="Times New Roman;sans-serif" w:hAnsi="Times New Roman;sans-serif"/>
          <w:b w:val="false"/>
          <w:color w:val="000000"/>
          <w:sz w:val="24"/>
        </w:rPr>
        <w:t xml:space="preserve">), (1) the Successor Borrower shall be an entity organized or existing under the laws of the United States, any state thereof or the District of Columbia, (2) the Successor Borrower shall expressly assume all the obligations of the Borrower under this Agreement and the other Loan Documents pursuant to a supplement hereto or thereto in form reasonably satisfactory to the Administrative Agent and shall satisfy the Collateral and Guarantee Requirement to the extent required by Section 5.10, (3) each Guarantor, unless it is the other party to such merger, amalgamation or consolidation, shall have by a supplement to the Guarantee Agreement, as applicable, confirmed that its guarantee thereunder shall apply to any Successor Borrower’s obligations under this Agreement, (4) each Guarantor, unless it is the other party to such merger, amalgamation or consolidation, shall have by a supplement to any applicable Security Document affirmed that its obligations thereunder shall apply to its guarantee as reaffirmed pursuant to clause (3), and (5) the Successor Borrower shall have delivered to the Administrative Agent (x) a certificate of a Responsible Officer stating that such merger, amalgamation or consolidation does not violate this Agreement or any other Loan Document and (y) if requested by the Administrative Agent, an opinion of counsel to the effect that such merger, amalgamation or consolidation does not violate this Agreement or any other Loan Document and covering such other matters as are contemplated by the Collateral and Guarantee Requirement to be covered in opinions of counsel (it being understood that if the foregoing are satisfied, the Successor Borrower will succeed to, and be substituted for, the Borrower under this Agreement);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this subclause (B) shall not apply at any time any Revolving Facility Commitments are outstanding;</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6480175" cy="781050"/>
                <wp:effectExtent l="0" t="0" r="0" b="0"/>
                <wp:wrapNone/>
                <wp:docPr id="382" name="Frame381"/>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180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180</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(r)Dispositions to the extent that (i) the relevant property is exchanged for credit against the purchase price of similar replacement property or (ii) the proceeds of the relevant Disposition are promptly applied to the purchase price of such replacement property;</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(s)Dispositions of Investments in joint ventures to the extent required by, or made pursuant to, buy/sell arrangements between joint venture or similar parties set forth in the relevant joint venture arrangements and/or similar binding arrangements;</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(t)Dispositions and/or terminations of leases, subleases, licenses or sublicenses (including the provision of software under any open source license), (i) the Disposition or termination of which will not materially interfere with the business of the Borrower and any of the Subsidiaries or (ii) which relate to closed facilities or the discontinuation of any product or business line;</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(u)(i) any termination of any lease in the ordinary course of business, (ii) any expiration of any option agreement in respect of real or personal property and (iii) any surrender or waiver of contractual rights or the settlement, release or surrender of contractual rights or litigation claims (including in tort) in the ordinary course of business;</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(v)Dispositions of property subject to foreclosure, casualty, eminent domain or condemnation proceedings (including in lieu thereof or any similar proceeding);</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(w)Dispositions or consignments of equipment, inventory or other assets (including leasehold interests in real property) with respect to facilities that are temporarily not in use, held for sale or closed (or otherwise in connection with the closing or sale of any facility);</w:t>
      </w:r>
    </w:p>
    <w:p>
      <w:pPr>
        <w:pStyle w:val="TextBody"/>
        <w:bidi w:val="0"/>
        <w:spacing w:lineRule="auto" w:line="240" w:before="241" w:after="283"/>
        <w:ind w:left="0" w:right="0" w:hanging="721"/>
        <w:jc w:val="left"/>
        <w:rPr>
          <w:rFonts w:ascii="Times New Roman;sans-serif" w:hAnsi="Times New Roman;sans-serif"/>
          <w:b w:val="false"/>
          <w:color w:val="000000"/>
          <w:sz w:val="24"/>
        </w:rPr>
      </w:pPr>
      <w:r>
        <w:rPr>
          <w:rFonts w:ascii="Times New Roman;sans-serif" w:hAnsi="Times New Roman;sans-serif"/>
          <w:b w:val="false"/>
          <w:color w:val="000000"/>
          <w:sz w:val="24"/>
        </w:rPr>
        <w:t>(x)[reserved];</w:t>
      </w:r>
    </w:p>
    <w:p>
      <w:pPr>
        <w:pStyle w:val="TextBody"/>
        <w:bidi w:val="0"/>
        <w:spacing w:lineRule="auto" w:line="240" w:before="240" w:after="283"/>
        <w:ind w:left="0" w:right="0" w:hanging="721"/>
        <w:jc w:val="left"/>
        <w:rPr>
          <w:rFonts w:ascii="Times New Roman;sans-serif" w:hAnsi="Times New Roman;sans-serif"/>
          <w:b w:val="false"/>
          <w:color w:val="000000"/>
          <w:sz w:val="24"/>
        </w:rPr>
      </w:pPr>
      <w:r>
        <w:rPr>
          <w:rFonts w:ascii="Times New Roman;sans-serif" w:hAnsi="Times New Roman;sans-serif"/>
          <w:b w:val="false"/>
          <w:color w:val="000000"/>
          <w:sz w:val="24"/>
        </w:rPr>
        <w:t>(y)terminations or unwinds of Hedging Agreements;</w:t>
      </w:r>
    </w:p>
    <w:p>
      <w:pPr>
        <w:pStyle w:val="TextBody"/>
        <w:bidi w:val="0"/>
        <w:spacing w:lineRule="auto" w:line="240" w:before="240" w:after="283"/>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(z)Dispositions of Equity Interests of, or sales of Indebtedness or other securities of,</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Unrestricted Subsidiaries; and</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(aa) Dispositions of real property and related assets in the ordinary course of business in connection with relocation activities for directors, officers, employees or consultants of the Borrower and/or any Subsidiary.</w:t>
      </w:r>
    </w:p>
    <w:p>
      <w:pPr>
        <w:pStyle w:val="TextBody"/>
        <w:bidi w:val="0"/>
        <w:spacing w:lineRule="auto" w:line="240" w:before="238"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Neither the Borrower nor any Subsidiary will transfer to an Unrestricted Subsidiary the ownership of (x) any intellectual property or (y) any other assets (other than cash or Cash Equivalents), in either case, that the Borrower determines in good faith is material to the Borrower and its Subsidiaries taken as a whole.</w:t>
      </w:r>
    </w:p>
    <w:p>
      <w:pPr>
        <w:pStyle w:val="TextBody"/>
        <w:bidi w:val="0"/>
        <w:spacing w:lineRule="auto" w:line="240" w:before="241"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Notwithstanding anything to the contrary contained in Section 6.05 above, no Disposition of assets under Section 6.05(g) shall be permitted unless, (i) no Event of Default shall have occurred and be continuing at the time of such Disposition pursuant to Section 6.05(g) or would result therefrom, (ii) such Disposition pursuant to Section 6.05(g) is for Fair Market Value, and</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(iii)with respect to any individual Disposition or series of related Dispositions pursuant to Section 6.05(g) involving assets with a Fair Market Value exceeding $25,000,000, at least 75% of the</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6480175" cy="781050"/>
                <wp:effectExtent l="0" t="0" r="0" b="0"/>
                <wp:wrapNone/>
                <wp:docPr id="383" name="Frame382"/>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181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181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jc w:val="both"/>
        <w:rPr/>
      </w:pPr>
      <w:r>
        <w:rPr>
          <w:rFonts w:ascii="Times New Roman;sans-serif" w:hAnsi="Times New Roman;sans-serif"/>
          <w:b w:val="false"/>
          <w:color w:val="000000"/>
          <w:sz w:val="24"/>
        </w:rPr>
        <w:t xml:space="preserve">proceeds of such Disposition or Dispositions (except to Loan Parties) consist of cash or Cash Equivalents;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that for purposes of this clause (iii), each of the following shall be deemed to be cash: (a) the amount of any liabilities (as shown on the Borrower’s or such Subsidiary’s most recent balance sheet or in the notes thereto) that are assumed by the transferee of any such assets or are otherwise cancelled in connection with such transaction, (b) any notes or other obligations or other securities or assets received by the Borrower or such Subsidiary from the transferee that are converted by the Borrower or such Subsidiary into cash within 180 days after receipt thereof (to the extent of the cash and Cash Equivalents received) and (c) any Designated Non-Cash Consideration outstanding received by the Borrower or any of its Subsidiaries having an aggregate Fair Market Value not to exceed, in the aggregate for all Dispositions under Section 6.05(g), the greater of (x) $10,000,000 and (y) 5.0% of EBITDA for the most recently ended Test Period when received (with the Fair Market Value of each item of Designated Non-Cash Consideration being measured solely at the time received and without giving effect to subsequent changes in value).</w:t>
      </w:r>
    </w:p>
    <w:p>
      <w:pPr>
        <w:pStyle w:val="TextBody"/>
        <w:bidi w:val="0"/>
        <w:spacing w:lineRule="auto" w:line="240" w:before="240" w:after="283"/>
        <w:jc w:val="left"/>
        <w:rPr/>
      </w:pPr>
      <w:r>
        <w:rPr>
          <w:rFonts w:ascii="Times New Roman;sans-serif" w:hAnsi="Times New Roman;sans-serif"/>
          <w:b w:val="false"/>
          <w:color w:val="000000"/>
          <w:sz w:val="24"/>
        </w:rPr>
        <w:t xml:space="preserve">Section 6.06. </w:t>
      </w:r>
      <w:r>
        <w:rPr>
          <w:rFonts w:ascii="Times New Roman;sans-serif" w:hAnsi="Times New Roman;sans-serif"/>
          <w:b w:val="false"/>
          <w:color w:val="000000"/>
          <w:sz w:val="24"/>
          <w:u w:val="single"/>
        </w:rPr>
        <w:t>Transactions with Affiliates</w:t>
      </w:r>
      <w:r>
        <w:rPr>
          <w:rFonts w:ascii="Times New Roman;sans-serif" w:hAnsi="Times New Roman;sans-serif"/>
          <w:b w:val="false"/>
          <w:color w:val="000000"/>
          <w:sz w:val="24"/>
        </w:rPr>
        <w:t>.</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(a)Sell or transfer any property or assets to, or purchase or acquire any property or assets from, or otherwise engage in any other transaction with, any of its Affiliates involving an aggregate consideration in excess of $10,000,000 unless such transaction is (i) otherwise permitted (or required) under this Agreement; or (ii) upon terms that are substantially no less favorable to the Borrower or such Subsidiary, as applicable, than would be obtained in a comparable arm’s- length transaction with a person that is not an Affiliate or is otherwise fair to the Borrower or such Subsidiary from a financial point of view, in each case, as determined by the Board of Directors of the Borrower or such Subsidiary in good faith.</w:t>
      </w:r>
    </w:p>
    <w:p>
      <w:pPr>
        <w:pStyle w:val="TextBody"/>
        <w:bidi w:val="0"/>
        <w:spacing w:lineRule="auto" w:line="240" w:before="241"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(b)The foregoing clause (a) shall not prohibit, to the extent otherwise permitted under this Agreement,</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(i)any issuance of securities, or other payments, awards or grants in cash, securities or otherwise pursuant to, or the funding of, employment arrangements, equity purchase agreements, stock options and stock ownership plans approved by the Board of Directors of the Borrower,</w:t>
      </w:r>
    </w:p>
    <w:p>
      <w:pPr>
        <w:pStyle w:val="TextBody"/>
        <w:bidi w:val="0"/>
        <w:spacing w:lineRule="auto" w:line="240" w:before="238" w:after="283"/>
        <w:ind w:left="0" w:right="0" w:hanging="721"/>
        <w:jc w:val="left"/>
        <w:rPr>
          <w:rFonts w:ascii="Times New Roman;sans-serif" w:hAnsi="Times New Roman;sans-serif"/>
          <w:b w:val="false"/>
          <w:color w:val="000000"/>
          <w:sz w:val="24"/>
        </w:rPr>
      </w:pPr>
      <w:r>
        <w:rPr>
          <w:rFonts w:ascii="Times New Roman;sans-serif" w:hAnsi="Times New Roman;sans-serif"/>
          <w:b w:val="false"/>
          <w:color w:val="000000"/>
          <w:sz w:val="24"/>
        </w:rPr>
        <w:t>(ii)Transaction Costs,</w:t>
      </w:r>
    </w:p>
    <w:p>
      <w:pPr>
        <w:pStyle w:val="TextBody"/>
        <w:bidi w:val="0"/>
        <w:spacing w:lineRule="auto" w:line="240" w:before="241"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(iii)transactions among the Borrower or any Subsidiary or any entity that becomes a Subsidiary as a result of such transaction (including via merger, consolidation or amalgamation in which the Borrower or a Subsidiary is the surviving entity),</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(iv)the payment of fees, reasonable out-of-pocket costs and indemnities to directors, officers, consultants and employees of the Borrower and the Subsidiaries in the ordinary course of business,</w:t>
      </w:r>
    </w:p>
    <w:p>
      <w:pPr>
        <w:pStyle w:val="TextBody"/>
        <w:bidi w:val="0"/>
        <w:spacing w:lineRule="auto" w:line="240" w:before="240" w:after="283"/>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(v)[reserved],</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(vi)(A) any employment agreements entered into by the Borrower or any of the Subsidiaries in the ordinary course of business, (B) any subscription agreement or similar agreement pertaining to the repurchase of Equity Interests pursuant to put/call rights or</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6480175" cy="781050"/>
                <wp:effectExtent l="0" t="0" r="0" b="0"/>
                <wp:wrapNone/>
                <wp:docPr id="384" name="Frame383"/>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182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182</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jc w:val="both"/>
        <w:rPr>
          <w:rFonts w:ascii="Times New Roman;sans-serif" w:hAnsi="Times New Roman;sans-serif"/>
          <w:b w:val="false"/>
          <w:color w:val="000000"/>
          <w:sz w:val="24"/>
        </w:rPr>
      </w:pPr>
      <w:r>
        <w:rPr>
          <w:rFonts w:ascii="Times New Roman;sans-serif" w:hAnsi="Times New Roman;sans-serif"/>
          <w:b w:val="false"/>
          <w:color w:val="000000"/>
          <w:sz w:val="24"/>
        </w:rPr>
        <w:t>similar rights with employees, officers or directors and (C) any employee compensation, benefit plan or arrangement, any health, disability or similar insurance plan which covers employees, and any reasonable employment contract and transactions pursuant thereto,</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(vii)Indebtedness permitted under Section 6.01, Restricted Payments and Restricted Debt Payments permitted under Section 6.03 (other than Section 6.03(a)(xvi)) and Investments permitted under Section 6.04,</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(viii)transactions for the purchase or sale of goods, equipment, products, parts and services entered into in the ordinary course of business,</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(ix)any transaction in respect of which the Borrower delivers to the Administrative Agent a letter addressed to the Board of Directors of the Borrower from an accounting, appraisal or investment banking firm, in each case of nationally recognized standing that is in the good faith determination of the Borrower qualified to render such letter, which letter states that (i) such transaction is on terms that are substantially no less favorable to the Borrower or such Subsidiary, as applicable, than would be obtained in a comparable arm’s-length transaction with a person that is not an Affiliate or (ii) such transaction is fair to the Borrower or such Subsidiary, as applicable, from a financial point of view,</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(x)transactions with joint ventures for the purchase or sale of goods, equipment, products, parts and services entered into in the ordinary course of business or any other transaction with a joint venture that is not otherwise prohibited by the Loan Documents,</w:t>
      </w:r>
    </w:p>
    <w:p>
      <w:pPr>
        <w:pStyle w:val="TextBody"/>
        <w:bidi w:val="0"/>
        <w:spacing w:lineRule="auto" w:line="240" w:before="241" w:after="283"/>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(xi)affiliate transactions constituting part of any Permitted Reorganization,</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 xml:space="preserve">(xii)transactions between the Borrower or any of the Subsidiaries and any person, a director of which is also a director of the Borrower;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such director abstains from voting as a director of the Borrower on any matter involving such other person,</w:t>
      </w:r>
    </w:p>
    <w:p>
      <w:pPr>
        <w:pStyle w:val="TextBody"/>
        <w:bidi w:val="0"/>
        <w:spacing w:lineRule="auto" w:line="240" w:before="238" w:after="283"/>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(xiii)transactions permitted by, and complying with, the provisions of Section</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6.05,</w:t>
      </w:r>
    </w:p>
    <w:p>
      <w:pPr>
        <w:pStyle w:val="TextBody"/>
        <w:bidi w:val="0"/>
        <w:spacing w:lineRule="auto" w:line="240" w:before="240" w:after="283"/>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(xiv)intercompany transactions undertaken in good faith (as certified by a</w:t>
      </w:r>
    </w:p>
    <w:p>
      <w:pPr>
        <w:pStyle w:val="TextBody"/>
        <w:bidi w:val="0"/>
        <w:spacing w:lineRule="auto" w:line="240" w:before="1" w:after="283"/>
        <w:jc w:val="both"/>
        <w:rPr>
          <w:rFonts w:ascii="Times New Roman;sans-serif" w:hAnsi="Times New Roman;sans-serif"/>
          <w:b w:val="false"/>
          <w:color w:val="000000"/>
          <w:sz w:val="24"/>
        </w:rPr>
      </w:pPr>
      <w:r>
        <w:rPr>
          <w:rFonts w:ascii="Times New Roman;sans-serif" w:hAnsi="Times New Roman;sans-serif"/>
          <w:b w:val="false"/>
          <w:color w:val="000000"/>
          <w:sz w:val="24"/>
        </w:rPr>
        <w:t>Responsible Officer of the Borrower) for the purpose of improving the consolidated Tax efficiency of the Borrower and the Subsidiaries and not for the purpose of circumventing any covenant set forth herein,</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(xv)payments, loans (or cancellation of loans) or advances to employees or consultants that are (i) approved by a majority of the Disinterested Directors of the Borrower in good faith, (ii) made in compliance with applicable law and (iii) otherwise permitted under this Agreement,</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6480175" cy="781050"/>
                <wp:effectExtent l="0" t="0" r="0" b="0"/>
                <wp:wrapNone/>
                <wp:docPr id="385" name="Frame384"/>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183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183</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(xvi)transactions with customers, clients or suppliers, or purchasers or sellers of goods or services, in each case in the ordinary course of business that are fair to the Borrower or the Subsidiaries,</w:t>
      </w:r>
    </w:p>
    <w:p>
      <w:pPr>
        <w:pStyle w:val="TextBody"/>
        <w:bidi w:val="0"/>
        <w:spacing w:lineRule="auto" w:line="240" w:before="240" w:after="283"/>
        <w:ind w:left="0" w:right="0" w:hanging="715"/>
        <w:jc w:val="left"/>
        <w:rPr/>
      </w:pPr>
      <w:r>
        <w:rPr>
          <w:rFonts w:ascii="Times New Roman;sans-serif" w:hAnsi="Times New Roman;sans-serif"/>
          <w:b w:val="false"/>
          <w:color w:val="000000"/>
          <w:sz w:val="24"/>
        </w:rPr>
        <w:t xml:space="preserve">(xvii)transactions existing on the Closing Date and described on </w:t>
      </w:r>
      <w:r>
        <w:rPr>
          <w:rFonts w:ascii="Times New Roman;sans-serif" w:hAnsi="Times New Roman;sans-serif"/>
          <w:b w:val="false"/>
          <w:color w:val="000000"/>
          <w:sz w:val="24"/>
          <w:u w:val="single"/>
        </w:rPr>
        <w:t>Schedule 6.06</w:t>
      </w:r>
      <w:r>
        <w:rPr>
          <w:rFonts w:ascii="Times New Roman;sans-serif" w:hAnsi="Times New Roman;sans-serif"/>
          <w:b w:val="false"/>
          <w:color w:val="000000"/>
          <w:sz w:val="24"/>
        </w:rPr>
        <w:t>,</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(xviii)transactions entered into by a Person prior to the time such Person becomes a Subsidiary or is merged or consolidated into the Borrower or a Subsidiary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such transaction is not entered into in contemplation of such event), and</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(xix)transactions where the only consideration paid by any Loan Party is Qualified Equity Interests of the Borrower or any Subsidiary.</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 xml:space="preserve">Section 6.07. </w:t>
      </w:r>
      <w:r>
        <w:rPr>
          <w:rFonts w:ascii="Times New Roman;sans-serif" w:hAnsi="Times New Roman;sans-serif"/>
          <w:b w:val="false"/>
          <w:color w:val="000000"/>
          <w:sz w:val="24"/>
          <w:u w:val="single"/>
        </w:rPr>
        <w:t>Business of the Borrower and the Subsidiaries; Etc.</w:t>
      </w:r>
      <w:r>
        <w:rPr>
          <w:color w:val="000000"/>
        </w:rPr>
        <w:t xml:space="preserve"> </w:t>
      </w:r>
      <w:r>
        <w:rPr>
          <w:rFonts w:ascii="Times New Roman;sans-serif" w:hAnsi="Times New Roman;sans-serif"/>
          <w:b w:val="false"/>
          <w:color w:val="000000"/>
          <w:sz w:val="24"/>
        </w:rPr>
        <w:t>Engage at any time in any material respect in any business or business activity substantially different from any business or business activity conducted by any of them on the Closing Date or any Similar Business.</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 xml:space="preserve">Section 6.08. </w:t>
      </w:r>
      <w:r>
        <w:rPr>
          <w:rFonts w:ascii="Times New Roman;sans-serif" w:hAnsi="Times New Roman;sans-serif"/>
          <w:b w:val="false"/>
          <w:color w:val="000000"/>
          <w:sz w:val="24"/>
          <w:u w:val="single"/>
        </w:rPr>
        <w:t>Restrictions on Subsidiary Distributions and Negative Pledge Clauses</w:t>
      </w:r>
      <w:r>
        <w:rPr>
          <w:rFonts w:ascii="Times New Roman;sans-serif" w:hAnsi="Times New Roman;sans-serif"/>
          <w:b w:val="false"/>
          <w:color w:val="000000"/>
          <w:sz w:val="24"/>
        </w:rPr>
        <w:t>. Permit the Borrower or any Subsidiary to enter into any agreement or instrument that by its terms restricts (A) the payment of dividends or other distributions or the making of cash advances to the Borrower or any Subsidiary that is a direct or indirect parent of such Subsidiary or (B) the granting of Liens by the Borrower or any Subsidiary to secure the Obligations, in each case other than those arising under any Loan Document, except, in each case, restrictions existing by reason of:</w:t>
      </w:r>
    </w:p>
    <w:p>
      <w:pPr>
        <w:pStyle w:val="TextBody"/>
        <w:bidi w:val="0"/>
        <w:spacing w:lineRule="auto" w:line="240" w:before="240" w:after="283"/>
        <w:ind w:left="0" w:right="0" w:hanging="721"/>
        <w:jc w:val="left"/>
        <w:rPr>
          <w:rFonts w:ascii="Times New Roman;sans-serif" w:hAnsi="Times New Roman;sans-serif"/>
          <w:b w:val="false"/>
          <w:color w:val="000000"/>
          <w:sz w:val="24"/>
        </w:rPr>
      </w:pPr>
      <w:r>
        <w:rPr>
          <w:rFonts w:ascii="Times New Roman;sans-serif" w:hAnsi="Times New Roman;sans-serif"/>
          <w:b w:val="false"/>
          <w:color w:val="000000"/>
          <w:sz w:val="24"/>
        </w:rPr>
        <w:t>(a)restrictions imposed by applicable law;</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(b)(i) contractual encumbrances or restrictions existing on the Closing Date, (ii) any agreements that does not materially expand the scope of any such encumbrance or restriction (as determined in good faith by the Borrower) beyond those restrictions applicable on the Closing Date or (iii) with respect to any Subsidiary, any restriction that is not materially more restrictive (as determined by the Borrower in good faith) than the most restrictive restrictions applicable to such Subsidiary existing on the Closing Date;</w:t>
      </w:r>
    </w:p>
    <w:p>
      <w:pPr>
        <w:pStyle w:val="TextBody"/>
        <w:bidi w:val="0"/>
        <w:spacing w:lineRule="auto" w:line="240" w:before="239"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(c)any restriction on a Subsidiary imposed pursuant to an agreement entered into for the sale or disposition of the Equity Interests or assets of a Subsidiary pending the closing of such sale or disposition;</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(d)customary provisions in joint venture agreements and other similar agreements applicable to joint ventures entered into in the ordinary course of business;</w:t>
      </w:r>
    </w:p>
    <w:p>
      <w:pPr>
        <w:pStyle w:val="TextBody"/>
        <w:bidi w:val="0"/>
        <w:spacing w:lineRule="auto" w:line="240" w:before="241"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(e)any restrictions imposed by any agreement relating to secured Indebtedness permitted by this Agreement to the extent that such restrictions apply only to the specific property or assets securing such Indebtedness;</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(f)any restrictions imposed by any agreement relating to (i) Indebtedness permitted pursuant to Sections 6.01(c) or 6.01(n), in each case, solely with respect to any accounts, cash, cash equivalents or cash collateral related thereto, (ii) Indebtedness permitted pursuant to Sections 6.01(h), 6.01(ee) or 6.01(kk), in each case, solely with respect to the Subsidiary to which</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6480175" cy="781050"/>
                <wp:effectExtent l="0" t="0" r="0" b="0"/>
                <wp:wrapNone/>
                <wp:docPr id="386" name="Frame385"/>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184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184</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jc w:val="both"/>
        <w:rPr>
          <w:rFonts w:ascii="Times New Roman;sans-serif" w:hAnsi="Times New Roman;sans-serif"/>
          <w:b w:val="false"/>
          <w:color w:val="000000"/>
          <w:sz w:val="24"/>
        </w:rPr>
      </w:pPr>
      <w:r>
        <w:rPr>
          <w:rFonts w:ascii="Times New Roman;sans-serif" w:hAnsi="Times New Roman;sans-serif"/>
          <w:b w:val="false"/>
          <w:color w:val="000000"/>
          <w:sz w:val="24"/>
        </w:rPr>
        <w:t>such Indebtedness relates, (iii) Indebtedness permitted pursuant to Sections 6.01(i) or 6.01(r), in each case, solely with respect to the assets to which such Indebtedness relates, (iv) Indebtedness of a non-Loan Party that is permitted pursuant to Section 6.01, solely with respect to the Subsidiary to which such Indebtedness relates, (v) Indebtedness permitted pursuant to Sections 6.01(b) and 6.01(q), (vi) any Permitted Receivables Financing solely with respect to the assets subject to such Permitted Receivables Financing and (vii) Indebtedness incurred pursuant to Section 6.01 or Permitted Refinancing Indebtedness in respect thereof, to the extent such restrictions are not materially more restrictive, taken as a whole, than the restrictions contained in this Agreement (in each case, as determined in good faith by the Borrower);</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(g)customary provisions contained in leases or licenses of Intellectual Property and other similar agreements entered into in the ordinary course of business;</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(h)customary provisions restricting subletting or assignment of any lease governing a leasehold interest;</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(i)customary provisions restricting assignment, mortgaging or hypothecation of any agreement entered into in the ordinary course of business;</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(j)customary restrictions and conditions contained in any agreement relating to the sale, transfer, lease or other disposition of any asset permitted under Section 6.05 pending the consummation of such sale, transfer, lease or other disposition;</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(k)Permitted Liens and customary restrictions and conditions contained in the document relating thereto, so long as (1) such restrictions or conditions relate only to the specific asset subject to such Lien, and (2) such restrictions and conditions are not created for the purpose of avoiding the restrictions imposed by this Section 6.08;</w:t>
      </w:r>
    </w:p>
    <w:p>
      <w:pPr>
        <w:pStyle w:val="TextBody"/>
        <w:bidi w:val="0"/>
        <w:spacing w:lineRule="auto" w:line="240" w:before="241"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(l)customary net worth provisions contained in Real Property leases entered into by Subsidiaries, so long as the Borrower has determined in good faith that such net worth provisions would not reasonably be expected to impair the ability of the Borrower and its Subsidiaries to meet their ongoing obligations;</w:t>
      </w:r>
    </w:p>
    <w:p>
      <w:pPr>
        <w:pStyle w:val="TextBody"/>
        <w:bidi w:val="0"/>
        <w:spacing w:lineRule="auto" w:line="240" w:before="238"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(m)any agreement in effect at the time a person becomes a Subsidiary, so long as such agreement was not entered into in contemplation of such person becoming a Subsidiary;</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(n)customary restrictions contained in leases, subleases, licenses or Equity Interests or asset sale agreements otherwise permitted hereby as long as such restrictions relate to the Equity Interests and assets subject thereto;</w:t>
      </w:r>
    </w:p>
    <w:p>
      <w:pPr>
        <w:pStyle w:val="TextBody"/>
        <w:bidi w:val="0"/>
        <w:spacing w:lineRule="auto" w:line="240" w:before="241"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(o)restrictions on cash or other deposits imposed by customers under contracts entered into in the ordinary course of business;</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(p)restrictions in agreements (other than agreements governing Indebtedness of Subsidiaries) that (as determined in good faith by the Borrower) will not prevent the Borrower from satisfying its payment obligations in respect of the Facilities;</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6480175" cy="781050"/>
                <wp:effectExtent l="0" t="0" r="0" b="0"/>
                <wp:wrapNone/>
                <wp:docPr id="387" name="Frame386"/>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185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185</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(q)restrictions arising under or as a result of applicable Requirements of Law or the terms of any license, authorization, concession or permit;</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(r)restrictions arising in any Hedging Agreement and/or any agreement relating to Cash Management Agreement;</w:t>
      </w:r>
    </w:p>
    <w:p>
      <w:pPr>
        <w:pStyle w:val="TextBody"/>
        <w:bidi w:val="0"/>
        <w:spacing w:lineRule="auto" w:line="240" w:before="240" w:after="283"/>
        <w:ind w:left="0" w:right="0" w:hanging="721"/>
        <w:jc w:val="left"/>
        <w:rPr>
          <w:rFonts w:ascii="Times New Roman;sans-serif" w:hAnsi="Times New Roman;sans-serif"/>
          <w:b w:val="false"/>
          <w:color w:val="000000"/>
          <w:sz w:val="24"/>
        </w:rPr>
      </w:pPr>
      <w:r>
        <w:rPr>
          <w:rFonts w:ascii="Times New Roman;sans-serif" w:hAnsi="Times New Roman;sans-serif"/>
          <w:b w:val="false"/>
          <w:color w:val="000000"/>
          <w:sz w:val="24"/>
        </w:rPr>
        <w:t>(s)any prohibitions on the creation of any Lien on, or transfer of, any aircraft; and</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(t)any encumbrances or restrictions imposed by any amendments, modifications, restatements, renewals, increases, supplements, refundings, replacements or refinancings of or similar arrangements to the contracts, instruments or obligations referred to in clauses (a) through</w:t>
      </w:r>
    </w:p>
    <w:p>
      <w:pPr>
        <w:pStyle w:val="TextBody"/>
        <w:bidi w:val="0"/>
        <w:spacing w:lineRule="auto" w:line="240" w:before="0" w:after="0"/>
        <w:jc w:val="both"/>
        <w:rPr/>
      </w:pPr>
      <w:r>
        <w:rPr>
          <w:rFonts w:ascii="Times New Roman;sans-serif" w:hAnsi="Times New Roman;sans-serif"/>
          <w:b w:val="false"/>
          <w:color w:val="000000"/>
          <w:sz w:val="24"/>
        </w:rPr>
        <w:t xml:space="preserve">(s) above;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that such amendments, modifications, restatements, renewals, increases, supplements, refundings, replacements, refinancings or similar arrangements are, in the good faith judgment of the Borrower, no more restrictive with respect to such dividend and other payment restrictions than those contained in the dividend or other payment restrictions as contemplated by such provisions prior to such amendment, modification, restatement, renewal, increase, supplement, refunding, replacement, refinancing or similar arrangement.</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 xml:space="preserve">Section 6.09. </w:t>
      </w:r>
      <w:r>
        <w:rPr>
          <w:rFonts w:ascii="Times New Roman;sans-serif" w:hAnsi="Times New Roman;sans-serif"/>
          <w:b w:val="false"/>
          <w:color w:val="000000"/>
          <w:sz w:val="24"/>
          <w:u w:val="single"/>
        </w:rPr>
        <w:t>Amendments to Junior Financing</w:t>
      </w:r>
      <w:r>
        <w:rPr>
          <w:rFonts w:ascii="Times New Roman;sans-serif" w:hAnsi="Times New Roman;sans-serif"/>
          <w:b w:val="false"/>
          <w:color w:val="000000"/>
          <w:sz w:val="24"/>
        </w:rPr>
        <w:t>. The Borrower will not (nor will it permit any of the Subsidiaries to) effect any waiver, supplement, modification or amendment of any indenture, instrument or agreement governing any Junior Financing if (i) such waiver, supplement, modification or amendment has the effect of modifying such Junior Financing in a manner that would not have been permitted under this Agreement at the time such Junior Financing was incurred and (ii) the effect of such waiver, supplement, modification or amendment would be materially adverse to the Lenders (it being understood that the foregoing limitation shall not otherwise prohibit debt refinancing, replacement or exchange permitted pursuant to Section 6.03(b)).</w:t>
      </w:r>
    </w:p>
    <w:p>
      <w:pPr>
        <w:pStyle w:val="TextBody"/>
        <w:bidi w:val="0"/>
        <w:spacing w:lineRule="auto" w:line="240" w:before="241" w:after="283"/>
        <w:ind w:left="0" w:right="0" w:firstLine="720"/>
        <w:jc w:val="both"/>
        <w:rPr/>
      </w:pPr>
      <w:r>
        <w:rPr>
          <w:rFonts w:ascii="Times New Roman;sans-serif" w:hAnsi="Times New Roman;sans-serif"/>
          <w:b w:val="false"/>
          <w:color w:val="000000"/>
          <w:sz w:val="24"/>
        </w:rPr>
        <w:t xml:space="preserve">Section 6.10. </w:t>
      </w:r>
      <w:r>
        <w:rPr>
          <w:rFonts w:ascii="Times New Roman;sans-serif" w:hAnsi="Times New Roman;sans-serif"/>
          <w:b w:val="false"/>
          <w:color w:val="000000"/>
          <w:sz w:val="24"/>
          <w:u w:val="single"/>
        </w:rPr>
        <w:t>Financial Covenant</w:t>
      </w:r>
      <w:r>
        <w:rPr>
          <w:rFonts w:ascii="Times New Roman;sans-serif" w:hAnsi="Times New Roman;sans-serif"/>
          <w:b w:val="false"/>
          <w:color w:val="000000"/>
          <w:sz w:val="24"/>
        </w:rPr>
        <w:t>. Except with the written consent of the Required Revolving Facility Lenders, permit the First Lien Net Leverage Ratio as of the last day of any Test Period (commencing with the first full fiscal quarter ending after the Closing Date) to be greater than 3.25:1.00.</w:t>
      </w:r>
    </w:p>
    <w:p>
      <w:pPr>
        <w:pStyle w:val="TextBody"/>
        <w:bidi w:val="0"/>
        <w:spacing w:lineRule="auto" w:line="240" w:before="238"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Notwithstanding the foregoing, this Section 6.10 shall be in effect (and shall only be in effect) as of the last day of any Test Period when the aggregate amount of L/C Obligations and Revolving Facility Loans outstanding as of the end of such fiscal quarter (with respect to L/C Obligations, excluding (x) undrawn Letters of Credit of up to $7,500,000 and (y) Letters of Credit then outstanding that have been Cash Collateralized) exceeds 35% of the aggregate amount of all Revolving Facility Commitments (it being understood that in all cases calculation of compliance with this Section 6.10 shall be determined as of the last day of such Test Period).</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6480175" cy="781050"/>
                <wp:effectExtent l="0" t="0" r="0" b="0"/>
                <wp:wrapNone/>
                <wp:docPr id="388" name="Frame387"/>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186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186</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ARTICLE VII</w:t>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Events of Default</w:t>
      </w:r>
    </w:p>
    <w:p>
      <w:pPr>
        <w:pStyle w:val="TextBody"/>
        <w:bidi w:val="0"/>
        <w:spacing w:lineRule="auto" w:line="240" w:before="240" w:after="283"/>
        <w:ind w:left="0" w:right="0" w:firstLine="720"/>
        <w:jc w:val="left"/>
        <w:rPr/>
      </w:pPr>
      <w:r>
        <w:rPr>
          <w:rFonts w:ascii="Times New Roman;sans-serif" w:hAnsi="Times New Roman;sans-serif"/>
          <w:b w:val="false"/>
          <w:color w:val="000000"/>
          <w:sz w:val="24"/>
        </w:rPr>
        <w:t xml:space="preserve">Section 7.01. </w:t>
      </w:r>
      <w:r>
        <w:rPr>
          <w:rFonts w:ascii="Times New Roman;sans-serif" w:hAnsi="Times New Roman;sans-serif"/>
          <w:b w:val="false"/>
          <w:color w:val="000000"/>
          <w:sz w:val="24"/>
          <w:u w:val="single"/>
        </w:rPr>
        <w:t>Events of Default</w:t>
      </w:r>
      <w:r>
        <w:rPr>
          <w:rFonts w:ascii="Times New Roman;sans-serif" w:hAnsi="Times New Roman;sans-serif"/>
          <w:b w:val="false"/>
          <w:color w:val="000000"/>
          <w:sz w:val="24"/>
        </w:rPr>
        <w:t>. In case of the happening of any of the following events (each, an “</w:t>
      </w:r>
      <w:r>
        <w:rPr>
          <w:rFonts w:ascii="Times New Roman;sans-serif" w:hAnsi="Times New Roman;sans-serif"/>
          <w:b w:val="false"/>
          <w:color w:val="000000"/>
          <w:sz w:val="24"/>
          <w:u w:val="single"/>
        </w:rPr>
        <w:t>Event of Default</w:t>
      </w:r>
      <w:r>
        <w:rPr>
          <w:color w:val="000000"/>
        </w:rPr>
        <w:t>”</w:t>
      </w:r>
      <w:r>
        <w:rPr>
          <w:rFonts w:ascii="Times New Roman;sans-serif" w:hAnsi="Times New Roman;sans-serif"/>
          <w:b w:val="false"/>
          <w:color w:val="000000"/>
          <w:sz w:val="24"/>
        </w:rPr>
        <w:t>):</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(a)any representation or warranty made or deemed made by the Borrower or any Guarantor herein or in any other Loan Document or any certificate or document delivered pursuant hereto or thereto shall prove to have been false or misleading in any material respect when so made or deemed made, and if such incorrect representation or warranty is capable of being cured (including by a restatement of any relevant financial statements), such incorrectness shall remain incorrect for a period of thirty (30) days after notice thereof from the Administrative Agent to the Borrower;</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(b)default shall be made in (i) the payment of any principal of any Loan or L/C Borrowing when and as the same shall become due and payable and such default shall continue unremedied for a period of three (3) Business Days or (ii) the failure to deposit Cash Collateral when due, whether at the due date thereof or at a date fixed for prepayment thereof or by acceleration thereof or otherwise, and such default shall continue unremedied for a period of five</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(5) Business Days;</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(c)default shall be made in the payment of any interest on any Loan or in the payment of any Fee or any other amount (other than an amount referred to in clause (b) above) due under any Loan Document, when and as the same shall become due and payable, and such default shall continue unremedied for a period of five (5) Business Days;</w:t>
      </w:r>
    </w:p>
    <w:p>
      <w:pPr>
        <w:pStyle w:val="TextBody"/>
        <w:bidi w:val="0"/>
        <w:spacing w:lineRule="auto" w:line="240" w:before="241" w:after="283"/>
        <w:ind w:left="0" w:right="0" w:firstLine="720"/>
        <w:jc w:val="both"/>
        <w:rPr/>
      </w:pPr>
      <w:r>
        <w:rPr>
          <w:rFonts w:ascii="Times New Roman;sans-serif" w:hAnsi="Times New Roman;sans-serif"/>
          <w:b w:val="false"/>
          <w:color w:val="000000"/>
          <w:sz w:val="24"/>
        </w:rPr>
        <w:t xml:space="preserve">(d)default shall be made in the due observance or performance by the Borrower of any covenant, condition or agreement contained in, Section 5.01(a) (solely with respect to the Borrower) or 5.05(a) or in Article VI;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that the failure to observe or perform the Financial Covenant shall not constitute an Event of Default with respect to any Term Facility unless the Required Revolving Facility Lenders have accelerated the Revolving Facility Loans then outstanding as a result of such breach and such declaration has not been rescinded;</w:t>
      </w:r>
    </w:p>
    <w:p>
      <w:pPr>
        <w:pStyle w:val="TextBody"/>
        <w:bidi w:val="0"/>
        <w:spacing w:lineRule="auto" w:line="240" w:before="238"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(e)default shall be made in the due observance or performance by the Borrower or any of the Guarantors of any covenant, condition or agreement contained in any Loan Document (other than those specified in clauses (b), (c) and (d) above) and such default shall continue unremedied for a period of 30 days after notice thereof from the Administrative Agent to the Borrower;</w:t>
      </w:r>
    </w:p>
    <w:p>
      <w:pPr>
        <w:pStyle w:val="TextBody"/>
        <w:bidi w:val="0"/>
        <w:spacing w:lineRule="auto" w:line="240" w:before="241"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(f)the Borrower or any Guarantor (whether as primary obligor or as guarantor or other surety) shall fail to pay any principal of, or premium or interest on, any Material Indebtedness that is outstanding, when and as the same shall become due and payable (whether at scheduled maturity, required prepayment, acceleration, demand or otherwise), and such failure shall continue after the applicable grace period, if any, specified in the agreement or instrument evidencing or governing such Indebtedness; or any other event shall occur or condition shall exist under any agreement or instrument relating to such Indebtedness and shall continue after the applicable grace period, if any, specified in such agreement or instrument, if the effect of such event or condition</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6480175" cy="781050"/>
                <wp:effectExtent l="0" t="0" r="0" b="0"/>
                <wp:wrapNone/>
                <wp:docPr id="389" name="Frame388"/>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187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187</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jc w:val="both"/>
        <w:rPr/>
      </w:pPr>
      <w:r>
        <w:rPr>
          <w:rFonts w:ascii="Times New Roman;sans-serif" w:hAnsi="Times New Roman;sans-serif"/>
          <w:b w:val="false"/>
          <w:color w:val="000000"/>
          <w:sz w:val="24"/>
        </w:rPr>
        <w:t xml:space="preserve">is to accelerate, or permit to the acceleration of, the maturity of such Indebtedness; or any such Indebtedness shall be declared due and payable, or required to be prepaid or redeemed (other than by a regularly scheduled required prepayment or redemption), purchased or defeased, or any offer to prepay, redeem, purchase or defease such Indebtedness shall be required to be made, in each case prior to the stated maturity thereof;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that (A) such failure is unremedied and is not waived by the holders of such Indebtedness prior to any termination of the Commitments or acceleration of the Loans pursuant to this Section 7.01 and (B) this clause (f) shall not apply to (I) any secured Indebtedness that becomes due as a result of the voluntary sale or transfer of the property or assets securing such Indebtedness if (x) such sale or transfer is permitted hereunder and under the documents providing for such Indebtedness and (y) repayments are made as required by the terms of the respective Indebtedness or (II) any conversion of, or event which permits the conversion of, convertible debt (whether or not such conversion is to be settled in cash or capital stock or a combination thereof) and the settlement of any Permitted Convertible Indebtedness Call Transaction;</w:t>
      </w:r>
    </w:p>
    <w:p>
      <w:pPr>
        <w:pStyle w:val="TextBody"/>
        <w:bidi w:val="0"/>
        <w:spacing w:lineRule="auto" w:line="240" w:before="240" w:after="283"/>
        <w:ind w:left="0" w:right="0" w:hanging="721"/>
        <w:jc w:val="left"/>
        <w:rPr>
          <w:rFonts w:ascii="Times New Roman;sans-serif" w:hAnsi="Times New Roman;sans-serif"/>
          <w:b w:val="false"/>
          <w:color w:val="000000"/>
          <w:sz w:val="24"/>
        </w:rPr>
      </w:pPr>
      <w:r>
        <w:rPr>
          <w:rFonts w:ascii="Times New Roman;sans-serif" w:hAnsi="Times New Roman;sans-serif"/>
          <w:b w:val="false"/>
          <w:color w:val="000000"/>
          <w:sz w:val="24"/>
        </w:rPr>
        <w:t>(g)there shall have occurred a Change of Control;</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(h)an involuntary case or proceeding shall be commenced or an involuntary petition shall be filed in a court of competent jurisdiction seeking (i) relief in respect of the Borrower or any Significant Subsidiary, or of a substantial part of the property or assets of the Borrower or any Significant Subsidiary, under the Bankruptcy Code, or any other federal, state or foreign bankruptcy, insolvency, receivership or any other Debtor Relief Law, (ii) the appointment of a receiver, trustee, custodian, sequestrator, conservator, examiner, liquidator or similar official for the Borrower or any of the Significant Subsidiaries or for a substantial part of the property or assets of the Borrower or any of the Significant Subsidiaries or (iii) the winding-up, liquidation, reorganization, dissolution, compromise, arrangement or other relief of the Borrower or any Significant Subsidiary (except in a transaction permitted hereunder); and any such case or proceeding or petition shall continue undismissed for 60 days or an order or decree approving or ordering any of the foregoing shall be entered;</w:t>
      </w:r>
    </w:p>
    <w:p>
      <w:pPr>
        <w:pStyle w:val="TextBody"/>
        <w:bidi w:val="0"/>
        <w:spacing w:lineRule="auto" w:line="240" w:before="239"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(i)the Borrower or any Significant Subsidiary shall (i) voluntarily commence any case or proceeding or file any petition seeking relief under the Bankruptcy Code, as now constituted or hereafter amended, or any other federal, state or foreign bankruptcy, insolvency, receivership or any other Debtor Relief Law, (ii) consent to the institution of, or fail to contest in a timely and appropriate manner, any case or proceeding or the filing of any petition described in clause (h) above, (iii) apply for or consent to, or fail to contest in a timely and appropriate manner, the appointment of a receiver, trustee, custodian, sequestrator, conservator, examiner, liquidator or similar official for the Borrower or any of the Significant Subsidiaries or for a substantial part of the property or assets of the Borrower or any Significant Subsidiary, (iv) file an answer admitting the material allegations of a petition filed against it in any such case or proceeding, (v) make a general assignment for the benefit of creditors or (vi) become unable or fail generally to pay its debts as they become due;</w:t>
      </w:r>
    </w:p>
    <w:p>
      <w:pPr>
        <w:pStyle w:val="TextBody"/>
        <w:bidi w:val="0"/>
        <w:spacing w:lineRule="auto" w:line="240" w:before="241"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(j)the failure by the Borrower or any Significant Subsidiary to pay any final judgment in excess of the greater of (x) $25,000,000 and (y) 12.5% of EBITDA for the most recently ended Test Period (to the extent not paid or covered by self-insurance (if applicable) or by insurance or indemnities as to which the relevant third party insurance company or third party has been notified</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6480175" cy="781050"/>
                <wp:effectExtent l="0" t="0" r="0" b="0"/>
                <wp:wrapNone/>
                <wp:docPr id="390" name="Frame389"/>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188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188</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jc w:val="both"/>
        <w:rPr>
          <w:rFonts w:ascii="Times New Roman;sans-serif" w:hAnsi="Times New Roman;sans-serif"/>
          <w:b w:val="false"/>
          <w:color w:val="000000"/>
          <w:sz w:val="24"/>
        </w:rPr>
      </w:pPr>
      <w:r>
        <w:rPr>
          <w:rFonts w:ascii="Times New Roman;sans-serif" w:hAnsi="Times New Roman;sans-serif"/>
          <w:b w:val="false"/>
          <w:color w:val="000000"/>
          <w:sz w:val="24"/>
        </w:rPr>
        <w:t>of such judgment and has not denied coverage), which judgments are not discharged or effectively waived or stayed for a period of 60 consecutive days, or any action shall be legally taken by a judgment creditor to attach or levy upon assets or properties of the Borrower or any Significant Subsidiary to enforce any such judgment;</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(k)(i) an ERISA Event shall have occurred, (ii) the PBGC shall institute proceedings (including giving notice of intent thereof) to terminate any Plan or Plans or (iii) the Borrower, any Subsidiary or any ERISA Affiliate shall have been notified by the trustees, administrator or other fiduciary of a Multiemployer Plan that such Multiemployer Plan is being terminated, within the meaning of Title IV of ERISA; and in each case in clauses (i) through (iii) above, such event or condition, together with all other such events or conditions, if any, would reasonably be expected to result in a Material Adverse Effect; or</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(l)(i) any Loan Document shall for any reason (other than the occurrence of the Termination Date) be asserted in writing by the Borrower or any Guarantor not to be a legal, valid and binding obligation of any party thereto, (ii) any security interest purported to be created by any Security Document shall cease to be (other than in accordance with it terms), or shall be asserted in writing by the Borrower or any other Loan Party not to be, a valid and perfected security interest with respect to assets that constitute a material portion of the Collateral (perfected as or having the priority required by this Agreement or the relevant Security Document and subject to such limitations and restrictions as are set forth herein and therein) in the securities, assets or properties covered thereby, except to the extent that any such loss of perfection or priority results from a release of Collateral in accordance with the terms hereof or thereof, the occurrence of the Termination Date, the limitations of foreign laws, rules and regulations as they apply to pledges of Equity Interests in Foreign Subsidiaries or the application thereof, or from failure of the Collateral Agent to maintain possession of certificates actually delivered to it representing securities pledged under the Collateral Agreement, to file any filings with the United States Patent and Trademark Office or the United States Copyright Office, or to file Uniform Commercial Code continuation statements (so long as such failure does not result from the breach or non-compliance with the Loan Documents by any Loan Party), or (iii) a material portion of the Guarantees pursuant to the Loan Documents by the Guarantors guaranteeing the Obligations, shall cease to be in full force and effect (other than in accordance with the terms thereof), or shall be asserted in writing by the Borrower or any Guarantor not to be in effect or not to be legal, valid and binding obligations (other than in accordance with the terms thereof).</w:t>
      </w:r>
    </w:p>
    <w:p>
      <w:pPr>
        <w:pStyle w:val="TextBody"/>
        <w:bidi w:val="0"/>
        <w:spacing w:lineRule="auto" w:line="240"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then, and in every such event (other than an event with respect to the Borrower described in clause</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(h) or (i) above), and at any time thereafter during the continuance of such event, the Administrative Agent, at the request of the Required Lenders (or, in the case of a failure to observe or perform the Financial Covenant, where the Required Revolving Facility Lenders have accelerated any Revolving Facility Loans then outstanding as a result of such breach and such declaration has not been rescinded, the Required Revolving Facility Lenders) may, by notice to the Borrower, take any or all of the following actions, at the same or different times: (i) terminate forthwith the Commitments, (ii) declare the Loans then outstanding to be forthwith due and payable in whole or in part (in which case any principal not so declared to be due and payable may thereafter be declared to be due and payable), whereupon the principal of the Loans so declared to be due and payable, together with accrued interest thereon and any unpaid accrued Fees and all other liabilities of the Borrower accrued hereunder and under any other Loan Document, shall</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6480175" cy="781050"/>
                <wp:effectExtent l="0" t="0" r="0" b="0"/>
                <wp:wrapNone/>
                <wp:docPr id="391" name="Frame390"/>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189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189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jc w:val="both"/>
        <w:rPr>
          <w:rFonts w:ascii="Times New Roman;sans-serif" w:hAnsi="Times New Roman;sans-serif"/>
          <w:b w:val="false"/>
          <w:color w:val="000000"/>
          <w:sz w:val="24"/>
        </w:rPr>
      </w:pPr>
      <w:r>
        <w:rPr>
          <w:rFonts w:ascii="Times New Roman;sans-serif" w:hAnsi="Times New Roman;sans-serif"/>
          <w:b w:val="false"/>
          <w:color w:val="000000"/>
          <w:sz w:val="24"/>
        </w:rPr>
        <w:t>become forthwith due and payable, without presentment, demand, protest or any other notice of any kind, all of which are hereby expressly waived by the Borrower, anything contained herein or in any other Loan Document to the contrary notwithstanding and (iii) demand Cash Collateral pursuant to Section 2.05(j); and in any event with respect to the Borrower described in clause (h) or (i) above, the Commitments shall automatically terminate and the principal of the Loans then outstanding, together with accrued interest thereon and any unpaid accrued Fees and all other liabilities of the Borrower accrued hereunder and under any other Loan Document, shall automatically become due and payable and the Administrative Agent shall be deemed to have made a demand for Cash Collateral to the full extent permitted under Section 2.05(j), without presentment, demand, protest or any other notice of any kind, all of which are hereby expressly waived by the Borrower, anything contained herein or in any other Loan Document to the contrary notwithstanding.</w:t>
      </w:r>
    </w:p>
    <w:p>
      <w:pPr>
        <w:pStyle w:val="TextBody"/>
        <w:bidi w:val="0"/>
        <w:spacing w:lineRule="auto" w:line="240" w:before="240" w:after="283"/>
        <w:jc w:val="left"/>
        <w:rPr/>
      </w:pPr>
      <w:r>
        <w:rPr>
          <w:rFonts w:ascii="Times New Roman;sans-serif" w:hAnsi="Times New Roman;sans-serif"/>
          <w:b w:val="false"/>
          <w:color w:val="000000"/>
          <w:sz w:val="24"/>
        </w:rPr>
        <w:t>Section 7.02. [</w:t>
      </w:r>
      <w:r>
        <w:rPr>
          <w:rFonts w:ascii="Times New Roman;sans-serif" w:hAnsi="Times New Roman;sans-serif"/>
          <w:b w:val="false"/>
          <w:color w:val="000000"/>
          <w:sz w:val="24"/>
          <w:u w:val="single"/>
        </w:rPr>
        <w:t>Reserved</w:t>
      </w:r>
      <w:r>
        <w:rPr>
          <w:rFonts w:ascii="Times New Roman;sans-serif" w:hAnsi="Times New Roman;sans-serif"/>
          <w:b w:val="false"/>
          <w:color w:val="000000"/>
          <w:sz w:val="24"/>
        </w:rPr>
        <w:t>].</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 xml:space="preserve">Section 7.03. </w:t>
      </w:r>
      <w:r>
        <w:rPr>
          <w:rFonts w:ascii="Times New Roman;sans-serif" w:hAnsi="Times New Roman;sans-serif"/>
          <w:b w:val="false"/>
          <w:color w:val="000000"/>
          <w:sz w:val="24"/>
          <w:u w:val="single"/>
        </w:rPr>
        <w:t>Application of Funds</w:t>
      </w:r>
      <w:r>
        <w:rPr>
          <w:rFonts w:ascii="Times New Roman;sans-serif" w:hAnsi="Times New Roman;sans-serif"/>
          <w:b w:val="false"/>
          <w:color w:val="000000"/>
          <w:sz w:val="24"/>
        </w:rPr>
        <w:t xml:space="preserve">. Any proceeds of Collateral received by the Administrative Agent or the Collateral Agent (whether as a result of any realization on the Collateral, any setoff or recoupment rights, any distribution in connection with any case or proceedings or other action of any Loan Party in respect of Debtor Relief Laws or otherwise and whether received in cash or otherwise) (i) not constituting (A) a specific payment of principal, interest, fees or other sum payable under the Loan Documents (which shall be applied on a </w:t>
      </w:r>
      <w:r>
        <w:rPr>
          <w:rFonts w:ascii="Times New Roman;sans-serif" w:hAnsi="Times New Roman;sans-serif"/>
          <w:b w:val="false"/>
          <w:color w:val="000000"/>
          <w:sz w:val="24"/>
          <w:u w:val="single"/>
        </w:rPr>
        <w:t>pro</w:t>
      </w:r>
      <w:r>
        <w:rPr>
          <w:color w:val="000000"/>
        </w:rPr>
        <w:t xml:space="preserve"> </w:t>
      </w:r>
      <w:r>
        <w:rPr>
          <w:rFonts w:ascii="Times New Roman;sans-serif" w:hAnsi="Times New Roman;sans-serif"/>
          <w:b w:val="false"/>
          <w:color w:val="000000"/>
          <w:sz w:val="24"/>
          <w:u w:val="single"/>
        </w:rPr>
        <w:t>rata</w:t>
      </w:r>
      <w:r>
        <w:rPr>
          <w:color w:val="000000"/>
        </w:rPr>
        <w:t xml:space="preserve"> </w:t>
      </w:r>
      <w:r>
        <w:rPr>
          <w:rFonts w:ascii="Times New Roman;sans-serif" w:hAnsi="Times New Roman;sans-serif"/>
          <w:b w:val="false"/>
          <w:color w:val="000000"/>
          <w:sz w:val="24"/>
        </w:rPr>
        <w:t xml:space="preserve">basis among the relevant Lenders under the Class of Loans being prepaid as specified by the Borrower) or (B) a mandatory prepayment (which shall be applied in accordance with Section 2.11) or (ii) after an Event of Default has occurred and is continuing and the Administrative Agent so elects or the Required Lenders so direct, shall be applied, subject to the provisions of any applicable Intercreditor Agreement, ratably </w:t>
      </w:r>
      <w:r>
        <w:rPr>
          <w:rFonts w:ascii="Times New Roman;sans-serif" w:hAnsi="Times New Roman;sans-serif"/>
          <w:b w:val="false"/>
          <w:color w:val="000000"/>
          <w:sz w:val="24"/>
          <w:u w:val="single"/>
        </w:rPr>
        <w:t>first</w:t>
      </w:r>
      <w:r>
        <w:rPr>
          <w:rFonts w:ascii="Times New Roman;sans-serif" w:hAnsi="Times New Roman;sans-serif"/>
          <w:b w:val="false"/>
          <w:color w:val="000000"/>
          <w:sz w:val="24"/>
        </w:rPr>
        <w:t xml:space="preserve">, to pay any fees, indemnities, or expense reimbursements due to the Administrative Agent, the Collateral Agent and any Issuing Bank from the Borrower (including post-petition fees, indemnities or expense reimbursements hereunder, whether or not an allowed claim in any case or proceeding under any Debtor Relief Laws), </w:t>
      </w:r>
      <w:r>
        <w:rPr>
          <w:rFonts w:ascii="Times New Roman;sans-serif" w:hAnsi="Times New Roman;sans-serif"/>
          <w:b w:val="false"/>
          <w:color w:val="000000"/>
          <w:sz w:val="24"/>
          <w:u w:val="single"/>
        </w:rPr>
        <w:t>second</w:t>
      </w:r>
      <w:r>
        <w:rPr>
          <w:rFonts w:ascii="Times New Roman;sans-serif" w:hAnsi="Times New Roman;sans-serif"/>
          <w:b w:val="false"/>
          <w:color w:val="000000"/>
          <w:sz w:val="24"/>
        </w:rPr>
        <w:t xml:space="preserve">, to pay any fees or expense reimbursements then due hereunder to the Secured Parties (all in their respective capacities as such) from the Borrower, </w:t>
      </w:r>
      <w:r>
        <w:rPr>
          <w:rFonts w:ascii="Times New Roman;sans-serif" w:hAnsi="Times New Roman;sans-serif"/>
          <w:b w:val="false"/>
          <w:color w:val="000000"/>
          <w:sz w:val="24"/>
          <w:u w:val="single"/>
        </w:rPr>
        <w:t>third</w:t>
      </w:r>
      <w:r>
        <w:rPr>
          <w:rFonts w:ascii="Times New Roman;sans-serif" w:hAnsi="Times New Roman;sans-serif"/>
          <w:b w:val="false"/>
          <w:color w:val="000000"/>
          <w:sz w:val="24"/>
        </w:rPr>
        <w:t xml:space="preserve">, to pay interest (including post-petition interest, whether or not an allowed claim in any case or proceeding under any Debtor Relief Laws) then due and payable on the Loans and on obligations arising under each Secured Cash Management Agreement and Secured Hedge Agreement ratably, </w:t>
      </w:r>
      <w:r>
        <w:rPr>
          <w:rFonts w:ascii="Times New Roman;sans-serif" w:hAnsi="Times New Roman;sans-serif"/>
          <w:b w:val="false"/>
          <w:color w:val="000000"/>
          <w:sz w:val="24"/>
          <w:u w:val="single"/>
        </w:rPr>
        <w:t>fourth</w:t>
      </w:r>
      <w:r>
        <w:rPr>
          <w:rFonts w:ascii="Times New Roman;sans-serif" w:hAnsi="Times New Roman;sans-serif"/>
          <w:b w:val="false"/>
          <w:color w:val="000000"/>
          <w:sz w:val="24"/>
        </w:rPr>
        <w:t xml:space="preserve">, to repay principal on the Loans and unreimbursed disbursements under any Letter of Credit, to Cash Collateralize all outstanding Letters of Credit, and to pay any other amounts owing with respect to Secured Cash Management Agreements and Secured Hedge Agreements and any other Obligations due to the Secured Parties ratably;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that amounts which are applied to Cash Collateralize outstanding Letters of Credit that remain available after expiry of the applicable Letter of Credit shall be applied in the manner set forth herein, </w:t>
      </w:r>
      <w:r>
        <w:rPr>
          <w:rFonts w:ascii="Times New Roman;sans-serif" w:hAnsi="Times New Roman;sans-serif"/>
          <w:b w:val="false"/>
          <w:color w:val="000000"/>
          <w:sz w:val="24"/>
          <w:u w:val="single"/>
        </w:rPr>
        <w:t>fifth</w:t>
      </w:r>
      <w:r>
        <w:rPr>
          <w:rFonts w:ascii="Times New Roman;sans-serif" w:hAnsi="Times New Roman;sans-serif"/>
          <w:b w:val="false"/>
          <w:color w:val="000000"/>
          <w:sz w:val="24"/>
        </w:rPr>
        <w:t>, after all Obligations have been paid in full, to the Borrower or as otherwise required by Requirements of Law.</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Notwithstanding the foregoing, Obligations arising under Secured Cash Management Agreements and Secured Hedge Agreements shall be excluded from the application described above if the Administrative Agent has not received written notice thereof, together with such supporting documentation as the Administrative Agent may reasonably request, from the applicable Cash Management Bank or Hedge Bank, as the case may be. Each Cash Management</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6480175" cy="781050"/>
                <wp:effectExtent l="0" t="0" r="0" b="0"/>
                <wp:wrapNone/>
                <wp:docPr id="392" name="Frame391"/>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190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190</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jc w:val="both"/>
        <w:rPr>
          <w:rFonts w:ascii="Times New Roman;sans-serif" w:hAnsi="Times New Roman;sans-serif"/>
          <w:b w:val="false"/>
          <w:color w:val="000000"/>
          <w:sz w:val="24"/>
        </w:rPr>
      </w:pPr>
      <w:r>
        <w:rPr>
          <w:rFonts w:ascii="Times New Roman;sans-serif" w:hAnsi="Times New Roman;sans-serif"/>
          <w:b w:val="false"/>
          <w:color w:val="000000"/>
          <w:sz w:val="24"/>
        </w:rPr>
        <w:t>Bank or Hedge Bank not a party to this Agreement that has given the notice contemplated by the preceding sentence shall, by such notice, be deemed to have acknowledged and accepted the appointment of the Administrative Agent and the Collateral Agent as its agent pursuant to the terms of Article VIII hereof for itself and its Affiliates as if it were a “Lender” party hereto.</w:t>
      </w:r>
    </w:p>
    <w:p>
      <w:pPr>
        <w:pStyle w:val="TextBody"/>
        <w:bidi w:val="0"/>
        <w:spacing w:lineRule="auto" w:line="240" w:before="24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ARTICLE VIII</w:t>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The Agents</w:t>
      </w:r>
    </w:p>
    <w:p>
      <w:pPr>
        <w:pStyle w:val="TextBody"/>
        <w:bidi w:val="0"/>
        <w:spacing w:lineRule="auto" w:line="240" w:before="240" w:after="283"/>
        <w:jc w:val="left"/>
        <w:rPr/>
      </w:pPr>
      <w:r>
        <w:rPr>
          <w:rFonts w:ascii="Times New Roman;sans-serif" w:hAnsi="Times New Roman;sans-serif"/>
          <w:b w:val="false"/>
          <w:color w:val="000000"/>
          <w:sz w:val="24"/>
        </w:rPr>
        <w:t xml:space="preserve">Section 8.01. </w:t>
      </w:r>
      <w:r>
        <w:rPr>
          <w:rFonts w:ascii="Times New Roman;sans-serif" w:hAnsi="Times New Roman;sans-serif"/>
          <w:b w:val="false"/>
          <w:color w:val="000000"/>
          <w:sz w:val="24"/>
          <w:u w:val="single"/>
        </w:rPr>
        <w:t>Appointment</w:t>
      </w:r>
      <w:r>
        <w:rPr>
          <w:rFonts w:ascii="Times New Roman;sans-serif" w:hAnsi="Times New Roman;sans-serif"/>
          <w:b w:val="false"/>
          <w:color w:val="000000"/>
          <w:sz w:val="24"/>
        </w:rPr>
        <w:t>.</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(a)Each Lender (in its capacities as a Lender and the Swingline Lender (if applicable) and on behalf of itself and its Affiliates as potential counterparties to Secured Cash Management Agreements and Secured Hedge Agreements) and each Issuing Bank (in such capacities and on behalf of itself and its Affiliates as potential counterparties to Secured Cash Management Agreements and Secured Hedge Agreements) hereby irrevocably designates and appoints (i) Morgan Stanley as the Term Facility Administrative Agent under this Agreement and the other Loan Documents and (ii) Citibank as Revolving Facility Administrative Agent and Collateral Agent under this Agreement and the other Loan Documents and Security Documents, and each such Lender irrevocably authorizes the Administrative Agent, in such capacity, to take such action on its behalf under the provisions of this Agreement and the other Loan Documents and to exercise such powers and perform such duties as are expressly delegated to the Administrative Agent by the terms of this Agreement and the other Loan Documents, together with such other powers as are reasonably incidental thereto. Notwithstanding any provision to the contrary elsewhere in this Agreement, the Administrative Agent shall not have any duties or responsibilities, except those expressly set forth herein, or any fiduciary relationship with any Lender, and no implied covenants, functions, responsibilities, duties, obligations or liabilities shall be read into this Agreement or any other Loan Document or otherwise exist against the Administrative Agent. The provisions of this Article (other than the final paragraph of Section 8.12 hereof) are solely for the benefit of the Administrative Agent, the Lenders and the Issuing Banks, and neither the Borrower nor any other Loan Party shall have any rights as a third-party beneficiary of any such provisions.</w:t>
      </w:r>
    </w:p>
    <w:p>
      <w:pPr>
        <w:pStyle w:val="TextBody"/>
        <w:bidi w:val="0"/>
        <w:spacing w:lineRule="auto" w:line="240" w:before="239"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(b)In furtherance of the foregoing, each Lender (in its capacities as a Lender and the Swingline Lender (if applicable) and on behalf of itself and its Affiliates as potential counterparties to Secured Cash Management Agreements or Secured Hedge Agreements) and each Issuing Bank (in such capacities and on behalf of itself and its Affiliates as potential counterparties to Secured Cash Management Agreements and Secured Hedge Agreements) hereby appoints and authorizes the Collateral Agent to act as the agent of such Lender for purposes of acquiring, holding and enforcing any and all Liens on Collateral granted by any of the Loan Parties to secure any of the Obligations, together with such powers and discretion as are reasonably incidental thereto. In this connection, the Collateral Agent (and any Subagents appointed by the Collateral Agent pursuant to Section 8.02 for purposes of holding or enforcing any Lien on the Collateral (or any portion thereof) granted under the Security Documents, or for exercising any rights or remedies thereunder at the direction of the Collateral Agent) shall be entitled to the benefits of this Article VIII (including Section 8.07) as though the Collateral Agent (and any such Subagents) were an “Agent” under the Loan Documents, as if set forth in full herein with respect thereto.</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6480175" cy="781050"/>
                <wp:effectExtent l="0" t="0" r="0" b="0"/>
                <wp:wrapNone/>
                <wp:docPr id="393" name="Frame392"/>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191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191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ind w:left="0" w:right="0" w:firstLine="720"/>
        <w:jc w:val="both"/>
        <w:rPr/>
      </w:pPr>
      <w:r>
        <w:rPr>
          <w:rFonts w:ascii="Times New Roman;sans-serif" w:hAnsi="Times New Roman;sans-serif"/>
          <w:b w:val="false"/>
          <w:color w:val="000000"/>
          <w:sz w:val="24"/>
        </w:rPr>
        <w:t xml:space="preserve">Section 8.02. </w:t>
      </w:r>
      <w:r>
        <w:rPr>
          <w:rFonts w:ascii="Times New Roman;sans-serif" w:hAnsi="Times New Roman;sans-serif"/>
          <w:b w:val="false"/>
          <w:color w:val="000000"/>
          <w:sz w:val="24"/>
          <w:u w:val="single"/>
        </w:rPr>
        <w:t>Delegation of Duties</w:t>
      </w:r>
      <w:r>
        <w:rPr>
          <w:rFonts w:ascii="Times New Roman;sans-serif" w:hAnsi="Times New Roman;sans-serif"/>
          <w:b w:val="false"/>
          <w:color w:val="000000"/>
          <w:sz w:val="24"/>
        </w:rPr>
        <w:t>. The Administrative Agent and the Collateral Agent may execute any of their respective duties under this Agreement and the other Loan Documents (including for purposes of holding or enforcing any Lien on the Collateral (or any portion thereof)) by or through agents, employees or attorneys-in-fact and shall be entitled to advice of counsel and other consultants or experts concerning all matters pertaining to such duties. No Agent shall be responsible for the negligence or misconduct of any such agents, employees or attorneys-in-fact selected by it with reasonable care. Each Agent may also from time to time, when it deems it to be necessary or desirable, appoint one or more trustees, co-trustees, collateral co-agents, collateral subagents or attorneys-in-fact (each, a “</w:t>
      </w:r>
      <w:r>
        <w:rPr>
          <w:rFonts w:ascii="Times New Roman;sans-serif" w:hAnsi="Times New Roman;sans-serif"/>
          <w:b w:val="false"/>
          <w:color w:val="000000"/>
          <w:sz w:val="24"/>
          <w:u w:val="single"/>
        </w:rPr>
        <w:t>Subagent</w:t>
      </w:r>
      <w:r>
        <w:rPr>
          <w:color w:val="000000"/>
        </w:rPr>
        <w:t>”</w:t>
      </w:r>
      <w:r>
        <w:rPr>
          <w:rFonts w:ascii="Times New Roman;sans-serif" w:hAnsi="Times New Roman;sans-serif"/>
          <w:b w:val="false"/>
          <w:color w:val="000000"/>
          <w:sz w:val="24"/>
        </w:rPr>
        <w:t xml:space="preserve">) with respect to all or any part of the Collateral;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that no such Subagent shall be authorized to take any action with respect to any Collateral unless and except to the extent expressly authorized in writing by the Administrative Agent or the Collateral Agent. Should any instrument in writing from the Borrower or any other Loan Party be required by any Subagent so appointed by an Agent to more fully or certainly vest in and confirm to such Subagent such rights, powers, privileges and duties, the Borrower shall, or shall cause such Loan Party to, execute, acknowledge and deliver any and all such instruments promptly upon request by such Agent. If any Subagent, or successor thereto, shall become incapable of acting, resign or be removed, all rights, powers, privileges and duties of such Subagent, to the extent permitted by law, shall automatically vest in and be exercised by the Administrative Agent or the Collateral Agent until the appointment of a new Subagent. No Agent shall be responsible for the negligence or misconduct of any agent, attorney-in-fact or Subagent that it selects with reasonable care.</w:t>
      </w:r>
    </w:p>
    <w:p>
      <w:pPr>
        <w:pStyle w:val="TextBody"/>
        <w:bidi w:val="0"/>
        <w:spacing w:lineRule="auto" w:line="240" w:before="241" w:after="283"/>
        <w:ind w:left="0" w:right="0" w:firstLine="720"/>
        <w:jc w:val="both"/>
        <w:rPr/>
      </w:pPr>
      <w:r>
        <w:rPr>
          <w:rFonts w:ascii="Times New Roman;sans-serif" w:hAnsi="Times New Roman;sans-serif"/>
          <w:b w:val="false"/>
          <w:color w:val="000000"/>
          <w:sz w:val="24"/>
        </w:rPr>
        <w:t xml:space="preserve">Section 8.03. </w:t>
      </w:r>
      <w:r>
        <w:rPr>
          <w:rFonts w:ascii="Times New Roman;sans-serif" w:hAnsi="Times New Roman;sans-serif"/>
          <w:b w:val="false"/>
          <w:color w:val="000000"/>
          <w:sz w:val="24"/>
          <w:u w:val="single"/>
        </w:rPr>
        <w:t>Exculpatory Provisions</w:t>
      </w:r>
      <w:r>
        <w:rPr>
          <w:rFonts w:ascii="Times New Roman;sans-serif" w:hAnsi="Times New Roman;sans-serif"/>
          <w:b w:val="false"/>
          <w:color w:val="000000"/>
          <w:sz w:val="24"/>
        </w:rPr>
        <w:t>. None of the Agents, their respective Affiliates or any of their respective officers, directors, employees, agents, attorneys-in-fact or Affiliates shall be (a) liable for any action lawfully taken or omitted to be taken by it or such person under or in connection with this Agreement or any other Loan Document (except to the extent that any of the foregoing are found by a final and non-appealable decision of a court of competent jurisdiction to have resulted from its or such person’s own gross negligence or willful misconduct) or (b) responsible in any manner to any of the Lenders for any recitals, statements, representations or warranties made by any Loan Party or any officer thereof contained in this Agreement or any other Loan Document or in any certificate, report, statement or other document referred to or provided for in, or received by any Agent under or in connection with, this Agreement or any other Loan Document or for the value, validity, effectiveness, genuineness, enforceability or sufficiency of this Agreement or any other Loan Document or for the creation, perfection or priority of any Lien purported to be created by the Loan Documents or to assure that the Liens granted to the Collateral Agent pursuant to any Loan Document have been properly or sufficiently or lawfully created, perfected, protected or enforced or are entitled to any particular priority or for the value or the sufficiency of any Collateral or for any failure of any Loan Party to perform its obligations hereunder or under the other Loan Documents. No Agent shall be under any obligation to any Lender to ascertain or to inquire as to the observance or performance of any of the agreements contained in, or conditions of, this Agreement or any other Loan Document, or to inspect the properties, books or records of any Loan Party. No Agent shall have any duties or obligations except those expressly set forth herein and in the other Loan Documents. Without limiting the generality of the foregoing, (a) no Agent shall be subject to any fiduciary or other implied duties, regardless of whether a Default or Event of Default has occurred and is continuing, (b) no Agent shall have any duty to take any discretionary action or exercise any discretionary powers, except discretionary rights and powers expressly contemplated by the Loan Documents that the respective</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6480175" cy="781050"/>
                <wp:effectExtent l="0" t="0" r="0" b="0"/>
                <wp:wrapNone/>
                <wp:docPr id="394" name="Frame393"/>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192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192</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jc w:val="both"/>
        <w:rPr/>
      </w:pPr>
      <w:r>
        <w:rPr>
          <w:rFonts w:ascii="Times New Roman;sans-serif" w:hAnsi="Times New Roman;sans-serif"/>
          <w:b w:val="false"/>
          <w:color w:val="000000"/>
          <w:sz w:val="24"/>
        </w:rPr>
        <w:t xml:space="preserve">Agent is required to exercise in writing as directed by the Required Lenders (or such other number or percentage of the Lenders as shall be expressly provided for herein or in the other Loan Documents);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Laws or that may affect a forfeiture, modification or termination of property of a Defaulting Lender in violation of any Debtor Relief Laws and (c) no Agent shall, except as expressly set forth herein and in the other Loan Documents, have any duty to disclose, or be liable for the failure to disclose, any information relating to the Borrower or any of its Subsidiaries or any of their respective Affiliates that is communicated to or obtained by such Agent or any of its Affiliates in any capacity. The Agents shall be deemed not to have knowledge of any Default or Event of Default unless and until written notice describing such Default or Event of Default is given to the Administrative Agent in accordance with Section 8.05. No Agent shall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or Event of Default, (iv) the validity, enforceability, effectiveness or genuineness of this Agreement, any other Loan Document or any other agreement, instrument or document, or the creation, perfection or priority of any Lien purported to be created by the Security Documents, (v) the value or the sufficiency of any Collateral or (vi) the satisfaction of any condition set forth in Article IV or elsewhere herein, other than to confirm receipt of items expressly required to be delivered to the Administrative Agent. The Administrative Agent shall not be responsible or have any liability for, or have any duty to ascertain, inquire into, monitor or enforce, compliance with the provisions hereof relating to Disqualified Lenders. Without limiting the generality of the foregoing, the Administrative Agent shall not (x) be obligated to ascertain, monitor or inquire as to whether any Lender or Participant or prospective Lender or Participant is a Disqualified Lender or a Net Short Lender or (y) have any liability with respect to or arising out of any assignment or participation of Loans and/or Commitments, or disclosure of confidential information, to any Disqualified Lender. The Administrative Agent shall not be responsible or have any liability for costs or expenses suffered by the Borrower, any of its Subsidiaries, any Lender or any Issuing Bank as a result of any determination of any Dollar Equivalent.</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 xml:space="preserve">Section 8.04. </w:t>
      </w:r>
      <w:r>
        <w:rPr>
          <w:rFonts w:ascii="Times New Roman;sans-serif" w:hAnsi="Times New Roman;sans-serif"/>
          <w:b w:val="false"/>
          <w:color w:val="000000"/>
          <w:sz w:val="24"/>
          <w:u w:val="single"/>
        </w:rPr>
        <w:t>Reliance by Agents</w:t>
      </w:r>
      <w:r>
        <w:rPr>
          <w:rFonts w:ascii="Times New Roman;sans-serif" w:hAnsi="Times New Roman;sans-serif"/>
          <w:b w:val="false"/>
          <w:color w:val="000000"/>
          <w:sz w:val="24"/>
        </w:rPr>
        <w:t>. Each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Each Agent also may rely upon any statement made to it orally or by telephone and believed by it to have been made by the proper person, and shall not incur any liability for relying thereon. In determining compliance with any condition hereunder to any Credit Event that by its terms must be fulfilled to the satisfaction of a Lender or any Issuing Bank, each Agent may presume that such condition is satisfactory to such Lender or Issuing Bank unless such Agent shall have received notice to the contrary from such Lender or Issuing Bank prior to such Credit Event. Each Agent may consult with legal counsel (including counsel to the Borrower), independent accountants and other experts selected by it, and shall not be liable for any action</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6480175" cy="781050"/>
                <wp:effectExtent l="0" t="0" r="0" b="0"/>
                <wp:wrapNone/>
                <wp:docPr id="395" name="Frame394"/>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193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193</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jc w:val="both"/>
        <w:rPr>
          <w:rFonts w:ascii="Times New Roman;sans-serif" w:hAnsi="Times New Roman;sans-serif"/>
          <w:b w:val="false"/>
          <w:color w:val="000000"/>
          <w:sz w:val="24"/>
        </w:rPr>
      </w:pPr>
      <w:r>
        <w:rPr>
          <w:rFonts w:ascii="Times New Roman;sans-serif" w:hAnsi="Times New Roman;sans-serif"/>
          <w:b w:val="false"/>
          <w:color w:val="000000"/>
          <w:sz w:val="24"/>
        </w:rPr>
        <w:t>taken or not taken by it in accordance with the advice of any such counsel, accountants or experts. Each Agent may deem and treat the Lender specified in the Register with respect to any amount owing hereunder as the owner thereof for all purposes unless a written notice of assignment, negotiation or transfer thereof shall have been filed with such Agent in accordance with Section</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9.04. Each Agent shall be fully justified in failing or refusing to take any action under this Agreement or any other Loan Document unless it shall first receive such advice or concurrence of the Required Lenders (or, if so specified by this Agreement, all or other Lenders) as it deems appropriate or it shall first be indemnified to its satisfaction by the Lenders against any and all liability and expense that may be incurred by it by reason of taking or continuing to take any such action. Each Agent shall in all cases be fully protected in acting, or in refraining from acting, under this Agreement and the other Loan Documents in accordance with a request of the Required Lenders (or, if so specified by this Agreement, all or other Lenders), and such request and any action taken or failure to act pursuant thereto shall be binding upon all the Lenders and all future holders of the Loans.</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 xml:space="preserve">Section 8.05. </w:t>
      </w:r>
      <w:r>
        <w:rPr>
          <w:rFonts w:ascii="Times New Roman;sans-serif" w:hAnsi="Times New Roman;sans-serif"/>
          <w:b w:val="false"/>
          <w:color w:val="000000"/>
          <w:sz w:val="24"/>
          <w:u w:val="single"/>
        </w:rPr>
        <w:t>Notice of Default</w:t>
      </w:r>
      <w:r>
        <w:rPr>
          <w:rFonts w:ascii="Times New Roman;sans-serif" w:hAnsi="Times New Roman;sans-serif"/>
          <w:b w:val="false"/>
          <w:color w:val="000000"/>
          <w:sz w:val="24"/>
        </w:rPr>
        <w:t xml:space="preserve">. No Agent shall be deemed to have knowledge or notice of the occurrence of any Default or Event of Default unless such Agent has received written notice from a Lender or the Borrower referring to this Agreement, describing such Default or Event of Default and stating that such notice is a “Notice of Default.” In the event that the Administrative Agent receives such a notice, the Administrative Agent shall give notice thereof to the Lenders. The Administrative Agent shall take such action with respect to such Default or Event of Default as shall be reasonably directed by the Required Lenders (or, if so specified by this Agreement, all or other Lenders);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that unless and until the Administrative Agent shall have received such directions, the Administrative Agent may (but shall not be obligated to) take such action, or refrain from taking such action, with respect to such Default or Event of Default as it shall deem advisable in the best interests of the Lenders.</w:t>
      </w:r>
    </w:p>
    <w:p>
      <w:pPr>
        <w:pStyle w:val="TextBody"/>
        <w:bidi w:val="0"/>
        <w:spacing w:lineRule="auto" w:line="240" w:before="239" w:after="283"/>
        <w:ind w:left="0" w:right="0" w:firstLine="720"/>
        <w:jc w:val="both"/>
        <w:rPr/>
      </w:pPr>
      <w:r>
        <w:rPr>
          <w:rFonts w:ascii="Times New Roman;sans-serif" w:hAnsi="Times New Roman;sans-serif"/>
          <w:b w:val="false"/>
          <w:color w:val="000000"/>
          <w:sz w:val="24"/>
        </w:rPr>
        <w:t xml:space="preserve">Section 8.06. </w:t>
      </w:r>
      <w:r>
        <w:rPr>
          <w:rFonts w:ascii="Times New Roman;sans-serif" w:hAnsi="Times New Roman;sans-serif"/>
          <w:b w:val="false"/>
          <w:color w:val="000000"/>
          <w:sz w:val="24"/>
          <w:u w:val="single"/>
        </w:rPr>
        <w:t>Non-Reliance on Agents and Other Lenders</w:t>
      </w:r>
      <w:r>
        <w:rPr>
          <w:rFonts w:ascii="Times New Roman;sans-serif" w:hAnsi="Times New Roman;sans-serif"/>
          <w:b w:val="false"/>
          <w:color w:val="000000"/>
          <w:sz w:val="24"/>
        </w:rPr>
        <w:t>. Each Lender and Issuing Bank expressly acknowledges that neither the Agents nor any of their respective Related Parties have made any representations or warranties to it and that no act by any Agent hereafter taken, including any review of the affairs of a Loan Party or any Affiliate of a Loan Party, shall be deemed to constitute any representation or warranty by any Agent to any Lender. Each Lender and Issuing Bank represents to the Agents that it has, independently and without reliance upon any Agent or any other Lender or any of their respective Related Parties, and based on such documents and information as it has deemed appropriate, made its own appraisal of, and investigation into the business, operations, property, financial and other condition and creditworthiness of, the Loan Parties and their Affiliates and made its own decision to make its Loans hereunder and enter into this Agreement. Each Lender also represents that it will, independently and without reliance upon any Agent or any other Lender or any of their respective Related Parties, and based on such documents and information as it shall deem appropriate at the time, continue to make its own credit analysis, appraisals and decisions in taking or not taking action under this Agreement and the other Loan Documents, and to make such investigation as it deems necessary to inform itself as to the business, operations, property, financial and other condition and creditworthiness of the Loan Parties and their Affiliates. Except for notices, reports and other documents expressly required to be furnished to the Lenders by the Administrative Agent hereunder, the Administrative Agent shall not have any duty or responsibility to provide any Lender with any credit or other information concerning the business, operations, property, condition (financial or otherwise), prospects or</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6480175" cy="781050"/>
                <wp:effectExtent l="0" t="0" r="0" b="0"/>
                <wp:wrapNone/>
                <wp:docPr id="396" name="Frame395"/>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194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194</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creditworthiness of any Loan Party or any Affiliate of a Loan Party that may come into the possession of the Administrative Agent or any of its Related Parties.</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 xml:space="preserve">Section 8.07. </w:t>
      </w:r>
      <w:r>
        <w:rPr>
          <w:rFonts w:ascii="Times New Roman;sans-serif" w:hAnsi="Times New Roman;sans-serif"/>
          <w:b w:val="false"/>
          <w:color w:val="000000"/>
          <w:sz w:val="24"/>
          <w:u w:val="single"/>
        </w:rPr>
        <w:t>Indemnification</w:t>
      </w:r>
      <w:r>
        <w:rPr>
          <w:rFonts w:ascii="Times New Roman;sans-serif" w:hAnsi="Times New Roman;sans-serif"/>
          <w:b w:val="false"/>
          <w:color w:val="000000"/>
          <w:sz w:val="24"/>
        </w:rPr>
        <w:t xml:space="preserve">. The Lenders agree to indemnify each Agent and the Revolving Facility Lenders agree to indemnify each Issuing Bank and Swingline Lender, in each case in its capacity as such (to the extent not reimbursed by the Borrower and without limiting the obligation of the Borrower to do so), in the amount of its </w:t>
      </w:r>
      <w:r>
        <w:rPr>
          <w:rFonts w:ascii="Times New Roman;sans-serif" w:hAnsi="Times New Roman;sans-serif"/>
          <w:b w:val="false"/>
          <w:color w:val="000000"/>
          <w:sz w:val="24"/>
          <w:u w:val="single"/>
        </w:rPr>
        <w:t>pro rata</w:t>
      </w:r>
      <w:r>
        <w:rPr>
          <w:color w:val="000000"/>
        </w:rPr>
        <w:t xml:space="preserve"> </w:t>
      </w:r>
      <w:r>
        <w:rPr>
          <w:rFonts w:ascii="Times New Roman;sans-serif" w:hAnsi="Times New Roman;sans-serif"/>
          <w:b w:val="false"/>
          <w:color w:val="000000"/>
          <w:sz w:val="24"/>
        </w:rPr>
        <w:t xml:space="preserve">share (based on its aggregate Revolving Facility Credit Exposure and, in the case of the indemnification of each Agent, outstanding Term Loans and unused Commitments hereunder;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that the aggregate principal amount of Swingline Loans owing to the Swingline Lender and of any disbursement under any Letter of Credit owing to any Issuing Bank shall be considered to be owed to the Revolving Facility Lenders ratably in accordance with their respective Revolving Facility Credit Exposure) (determined at the time such indemnity is sought or, if the respective Obligations have been repaid in full, as determined immediately prior to such repayment in full), from and against any and all liabilities, obligations, claims (including intra-party claims), losses, damages, penalties, actions, judgments, suits, costs, expenses or disbursements of any kind whatsoever that may at any time (whether before or after the payment of the Loans) be imposed on, incurred by or asserted against such Agent or such Issuing Bank or Swingline Lender in any way relating to or arising out of the Commitments, this Agreement, any of the other Loan Documents or any documents contemplated by or referred to herein or therein or the transactions contemplated hereby or thereby or any action taken or omitted by such Agent, Issuing Bank or Swingline Lender under or in connection with any of the foregoing;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that no Lender shall be liable for the payment of any portion of such liabilities, obligations, claims, losses, damages, penalties, actions, judgments, suits, costs, expenses or disbursements that are found by a final and non-appealable decision of a court of competent jurisdiction to have resulted from such Agent’s, Issuing Bank’s or Swingline Lender’s gross negligence or willful misconduct. The failure of any Lender to reimburse any Agent, Issuing Bank or Swingline Lender, as the case may be, promptly upon demand for its ratable share of any amount required to be paid by the Lenders to such Agent, Issuing Bank or Swingline Lender, as the case may be, as provided herein shall not relieve any other Lender of its obligation hereunder to reimburse such Agent or such Issuing Bank, as the case may be, for its ratable share of such amount, but no Lender shall be responsible for the failure of any other Lender to reimburse such Agent, Issuing Bank or Swingline Lender, as the case may be, for such other Lender’s ratable share of such amount. To the extent that the Borrower for any reason fails to indefeasibly pay any amount required under Section 9.05 to be paid by it to the Administrative Agent (or any sub-agent thereof), any Issuing Bank, the Swingline Lender or any Related Party of any of the foregoing, each Lender severally agrees to pay to the Administrative Agent (or any such sub-agent), such Issuing Bank, the Swingline Lender or such Related Party, as the case may be, such Lender’s </w:t>
      </w:r>
      <w:r>
        <w:rPr>
          <w:rFonts w:ascii="Times New Roman;sans-serif" w:hAnsi="Times New Roman;sans-serif"/>
          <w:b w:val="false"/>
          <w:color w:val="000000"/>
          <w:sz w:val="24"/>
          <w:u w:val="single"/>
        </w:rPr>
        <w:t>pro rata</w:t>
      </w:r>
      <w:r>
        <w:rPr>
          <w:color w:val="000000"/>
        </w:rPr>
        <w:t xml:space="preserve"> </w:t>
      </w:r>
      <w:r>
        <w:rPr>
          <w:rFonts w:ascii="Times New Roman;sans-serif" w:hAnsi="Times New Roman;sans-serif"/>
          <w:b w:val="false"/>
          <w:color w:val="000000"/>
          <w:sz w:val="24"/>
        </w:rPr>
        <w:t xml:space="preserve">share (determined as of the time that the applicable unreimbursed expense or indemnity payment is sought) based on each Lender’s share of the aggregate principal amount of Term Loans and Revolving Facility Commitments in effect at such time (or, if the Revolving Facility Commitments have terminated, Revolving Facility Credit Exposure at such time) of such unpaid amount (including any such unpaid amount in respect of a claim asserted by such Lender), such payment to be made severally among them based on such Lenders’ Pro Rata Share (determined as of the time that the applicable unreimbursed expense or indemnity payment is sought),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further</w:t>
      </w:r>
      <w:r>
        <w:rPr>
          <w:color w:val="000000"/>
        </w:rPr>
        <w:t xml:space="preserve"> </w:t>
      </w:r>
      <w:r>
        <w:rPr>
          <w:rFonts w:ascii="Times New Roman;sans-serif" w:hAnsi="Times New Roman;sans-serif"/>
          <w:b w:val="false"/>
          <w:color w:val="000000"/>
          <w:sz w:val="24"/>
        </w:rPr>
        <w:t>that, the unreimbursed expense or indemnified loss, claim, damage, liability or related expense, as the case may be, was incurred by or asserted against the Administrative Agent (or any such sub-agent), such Issuing Bank or the Swingline Lender in its</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6480175" cy="781050"/>
                <wp:effectExtent l="0" t="0" r="0" b="0"/>
                <wp:wrapNone/>
                <wp:docPr id="397" name="Frame396"/>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195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195</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jc w:val="both"/>
        <w:rPr>
          <w:rFonts w:ascii="Times New Roman;sans-serif" w:hAnsi="Times New Roman;sans-serif"/>
          <w:b w:val="false"/>
          <w:color w:val="000000"/>
          <w:sz w:val="24"/>
        </w:rPr>
      </w:pPr>
      <w:r>
        <w:rPr>
          <w:rFonts w:ascii="Times New Roman;sans-serif" w:hAnsi="Times New Roman;sans-serif"/>
          <w:b w:val="false"/>
          <w:color w:val="000000"/>
          <w:sz w:val="24"/>
        </w:rPr>
        <w:t>capacity as such, or against any Related Party of any of the foregoing acting for the Administrative Agent (or any such subagent), the Issuing Bank or the Swingline Lender in connection with such capacity.</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agreements in this Section shall survive the payment of the Loans and all other amounts payable hereunder.</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 xml:space="preserve">Section 8.08. </w:t>
      </w:r>
      <w:r>
        <w:rPr>
          <w:rFonts w:ascii="Times New Roman;sans-serif" w:hAnsi="Times New Roman;sans-serif"/>
          <w:b w:val="false"/>
          <w:color w:val="000000"/>
          <w:sz w:val="24"/>
          <w:u w:val="single"/>
        </w:rPr>
        <w:t>Agent in Its Individual Capacity</w:t>
      </w:r>
      <w:r>
        <w:rPr>
          <w:rFonts w:ascii="Times New Roman;sans-serif" w:hAnsi="Times New Roman;sans-serif"/>
          <w:b w:val="false"/>
          <w:color w:val="000000"/>
          <w:sz w:val="24"/>
        </w:rPr>
        <w:t>. Each Agent and its Affiliates may make loans to, accept deposits from, and generally engage in any kind of business with any Loan Party as though such Agent were not an Agent. With respect to its Loans made or renewed by it and with respect to any Letter of Credit issued, or Letter of Credit or Swingline Loan participated in, by it, each Agent shall have the same rights and powers under this Agreement and the other Loan Documents as any Lender and may exercise the same as though it were not an Agent, and the terms “Lender” and “Lenders” shall include each Agent in its individual capacity.</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 xml:space="preserve">Section 8.09. </w:t>
      </w:r>
      <w:r>
        <w:rPr>
          <w:rFonts w:ascii="Times New Roman;sans-serif" w:hAnsi="Times New Roman;sans-serif"/>
          <w:b w:val="false"/>
          <w:color w:val="000000"/>
          <w:sz w:val="24"/>
          <w:u w:val="single"/>
        </w:rPr>
        <w:t>Successor Administrative Agent</w:t>
      </w:r>
      <w:r>
        <w:rPr>
          <w:rFonts w:ascii="Times New Roman;sans-serif" w:hAnsi="Times New Roman;sans-serif"/>
          <w:b w:val="false"/>
          <w:color w:val="000000"/>
          <w:sz w:val="24"/>
        </w:rPr>
        <w:t>. The Administrative Agent may resign as Administrative Agent and, if applicable, Collateral Agent under this Agreement and the other Loan Documents upon 30 days’ notice to the Lenders and the Borrower. Any such resignation by the Administrative Agent hereunder shall also constitute its resignation as an Issuing Bank and the Swingline Lender, as applicable, in which case the resigning Administrative Agent (x) shall not be required to issue any further Letters of Credit or make any additional Swingline Loans hereunder and (y) shall maintain all of its rights as Issuing Bank or Swingline Lender, as the case may be, with respect to any Letters of Credit issued by it, or Swingline Loans made by it, prior to the date of such resignation. Upon any such resignation, then the Required Lenders shall have the right, subject to the reasonable consent of the Borrower (so long as no Event of Default under Section 7.01(b), (c), (h) or (i) shall have occurred and be continuing), to appoint a successor which shall be a bank with an office in the United States, or an Affiliate of any such bank with an office in the United States, whereupon such successor agent shall succeed to the rights, powers and duties of the Administrative Agent and, if applicable, Collateral Agent, and the term “</w:t>
      </w:r>
      <w:r>
        <w:rPr>
          <w:rFonts w:ascii="Times New Roman;sans-serif" w:hAnsi="Times New Roman;sans-serif"/>
          <w:b w:val="false"/>
          <w:color w:val="000000"/>
          <w:sz w:val="24"/>
          <w:u w:val="single"/>
        </w:rPr>
        <w:t>Administrative</w:t>
      </w:r>
      <w:r>
        <w:rPr>
          <w:color w:val="000000"/>
        </w:rPr>
        <w:t xml:space="preserve"> </w:t>
      </w:r>
      <w:r>
        <w:rPr>
          <w:rFonts w:ascii="Times New Roman;sans-serif" w:hAnsi="Times New Roman;sans-serif"/>
          <w:b w:val="false"/>
          <w:color w:val="000000"/>
          <w:sz w:val="24"/>
          <w:u w:val="single"/>
        </w:rPr>
        <w:t>Agent</w:t>
      </w:r>
      <w:r>
        <w:rPr>
          <w:color w:val="000000"/>
        </w:rPr>
        <w:t xml:space="preserve">” </w:t>
      </w:r>
      <w:r>
        <w:rPr>
          <w:rFonts w:ascii="Times New Roman;sans-serif" w:hAnsi="Times New Roman;sans-serif"/>
          <w:b w:val="false"/>
          <w:color w:val="000000"/>
          <w:sz w:val="24"/>
        </w:rPr>
        <w:t>shall mean such successor agent effective upon such appointment and approval, and the former Administrative Agent’s rights, powers and duties as Administrative Agent shall be terminated, without any other or further act or deed on the part of such former Administrative Agent or any of the parties to this Agreement or any holders of the Loans. If no successor agent has accepted appointment as Administrative Agent by the date that is 30 days following a retiring Administrative Agent’s notice of resignation, and the retiring Administrative Agent’s resignation shall nevertheless thereupon become effective (except, if applicable, in the case of the Collateral Agent holding collateral security on behalf of such Secured Parties, the retiring Collateral Agent shall continue to hold such collateral security as nominee until such time as a successor Collateral Agent is appointed), and the Lenders shall assume and perform all of the duties of the Administrative Agent and, if applicable, Collateral Agent hereunder until such time, if any, as the Required Lenders appoint a successor agent as provided for above. After any retiring Administrative Agent’s resignation as Administrative Agent, the provisions of this Article VIII and Section 9.05 shall inure to its benefit as to any actions taken or omitted to be taken by it, its Subagents and their respective Related Parties while it was Administrative Agent under this Agreement and the other Loan Documents.</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6480175" cy="781050"/>
                <wp:effectExtent l="0" t="0" r="0" b="0"/>
                <wp:wrapNone/>
                <wp:docPr id="398" name="Frame397"/>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196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196</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ind w:left="0" w:right="0" w:firstLine="720"/>
        <w:jc w:val="both"/>
        <w:rPr/>
      </w:pPr>
      <w:r>
        <w:rPr>
          <w:rFonts w:ascii="Times New Roman;sans-serif" w:hAnsi="Times New Roman;sans-serif"/>
          <w:b w:val="false"/>
          <w:color w:val="000000"/>
          <w:sz w:val="24"/>
        </w:rPr>
        <w:t xml:space="preserve">Section 8.10. </w:t>
      </w:r>
      <w:r>
        <w:rPr>
          <w:rFonts w:ascii="Times New Roman;sans-serif" w:hAnsi="Times New Roman;sans-serif"/>
          <w:b w:val="false"/>
          <w:color w:val="000000"/>
          <w:sz w:val="24"/>
          <w:u w:val="single"/>
        </w:rPr>
        <w:t>Arrangers, Etc.</w:t>
      </w:r>
      <w:r>
        <w:rPr>
          <w:color w:val="000000"/>
        </w:rPr>
        <w:t xml:space="preserve"> </w:t>
      </w:r>
      <w:r>
        <w:rPr>
          <w:rFonts w:ascii="Times New Roman;sans-serif" w:hAnsi="Times New Roman;sans-serif"/>
          <w:b w:val="false"/>
          <w:color w:val="000000"/>
          <w:sz w:val="24"/>
        </w:rPr>
        <w:t>Notwithstanding any other provision of this Agreement or any provision of any other Loan Document, each of the persons named on the cover page hereof as Arranger, syndication agent or documentation agent is named as such for recognition purposes only, and in its capacity as such shall have no rights, duties, responsibilities or liabilities with respect to this Agreement or any other Loan Document, except that each such person and its Affiliates shall be entitled to the rights expressly stated to be applicable to them in Sections 4.01,</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9.05 and 9.17 (subject to the applicable obligations and limitations as set forth therein).</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 xml:space="preserve">Section 8.11. </w:t>
      </w:r>
      <w:r>
        <w:rPr>
          <w:rFonts w:ascii="Times New Roman;sans-serif" w:hAnsi="Times New Roman;sans-serif"/>
          <w:b w:val="false"/>
          <w:color w:val="000000"/>
          <w:sz w:val="24"/>
          <w:u w:val="single"/>
        </w:rPr>
        <w:t>Security Documents and Collateral Agent</w:t>
      </w:r>
      <w:r>
        <w:rPr>
          <w:rFonts w:ascii="Times New Roman;sans-serif" w:hAnsi="Times New Roman;sans-serif"/>
          <w:b w:val="false"/>
          <w:color w:val="000000"/>
          <w:sz w:val="24"/>
        </w:rPr>
        <w:t>. The Lenders and the other Secured Parties authorize the Collateral Agent to release any Collateral or Guarantors in accordance with Section 9.18 or if approved, authorized or ratified in accordance with Section 9.08.</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The Lenders and the other Secured Parties hereby irrevocably authorize and instruct the Collateral Agent to, without any further consent of any Lender or any other Secured Party, enter into (or acknowledge and consent to) or amend, renew, extend, supplement, restate, replace, waive or otherwise modify any Permitted First Lien Intercreditor Agreement, any Permitted Junior Intercreditor Agreement and any other intercreditor or subordination agreement contemplated by this Agreement (in form satisfactory to the Collateral Agent and deemed appropriate by it) with the collateral agent or other representative of holders of Indebtedness secured (and permitted to be secured) by a Lien on assets constituting all or a portion of the Collateral under any of Sections 6.02 (and in accordance with the relevant requirements thereof) (any of the foregoing, an “</w:t>
      </w:r>
      <w:r>
        <w:rPr>
          <w:rFonts w:ascii="Times New Roman;sans-serif" w:hAnsi="Times New Roman;sans-serif"/>
          <w:b w:val="false"/>
          <w:color w:val="000000"/>
          <w:sz w:val="24"/>
          <w:u w:val="single"/>
        </w:rPr>
        <w:t>Intercreditor Agreement</w:t>
      </w:r>
      <w:r>
        <w:rPr>
          <w:color w:val="000000"/>
        </w:rPr>
        <w:t>”</w:t>
      </w:r>
      <w:r>
        <w:rPr>
          <w:rFonts w:ascii="Times New Roman;sans-serif" w:hAnsi="Times New Roman;sans-serif"/>
          <w:b w:val="false"/>
          <w:color w:val="000000"/>
          <w:sz w:val="24"/>
        </w:rPr>
        <w:t>). The Lenders and the other Secured Parties irrevocably agree that (x) the Collateral Agent may rely exclusively on a certificate of a Responsible Officer of the Borrower as to whether any such other Liens are permitted hereunder and as to the respective assets constituting Collateral that secure (and are permitted to secure) such Indebtedness hereunder and</w:t>
      </w:r>
    </w:p>
    <w:p>
      <w:pPr>
        <w:pStyle w:val="TextBody"/>
        <w:bidi w:val="0"/>
        <w:spacing w:lineRule="auto" w:line="240" w:before="1" w:after="283"/>
        <w:jc w:val="both"/>
        <w:rPr/>
      </w:pPr>
      <w:r>
        <w:rPr>
          <w:rFonts w:ascii="Times New Roman;sans-serif" w:hAnsi="Times New Roman;sans-serif"/>
          <w:b w:val="false"/>
          <w:color w:val="000000"/>
          <w:sz w:val="24"/>
        </w:rPr>
        <w:t xml:space="preserve">(y) any Intercreditor Agreement entered into by the Collateral Agent shall be binding on the Secured Parties, and each Lender and other Secured Party hereby agrees that it will take no actions contrary to the provisions of, if entered into and if applicable, any Intercreditor Agreement. Furthermore, the Lenders and the other Secured Parties hereby authorize the Administrative Agent and the Collateral Agent to release any Lien on any property granted to or held by the Administrative Agent or the Collateral Agent under any Loan Document (i) to the holder of any Lien on such property that is permitted by Section 6.02(c), (i), (j), (t), (x), (ll) or (mm), in each case to the extent the contract or agreement pursuant to which such Lien is granted prohibits any other Liens on such property or (ii) that is or becomes Excluded Property; and the Administrative Agent and the Collateral Agent shall do so upon reasonable request of the Borrower;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that prior to any such request, the Borrower shall have in each case delivered to the Administrative Agent a certificate of a Responsible Officer of the Borrower certifying (x) that such Lien is permitted under this Agreement, (y) in the case of a request pursuant to clause (i) of this sentence, that the contract or agreement pursuant to which such Lien is granted prohibits any other Lien on such property and (z) in the case of a request pursuant to clause (ii) of this sentence, that (A) such property is or has become Excluded Property and (B) if such property has become Excluded Property as a result of a contractual restriction, such restriction does not violate Section 6.08.</w:t>
      </w:r>
    </w:p>
    <w:p>
      <w:pPr>
        <w:pStyle w:val="TextBody"/>
        <w:bidi w:val="0"/>
        <w:spacing w:lineRule="auto" w:line="240" w:before="239" w:after="283"/>
        <w:ind w:left="0" w:right="0" w:firstLine="720"/>
        <w:jc w:val="both"/>
        <w:rPr/>
      </w:pPr>
      <w:r>
        <w:rPr>
          <w:rFonts w:ascii="Times New Roman;sans-serif" w:hAnsi="Times New Roman;sans-serif"/>
          <w:b w:val="false"/>
          <w:color w:val="000000"/>
          <w:sz w:val="24"/>
        </w:rPr>
        <w:t xml:space="preserve">Section 8.12. </w:t>
      </w:r>
      <w:r>
        <w:rPr>
          <w:rFonts w:ascii="Times New Roman;sans-serif" w:hAnsi="Times New Roman;sans-serif"/>
          <w:b w:val="false"/>
          <w:color w:val="000000"/>
          <w:sz w:val="24"/>
          <w:u w:val="single"/>
        </w:rPr>
        <w:t>Right to Realize on Collateral, Enforce Guarantees, and Credit Bidding</w:t>
      </w:r>
      <w:r>
        <w:rPr>
          <w:rFonts w:ascii="Times New Roman;sans-serif" w:hAnsi="Times New Roman;sans-serif"/>
          <w:b w:val="false"/>
          <w:color w:val="000000"/>
          <w:sz w:val="24"/>
        </w:rPr>
        <w:t>. In the event of the pendency of any case or proceeding under any Debtor Relief Laws or other judicial proceeding relative to any Loan Party, (i) the Administrative Agent (irrespective of whether the</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6480175" cy="781050"/>
                <wp:effectExtent l="0" t="0" r="0" b="0"/>
                <wp:wrapNone/>
                <wp:docPr id="399" name="Frame398"/>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197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197</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jc w:val="both"/>
        <w:rPr>
          <w:rFonts w:ascii="Times New Roman;sans-serif" w:hAnsi="Times New Roman;sans-serif"/>
          <w:b w:val="false"/>
          <w:color w:val="000000"/>
          <w:sz w:val="24"/>
        </w:rPr>
      </w:pPr>
      <w:r>
        <w:rPr>
          <w:rFonts w:ascii="Times New Roman;sans-serif" w:hAnsi="Times New Roman;sans-serif"/>
          <w:b w:val="false"/>
          <w:color w:val="000000"/>
          <w:sz w:val="24"/>
        </w:rPr>
        <w:t>principal of any Obligation shall then be due and payable as herein expressed or by declaration or otherwise and irrespective of whether the Administrative Agent shall have made any demand on the Borrower) shall be entitled and empowered, by intervention in such case or proceeding or otherwise (A) to file and prove a claim for the whole amount of the principal and interest and fees and expenses owing and unpaid in respect of any or all of the Obligations that are owing and unpaid and to file such other documents as may be necessary or advisable in order to have the claims of the Lenders, the Issuing Banks and the Administrative Agent and any Subagents allowed in such judicial proceeding, and (B) to collect and receive any monies or other property payable or deliverable on any such claims and to distribute the same, and (ii) any custodian, receiver, assignee, trustee, liquidator, sequestrator or other similar official in any such judicial proceeding is hereby authorized by each Lender and Issuing Bank to make such payments to the Administrative Agent and, if the Administrative Agent shall consent to the making of such payments directly to the Lenders and the Issuing Banks, to pay to the Administrative Agent any amount due for the reasonable compensation, expenses, disbursements and advances of the Administrative Agent and its agents and counsel, and any other amounts due the Administrative Agent under the Loan Documents. Nothing contained herein shall be deemed to authorize the Administrative Agent to authorize or consent to or accept or adopt on behalf of any Lender or Issuing Bank any plan of reorganization, arrangement, adjustment or composition affecting the Obligations or the rights of any Lender or Issuing Bank or to authorize the Administrative Agent to vote in respect of the claim of any Lender or Issuing Bank in any such case or proceeding.</w:t>
      </w:r>
    </w:p>
    <w:p>
      <w:pPr>
        <w:pStyle w:val="TextBody"/>
        <w:bidi w:val="0"/>
        <w:spacing w:lineRule="auto" w:line="240" w:before="241" w:after="283"/>
        <w:ind w:left="0" w:right="0" w:firstLine="720"/>
        <w:jc w:val="both"/>
        <w:rPr/>
      </w:pPr>
      <w:r>
        <w:rPr>
          <w:rFonts w:ascii="Times New Roman;sans-serif" w:hAnsi="Times New Roman;sans-serif"/>
          <w:b w:val="false"/>
          <w:color w:val="000000"/>
          <w:sz w:val="24"/>
        </w:rPr>
        <w:t xml:space="preserve">Anything contained in any of the Loan Documents to the contrary notwithstanding, the Borrower, the Administrative Agent, the Collateral Agent and each Secured Party hereby agree that (a) no Secured Party shall have any right individually to realize upon any of the Collateral or to enforce any Guarantee set forth in any Loan Document, it being understood and agreed that all powers, rights and remedies hereunder may be exercised solely by the Administrative Agent, on behalf of the Secured Parties in accordance with the terms hereof, and all powers, rights and remedies under the Security Documents may be exercised solely by the Collateral Agent;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notwithstanding the foregoing, the Lenders may exercise the set-off rights contained in Section 9.06 in the manner set forth therein, and (b) in the event of a foreclosure by the Collateral Agent on any of the Collateral pursuant to a public or private sale or other disposition, the Collateral Agent or any Lender may be the purchaser or licensor of any or all of such Collateral at any such sale or other disposition and the Collateral Agent, as agent for and representative of the Secured Parties (but not any Lender or Lenders in its or their respective individual capacities unless the Required Lenders shall otherwise agree in writing), shall be entitled, for the purpose of bidding and making settlement or payment of the purchase price for all or any portion of the Collateral sold at any such public sale, to use and apply any of the Obligations as a credit on account of the purchase price for any collateral payable by the Collateral Agent at such sale or other Disposition.</w:t>
      </w:r>
    </w:p>
    <w:p>
      <w:pPr>
        <w:pStyle w:val="TextBody"/>
        <w:bidi w:val="0"/>
        <w:spacing w:lineRule="auto" w:line="240" w:before="239"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Secured Parties hereby irrevocably authorize the Administrative Agent, at the direction of the Required Lenders, to credit bid all or any portion of the Obligations (including accepting some or all of the Collateral in satisfaction of some or all of the Secured Obligations pursuant to a deed in lieu of foreclosure or otherwise) and in such manner purchase (either directly or through one or more acquisition vehicles) all or any portion of the Collateral (a) at any sale thereof conducted under the provisions of the Bankruptcy Code, including under Sections 363, 1123 or 1129 of the Bankruptcy Code or any other federal, state or foreign bankruptcy, insolvency, receivership or any other Debtor Relief Law in any other jurisdictions to which a Loan Party is</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6480175" cy="781050"/>
                <wp:effectExtent l="0" t="0" r="0" b="0"/>
                <wp:wrapNone/>
                <wp:docPr id="400" name="Frame399"/>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198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198</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jc w:val="both"/>
        <w:rPr>
          <w:rFonts w:ascii="Times New Roman;sans-serif" w:hAnsi="Times New Roman;sans-serif"/>
          <w:b w:val="false"/>
          <w:color w:val="000000"/>
          <w:sz w:val="24"/>
        </w:rPr>
      </w:pPr>
      <w:r>
        <w:rPr>
          <w:rFonts w:ascii="Times New Roman;sans-serif" w:hAnsi="Times New Roman;sans-serif"/>
          <w:b w:val="false"/>
          <w:color w:val="000000"/>
          <w:sz w:val="24"/>
        </w:rPr>
        <w:t>subject or (b) at any other sale or foreclosure or acceptance of Collateral in lieu of debt conducted by (or with the consent or at the direction of) the Administrative Agent (whether by judicial action or otherwise) in accordance with any applicable law. In connection with any such credit bid and purchase, the Obligations owed to the Secured Parties shall be entitled to be, and shall be, credit bid on a ratable basis (with Obligations with respect to contingent or unliquidated claims receiving contingent interests in the acquired assets on a ratable basis that would vest upon the liquidation of such claims in an amount proportional to the liquidated portion of the contingent claim amount used in allocating the contingent interests) in the asset or assets so purchased (or in the Equity Interests or debt instruments of the acquisition vehicle or vehicles that are used to consummate such purchase). In connection with any such bid (i) the Administrative Agent shall be authorized</w:t>
      </w:r>
    </w:p>
    <w:p>
      <w:pPr>
        <w:pStyle w:val="TextBody"/>
        <w:bidi w:val="0"/>
        <w:spacing w:lineRule="auto" w:line="240" w:before="0" w:after="0"/>
        <w:jc w:val="both"/>
        <w:rPr/>
      </w:pPr>
      <w:r>
        <w:rPr>
          <w:rFonts w:ascii="Times New Roman;sans-serif" w:hAnsi="Times New Roman;sans-serif"/>
          <w:b w:val="false"/>
          <w:color w:val="000000"/>
          <w:sz w:val="24"/>
        </w:rPr>
        <w:t>(x) to form one or more acquisition vehicles to make a bid, (y) to adopt documents providing for the governance of the acquisition vehicle or vehicles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any actions by the Administrative Agent with respect to such acquisition vehicle or vehicles, including any disposition of the assets or Equity Interests thereof shall be governed, directly or indirectly, by the vote of the Required Lenders, irrespective of the termination of this Agreement and without giving effect to the limitations on actions by the Required Lenders contained in clauses (i) through (vii) of Section 9.08(b) of this Agreement), and (z) the Administrative Agent shall be authorized to assign the relevant Obligations to any such acquisition vehicle </w:t>
      </w:r>
      <w:r>
        <w:rPr>
          <w:rFonts w:ascii="Times New Roman;sans-serif" w:hAnsi="Times New Roman;sans-serif"/>
          <w:b w:val="false"/>
          <w:color w:val="000000"/>
          <w:sz w:val="24"/>
          <w:u w:val="single"/>
        </w:rPr>
        <w:t>pro rata</w:t>
      </w:r>
      <w:r>
        <w:rPr>
          <w:color w:val="000000"/>
        </w:rPr>
        <w:t xml:space="preserve"> </w:t>
      </w:r>
      <w:r>
        <w:rPr>
          <w:rFonts w:ascii="Times New Roman;sans-serif" w:hAnsi="Times New Roman;sans-serif"/>
          <w:b w:val="false"/>
          <w:color w:val="000000"/>
          <w:sz w:val="24"/>
        </w:rPr>
        <w:t xml:space="preserve">to the Lenders, as a result of which each of the Lenders shall be deemed to have received a </w:t>
      </w:r>
      <w:r>
        <w:rPr>
          <w:rFonts w:ascii="Times New Roman;sans-serif" w:hAnsi="Times New Roman;sans-serif"/>
          <w:b w:val="false"/>
          <w:color w:val="000000"/>
          <w:sz w:val="24"/>
          <w:u w:val="single"/>
        </w:rPr>
        <w:t>pro rata</w:t>
      </w:r>
      <w:r>
        <w:rPr>
          <w:color w:val="000000"/>
        </w:rPr>
        <w:t xml:space="preserve"> </w:t>
      </w:r>
      <w:r>
        <w:rPr>
          <w:rFonts w:ascii="Times New Roman;sans-serif" w:hAnsi="Times New Roman;sans-serif"/>
          <w:b w:val="false"/>
          <w:color w:val="000000"/>
          <w:sz w:val="24"/>
        </w:rPr>
        <w:t xml:space="preserve">portion of any Equity Interests and/or debt instruments issued by such an acquisition vehicle on account of the assignment of the Obligations to be credit bid, all without the need for any Secured Party or acquisition vehicle to take any further action, and (ii) to the extent that Obligations that are assigned to an acquisition vehicle are not used to acquire Collateral for any reason (as a result of another bid being higher or better, because the amount of Obligations assigned to the acquisition vehicle exceeds the amount of debt credit bid by the acquisition vehicle or otherwise), such Obligations shall automatically be reassigned to the Lenders </w:t>
      </w:r>
      <w:r>
        <w:rPr>
          <w:rFonts w:ascii="Times New Roman;sans-serif" w:hAnsi="Times New Roman;sans-serif"/>
          <w:b w:val="false"/>
          <w:color w:val="000000"/>
          <w:sz w:val="24"/>
          <w:u w:val="single"/>
        </w:rPr>
        <w:t>pro rata</w:t>
      </w:r>
      <w:r>
        <w:rPr>
          <w:color w:val="000000"/>
        </w:rPr>
        <w:t xml:space="preserve"> </w:t>
      </w:r>
      <w:r>
        <w:rPr>
          <w:rFonts w:ascii="Times New Roman;sans-serif" w:hAnsi="Times New Roman;sans-serif"/>
          <w:b w:val="false"/>
          <w:color w:val="000000"/>
          <w:sz w:val="24"/>
        </w:rPr>
        <w:t>and the Equity Interests and/or debt instruments issued by any acquisition vehicle on account of the Obligations that had been assigned to the acquisition vehicle shall automatically be cancelled, without the need for any Secured Party or any acquisition vehicle to take any further action.</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 xml:space="preserve">Section 8.13. </w:t>
      </w:r>
      <w:r>
        <w:rPr>
          <w:rFonts w:ascii="Times New Roman;sans-serif" w:hAnsi="Times New Roman;sans-serif"/>
          <w:b w:val="false"/>
          <w:color w:val="000000"/>
          <w:sz w:val="24"/>
          <w:u w:val="single"/>
        </w:rPr>
        <w:t>Withholding Tax</w:t>
      </w:r>
      <w:r>
        <w:rPr>
          <w:rFonts w:ascii="Times New Roman;sans-serif" w:hAnsi="Times New Roman;sans-serif"/>
          <w:b w:val="false"/>
          <w:color w:val="000000"/>
          <w:sz w:val="24"/>
        </w:rPr>
        <w:t>. To the extent required by any applicable Requirement of Law, the Administrative Agent may withhold from any payment to any Lender an amount equivalent to any applicable withholding Tax. If the IRS or any authority of the United States or other jurisdiction asserts a claim that the Administrative Agent did not properly withhold Tax from amounts paid to or for the account of any Lender for any reason (including because the appropriate form was not delivered, was not properly executed, or because such Lender failed to notify the Administrative Agent of a change in circumstances that rendered the exemption from, or reduction of, withholding Tax ineffective), such Lender shall indemnify the Administrative Agent (to the extent that the Administrative Agent has not already been reimbursed by any applicable Loan Party and without limiting the obligation of any applicable Loan Party to do so) fully for all amounts paid, directly or indirectly, by the Administrative Agent as Tax or otherwise, including penalties, fines, additions to Tax and interest, together with all expenses incurred, including legal expenses, allocated staff costs and any out of pocket expenses. Each Lender hereby authorizes the Administrative Agent to set off and apply any and all amounts at any time owing to such Lender under this Agreement or any other Loan Document against any amount due to the Administrative Agent under this Section 8.13.</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6480175" cy="781050"/>
                <wp:effectExtent l="0" t="0" r="0" b="0"/>
                <wp:wrapNone/>
                <wp:docPr id="401" name="Frame400"/>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199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199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ind w:left="0" w:right="0" w:firstLine="720"/>
        <w:jc w:val="both"/>
        <w:rPr/>
      </w:pPr>
      <w:r>
        <w:rPr>
          <w:rFonts w:ascii="Times New Roman;sans-serif" w:hAnsi="Times New Roman;sans-serif"/>
          <w:b w:val="false"/>
          <w:color w:val="000000"/>
          <w:sz w:val="24"/>
        </w:rPr>
        <w:t xml:space="preserve">Section 8.14. </w:t>
      </w:r>
      <w:r>
        <w:rPr>
          <w:rFonts w:ascii="Times New Roman;sans-serif" w:hAnsi="Times New Roman;sans-serif"/>
          <w:b w:val="false"/>
          <w:color w:val="000000"/>
          <w:sz w:val="24"/>
          <w:u w:val="single"/>
        </w:rPr>
        <w:t>Secured Cash Management Agreements and Secured Hedge Agreements</w:t>
      </w:r>
      <w:r>
        <w:rPr>
          <w:rFonts w:ascii="Times New Roman;sans-serif" w:hAnsi="Times New Roman;sans-serif"/>
          <w:b w:val="false"/>
          <w:color w:val="000000"/>
          <w:sz w:val="24"/>
        </w:rPr>
        <w:t>. No Cash Management Bank or Hedge Bank that obtains the benefits of Section 7.03, any Guarantee or any Collateral by virtue of the provisions hereof or of the Guarantee Agreement or any Security Document shall have any right to notice of any action or to consent to, direct or object to any action hereunder or under any other Loan Document or otherwise in respect of the Collateral (including the release or impairment of any Collateral) other than in its capacity as a Lender and, in such case, only to the extent expressly provided in the Loan Documents. Notwithstanding any other provision of this Article VIII to the contrary, the Administrative Agent shall not be required to verify the payment of, or that other satisfactory arrangements have been made with respect to, Secured Obligations arising under Secured Cash Management Agreements and Secured Hedge Agreements unless the Administrative Agent has received written notice of such Secured Obligations, together with such supporting documentation as the Administrative Agent may reasonably request, from the applicable Cash Management Bank or Hedge Bank, as the case may be.</w:t>
      </w:r>
    </w:p>
    <w:p>
      <w:pPr>
        <w:pStyle w:val="TextBody"/>
        <w:bidi w:val="0"/>
        <w:spacing w:lineRule="auto" w:line="240" w:before="240" w:after="283"/>
        <w:jc w:val="left"/>
        <w:rPr/>
      </w:pPr>
      <w:r>
        <w:rPr>
          <w:rFonts w:ascii="Times New Roman;sans-serif" w:hAnsi="Times New Roman;sans-serif"/>
          <w:b w:val="false"/>
          <w:color w:val="000000"/>
          <w:sz w:val="24"/>
        </w:rPr>
        <w:t xml:space="preserve">Section 8.15. </w:t>
      </w:r>
      <w:r>
        <w:rPr>
          <w:rFonts w:ascii="Times New Roman;sans-serif" w:hAnsi="Times New Roman;sans-serif"/>
          <w:b w:val="false"/>
          <w:color w:val="000000"/>
          <w:sz w:val="24"/>
          <w:u w:val="single"/>
        </w:rPr>
        <w:t>Certain ERISA Matters</w:t>
      </w:r>
      <w:r>
        <w:rPr>
          <w:rFonts w:ascii="Times New Roman;sans-serif" w:hAnsi="Times New Roman;sans-serif"/>
          <w:b w:val="false"/>
          <w:color w:val="000000"/>
          <w:sz w:val="24"/>
        </w:rPr>
        <w:t>.</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(a)Each Lender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or any other Loan Party, that at least one of the following is and will be true:</w:t>
      </w:r>
    </w:p>
    <w:p>
      <w:pPr>
        <w:pStyle w:val="TextBody"/>
        <w:bidi w:val="0"/>
        <w:spacing w:lineRule="auto" w:line="240" w:before="241"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(i)such Lender is not using “plan assets” (within the meaning of Section 3(42) of ERISA or otherwise) of one or more Benefit Plans with respect to such Lender’s entrance into, participation in, administration of and performance of the Loans, the Letters of Credit, the Commitments or this Agreement,</w:t>
      </w:r>
    </w:p>
    <w:p>
      <w:pPr>
        <w:pStyle w:val="TextBody"/>
        <w:bidi w:val="0"/>
        <w:spacing w:lineRule="auto" w:line="276" w:before="240" w:after="283"/>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(ii)the transaction exemption set forth in one or more PTEs, such as PTE 84-</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96- 23 (a class exemption for certain transactions determined by in-house asset managers), is applicable with respect to such Lender’s entrance into, participation in, administration of and performance of the Loans, the Letters of Credit, the Commitments and this Agreement,</w:t>
      </w:r>
    </w:p>
    <w:p>
      <w:pPr>
        <w:pStyle w:val="TextBody"/>
        <w:bidi w:val="0"/>
        <w:spacing w:lineRule="auto" w:line="240" w:before="239"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(iii)(A)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 of Part I of PTE 84-14 are satisfied with respect to such Lender’s entrance into,</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6480175" cy="781050"/>
                <wp:effectExtent l="0" t="0" r="0" b="0"/>
                <wp:wrapNone/>
                <wp:docPr id="402" name="Frame401"/>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200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200</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participation in, administration of and performance of the Loans, the Letters of Credit, the Commitments and this Agreement, or</w:t>
      </w:r>
    </w:p>
    <w:p>
      <w:pPr>
        <w:pStyle w:val="TextBody"/>
        <w:bidi w:val="0"/>
        <w:spacing w:lineRule="auto" w:line="240"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(iv)such other representation, warranty and covenant as may be agreed in writing between the Administrative Agent, in its sole discretion, and such Lender.</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(b)In addition, unless either (1) sub-clause (i) in the immediately preceding clause (a) is true with respect to a Lender or (2) a Lender has provided another representation, warranty and covenant in accordance with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or any other Loan Party, that the Administrative Agent is not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hereto or thereto).</w:t>
      </w:r>
    </w:p>
    <w:p>
      <w:pPr>
        <w:pStyle w:val="TextBody"/>
        <w:bidi w:val="0"/>
        <w:spacing w:lineRule="auto" w:line="240" w:before="240" w:after="283"/>
        <w:jc w:val="left"/>
        <w:rPr/>
      </w:pPr>
      <w:r>
        <w:rPr>
          <w:rFonts w:ascii="Times New Roman;sans-serif" w:hAnsi="Times New Roman;sans-serif"/>
          <w:b w:val="false"/>
          <w:color w:val="000000"/>
          <w:sz w:val="24"/>
        </w:rPr>
        <w:t xml:space="preserve">Section 8.16. </w:t>
      </w:r>
      <w:r>
        <w:rPr>
          <w:rFonts w:ascii="Times New Roman;sans-serif" w:hAnsi="Times New Roman;sans-serif"/>
          <w:b w:val="false"/>
          <w:color w:val="000000"/>
          <w:sz w:val="24"/>
          <w:u w:val="single"/>
        </w:rPr>
        <w:t>Erroneous Payments</w:t>
      </w:r>
      <w:r>
        <w:rPr>
          <w:rFonts w:ascii="Times New Roman;sans-serif" w:hAnsi="Times New Roman;sans-serif"/>
          <w:b w:val="false"/>
          <w:color w:val="000000"/>
          <w:sz w:val="24"/>
        </w:rPr>
        <w:t>.</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(a)Each Lender and each Issuing Bank hereby agrees that (i) if the Administrative Agent notifies such Lender or Issuing Bank that the Administrative Agent has determined in its sole discretion that any funds received by such Lender or Issuing Bank from the Administrative Agent or any of its Affiliates were erroneously transmitted to, or otherwise erroneously or mistakenly received by, such Lender or Issuing Bank (whether or not known to such Lender or Issuing Bank) (whether as a payment, prepayment or repayment of principal, interest, fees or otherwise; individually and collectively, a “</w:t>
      </w:r>
      <w:r>
        <w:rPr>
          <w:rFonts w:ascii="Times New Roman;sans-serif" w:hAnsi="Times New Roman;sans-serif"/>
          <w:b w:val="false"/>
          <w:color w:val="000000"/>
          <w:sz w:val="24"/>
          <w:u w:val="single"/>
        </w:rPr>
        <w:t>Erroneous Payment</w:t>
      </w:r>
      <w:r>
        <w:rPr>
          <w:color w:val="000000"/>
        </w:rPr>
        <w:t>”</w:t>
      </w:r>
      <w:r>
        <w:rPr>
          <w:rFonts w:ascii="Times New Roman;sans-serif" w:hAnsi="Times New Roman;sans-serif"/>
          <w:b w:val="false"/>
          <w:color w:val="000000"/>
          <w:sz w:val="24"/>
        </w:rPr>
        <w:t>) and demands the return of such Erroneous Payment (or a portion thereof), such Lender or Issuing Bank shall promptly, but in no event later than one Business Day thereafter, return to the Administrative Agent the amount of any such Erroneous Payment (or portion thereof) as to which such a demand was made, in same day funds (in the currency so received), together with interest thereon (except to the extent waived in writing by the Administrative Agent) in respect of each day from and including the date such Erroneous Payment (or portion thereof) was received by such Lender or Issuing Bank to the date such amount is repaid to the Administrative Agent in same day funds at the greater of the Federal Funds Rate and a rate determined by the Administrative Agent in accordance with banking industry rules on interbank compensation from time to time in effect and (ii) to the extent permitted by applicable law, such Lender or Issuing Bank shall not assert any right or claim to the Erroneous Payment, and hereby waives, any claim, counterclaim, defense or right of set-off or recoupment with respect to any demand, claim or counterclaim by the Administrative Agent for the return of any Erroneous Payments received, including without limitation waiver of any defense based on “discharge for value” or any similar doctrine. A notice of the Administrative Agent to any Lender or any Issuing Bank under this clause (a) shall be conclusive, absent manifest error.</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(b)Without limiting immediately preceding clause (a), each Lender and each Issuing Bank hereby further agrees that if it receives an Erroneous Payment from the Administrative Agent (or any of its Affiliates) (x) that is in a different amount than, or on a different date from, that</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6480175" cy="781050"/>
                <wp:effectExtent l="0" t="0" r="0" b="0"/>
                <wp:wrapNone/>
                <wp:docPr id="403" name="Frame402"/>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201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201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jc w:val="both"/>
        <w:rPr/>
      </w:pPr>
      <w:r>
        <w:rPr>
          <w:rFonts w:ascii="Times New Roman;sans-serif" w:hAnsi="Times New Roman;sans-serif"/>
          <w:b w:val="false"/>
          <w:color w:val="000000"/>
          <w:sz w:val="24"/>
        </w:rPr>
        <w:t>specified in a notice of payment sent by the Administrative Agent (or any of its Affiliates) with respect to such Erroneous Payment (an “</w:t>
      </w:r>
      <w:r>
        <w:rPr>
          <w:rFonts w:ascii="Times New Roman;sans-serif" w:hAnsi="Times New Roman;sans-serif"/>
          <w:b w:val="false"/>
          <w:color w:val="000000"/>
          <w:sz w:val="24"/>
          <w:u w:val="single"/>
        </w:rPr>
        <w:t>Erroneous Payment Notice</w:t>
      </w:r>
      <w:r>
        <w:rPr>
          <w:color w:val="000000"/>
        </w:rPr>
        <w:t>”</w:t>
      </w:r>
      <w:r>
        <w:rPr>
          <w:rFonts w:ascii="Times New Roman;sans-serif" w:hAnsi="Times New Roman;sans-serif"/>
          <w:b w:val="false"/>
          <w:color w:val="000000"/>
          <w:sz w:val="24"/>
        </w:rPr>
        <w:t>), (y) that was not preceded or accompanied by an Erroneous Payment Notice, or (z) that such Lender or Issuing Bank otherwise becomes aware was transmitted, or received, in error or by mistake (in whole or in part), in each case, an error has been made (and that it is deemed to have knowledge of such error at the time of receipt of such Erroneous Payment) with respect to such Erroneous Payment, and to the extent permitted by applicable law, such Lender or Issuing Bank shall not assert any right or claim to the Erroneous Payment, and hereby waives, any claim, counterclaim, defense or right of set-off or recoupment with respect to any demand, claim or counterclaim by the Administrative Agent for the return of any Erroneous Payments received, including without limitation waiver of any defense based on “discharge for value” or any similar doctrine. Each Lender and each Issuing Bank agrees that, in each such case, it shall promptly (and, in all events, within one Business Day of its knowledge (or deemed knowledge) of such error) notify the Administrative Agent of such occurrence and, upon demand from the Administrative Agent, it shall promptly, but in all events no later than one Business Day thereafter, return to the Administrative Agent the amount of any such Erroneous Payment (or portion thereof) as to which such a demand was made in same day funds (in the currency so received), together with interest thereon (except to the extent waived in writing by the Administrative Agent) in respect of each day from and including the date such Erroneous Payment (or portion thereof) was received by such Lender or Issuing Bank to the date such amount is repaid to the Administrative Agent in same day funds at the greater of the Federal Funds Rate and a rate determined by the Administrative Agent in accordance with banking industry rules on interbank compensation from time to time in effect, shall cause each of the Guarantors to agree that (x) in the event an Erroneous Payment (or portion thereof) is not recovered from any Lender or Issuing Bank that has received such Erroneous Payment (or portion thereof) for any reason, the Administrative Agent shall be subrogated to all the rights of such Lender or Issuing Bank with respect to such amount and (y) an Erroneous Payment shall not pay, prepay, repay, discharge or otherwise satisfy any Obligations owed by the Borrower or any other Loan Party.</w:t>
      </w:r>
    </w:p>
    <w:p>
      <w:pPr>
        <w:pStyle w:val="TextBody"/>
        <w:bidi w:val="0"/>
        <w:spacing w:lineRule="auto" w:line="240" w:before="239"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(c)Each party’s obligations under this Section 8.16 shall survive the resignation or replacement of the Administrative Agent, the termination of the Commitments or the repayment, satisfaction or discharge of all Obligations (or any portion thereof) under any Loan Document.</w:t>
      </w:r>
    </w:p>
    <w:p>
      <w:pPr>
        <w:pStyle w:val="TextBody"/>
        <w:bidi w:val="0"/>
        <w:spacing w:lineRule="auto" w:line="240" w:before="241"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ARTICLE IX</w:t>
      </w:r>
    </w:p>
    <w:p>
      <w:pPr>
        <w:pStyle w:val="TextBody"/>
        <w:bidi w:val="0"/>
        <w:spacing w:lineRule="auto" w:line="520" w:before="276" w:after="283"/>
        <w:ind w:left="0" w:right="0" w:firstLine="3266"/>
        <w:jc w:val="both"/>
        <w:rPr/>
      </w:pPr>
      <w:r>
        <w:rPr>
          <w:rFonts w:ascii="Times New Roman;sans-serif" w:hAnsi="Times New Roman;sans-serif"/>
          <w:b w:val="false"/>
          <w:color w:val="000000"/>
          <w:sz w:val="24"/>
          <w:u w:val="single"/>
        </w:rPr>
        <w:t>Miscellaneous</w:t>
      </w:r>
      <w:r>
        <w:rPr>
          <w:color w:val="000000"/>
        </w:rPr>
        <w:t xml:space="preserve"> </w:t>
      </w:r>
      <w:r>
        <w:rPr>
          <w:rFonts w:ascii="Times New Roman;sans-serif" w:hAnsi="Times New Roman;sans-serif"/>
          <w:b w:val="false"/>
          <w:color w:val="000000"/>
          <w:sz w:val="24"/>
        </w:rPr>
        <w:t xml:space="preserve">Section 9.01. </w:t>
      </w:r>
      <w:r>
        <w:rPr>
          <w:rFonts w:ascii="Times New Roman;sans-serif" w:hAnsi="Times New Roman;sans-serif"/>
          <w:b w:val="false"/>
          <w:color w:val="000000"/>
          <w:sz w:val="24"/>
          <w:u w:val="single"/>
        </w:rPr>
        <w:t>Notices; Communications</w:t>
      </w:r>
      <w:r>
        <w:rPr>
          <w:rFonts w:ascii="Times New Roman;sans-serif" w:hAnsi="Times New Roman;sans-serif"/>
          <w:b w:val="false"/>
          <w:color w:val="000000"/>
          <w:sz w:val="24"/>
        </w:rPr>
        <w:t>.</w:t>
      </w:r>
    </w:p>
    <w:p>
      <w:pPr>
        <w:pStyle w:val="TextBody"/>
        <w:bidi w:val="0"/>
        <w:spacing w:lineRule="auto" w:line="240"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(a)Except in the case of notices and other communications expressly permitted to be given by telephone (and except as provided in Section 9.01(b) below), all notices and other communications provided for herein shall be in writing and shall be delivered by hand or overnight courier service, mailed by certified or registered mail or sent by telecopier or other electronic means as follows, and all notices and other communications expressly permitted hereunder to be given by telephone shall be made to the applicable telephone number, as follows:</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6480175" cy="781050"/>
                <wp:effectExtent l="0" t="0" r="0" b="0"/>
                <wp:wrapNone/>
                <wp:docPr id="404" name="Frame403"/>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202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202</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ind w:left="0" w:right="0" w:firstLine="720"/>
        <w:jc w:val="both"/>
        <w:rPr/>
      </w:pPr>
      <w:r>
        <w:rPr>
          <w:rFonts w:ascii="Times New Roman;sans-serif" w:hAnsi="Times New Roman;sans-serif"/>
          <w:b w:val="false"/>
          <w:color w:val="000000"/>
          <w:sz w:val="24"/>
        </w:rPr>
        <w:t xml:space="preserve">(i)if to any Loan Party or the Administrative Agent, any Issuing Bank as of the Closing Date or the Swingline Lender to the address, telecopier number, electronic mail address or telephone number specified for such person on </w:t>
      </w:r>
      <w:r>
        <w:rPr>
          <w:rFonts w:ascii="Times New Roman;sans-serif" w:hAnsi="Times New Roman;sans-serif"/>
          <w:b w:val="false"/>
          <w:color w:val="000000"/>
          <w:sz w:val="24"/>
          <w:u w:val="single"/>
        </w:rPr>
        <w:t>Schedule 9.01</w:t>
      </w:r>
      <w:r>
        <w:rPr>
          <w:rFonts w:ascii="Times New Roman;sans-serif" w:hAnsi="Times New Roman;sans-serif"/>
          <w:b w:val="false"/>
          <w:color w:val="000000"/>
          <w:sz w:val="24"/>
        </w:rPr>
        <w:t>; and</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(ii)if to any other Lender or Issuing Bank, to the address, telecopier number, electronic mail address or telephone number specified in its Administrative Questionnaire.</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 xml:space="preserve">(b)Notices and other communications to the Lenders and the Issuing Bank hereunder may be delivered or furnished by electronic communication (including e-mail and Internet or intranet websites) pursuant to procedures approved by the Administrative Agent;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that the foregoing shall not apply to notices to any Lender or Issuing Bank pursuant to Article II if such Lender or Issuing Bank, as applicable, has notified the Administrative Agent that it is incapable of receiving notices under such Article by electronic communication. The Administrative Agent or the Borrower may, in their discretion, agree to accept notices and other communications to it hereunder by electronic communications pursuant to procedures approved by them,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that approval of such procedures may be limited to particular notices or communications.</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(c)Notices sent by hand or overnight courier service, or mailed by certified or registered mail, shall be deemed to have been given when received. Notices sent by telecopier shall be deemed to have been given when sent (except that, if not given during normal business hours for the recipient, shall be deemed to have been given at the opening of business on the next Business Day for the recipient). Notices delivered through electronic communications to the extent provided in Section 9.01(b) above shall be effective as provided in such Section 9.01(b).</w:t>
      </w:r>
    </w:p>
    <w:p>
      <w:pPr>
        <w:pStyle w:val="TextBody"/>
        <w:bidi w:val="0"/>
        <w:spacing w:lineRule="auto" w:line="240" w:before="241"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(d)Any party hereto may change its address or telecopy number for notices and other communications hereunder by notice to the other parties hereto.</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 xml:space="preserve">(e)Documents required to be delivered pursuant to Section 5.04 may be delivered electronically (including as set forth in Section 9.17) and if so delivered, shall be deemed to have been delivered on the date (i) on which the Borrower posts such documents, or provides a link thereto on the Borrower’s website on the Internet at the website address listed on </w:t>
      </w:r>
      <w:r>
        <w:rPr>
          <w:rFonts w:ascii="Times New Roman;sans-serif" w:hAnsi="Times New Roman;sans-serif"/>
          <w:b w:val="false"/>
          <w:color w:val="000000"/>
          <w:sz w:val="24"/>
          <w:u w:val="single"/>
        </w:rPr>
        <w:t>Schedule 9.01</w:t>
      </w:r>
      <w:r>
        <w:rPr>
          <w:rFonts w:ascii="Times New Roman;sans-serif" w:hAnsi="Times New Roman;sans-serif"/>
          <w:b w:val="false"/>
          <w:color w:val="000000"/>
          <w:sz w:val="24"/>
        </w:rPr>
        <w:t xml:space="preserve">, or (ii) on which such documents are posted on the Borrower’s behalf on an Internet or intranet website, if any, to which each Lender and the Administrative Agent have access (whether a commercial, third-party website or whether sponsored by the Administrative Agent);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that (A) the Borrower shall deliver paper copies of such documents to the Administrative Agent or any Lender that requests the Borrower to deliver such paper copies until a written request to cease delivering paper copies is given by the Administrative Agent or such Lender and (B) the Borrower shall notify the Administrative Agent (by telecopier or electronic mail) of the posting of any such documents and provide to the Administrative Agent by electronic mail electronic versions (i.e., soft copies) of such documents. Except for such certificates required by Section 5.04(c), the Administrative Agent shall have no obligation to request the delivery or to maintain copies of the documents referred to above, and in any event shall have no responsibility to monitor compliance by the Borrower with any such request for delivery, and each Lender shall be solely responsible for requesting delivery to it or maintaining its copies of such documents.</w:t>
      </w:r>
    </w:p>
    <w:p>
      <w:pPr>
        <w:pStyle w:val="TextBody"/>
        <w:bidi w:val="0"/>
        <w:spacing w:lineRule="auto" w:line="240" w:before="239" w:after="283"/>
        <w:ind w:left="0" w:right="0" w:firstLine="720"/>
        <w:jc w:val="left"/>
        <w:rPr/>
      </w:pPr>
      <w:r>
        <w:rPr>
          <w:rFonts w:ascii="Times New Roman;sans-serif" w:hAnsi="Times New Roman;sans-serif"/>
          <w:b w:val="false"/>
          <w:color w:val="000000"/>
          <w:sz w:val="24"/>
        </w:rPr>
        <w:t xml:space="preserve">Section 9.02. </w:t>
      </w:r>
      <w:r>
        <w:rPr>
          <w:rFonts w:ascii="Times New Roman;sans-serif" w:hAnsi="Times New Roman;sans-serif"/>
          <w:b w:val="false"/>
          <w:color w:val="000000"/>
          <w:sz w:val="24"/>
          <w:u w:val="single"/>
        </w:rPr>
        <w:t>Survival of Agreement</w:t>
      </w:r>
      <w:r>
        <w:rPr>
          <w:rFonts w:ascii="Times New Roman;sans-serif" w:hAnsi="Times New Roman;sans-serif"/>
          <w:b w:val="false"/>
          <w:color w:val="000000"/>
          <w:sz w:val="24"/>
        </w:rPr>
        <w:t>. All covenants, agreements, representations and warranties made by the Loan Parties herein, in the other Loan Documents and in the certificates</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6480175" cy="781050"/>
                <wp:effectExtent l="0" t="0" r="0" b="0"/>
                <wp:wrapNone/>
                <wp:docPr id="405" name="Frame404"/>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203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203</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60" w:after="283"/>
        <w:jc w:val="both"/>
        <w:rPr>
          <w:rFonts w:ascii="Times New Roman;sans-serif" w:hAnsi="Times New Roman;sans-serif"/>
          <w:b w:val="false"/>
          <w:color w:val="000000"/>
          <w:sz w:val="24"/>
        </w:rPr>
      </w:pPr>
      <w:r>
        <w:rPr>
          <w:rFonts w:ascii="Times New Roman;sans-serif" w:hAnsi="Times New Roman;sans-serif"/>
          <w:b w:val="false"/>
          <w:color w:val="000000"/>
          <w:sz w:val="24"/>
        </w:rPr>
        <w:t>or other instruments prepared or delivered in connection with or pursuant to this Agreement or any other Loan Document shall be considered to have been relied upon by the other parties hereto and shall survive the making by the Lenders of the Loans and the execution and delivery of the Loan Documents and the issuance of the Letters of Credit, regardless of any investigation made by such persons or on their behalf, and shall continue in full force and effect until the Termination Date. Without prejudice to the survival of any other agreements contained herein, the provisions of Sections 2.15, 2.16, 2.17, 9.05, 9.16 and 9.22 and Article VIII shall survive and remain in full force and effect regardless of the consummation of the transactions contemplated hereby, the repayment of the Loans, the occurrence of the Termination Date or the termination of this Agreement or any other Loan Document or any provision hereof or thereof.</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 xml:space="preserve">Section 9.03. </w:t>
      </w:r>
      <w:r>
        <w:rPr>
          <w:rFonts w:ascii="Times New Roman;sans-serif" w:hAnsi="Times New Roman;sans-serif"/>
          <w:b w:val="false"/>
          <w:color w:val="000000"/>
          <w:sz w:val="24"/>
          <w:u w:val="single"/>
        </w:rPr>
        <w:t>Binding Effect</w:t>
      </w:r>
      <w:r>
        <w:rPr>
          <w:rFonts w:ascii="Times New Roman;sans-serif" w:hAnsi="Times New Roman;sans-serif"/>
          <w:b w:val="false"/>
          <w:color w:val="000000"/>
          <w:sz w:val="24"/>
        </w:rPr>
        <w:t>. This Agreement shall become effective when it shall have been executed by the Borrower and the Administrative Agent and when the Administrative Agent shall have received copies hereof which, when taken together, bear the signatures of each of the other parties hereto, and thereafter shall be binding upon and inure to the benefit of the Borrower, the Administrative Agent, each Issuing Bank, each Swingline Lender, and each Lender and their respective permitted successors and assigns.</w:t>
      </w:r>
    </w:p>
    <w:p>
      <w:pPr>
        <w:pStyle w:val="TextBody"/>
        <w:bidi w:val="0"/>
        <w:spacing w:lineRule="auto" w:line="240" w:before="240" w:after="283"/>
        <w:jc w:val="left"/>
        <w:rPr/>
      </w:pPr>
      <w:r>
        <w:rPr>
          <w:rFonts w:ascii="Times New Roman;sans-serif" w:hAnsi="Times New Roman;sans-serif"/>
          <w:b w:val="false"/>
          <w:color w:val="000000"/>
          <w:sz w:val="24"/>
        </w:rPr>
        <w:t xml:space="preserve">Section 9.04. </w:t>
      </w:r>
      <w:r>
        <w:rPr>
          <w:rFonts w:ascii="Times New Roman;sans-serif" w:hAnsi="Times New Roman;sans-serif"/>
          <w:b w:val="false"/>
          <w:color w:val="000000"/>
          <w:sz w:val="24"/>
          <w:u w:val="single"/>
        </w:rPr>
        <w:t>Successors and Assigns</w:t>
      </w:r>
      <w:r>
        <w:rPr>
          <w:rFonts w:ascii="Times New Roman;sans-serif" w:hAnsi="Times New Roman;sans-serif"/>
          <w:b w:val="false"/>
          <w:color w:val="000000"/>
          <w:sz w:val="24"/>
        </w:rPr>
        <w:t>.</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(a)The provisions of this Agreement shall be binding upon and inure to the benefit of the parties hereto and their respective successors and assigns permitted hereby (including any Affiliate of any Issuing Bank that issues any Letter of Credit), except that (i) other than as permitted by Section 6.05(q), the Borrower may not assign or otherwise transfer any of its rights or obligations hereunder without the prior written consent of each Lender (and any attempted assignment or transfer by the Borrower without such consent shall be null and void) and (ii) no Lender may assign or otherwise transfer its rights or obligations hereunder except in accordance with this Section 9.04. Nothing in this Agreement, expressed or implied, shall be construed to confer upon any person (other than the parties hereto, their respective successors and assigns permitted hereby (including any Affiliate of any Issuing Bank that issues any Letter of Credit), Participants (to the extent provided in clause (c) of this Section 9.04), and, to the extent expressly contemplated hereby, the Related Parties of each of the Agents, the Issuing Banks and the Lenders) any legal or equitable right, remedy or claim under or by reason of this Agreement or the other Loan Documents.</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(b)(i) Subject to the conditions set forth in subclause (ii) below, any Lender may assign to one or more assignees (each, an “</w:t>
      </w:r>
      <w:r>
        <w:rPr>
          <w:rFonts w:ascii="Times New Roman;sans-serif" w:hAnsi="Times New Roman;sans-serif"/>
          <w:b w:val="false"/>
          <w:color w:val="000000"/>
          <w:sz w:val="24"/>
          <w:u w:val="single"/>
        </w:rPr>
        <w:t>Assignee</w:t>
      </w:r>
      <w:r>
        <w:rPr>
          <w:color w:val="000000"/>
        </w:rPr>
        <w:t>”</w:t>
      </w:r>
      <w:r>
        <w:rPr>
          <w:rFonts w:ascii="Times New Roman;sans-serif" w:hAnsi="Times New Roman;sans-serif"/>
          <w:b w:val="false"/>
          <w:color w:val="000000"/>
          <w:sz w:val="24"/>
        </w:rPr>
        <w:t>) all or a portion of its rights and obligations under this Agreement (including all or a portion of its Commitments and the Loans at the time owing to it) with the prior written consent of:</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 xml:space="preserve">(A)the Borrower (such consent not to be unreasonably withheld, delayed or conditioned), which consent will be deemed to have been given if the Borrower has not responded within ten (10) Business Days after the delivery of any request for such consent;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that no consent of the Borrower shall be required (x) for an assignment in connection with the primary syndication of the Facilities previously identified to and consented to (such consent not to be unreasonably withheld, delayed or conditioned) by the Borrower, (y) for an</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6480175" cy="781050"/>
                <wp:effectExtent l="0" t="0" r="0" b="0"/>
                <wp:wrapNone/>
                <wp:docPr id="406" name="Frame405"/>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204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204</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jc w:val="both"/>
        <w:rPr>
          <w:rFonts w:ascii="Times New Roman;sans-serif" w:hAnsi="Times New Roman;sans-serif"/>
          <w:b w:val="false"/>
          <w:color w:val="000000"/>
          <w:sz w:val="24"/>
        </w:rPr>
      </w:pPr>
      <w:r>
        <w:rPr>
          <w:rFonts w:ascii="Times New Roman;sans-serif" w:hAnsi="Times New Roman;sans-serif"/>
          <w:b w:val="false"/>
          <w:color w:val="000000"/>
          <w:sz w:val="24"/>
        </w:rPr>
        <w:t>assignment of a Term Loan to a Lender, an Affiliate of a Lender, an Approved Fund (as defined below), or for an assignment of a Revolving Facility Commitment or Revolving Facility Loan to a Revolving Facility Lender, an Affiliate of a Revolving Facility Lender or Approved Fund with respect to a Revolving Facility Lender or</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(z) if an Event of Default under Section 7.01(b), (c), (h) or (i) has occurred and is continuing, for an assignment to any person;</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 xml:space="preserve">(B)the Administrative Agent (such consent not to be unreasonably withheld or delayed);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that no consent of the Administrative Agent shall be required for an assignment of all or any portion of a Term Loan to (x) a Lender, an Affiliate of a Lender, or an Approved Fund, or (y) the Borrower or an Affiliate of the Borrower made in accordance with Section 2.25; and</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 xml:space="preserve">(C)each Issuing Bank and the Swingline Lender (such consent, in each case, not to be unreasonably withheld or delayed);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that no consent of any Issuing Bank or the Swingline Lender shall be required for an assignment of all or any portion of a Term Loan.</w:t>
      </w:r>
    </w:p>
    <w:p>
      <w:pPr>
        <w:pStyle w:val="TextBody"/>
        <w:bidi w:val="0"/>
        <w:spacing w:lineRule="auto" w:line="240"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(ii)Assignments (other than pursuant to Section 2.25) shall be subject to the following additional conditions:</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(A)except in the case of an assignment to a Lender, an Affiliate of a Lender or an Approved Fund or an assignment of the entire remaining amount of the assigning Lender’s Commitments or Loans under any Facility, the amount of the applicable Commitments or Loans of the assigning Lender subject to each such assignment (determined as of the date the Assignment and Acceptance with respect to such assignment is delivered to the Administrative Agent) shall not be less than</w:t>
      </w:r>
    </w:p>
    <w:p>
      <w:pPr>
        <w:pStyle w:val="TextBody"/>
        <w:bidi w:val="0"/>
        <w:spacing w:lineRule="auto" w:line="240" w:before="1" w:after="283"/>
        <w:jc w:val="both"/>
        <w:rPr/>
      </w:pPr>
      <w:r>
        <w:rPr>
          <w:rFonts w:ascii="Times New Roman;sans-serif" w:hAnsi="Times New Roman;sans-serif"/>
          <w:b w:val="false"/>
          <w:color w:val="000000"/>
          <w:sz w:val="24"/>
        </w:rPr>
        <w:t xml:space="preserve">(x) $1,000,000 or an integral multiple of $1,000,000 in excess thereof in the case of Term Loans and (y) $5,000,000 or an integral multiple of $1,000,000 in excess thereof in the case of Revolving Facility Loans or Revolving Facility Commitments, unless each of the Borrower and the Administrative Agent otherwise consent, which consent will be deemed to have been given if the Borrower has not responded within ten (10) Business Days after the delivery of any request for such consent;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that no such consent of the Borrower shall be required if an Event of Default under Section 7.01(b), (c), (h) or (i) has occurred and is continuing;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that such amounts shall be aggregated in respect of each Lender and its Affiliates or Approved Funds (with simultaneous assignments to or by two or more Related Funds being treated as one assignment), if any;</w:t>
      </w:r>
    </w:p>
    <w:p>
      <w:pPr>
        <w:pStyle w:val="TextBody"/>
        <w:bidi w:val="0"/>
        <w:spacing w:lineRule="auto" w:line="240" w:before="239" w:after="283"/>
        <w:ind w:left="0" w:right="0" w:firstLine="720"/>
        <w:jc w:val="both"/>
        <w:rPr/>
      </w:pPr>
      <w:r>
        <w:rPr>
          <w:rFonts w:ascii="Times New Roman;sans-serif" w:hAnsi="Times New Roman;sans-serif"/>
          <w:b w:val="false"/>
          <w:color w:val="000000"/>
          <w:sz w:val="24"/>
        </w:rPr>
        <w:t xml:space="preserve">(B)each partial assignment shall be made as an assignment of a proportionate part of all the assigning Lender’s rights and obligations under this Agreement;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that this clause shall not be construed to prohibit the assignment of a proportionate part of all the assigning Lender’s rights and obligations in respect of one Class of Commitments or Loans;</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6480175" cy="781050"/>
                <wp:effectExtent l="0" t="0" r="0" b="0"/>
                <wp:wrapNone/>
                <wp:docPr id="407" name="Frame406"/>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205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205</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(C)the parties to each assignment shall (1) execute and deliver to the Administrative Agent an Assignment and Acceptance and any form required to be delivered pursuant to Section 2.17 via an electronic settlement system acceptable to the Administrative Agent or (2) if previously agreed with the Administrative Agent, manually execute and deliver to the Administrative Agent an Assignment and Acceptance, in each case together with a processing and recordation fee of</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$3,500 (which fee may be waived or reduced in the sole discretion of the Administrative Agent);</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(D)the Assignee, if it shall not be a Lender, shall deliver to the Administrative Agent an Administrative Questionnaire in which the assignee designates one or more credit contacts to whom all syndicate-level information (which may contain material non-public information about the Borrower and its Affiliates and their Related Parties or their respective securities) will be made available and who may receive such information in accordance with the assignee’s compliance procedures and applicable laws, including Federal and state securities laws; and</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(E)the Assignee shall not be (i) the Borrower or any of the Borrower’s Affiliates or Subsidiaries except with respect to assignments to the Borrower in accordance with Section 2.25, (ii) any Disqualified Lender (subject to Section 9.04(h)), (iii) a natural person or (iv) a Defaulting Lender.</w:t>
      </w:r>
    </w:p>
    <w:p>
      <w:pPr>
        <w:pStyle w:val="TextBody"/>
        <w:bidi w:val="0"/>
        <w:spacing w:lineRule="auto" w:line="240" w:before="241" w:after="283"/>
        <w:ind w:left="0" w:right="0" w:firstLine="720"/>
        <w:jc w:val="both"/>
        <w:rPr/>
      </w:pPr>
      <w:r>
        <w:rPr>
          <w:rFonts w:ascii="Times New Roman;sans-serif" w:hAnsi="Times New Roman;sans-serif"/>
          <w:b w:val="false"/>
          <w:color w:val="000000"/>
          <w:sz w:val="24"/>
        </w:rPr>
        <w:t>For the purposes of this Section 9.04, “</w:t>
      </w:r>
      <w:r>
        <w:rPr>
          <w:rFonts w:ascii="Times New Roman;sans-serif" w:hAnsi="Times New Roman;sans-serif"/>
          <w:b w:val="false"/>
          <w:color w:val="000000"/>
          <w:sz w:val="24"/>
          <w:u w:val="single"/>
        </w:rPr>
        <w:t>Approved Fund</w:t>
      </w:r>
      <w:r>
        <w:rPr>
          <w:color w:val="000000"/>
        </w:rPr>
        <w:t xml:space="preserve">” </w:t>
      </w:r>
      <w:r>
        <w:rPr>
          <w:rFonts w:ascii="Times New Roman;sans-serif" w:hAnsi="Times New Roman;sans-serif"/>
          <w:b w:val="false"/>
          <w:color w:val="000000"/>
          <w:sz w:val="24"/>
        </w:rPr>
        <w:t>means any person (other than a natural person) that is engaged in making, purchasing or holding bank loans and similar extensions of credit in the ordinary course and that is administered or managed by (a) a Lender, (b) an Affiliate of a Lender or (c) an entity or an Affiliate of an entity that administers or manages a Lender.</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Notwithstanding the foregoing or anything to the contrary herein, no Lender shall be permitted to assign or transfer any portion of its rights and obligations under this Agreement (A) with respect to the Initial Term Loan Commitments and Initial Term Loans, prior to the funding of the Initial Term Loans on the Closing Date and (B) with respect to the Revolving Facility Commitments, prior to the funding of all Revolving Facility Loans requested by the Borrower on the Closing Date, in each case, to any person, unless consented to by the Borrower. Any assigning Lender shall, in connection with any potential assignment, provide to the Borrower a copy of its request (including the name of the prospective assignee) concurrently with its delivery of the same request to the Administrative Agent irrespective of whether or not a Default or an Event of Default has occurred and is continuing.</w:t>
      </w:r>
    </w:p>
    <w:p>
      <w:pPr>
        <w:pStyle w:val="TextBody"/>
        <w:bidi w:val="0"/>
        <w:spacing w:lineRule="auto" w:line="240" w:before="239"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(iii)Subject to acceptance and recording thereof pursuant to subclause (v) below, from and after the effective date specified in each Assignment and Acceptance the Assignee thereunder shall be a party hereto and, to the extent of the interest assigned by such Assignment and Acceptance, have the rights and obligations of a Lender under this Agreement, and the assigning Lender thereunder shall, to the extent of the interest assigned by such Assignment and Acceptance, be released from its obligations under this Agreement (and, in the case of an Assignment and Acceptance covering all of the assigning Lender’s rights and obligations under this Agreement, such Lender shall cease to be a party hereto</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6480175" cy="781050"/>
                <wp:effectExtent l="0" t="0" r="0" b="0"/>
                <wp:wrapNone/>
                <wp:docPr id="408" name="Frame407"/>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206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206</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jc w:val="both"/>
        <w:rPr>
          <w:rFonts w:ascii="Times New Roman;sans-serif" w:hAnsi="Times New Roman;sans-serif"/>
          <w:b w:val="false"/>
          <w:color w:val="000000"/>
          <w:sz w:val="24"/>
        </w:rPr>
      </w:pPr>
      <w:r>
        <w:rPr>
          <w:rFonts w:ascii="Times New Roman;sans-serif" w:hAnsi="Times New Roman;sans-serif"/>
          <w:b w:val="false"/>
          <w:color w:val="000000"/>
          <w:sz w:val="24"/>
        </w:rPr>
        <w:t>but shall continue to be entitled to the benefits of Sections 2.15, 2.16, 2.17 and 9.05 (subject to the limitations and requirements of those Sections, including, without limitation, the requirements of Sections 2.17(d) and 2.17(f)) and continue to be bound by the requirements of Section 9.16). Any assignment or transfer by a Lender of rights or obligations under this Agreement that does not comply with this Section 9.04 shall be treated for purposes of this Agreement as a sale by such Lender of a participation in such rights and obligations in accordance with clause (c) of this Section 9.04 (except to the extent such participation is not permitted by such clause (c) of this Section 9.04, in which case such assignment or transfer shall be null and void).</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(iv)The Administrative Agent, acting solely for this purpose as a non-fiduciary agent of the Borrower, shall maintain at one of its offices a copy of each Assignment and Acceptance delivered to it and a register for the recordation of the names and addresses of the Lenders, and the Commitments of, and principal and interest amounts of the Loans and Revolving L/C Exposure owing to, each Lender pursuant to the terms hereof from time to time (the “</w:t>
      </w:r>
      <w:r>
        <w:rPr>
          <w:rFonts w:ascii="Times New Roman;sans-serif" w:hAnsi="Times New Roman;sans-serif"/>
          <w:b w:val="false"/>
          <w:color w:val="000000"/>
          <w:sz w:val="24"/>
          <w:u w:val="single"/>
        </w:rPr>
        <w:t>Register</w:t>
      </w:r>
      <w:r>
        <w:rPr>
          <w:color w:val="000000"/>
        </w:rPr>
        <w:t>”</w:t>
      </w:r>
      <w:r>
        <w:rPr>
          <w:rFonts w:ascii="Times New Roman;sans-serif" w:hAnsi="Times New Roman;sans-serif"/>
          <w:b w:val="false"/>
          <w:color w:val="000000"/>
          <w:sz w:val="24"/>
        </w:rPr>
        <w:t>). The entries in the Register shall be conclusive absent manifest error, and the Borrower, the Administrative Agent, the Issuing Banks, the Swingline Lender and the Lenders shall treat each person whose name is recorded in the Register pursuant to the terms hereof as a Lender hereunder for all purposes of this Agreement, notwithstanding notice to the contrary. The Register shall be available for inspection by the Borrower, and, in each case with respect to itself, any Issuing Bank, the Swingline Lender and any Lender, at any reasonable time and from time to time upon reasonable prior notice.</w:t>
      </w:r>
    </w:p>
    <w:p>
      <w:pPr>
        <w:pStyle w:val="TextBody"/>
        <w:bidi w:val="0"/>
        <w:spacing w:lineRule="auto" w:line="240" w:before="241" w:after="283"/>
        <w:ind w:left="0" w:right="0" w:firstLine="720"/>
        <w:jc w:val="both"/>
        <w:rPr/>
      </w:pPr>
      <w:r>
        <w:rPr>
          <w:rFonts w:ascii="Times New Roman;sans-serif" w:hAnsi="Times New Roman;sans-serif"/>
          <w:b w:val="false"/>
          <w:color w:val="000000"/>
          <w:sz w:val="24"/>
        </w:rPr>
        <w:t xml:space="preserve">(v)Upon its receipt of a duly completed Assignment and Acceptance executed by an assigning Lender and an Assignee, the Assignee’s completed Administrative Questionnaire (unless the Assignee shall already be a Lender hereunder), the processing and recordation fee referred to in clause (b)(ii)(C) of this Section 9.04, if applicable, and any written consent to such assignment required by clause (b) of this Section 9.04, the Administrative Agent shall accept such Assignment and Acceptance and promptly record the information contained therein in the Register;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that if either the assigning Lender or the assignee shall have failed to make any payment required to be made by it pursuant to Section 2.04(c), 2.05(d) or (e), 2.06(b), 2.18(c) or 8.07, the Administrative Agent shall have no obligation to accept such Assignment and Acceptance and record the information therein in the Register unless and until such payment shall have been made in full, together with all accrued interest thereon. No assignment, whether or not evidenced by a promissory note, shall be effective for purposes of this Agreement unless it has been recorded in the Register as provided in this subclause (v).</w:t>
      </w:r>
    </w:p>
    <w:p>
      <w:pPr>
        <w:pStyle w:val="TextBody"/>
        <w:bidi w:val="0"/>
        <w:spacing w:lineRule="auto" w:line="240" w:before="239" w:after="283"/>
        <w:ind w:left="0" w:right="0" w:firstLine="720"/>
        <w:jc w:val="both"/>
        <w:rPr/>
      </w:pPr>
      <w:r>
        <w:rPr>
          <w:rFonts w:ascii="Times New Roman;sans-serif" w:hAnsi="Times New Roman;sans-serif"/>
          <w:b w:val="false"/>
          <w:color w:val="000000"/>
          <w:sz w:val="24"/>
        </w:rPr>
        <w:t>(c)(i) Any Lender may, without the consent of the Borrower or the Administrative Agent, the Issuing Banks or the Swingline Lender, sell participations in Loans and Commitments to one or more banks or other entities other than any person that, at the time of such participation, is (I) a natural person, (II) the Borrower or any of its Subsidiaries or any of their respective Affiliates or (III) a Disqualified Lender subject to Section 9.04(h) (a “</w:t>
      </w:r>
      <w:r>
        <w:rPr>
          <w:rFonts w:ascii="Times New Roman;sans-serif" w:hAnsi="Times New Roman;sans-serif"/>
          <w:b w:val="false"/>
          <w:color w:val="000000"/>
          <w:sz w:val="24"/>
          <w:u w:val="single"/>
        </w:rPr>
        <w:t>Participant</w:t>
      </w:r>
      <w:r>
        <w:rPr>
          <w:color w:val="000000"/>
        </w:rPr>
        <w:t>”</w:t>
      </w:r>
      <w:r>
        <w:rPr>
          <w:rFonts w:ascii="Times New Roman;sans-serif" w:hAnsi="Times New Roman;sans-serif"/>
          <w:b w:val="false"/>
          <w:color w:val="000000"/>
          <w:sz w:val="24"/>
        </w:rPr>
        <w:t xml:space="preserve">) in all or a portion of such Lender’s rights and obligations under this Agreement (including all or a portion of its Commitments and the Loans owing to it);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that (A) such Lender’s obligations under this Agreement shall remain unchanged, (B) such Lender shall remain solely responsible to the other parties hereto for the performance of such obligations and (C) the Borrower, the</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6480175" cy="781050"/>
                <wp:effectExtent l="0" t="0" r="0" b="0"/>
                <wp:wrapNone/>
                <wp:docPr id="409" name="Frame408"/>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207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207</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jc w:val="both"/>
        <w:rPr/>
      </w:pPr>
      <w:r>
        <w:rPr>
          <w:rFonts w:ascii="Times New Roman;sans-serif" w:hAnsi="Times New Roman;sans-serif"/>
          <w:b w:val="false"/>
          <w:color w:val="000000"/>
          <w:sz w:val="24"/>
        </w:rPr>
        <w:t xml:space="preserve">Administrative Agent, the Issuing Banks and the other Lenders shall continue to deal solely and directly with such Lender in connection with such Lender’s rights and obligations under this Agreement. Any agreement pursuant to which a Lender sells such a participation shall provide that such Lender shall retain the sole right to enforce this Agreement and the other Loan Documents and to approve any amendment, modification or waiver of any provision of this Agreement and the other Loan Documents;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that (x) such agreement may provide that such Lender will not, without the consent of the Participant, agree to any amendment, modification or waiver that both (1) requires the consent of each Lender directly affected thereby pursuant to the first proviso to Section 9.08(b) and (2) directly affects such Participant (but, for the avoidance of doubt, not any waiver of any Default or Event of Default) and (y) no other agreement with respect to amendment, modification or waiver may exist between such Lender and such Participant. Subject to clause (c)(iii) of this Section 9.04, the Borrower agrees that each Participant shall be entitled to the benefits of Sections 2.15, 2.16 and 2.17 (subject to the limitations and requirements of those Sections and Section 2.19, including the requirements of Sections 2.17(d) and 2.17(f) (it being understood that the documentation required under Section 2.17(d) and 2.17(f) shall be delivered to the participating Lender)) to the same extent as if it were a Lender and had acquired its interest by assignment pursuant to clause (b) of this Section 9.04. To the extent permitted by law, each Participant also shall be entitled to the benefits of Section 9.06 as though it were a Lender;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that such Participant shall be subject to Section 2.18(b) as though it were a Lender.</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(ii)Each Lender that sells a participation shall, acting solely for this purpose as a non-fiduciary agent of the Borrower, maintain a register on which it enters the name and address of each Participant and the principal amounts and interest amounts of each Participant’s interest in the Loans or other obligations under the Loan Documents (the “</w:t>
      </w:r>
      <w:r>
        <w:rPr>
          <w:rFonts w:ascii="Times New Roman;sans-serif" w:hAnsi="Times New Roman;sans-serif"/>
          <w:b w:val="false"/>
          <w:color w:val="000000"/>
          <w:sz w:val="24"/>
          <w:u w:val="single"/>
        </w:rPr>
        <w:t>Participant Register</w:t>
      </w:r>
      <w:r>
        <w:rPr>
          <w:color w:val="000000"/>
        </w:rPr>
        <w:t>”</w:t>
      </w:r>
      <w:r>
        <w:rPr>
          <w:rFonts w:ascii="Times New Roman;sans-serif" w:hAnsi="Times New Roman;sans-serif"/>
          <w:b w:val="false"/>
          <w:color w:val="000000"/>
          <w:sz w:val="24"/>
        </w:rPr>
        <w:t xml:space="preserve">).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Without limitation of the requirements of this Section 9.04(c), no Lender shall have any obligation to disclose all or any portion of a Participant Register to any person (including the identity of any Participant or any information relating to a Participant’s interest in any Commitments, Loans or other Loan Obligations under any Loan Document), except to the extent that such disclosure is necessary to establish that such Commitment, Loan or other Loan Obligation is in registered form under Section 5f.103-1(c) </w:t>
      </w:r>
      <w:r>
        <w:rPr>
          <w:rFonts w:ascii="Times New Roman;sans-serif" w:hAnsi="Times New Roman;sans-serif"/>
          <w:b w:val="false"/>
          <w:color w:val="000000"/>
          <w:sz w:val="22"/>
        </w:rPr>
        <w:t xml:space="preserve">or </w:t>
      </w:r>
      <w:r>
        <w:rPr>
          <w:rFonts w:ascii="Times New Roman;sans-serif" w:hAnsi="Times New Roman;sans-serif"/>
          <w:b w:val="false"/>
          <w:color w:val="000000"/>
          <w:sz w:val="24"/>
        </w:rPr>
        <w:t>Proposed Section 1.163-5(b) (or, in each case, any amended or successor sections) of the United States Treasury Regulations. For the avoidance of doubt, the Administrative Agent (in its capacity as Administrative Agent) shall have no responsibility for maintaining a Participant Register.</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 xml:space="preserve">(iii)A Participant shall not be entitled to receive any greater payment under Section 2.15, 2.16 or 2.17 than the applicable Lender would have been entitled to receive with respect to the participation sold to such Participant, unless the sale of the participation to such Participant is made with the Borrower’s prior written consent, which consent shall state that it is being given pursuant to this Section 9.04(c)(iii);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that each potential Participant shall provide such information as is reasonably requested by the Borrower in order for the Borrower to determine whether to provide its consent.</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6480175" cy="781050"/>
                <wp:effectExtent l="0" t="0" r="0" b="0"/>
                <wp:wrapNone/>
                <wp:docPr id="410" name="Frame409"/>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208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208</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ind w:left="0" w:right="0" w:firstLine="720"/>
        <w:jc w:val="both"/>
        <w:rPr/>
      </w:pPr>
      <w:r>
        <w:rPr>
          <w:rFonts w:ascii="Times New Roman;sans-serif" w:hAnsi="Times New Roman;sans-serif"/>
          <w:b w:val="false"/>
          <w:color w:val="000000"/>
          <w:sz w:val="24"/>
        </w:rPr>
        <w:t xml:space="preserve">(d)Any Lender may at any time pledge or assign a security interest in all or any portion of its rights under this Agreement to secure obligations of such Lender, including any pledge or assignment to secure obligations to a Federal Reserve Bank and in the case of any Lender that is an Approved Fund, any pledge or assignment to any holders of obligations owed, or securities issued, by such Lender, including to any trustee for, or any other representative of, such holders, and this Section 9.04 shall not apply to any such pledge or assignment of a security interest;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that no such pledge or assignment of a security interest shall release a Lender from any of its obligations hereunder or substitute any such pledgee or Assignee for such Lender as a party hereto.</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(e)The Borrower, upon receipt of written notice from the relevant Lender, agrees to issue Notes to any Lender requiring Notes to facilitate transactions of the type described in clause</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(d) above.</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(f)Each purchase of Term Loans pursuant to Section 2.25 shall, for purposes of this Agreement, be deemed to be an automatic and immediate cancellation and extinguishment of such Term Loans and the Borrower shall, upon consummation of any such purchase, notify the Administrative Agent that the Register should be updated to record such event as if it were a prepayment of such Loans.</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 xml:space="preserve">(g)In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w:t>
      </w:r>
      <w:r>
        <w:rPr>
          <w:rFonts w:ascii="Times New Roman;sans-serif" w:hAnsi="Times New Roman;sans-serif"/>
          <w:b w:val="false"/>
          <w:color w:val="000000"/>
          <w:sz w:val="24"/>
          <w:u w:val="single"/>
        </w:rPr>
        <w:t>pro rata</w:t>
      </w:r>
      <w:r>
        <w:rPr>
          <w:color w:val="000000"/>
        </w:rPr>
        <w:t xml:space="preserve"> </w:t>
      </w:r>
      <w:r>
        <w:rPr>
          <w:rFonts w:ascii="Times New Roman;sans-serif" w:hAnsi="Times New Roman;sans-serif"/>
          <w:b w:val="false"/>
          <w:color w:val="000000"/>
          <w:sz w:val="24"/>
        </w:rPr>
        <w:t xml:space="preserve">share of Loans previously requested but not funded by the Defaulting Lender, to each of which the applicable assignee and assignor hereby irrevocably consent), to (x) pay and satisfy in full all payment liabilities then owed by such Defaulting Lender to the Administrative Agent, each Issuing Bank, each Swingline Lender or any other Lender hereunder (and interest accrued thereon) and (y) acquire (and fund as appropriate) its full </w:t>
      </w:r>
      <w:r>
        <w:rPr>
          <w:rFonts w:ascii="Times New Roman;sans-serif" w:hAnsi="Times New Roman;sans-serif"/>
          <w:b w:val="false"/>
          <w:color w:val="000000"/>
          <w:sz w:val="24"/>
          <w:u w:val="single"/>
        </w:rPr>
        <w:t>pro rata</w:t>
      </w:r>
      <w:r>
        <w:rPr>
          <w:color w:val="000000"/>
        </w:rPr>
        <w:t xml:space="preserve"> </w:t>
      </w:r>
      <w:r>
        <w:rPr>
          <w:rFonts w:ascii="Times New Roman;sans-serif" w:hAnsi="Times New Roman;sans-serif"/>
          <w:b w:val="false"/>
          <w:color w:val="000000"/>
          <w:sz w:val="24"/>
        </w:rPr>
        <w:t xml:space="preserve">share of all Loans and participations in Letters of Credit and Swingline Loans in accordance with its Revolving Facility Percentage;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that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(h)The Administrative Agent shall have the right, and the Borrower hereby expressly authorizes the Administrative Agent, to (A) post the list of Disqualified Lenders provided by the Borrower and any updates thereto from time to time (collectively, the “</w:t>
      </w:r>
      <w:r>
        <w:rPr>
          <w:rFonts w:ascii="Times New Roman;sans-serif" w:hAnsi="Times New Roman;sans-serif"/>
          <w:b w:val="false"/>
          <w:color w:val="000000"/>
          <w:sz w:val="24"/>
          <w:u w:val="single"/>
        </w:rPr>
        <w:t>DQ List</w:t>
      </w:r>
      <w:r>
        <w:rPr>
          <w:color w:val="000000"/>
        </w:rPr>
        <w:t>”</w:t>
      </w:r>
      <w:r>
        <w:rPr>
          <w:rFonts w:ascii="Times New Roman;sans-serif" w:hAnsi="Times New Roman;sans-serif"/>
          <w:b w:val="false"/>
          <w:color w:val="000000"/>
          <w:sz w:val="24"/>
        </w:rPr>
        <w:t xml:space="preserve">) on the Platform, including that portion of the Platform that is designated for “public side” Lenders or (B) provide the DQ List to each Lender requesting the same. The Administrative Agent shall not be responsible or have any liability for, or have any duty to ascertain, inquire into, monitor or enforce, compliance with the provisions hereof relating to Disqualified Lenders; </w:t>
      </w:r>
      <w:r>
        <w:rPr>
          <w:rFonts w:ascii="Times New Roman;sans-serif" w:hAnsi="Times New Roman;sans-serif"/>
          <w:b w:val="false"/>
          <w:color w:val="000000"/>
          <w:sz w:val="24"/>
          <w:u w:val="single"/>
        </w:rPr>
        <w:t>provided, further</w:t>
      </w:r>
      <w:r>
        <w:rPr>
          <w:rFonts w:ascii="Times New Roman;sans-serif" w:hAnsi="Times New Roman;sans-serif"/>
          <w:b w:val="false"/>
          <w:color w:val="000000"/>
          <w:sz w:val="24"/>
        </w:rPr>
        <w:t>, without limiting the generality of the foregoing clause, the Administrative Agent shall not (x) be obligated to ascertain, monitor or inquire as to whether any Lender or Participant or prospective Lender or Participant is</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6480175" cy="781050"/>
                <wp:effectExtent l="0" t="0" r="0" b="0"/>
                <wp:wrapNone/>
                <wp:docPr id="411" name="Frame410"/>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209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209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jc w:val="both"/>
        <w:rPr/>
      </w:pPr>
      <w:r>
        <w:rPr>
          <w:rFonts w:ascii="Times New Roman;sans-serif" w:hAnsi="Times New Roman;sans-serif"/>
          <w:b w:val="false"/>
          <w:color w:val="000000"/>
          <w:sz w:val="24"/>
        </w:rPr>
        <w:t xml:space="preserve">a Disqualified Lender or (y) have any liability with respect to or arising out of any assignment or participation of Loans, or disclosure of confidential information, to any Disqualified Lender. With respect to any Lender or Participant that becomes a Disqualified Lender after the applicable assignment or participation, (x) such Assignee shall not retroactively be disqualified from becoming a Lender or Participant and (y) the execution by the Borrower of an Assignment and Acceptance with respect to such assignee will not by itself result in such Assignee no longer being considered a Disqualified Lender. Any assignment in violation of this clause (h) shall not be void, but the Borrower shall have the right to (A) in the case of any outstanding Revolving Facility Commitments, terminate any Revolving Facility Commitment of such Disqualified Lender and repay all obligations of the Borrower owing to such Disqualified Lender in connection with such Revolving Facility Commitment, (B) in the case of outstanding Term Loans held by Disqualified Lenders, prepay such Term Loan by paying the lesser of (x) the principal amount thereof and (y) the amount that such Disqualified Lender paid to acquire such Term Loans, in each case plus accrued interest, accrued fees and all other amounts (other than principal amounts) payable to it hereunder and under the other Loan Documents and/or (C) require such Disqualified Lender to assign and delegate, without recourse (in accordance with and subject to the restrictions contained in this Section 9.04), all of its interest, rights and obligations under this Agreement and related Loan Documents to an Assignee in accordance with this Section 9.04 that shall assume such obligations at the lesser of (x) the principal amount thereof and (y) the amount that such Disqualified Lender paid to acquire such interests, rights and obligations, in each case plus accrued interest, accrued fees and all other amounts (other than principal amounts) payable to it hereunder and the other Loan Documents;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(i) the Borrower shall have paid to the Administrative Agent the assignment fee (if any) specified in Section 9.04(b)(ii), (ii) such assignment does not conflict with applicable laws and (iii) in the case of clause (B), the Borrower shall not use the proceeds from any Loans to prepay Term Loans held by Disqualified Lenders.</w:t>
      </w:r>
    </w:p>
    <w:p>
      <w:pPr>
        <w:pStyle w:val="TextBody"/>
        <w:bidi w:val="0"/>
        <w:spacing w:lineRule="auto" w:line="240" w:before="241" w:after="283"/>
        <w:jc w:val="left"/>
        <w:rPr/>
      </w:pPr>
      <w:r>
        <w:rPr>
          <w:rFonts w:ascii="Times New Roman;sans-serif" w:hAnsi="Times New Roman;sans-serif"/>
          <w:b w:val="false"/>
          <w:color w:val="000000"/>
          <w:sz w:val="24"/>
        </w:rPr>
        <w:t xml:space="preserve">Section 9.05. </w:t>
      </w:r>
      <w:r>
        <w:rPr>
          <w:rFonts w:ascii="Times New Roman;sans-serif" w:hAnsi="Times New Roman;sans-serif"/>
          <w:b w:val="false"/>
          <w:color w:val="000000"/>
          <w:sz w:val="24"/>
          <w:u w:val="single"/>
        </w:rPr>
        <w:t>Expenses; Indemnity; Limitation of Liability</w:t>
      </w:r>
      <w:r>
        <w:rPr>
          <w:rFonts w:ascii="Times New Roman;sans-serif" w:hAnsi="Times New Roman;sans-serif"/>
          <w:b w:val="false"/>
          <w:color w:val="000000"/>
          <w:sz w:val="24"/>
        </w:rPr>
        <w:t>.</w:t>
      </w:r>
    </w:p>
    <w:p>
      <w:pPr>
        <w:pStyle w:val="TextBody"/>
        <w:bidi w:val="0"/>
        <w:spacing w:lineRule="auto" w:line="240" w:before="238"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(a)The Borrower hereby agrees to pay (i) all reasonable and documented out-of-pocket expenses incurred by the Administrative Agent or the Collateral Agent, the Arrangers and their respective Affiliates in connection with the syndication and distribution (including via the internet or through a service such as Intralinks) of the credit facilities provided for herein, the preparation, negotiation, execution and administration of this Agreement and the other Loan Documents, or any amendments, modifications or waivers of the provisions hereof or thereof (whether or not the transactions contemplated hereby or thereby shall be consummated, but only to the extent the preparation of any such amendment, modification or waiver was requested by the Borrower), including the reasonable fees, charges and disbursements of one primary counsel for the Administrative Agent, the Collateral Agent and the Arrangers, and, if necessary, the reasonable and documented out-of-pocket fees, charges and disbursements of one local counsel per material jurisdiction that is reasonably necessary, (ii) all reasonable and documented out-of-pocket expenses incurred by any Issuing Bank in connection with the issuance, amendment, renewal or extension of any Letter of Credit or any demand for payment thereunder and (iii) so long as an Event of Default has occurred and is continuing, all reasonable and documented out-of-pocket expenses incurred by the Agents, any Issuing Bank or any Lender (other than any Excluded Affiliate) in connection with the enforcement of their rights in connection with this Agreement and any other Loan Document, in connection with the Loans made or the Letters of Credit issued hereunder, including all such reasonable and documented out-of-pocket expenses incurred during</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6480175" cy="781050"/>
                <wp:effectExtent l="0" t="0" r="0" b="0"/>
                <wp:wrapNone/>
                <wp:docPr id="412" name="Frame411"/>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210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210</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jc w:val="both"/>
        <w:rPr>
          <w:rFonts w:ascii="Times New Roman;sans-serif" w:hAnsi="Times New Roman;sans-serif"/>
          <w:b w:val="false"/>
          <w:color w:val="000000"/>
          <w:sz w:val="24"/>
        </w:rPr>
      </w:pPr>
      <w:r>
        <w:rPr>
          <w:rFonts w:ascii="Times New Roman;sans-serif" w:hAnsi="Times New Roman;sans-serif"/>
          <w:b w:val="false"/>
          <w:color w:val="000000"/>
          <w:sz w:val="24"/>
        </w:rPr>
        <w:t>any workout, restructuring or negotiations in respect of such Loans or Letters of Credit and including the fees, charges and disbursements of a single counsel for all such persons, taken as a whole (and, in the case of an actual or perceived conflict of interest where such person affected by such conflict informs the Borrower of such conflict and thereafter retains its own counsel, of another firm of such for such affected person).</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(b)The Borrower agrees to indemnify the Administrative Agent, the Collateral Agent, the Arrangers, each Issuing Bank, each Lender, each of their respective Affiliates (other than any Excluded Affiliate), successors and assignors, and each of their respective Related Parties (other than any Excluded Affiliate) (each such person being called an “</w:t>
      </w:r>
      <w:r>
        <w:rPr>
          <w:rFonts w:ascii="Times New Roman;sans-serif" w:hAnsi="Times New Roman;sans-serif"/>
          <w:b w:val="false"/>
          <w:color w:val="000000"/>
          <w:sz w:val="24"/>
          <w:u w:val="single"/>
        </w:rPr>
        <w:t>Indemnitee</w:t>
      </w:r>
      <w:r>
        <w:rPr>
          <w:color w:val="000000"/>
        </w:rPr>
        <w:t>”</w:t>
      </w:r>
      <w:r>
        <w:rPr>
          <w:rFonts w:ascii="Times New Roman;sans-serif" w:hAnsi="Times New Roman;sans-serif"/>
          <w:b w:val="false"/>
          <w:color w:val="000000"/>
          <w:sz w:val="24"/>
        </w:rPr>
        <w:t xml:space="preserve">) against, and to hold each Indemnitee harmless from, any and all losses, claims (including intra-party claims), damages, liabilities and related expenses, including reasonable and documented out-of-pocket counsel fees, charges and disbursements (excluding the allocated costs of in house counsel and limited to not more than one counsel for all such Indemnitees, taken as a whole, and, if necessary, a single local counsel in each applicable jurisdiction (and, in the case of an actual or potential conflict of interest where the Indemnitee affected by such conflict informs the Borrower of such conflict and thereafter retains its own counsel, of another firm of counsel for such affected Indemnitee)), incurred by or asserted against any Indemnitee arising out of, in any way connected with, or as a result of (i) the execution or delivery of this Agreement or any other Loan Document or any agreement or instrument contemplated hereby or thereby, the performance by the parties hereto and thereto of their respective obligations thereunder or the consummation of the Transactions and the other transactions contemplated hereby, (ii) the use of the proceeds of the Loans or the use of any Letter of Credit (including any refusal by any Issuing Bank to honor a demand for payment under a Letter of Credit if the documents presented in connection with such demand do not strictly comply with the terms of such Letter of Credit), (iii) any violation of or liability under Environmental Laws related in any way to the Borrower or any Subsidiary, (iv) any actual or alleged presence, Release or threatened Release of or exposure to Hazardous Materials at, under, on, from or to any property owned, leased or operated by the Borrower or any Subsidiary except to the extent that Borrower can demonstrate by a preponderance of the evidence that such presence or Release (A) occurred, in the first instance, after the period of ownership, termination of lease or cessation of operations by the Borrower or any Subsidiary and (B) is not a presence or Release for which Borrower or any Subsidiary would have any liability under Environmental Law, or (v) any claim, litigation, investigation or proceeding relating to any of the foregoing, whether or not any Indemnitee is a party thereto and regardless of whether such matter is initiated by a third party or by the Borrower or any of their subsidiaries or Affiliates;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that such indemnity shall not, as to any Indemnitee, be available to the extent that such losses, claims, damages, liabilities or related expenses (x) are determined by a final, non-appealable judgment of a court of competent jurisdiction to have resulted from (i) the gross negligence, bad faith or willful misconduct of such Indemnitee or any of its Related Parties or (ii) a material breach by an Indemnitee or any of its Related Parties or (y) arose from any claim, actions, suits, inquiries, litigation, investigation or proceeding that does not involve an act or omission of the Borrower or any of its Affiliates and is brought by an Indemnitee against another Indemnitee (other than any claim, actions, suits, inquiries, litigation, investigation or proceeding against any Agent or an Arranger in its capacity as such). None of the Indemnitees (or any of their respective affiliates), nor the Borrower or its subsidiaries (or any of their respective affiliates), shall be responsible or liable for any special, indirect, consequential or punitive damages, which may be alleged as a result of the Facilities or the Transactions;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that this sentence shall not limit the Borrower’s or its subsidiaries’</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6480175" cy="781050"/>
                <wp:effectExtent l="0" t="0" r="0" b="0"/>
                <wp:wrapNone/>
                <wp:docPr id="413" name="Frame412"/>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211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211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jc w:val="both"/>
        <w:rPr>
          <w:rFonts w:ascii="Times New Roman;sans-serif" w:hAnsi="Times New Roman;sans-serif"/>
          <w:b w:val="false"/>
          <w:color w:val="000000"/>
          <w:sz w:val="24"/>
        </w:rPr>
      </w:pPr>
      <w:r>
        <w:rPr>
          <w:rFonts w:ascii="Times New Roman;sans-serif" w:hAnsi="Times New Roman;sans-serif"/>
          <w:b w:val="false"/>
          <w:color w:val="000000"/>
          <w:sz w:val="24"/>
        </w:rPr>
        <w:t>indemnity or reimbursement obligation to the extent such special, indirect, consequential or punitive damages are included in any third party claim in connection with which an Indemnitee is otherwise entitled to indemnification thereunder. The provisions of this Section 9.05 shall remain operative and in full force and effect regardless of the expiration of the term of this Agreement, the consummation of the transactions contemplated hereby, the repayment of any of the Obligations, the occurrence of the Termination Date, the invalidity or unenforceability of any term or provision of this Agreement or any other Loan Document, or any investigation made by or on behalf of the Administrative Agent, any Issuing Bank or any Lender. All amounts due under this Section 9.05 shall be payable within 30 days after written demand therefor accompanied by reasonable documentation with respect to any reimbursement, indemnification or other amount requested.</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(c)This Section 9.05 shall not apply to any Taxes (other than Taxes that represent losses, claims, damages, liabilities and related expenses resulting from a non-Tax claim), which shall be governed exclusively by Section 2.17 and, to the extent set forth therein, Section 2.15.</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(d)To the fullest extent permitted by applicable law, no party hereto (or any of their Affiliates) shall assert, and hereby waives, any claim against any other party hereto (or any of their Affiliates),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Letter of Credit or the use of the proceeds thereof. None of the Borrower, any Guarantor, the Administrative Agent, the Collateral Agent, the Arrangers, each Issuing Bank, each Lender, each of their respective Affiliates (other than any Excluded Affiliate), successors and assignors, or each of their respective Related Parties (other than any Excluded Affiliate) shall be liable for any damages arising from the use by unintended recipients of any information or other materials distributed by it through telecommunications, electronic or other information transmission systems (including the internet) in connection with this Agreement or the other Loan Documents or the transactions contemplated hereby or thereby except the extent determined by a final, non-appealable judgment of a court of competent jurisdiction to have resulted from the gross negligence, bad faith or willful misconduct of any other such person, as the case may be.</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(e)The agreements in this Section 9.05 shall survive the resignation of the Administrative Agent, the Collateral Agent or any Issuing Bank, the replacement of any Lender, the termination of the Commitments and the repayment, satisfaction or discharge of all the other Obligations, the occurrence of the Termination Date and the termination of this Agreement, any other Loan Document or any provision hereof or thereof.</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(f)The Borrower shall not be liable for any settlement of any proceeding effected without the written consent of the Borrower (which consent shall not be unreasonably withheld, delayed or conditioned (it being understood that the withholding of consent due to non-satisfaction of either of the conditions described in clauses (i) and (ii) of the following sentence (with “Borrower” being substituted for “Indemnitee” in each such clause) shall be deemed reasonable)), but if any proceeding is settled with the written consent of the Borrower, or if there is a final judgment against any Indemnitee in any such proceeding, the Borrower agrees to indemnify and hold harmless each Indemnitee to the extent and in the manner set forth above. The Borrower shall</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6480175" cy="781050"/>
                <wp:effectExtent l="0" t="0" r="0" b="0"/>
                <wp:wrapNone/>
                <wp:docPr id="414" name="Frame413"/>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212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212</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jc w:val="both"/>
        <w:rPr>
          <w:rFonts w:ascii="Times New Roman;sans-serif" w:hAnsi="Times New Roman;sans-serif"/>
          <w:b w:val="false"/>
          <w:color w:val="000000"/>
          <w:sz w:val="24"/>
        </w:rPr>
      </w:pPr>
      <w:r>
        <w:rPr>
          <w:rFonts w:ascii="Times New Roman;sans-serif" w:hAnsi="Times New Roman;sans-serif"/>
          <w:b w:val="false"/>
          <w:color w:val="000000"/>
          <w:sz w:val="24"/>
        </w:rPr>
        <w:t>not, without the prior written consent of the affected Indemnitee (which consent shall not be unreasonably withheld, delayed or conditioned (it being understood that the withholding of consent due to non-satisfaction of either of the conditions described in clauses (i) and (ii) of this sentence shall be deemed reasonable)), effect any settlement of any pending or threatened proceeding in respect of which indemnity could have been sought hereunder by such Indemnitee unless (i) such settlement includes an unconditional release of such Indemnitee from all liability or claims that are the subject matter of such proceeding and (ii) such settlement does not include any statement as to any admission of fault, culpability, wrongdoing or failure to act of the relevant Indemnitee.</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 xml:space="preserve">Section 9.06. </w:t>
      </w:r>
      <w:r>
        <w:rPr>
          <w:rFonts w:ascii="Times New Roman;sans-serif" w:hAnsi="Times New Roman;sans-serif"/>
          <w:b w:val="false"/>
          <w:color w:val="000000"/>
          <w:sz w:val="24"/>
          <w:u w:val="single"/>
        </w:rPr>
        <w:t>Right of Set-off</w:t>
      </w:r>
      <w:r>
        <w:rPr>
          <w:rFonts w:ascii="Times New Roman;sans-serif" w:hAnsi="Times New Roman;sans-serif"/>
          <w:b w:val="false"/>
          <w:color w:val="000000"/>
          <w:sz w:val="24"/>
        </w:rPr>
        <w:t xml:space="preserve">. If an Event of Default shall have occurred and be continuing, each Lender, each Issuing Bank and each of their respective Affiliates is hereby authorized at any time and from time to time, to the fullest extent permitted by law, to set off and apply any and all deposits (general or special, time or demand, provisional or final and in whatever currency denominated) at any time held and other obligations at any time owing by such Lender or such Issuing Bank to or for the credit or the account of the Borrower or any Subsidiary against any of and all the obligations of the Borrower now or hereafter existing under this Agreement or any other Loan Document held by such Lender or such Issuing Bank, irrespective of whether or not such Lender or such Issuing Bank shall have made any demand under this Agreement or such other Loan Document and although the obligations may be unmatured;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that any recovery by any Lender or any Affiliate pursuant to its setoff rights under this Section 9.06 is subject to the provisions of Section 2.18(b);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that in the event that any Defaulting Lender shall exercise any such right of setoff, (x) all amounts so set off shall be paid over immediately to the Administrative Agent for further application in accordance with the provisions of Section 2.24 and, pending such payment, shall be segregated by such Defaulting Lender from its other funds and deemed held in trust for the benefit of the Administrative Agent and the Lenders, and (y) the Defaulting Lender shall provide promptly to the Administrative Agent a statement describing in reasonable detail the Obligations owing to such Defaulting Lender as to which it exercised such right of setoff. The rights of each Lender and each Issuing Bank under this Section 9.06 are in addition to other rights and remedies (including other rights of set-off) that such Lender or such Issuing Bank may have.</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 xml:space="preserve">Section 9.07. </w:t>
      </w:r>
      <w:r>
        <w:rPr>
          <w:rFonts w:ascii="Times New Roman;sans-serif" w:hAnsi="Times New Roman;sans-serif"/>
          <w:b w:val="false"/>
          <w:color w:val="000000"/>
          <w:sz w:val="24"/>
          <w:u w:val="single"/>
        </w:rPr>
        <w:t>Applicable Law</w:t>
      </w:r>
      <w:r>
        <w:rPr>
          <w:rFonts w:ascii="Times New Roman;sans-serif" w:hAnsi="Times New Roman;sans-serif"/>
          <w:b w:val="false"/>
          <w:color w:val="000000"/>
          <w:sz w:val="24"/>
        </w:rPr>
        <w:t xml:space="preserve">. </w:t>
      </w:r>
      <w:r>
        <w:rPr>
          <w:rFonts w:ascii="Times New Roman;sans-serif" w:hAnsi="Times New Roman;sans-serif"/>
          <w:b/>
          <w:color w:val="000000"/>
          <w:sz w:val="24"/>
        </w:rPr>
        <w:t>THIS AGREEMENT AND ANY CLAIMS, CONTROVERSY, DISPUTE OR CAUSES OF ACTION (WHETHER IN CONTRACT OR TORT OR OTHERWISE) BASED UPON, ARISING OUT OF OR RELATING TO THIS AGREEMENT SHALL BE CONSTRUED IN ACCORDANCE WITH AND GOVERNED BY THE LAWS OF THE STATE OF NEW YORK</w:t>
      </w:r>
      <w:r>
        <w:rPr>
          <w:rFonts w:ascii="Times New Roman;sans-serif" w:hAnsi="Times New Roman;sans-serif"/>
          <w:b w:val="false"/>
          <w:color w:val="000000"/>
          <w:sz w:val="24"/>
        </w:rPr>
        <w:t>.</w:t>
      </w:r>
    </w:p>
    <w:p>
      <w:pPr>
        <w:pStyle w:val="TextBody"/>
        <w:bidi w:val="0"/>
        <w:spacing w:lineRule="auto" w:line="240" w:before="240" w:after="283"/>
        <w:jc w:val="left"/>
        <w:rPr/>
      </w:pPr>
      <w:r>
        <w:rPr>
          <w:rFonts w:ascii="Times New Roman;sans-serif" w:hAnsi="Times New Roman;sans-serif"/>
          <w:b w:val="false"/>
          <w:color w:val="000000"/>
          <w:sz w:val="24"/>
        </w:rPr>
        <w:t xml:space="preserve">Section 9.08. </w:t>
      </w:r>
      <w:r>
        <w:rPr>
          <w:rFonts w:ascii="Times New Roman;sans-serif" w:hAnsi="Times New Roman;sans-serif"/>
          <w:b w:val="false"/>
          <w:color w:val="000000"/>
          <w:sz w:val="24"/>
          <w:u w:val="single"/>
        </w:rPr>
        <w:t>Waivers; Amendment</w:t>
      </w:r>
      <w:r>
        <w:rPr>
          <w:rFonts w:ascii="Times New Roman;sans-serif" w:hAnsi="Times New Roman;sans-serif"/>
          <w:b w:val="false"/>
          <w:color w:val="000000"/>
          <w:sz w:val="24"/>
        </w:rPr>
        <w:t>.</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(a)No failure or delay of the Administrative Agent, the Collateral Agent, any Issuing Bank or any Lender in exercising any right or power hereunder or under any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Collateral Agent, each Issuing Bank and the Lenders hereunder and under the other Loan Documents are cumulative and are not exclusive of any rights or remedies that they would otherwise have. No waiver of any provision of this Agreement or any other Loan</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6480175" cy="781050"/>
                <wp:effectExtent l="0" t="0" r="0" b="0"/>
                <wp:wrapNone/>
                <wp:docPr id="415" name="Frame414"/>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213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213</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jc w:val="both"/>
        <w:rPr>
          <w:rFonts w:ascii="Times New Roman;sans-serif" w:hAnsi="Times New Roman;sans-serif"/>
          <w:b w:val="false"/>
          <w:color w:val="000000"/>
          <w:sz w:val="24"/>
        </w:rPr>
      </w:pPr>
      <w:r>
        <w:rPr>
          <w:rFonts w:ascii="Times New Roman;sans-serif" w:hAnsi="Times New Roman;sans-serif"/>
          <w:b w:val="false"/>
          <w:color w:val="000000"/>
          <w:sz w:val="24"/>
        </w:rPr>
        <w:t>Document or consent to any departure by the Borrower or any other Loan Party therefrom shall in any event be effective unless the same shall be permitted by clause (b) below, and then such waiver or consent shall be effective only in the specific instance and for the purpose for which given. No notice or demand on the Borrower or any other Loan Party in any case shall entitle such person to any other or further notice or demand in similar or other circumstances. Without limiting the generality of the foregoing, the making of a Loan or issuance of a Letter of Credit shall not be construed as a waiver of any Default or Event of Default, regardless of whether the Administrative Agent, the Collateral Agent, any Lender or any Issuing Bank may have had notice or knowledge of such Default or Event of Default at the time.</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 xml:space="preserve">(b)Neither this Agreement nor any other Loan Document nor any provision hereof or thereof may be waived, amended or modified except (x) as provided in Section 2.14, 2.21, 2.22 or 2.23, (y) in the case of this Agreement, pursuant to an agreement or agreements in writing entered into by the Borrower and the Required Lenders (except that any waiver, amendment or modification of (i) any condition precedent set forth in Section 4.02 as it pertains to any Revolving Facility Loan, Swingline Loan or L/C Credit Extension or (ii) the Financial Covenant or of any defined term (or component defined term) but only to the extent as used therein (or any Default or Event of Default or exercise of remedies by the Required Revolving Facility Lenders in respect or as a result thereof), in each case shall require the Required Revolving Facility Lenders voting as a single Class rather than the Required Lenders) and (z) in the case of any other Loan Document, pursuant to an agreement or agreements in writing entered into by each Loan Party party thereto and the Administrative Agent and consented to by the Required Lenders;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no such agreement shall:</w:t>
      </w:r>
    </w:p>
    <w:p>
      <w:pPr>
        <w:pStyle w:val="TextBody"/>
        <w:bidi w:val="0"/>
        <w:spacing w:lineRule="auto" w:line="240" w:before="241" w:after="283"/>
        <w:ind w:left="0" w:right="0" w:firstLine="720"/>
        <w:jc w:val="both"/>
        <w:rPr/>
      </w:pPr>
      <w:r>
        <w:rPr>
          <w:rFonts w:ascii="Times New Roman;sans-serif" w:hAnsi="Times New Roman;sans-serif"/>
          <w:b w:val="false"/>
          <w:color w:val="000000"/>
          <w:sz w:val="24"/>
        </w:rPr>
        <w:t xml:space="preserve">(i)decrease or forgive the principal amount of, or extend the final maturity of, or decrease the rate of interest on, any Loan or any reimbursement obligation with respect to any disbursement under any Letter of Credit, or extend the stated expiration of any Letter of Credit beyond the applicable Revolving Facility Maturity Date, without the prior written consent of each Lender directly adversely affected thereby (which, notwithstanding the foregoing, such consent of such Lender directly adversely affected thereby shall be the only consent required hereunder to make such modification);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that (1) any amendment to the financial definitions in this Agreement or to the MFN Provision shall not constitute a reduction in the rate of interest for purposes of this clause (i) even if the effect of such amendment would be to reduce the rate of interest on any Loan or any reimbursement obligation with respect to any disbursement under any Letter of Credit or to reduce any fee payable hereunder, (2) only the consent of the Required Lenders shall be necessary to reduce or waive any obligation of the Borrower to pay interest or Fees at the applicable default rate set forth in Section 2.13(c) and (3) waivers or modifications of conditions precedent, covenants, Defaults or Events of Default or mandatory prepayments shall not constitute an a reduction in the principal or interest due for purposes of this clause (i);</w:t>
      </w:r>
    </w:p>
    <w:p>
      <w:pPr>
        <w:pStyle w:val="TextBody"/>
        <w:bidi w:val="0"/>
        <w:spacing w:lineRule="auto" w:line="240" w:before="239" w:after="283"/>
        <w:ind w:left="0" w:right="0" w:firstLine="720"/>
        <w:jc w:val="both"/>
        <w:rPr/>
      </w:pPr>
      <w:r>
        <w:rPr>
          <w:rFonts w:ascii="Times New Roman;sans-serif" w:hAnsi="Times New Roman;sans-serif"/>
          <w:b w:val="false"/>
          <w:color w:val="000000"/>
          <w:sz w:val="24"/>
        </w:rPr>
        <w:t xml:space="preserve">(ii)increase or extend the Commitment of any Lender, or decrease the Commitment Fees, L/C Participation Fees or any other Fees of any Lender without the prior written consent of such Lender (which, notwithstanding the foregoing, with respect to any such extension or decrease, such consent of such Lender shall be the only consent required hereunder to make such modification);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that waivers or modifications of conditions precedent, covenants, Defaults or Events of Default, mandatory prepayments or</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6480175" cy="781050"/>
                <wp:effectExtent l="0" t="0" r="0" b="0"/>
                <wp:wrapNone/>
                <wp:docPr id="416" name="Frame415"/>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214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214</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jc w:val="both"/>
        <w:rPr>
          <w:rFonts w:ascii="Times New Roman;sans-serif" w:hAnsi="Times New Roman;sans-serif"/>
          <w:b w:val="false"/>
          <w:color w:val="000000"/>
          <w:sz w:val="24"/>
        </w:rPr>
      </w:pPr>
      <w:r>
        <w:rPr>
          <w:rFonts w:ascii="Times New Roman;sans-serif" w:hAnsi="Times New Roman;sans-serif"/>
          <w:b w:val="false"/>
          <w:color w:val="000000"/>
          <w:sz w:val="24"/>
        </w:rPr>
        <w:t>extensions for administrative convenience as agreed by the Administrative Agent shall not constitute an increase or extension of the Commitments of any Lender for purposes of this clause (ii);</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 xml:space="preserve">(iii)extend or waive any Term Loan Installment Date or reduce the amount due on any Term Loan Installment Date, extend or waive any Revolving Facility Maturity Date or reduce the amount due on any Revolving Facility Maturity Date or extend any date on which payment of interest on any Loan or any disbursement under any Letter of Credit or any Fees is due, without the prior written consent of each Lender directly adversely affected thereby;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no amendment, modification or waiver of, or consent to departure from, any condition precedent, representation, warranty, covenant, Default, Event of Default, prepayment premium, mandatory prepayment or mandatory reduction of the Loans shall constitute such an extension, waiver or reduction;</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 xml:space="preserve">(iv)amend the provisions of (x) Section 2.18(b) or Section 7.03 in a manner that would by its terms alter the </w:t>
      </w:r>
      <w:r>
        <w:rPr>
          <w:rFonts w:ascii="Times New Roman;sans-serif" w:hAnsi="Times New Roman;sans-serif"/>
          <w:b w:val="false"/>
          <w:color w:val="000000"/>
          <w:sz w:val="24"/>
          <w:u w:val="single"/>
        </w:rPr>
        <w:t>pro rata</w:t>
      </w:r>
      <w:r>
        <w:rPr>
          <w:color w:val="000000"/>
        </w:rPr>
        <w:t xml:space="preserve"> </w:t>
      </w:r>
      <w:r>
        <w:rPr>
          <w:rFonts w:ascii="Times New Roman;sans-serif" w:hAnsi="Times New Roman;sans-serif"/>
          <w:b w:val="false"/>
          <w:color w:val="000000"/>
          <w:sz w:val="24"/>
        </w:rPr>
        <w:t>sharing of payments required thereby or (y) Section</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7.03 in a manner that alters the order in which payments are applied to repay the Secured Obligations, without the prior written consent of each Lender adversely affected thereby, in each case except in connection with any transaction permitted under Sections 2.21, 2.22, 2.23, 2.25 or otherwise provided in this Section 9.08;</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(v)amend or modify the provisions of this Section 9.08 or the definition of the terms “Required Lenders,” “Majority Lenders,” “Required Revolving Facility Lenders,” or any other provision hereof specifying the number or percentage of Lenders required to waive, amend or modify any rights hereunder or make any determination or grant any consent hereunder, without the prior written consent of each Lender adversely affected thereby (it being understood that, with the consent of the Required Lenders, additional extensions of credit pursuant to this Agreement may be included in the determination of the Required Lenders on substantially the same basis as the Loans and Commitments are included on the Closing Date);</w:t>
      </w:r>
    </w:p>
    <w:p>
      <w:pPr>
        <w:pStyle w:val="TextBody"/>
        <w:bidi w:val="0"/>
        <w:spacing w:lineRule="auto" w:line="240" w:before="239"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(vi)except as provided in Section 9.18 release all or substantially all of the Collateral or all or substantially all of the Guarantors from their respective Guarantees (other than in connection with Dispositions permitted under Section 6.05) without the prior written consent of each Lender;</w:t>
      </w:r>
    </w:p>
    <w:p>
      <w:pPr>
        <w:pStyle w:val="TextBody"/>
        <w:bidi w:val="0"/>
        <w:spacing w:lineRule="auto" w:line="240" w:before="241"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(vii)effect any waiver, amendment or modification that by its terms adversely affects the rights in respect of payments or collateral of Lenders participating in any Facility differently from those of Lenders participating in another Facility, without the consent of the Majority Lenders participating in the adversely affected Facility (it being agreed that the Required Lenders may waive, in whole or in part, any prepayment or Commitment reduction required by Section 2.11 so long as the application of any prepayment or Commitment reduction still required to be made is not changed);</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(viii)(1) subordinate, or have the effect of subordinating, the Obligations hereunder to any other Indebtedness or (2) subordinate, or have the effect of subordinating, the Liens securing the Obligations to Liens securing any other Indebtedness, without the</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6480175" cy="781050"/>
                <wp:effectExtent l="0" t="0" r="0" b="0"/>
                <wp:wrapNone/>
                <wp:docPr id="417" name="Frame416"/>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215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215</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jc w:val="both"/>
        <w:rPr/>
      </w:pPr>
      <w:r>
        <w:rPr>
          <w:rFonts w:ascii="Times New Roman;sans-serif" w:hAnsi="Times New Roman;sans-serif"/>
          <w:b w:val="false"/>
          <w:color w:val="000000"/>
          <w:sz w:val="24"/>
        </w:rPr>
        <w:t xml:space="preserve">prior written consent of each Lender directly adversely affected thereby, in each case, unless each such directly adversely affected Lender has been (or will be) offered an opportunity to fund or otherwise provide or acquire its </w:t>
      </w:r>
      <w:r>
        <w:rPr>
          <w:rFonts w:ascii="Times New Roman;sans-serif" w:hAnsi="Times New Roman;sans-serif"/>
          <w:b w:val="false"/>
          <w:color w:val="000000"/>
          <w:sz w:val="24"/>
          <w:u w:val="single"/>
        </w:rPr>
        <w:t>pro rata</w:t>
      </w:r>
      <w:r>
        <w:rPr>
          <w:color w:val="000000"/>
        </w:rPr>
        <w:t xml:space="preserve"> </w:t>
      </w:r>
      <w:r>
        <w:rPr>
          <w:rFonts w:ascii="Times New Roman;sans-serif" w:hAnsi="Times New Roman;sans-serif"/>
          <w:b w:val="false"/>
          <w:color w:val="000000"/>
          <w:sz w:val="24"/>
        </w:rPr>
        <w:t xml:space="preserve">share of such other Indebtedness on substantially the same terms (including economic terms in respect of any commitments or loans provided in connection with such Indebtedness) as all other Lenders;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(1) such offer shall be a written document delivered to each directly adversely affected Lender that describes the material economic terms pursuant to which the other Indebtedness is to be (or was) provided, (2) such offer shall remain open to each directly adversely affected Lender for a period of not less than five Business Days (which period may be commenced following the funding of such other Indebtedness) and (3) any such directly adversely affected Lender may designate any of its Affiliates to provide such other Indebtedness on its behalf;</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(ix)amend the provisions of Section 9.04 to reduce the number or percentage of Lenders required to permit the Borrower to assign or otherwise transfer its rights or obligations under this Agreement without the prior written consent of each Lender; or</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(x)amend the provisions of Section 9.04 in a manner that would further restrict assignments of any Loans under this Agreement without the prior written consent of each Lender directly adversely affected thereby;</w:t>
      </w:r>
    </w:p>
    <w:p>
      <w:pPr>
        <w:pStyle w:val="TextBody"/>
        <w:bidi w:val="0"/>
        <w:spacing w:lineRule="auto" w:line="240" w:before="240" w:after="283"/>
        <w:jc w:val="both"/>
        <w:rPr/>
      </w:pP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xml:space="preserve">, that (I) no such agreement shall amend, modify or otherwise affect the rights or duties of the Administrative Agent, the Collateral Agent, the Swingline Lenders or the Issuing Banks hereunder without the prior written consent of the Administrative Agent, the Collateral Agent, each Swingline Lender or each Issuing Bank affected thereby, as applicable;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further</w:t>
      </w:r>
      <w:r>
        <w:rPr>
          <w:color w:val="000000"/>
        </w:rPr>
        <w:t xml:space="preserve"> </w:t>
      </w:r>
      <w:r>
        <w:rPr>
          <w:rFonts w:ascii="Times New Roman;sans-serif" w:hAnsi="Times New Roman;sans-serif"/>
          <w:b w:val="false"/>
          <w:color w:val="000000"/>
          <w:sz w:val="24"/>
        </w:rPr>
        <w:t>that, notwithstanding anything herein to the contrary, (A) solely with the consent of each Issuing Bank and, in the case of clause (x), the Administrative Agent, any such agreement may (x) increase or decrease the Letter of Credit Sublimit or (y) waive, amend or modify any condition precedent that pertains to the issuance of any Letter of Credit and (B) solely with the consent of the Swingline Lender and the Administrative Agent, (x) increase or decrease the Swingline Commitments or (y) waive, amend or modify any condition precedent as it pertains to any Swingline Loan. Each Lender shall be bound by any waiver, amendment or modification authorized by this Section 9.08 and any consent by any Lender pursuant to this Section 9.08 shall bind any Assignee of such Lender, and (II) any waiver, amendment or modification of this Agreement that by its terms affects the rights or duties under this Agreement of Lenders holding Loans or Commitments of a particular Class (but not the Lenders holding Loans or Commitments of any other Class) may be effected by an agreement or agreements in writing entered into solely by the Borrower and the requisite percentage in interest of the affected Class of Lenders that would be required to consent thereto under this Section if such Class of Lenders were the only Class of Lenders hereunder at the time.</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Notwithstanding anything to the contrary herein, no Defaulting Lender shall have the right to approve or disapprove any amendment, waiver or consent hereunder (and any amendment, waiver or consent which by its terms requires the consent of all Lenders (or all Lenders of a Class) or each affected Lender (or each affected Lender of a Class) may be affected with the consent of the applicable Lenders other than Defaulting Lenders), except that (x) the Commitment of any Defaulting Lender may not be increased or extended without the consent of such Lender and (y)</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6480175" cy="781050"/>
                <wp:effectExtent l="0" t="0" r="0" b="0"/>
                <wp:wrapNone/>
                <wp:docPr id="418" name="Frame417"/>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216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216</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jc w:val="both"/>
        <w:rPr>
          <w:rFonts w:ascii="Times New Roman;sans-serif" w:hAnsi="Times New Roman;sans-serif"/>
          <w:b w:val="false"/>
          <w:color w:val="000000"/>
          <w:sz w:val="24"/>
        </w:rPr>
      </w:pPr>
      <w:r>
        <w:rPr>
          <w:rFonts w:ascii="Times New Roman;sans-serif" w:hAnsi="Times New Roman;sans-serif"/>
          <w:b w:val="false"/>
          <w:color w:val="000000"/>
          <w:sz w:val="24"/>
        </w:rPr>
        <w:t>any waiver, amendment or modification requiring the consent of all Lenders (or all Lenders of a Class) or each affected Lender (or each affected Lender of a Class) that by its terms affects any Defaulting Lender disproportionately adversely relative to other affected Lenders shall require the consent of such Defaulting Lender.</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(c)Without the consent of any Lender or Issuing Bank, the Loan Parties and the Administrative Agent and the Collateral Agent may (in their respective sole discretion, or shall, to the extent required or contemplated by any Loan Document) enter into any amendment, modification, supplement or waiver of any Loan Document, or enter into any new agreement or instrument, to effect the granting, perfection, protection, expansion or enhancement of any security interest in any Collateral or additional property to become Collateral for the benefit of the Secured Parties, to include holders of Other First Liens or (to the extent necessary or advisable under applicable local law) Junior Liens in the benefit of the Security Documents in connection with the incurrence of any Other First Lien Debt or Indebtedness permitted to be secured by Junior Liens and to give effect to any Intercreditor Agreement associated therewith, or as required by local law to give effect to, or protect, any security interest for the benefit of the Secured Parties in any property or so that the security interests therein comply with applicable law or this Agreement or in each case to otherwise enhance the rights or benefits of any Lender under any Loan Document.</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(d)Notwithstanding the foregoing, this Agreement may be amended (or amended and restated) with the written consent of the Required Lenders, the Administrative Agent and the Borrower (i) to permit additional extensions of credit to be outstanding hereunder from time to time and the accrued interest and fees and other obligations in respect thereof to share ratably in the benefits of this Agreement and the other Loan Documents with the Term Loans and the Revolving Facility Loans and the accrued interest and fees and other obligations in respect thereof and (ii) to include appropriately the holders of such extensions of credit in any determination of the requisite lenders required hereunder, including Required Lenders and the Required Revolving Facility Lenders. In addition, notwithstanding the foregoing, this Agreement may be amended (or amended and restated) with the written consent of the Borrower and the Administrative Agent (but without the consent of any Lender or Issuing Bank) to include any additional financial maintenance covenant (or any financial maintenance covenant that is already included in this Agreement but with covenant levels and component definitions that are more restrictive to the Borrower) for the benefit of the Lenders of all of the Facilities (but not fewer than all of the Facilities) then existing.</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(e)Notwithstanding the foregoing, technical and conforming modifications to the Loan Documents may be made with the consent of the Borrower and the Administrative Agent (but without the consent of any Lender) to the extent necessary (A) to integrate any Other Term Loan Commitments, Other Revolving Facility Commitments, Other Term Loans and Other Revolving Loans in a manner consistent with Sections 2.21, 2.22 and 2.23 as may be necessary to establish such Other Term Loan Commitments, Other Revolving Facility Commitment, Other Term Loans or Other Revolving Loans as a separate Class or tranche from the existing Term Facility Commitments, Revolving Facility Commitments, Term Loans or Revolving Facility Loans, as applicable, and, in the case of Extended Term Loans, to reduce the amortization schedule of the related existing Class of Term Loans proportionately, (B) to integrate any Other First Lien Debt,</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(C) to amend any provisions necessary for any Incremental Loan to be fungible with any Facility, so long as such amendment either provides the Lenders of such Facility with additional benefits or is not adverse to such Lenders, (D) to cure any ambiguity, omission, error, defect, inconsistency,</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6480175" cy="781050"/>
                <wp:effectExtent l="0" t="0" r="0" b="0"/>
                <wp:wrapNone/>
                <wp:docPr id="419" name="Frame418"/>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217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217</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jc w:val="both"/>
        <w:rPr>
          <w:rFonts w:ascii="Times New Roman;sans-serif" w:hAnsi="Times New Roman;sans-serif"/>
          <w:b w:val="false"/>
          <w:color w:val="000000"/>
          <w:sz w:val="24"/>
        </w:rPr>
      </w:pPr>
      <w:r>
        <w:rPr>
          <w:rFonts w:ascii="Times New Roman;sans-serif" w:hAnsi="Times New Roman;sans-serif"/>
          <w:b w:val="false"/>
          <w:color w:val="000000"/>
          <w:sz w:val="24"/>
        </w:rPr>
        <w:t>obvious error or any error or omission of a technical nature or any necessary or desirable technical change, in each case, in any provision of any Loan Document or (E) to cause such Loan Document to be consistent with the Credit Agreement or the other Loan Documents.</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(f)Each of the parties hereto hereby agrees that the Administrative Agent may take any and all action as may be necessary to ensure that all Term Loans established pursuant to Section 2.21 after the Closing Date that will be included in an existing Class of Term Loans outstanding on such date (an “</w:t>
      </w:r>
      <w:r>
        <w:rPr>
          <w:rFonts w:ascii="Times New Roman;sans-serif" w:hAnsi="Times New Roman;sans-serif"/>
          <w:b w:val="false"/>
          <w:color w:val="000000"/>
          <w:sz w:val="24"/>
          <w:u w:val="single"/>
        </w:rPr>
        <w:t>Applicable Date</w:t>
      </w:r>
      <w:r>
        <w:rPr>
          <w:color w:val="000000"/>
        </w:rPr>
        <w:t>”</w:t>
      </w:r>
      <w:r>
        <w:rPr>
          <w:rFonts w:ascii="Times New Roman;sans-serif" w:hAnsi="Times New Roman;sans-serif"/>
          <w:b w:val="false"/>
          <w:color w:val="000000"/>
          <w:sz w:val="24"/>
        </w:rPr>
        <w:t>), when originally made, are included in each Borrowing of outstanding Term Loans of such Class (the “</w:t>
      </w:r>
      <w:r>
        <w:rPr>
          <w:rFonts w:ascii="Times New Roman;sans-serif" w:hAnsi="Times New Roman;sans-serif"/>
          <w:b w:val="false"/>
          <w:color w:val="000000"/>
          <w:sz w:val="24"/>
          <w:u w:val="single"/>
        </w:rPr>
        <w:t>Existing Class Loans</w:t>
      </w:r>
      <w:r>
        <w:rPr>
          <w:color w:val="000000"/>
        </w:rPr>
        <w:t>”</w:t>
      </w:r>
      <w:r>
        <w:rPr>
          <w:rFonts w:ascii="Times New Roman;sans-serif" w:hAnsi="Times New Roman;sans-serif"/>
          <w:b w:val="false"/>
          <w:color w:val="000000"/>
          <w:sz w:val="24"/>
        </w:rPr>
        <w:t xml:space="preserve">), on a </w:t>
      </w:r>
      <w:r>
        <w:rPr>
          <w:rFonts w:ascii="Times New Roman;sans-serif" w:hAnsi="Times New Roman;sans-serif"/>
          <w:b w:val="false"/>
          <w:color w:val="000000"/>
          <w:sz w:val="24"/>
          <w:u w:val="single"/>
        </w:rPr>
        <w:t>pro rata</w:t>
      </w:r>
      <w:r>
        <w:rPr>
          <w:color w:val="000000"/>
        </w:rPr>
        <w:t xml:space="preserve"> </w:t>
      </w:r>
      <w:r>
        <w:rPr>
          <w:rFonts w:ascii="Times New Roman;sans-serif" w:hAnsi="Times New Roman;sans-serif"/>
          <w:b w:val="false"/>
          <w:color w:val="000000"/>
          <w:sz w:val="24"/>
        </w:rPr>
        <w:t>basis, and/or to ensure that, immediately after giving effect to such new Term Loans (the “</w:t>
      </w:r>
      <w:r>
        <w:rPr>
          <w:rFonts w:ascii="Times New Roman;sans-serif" w:hAnsi="Times New Roman;sans-serif"/>
          <w:b w:val="false"/>
          <w:color w:val="000000"/>
          <w:sz w:val="24"/>
          <w:u w:val="single"/>
        </w:rPr>
        <w:t>New</w:t>
      </w:r>
      <w:r>
        <w:rPr>
          <w:color w:val="000000"/>
        </w:rPr>
        <w:t xml:space="preserve"> </w:t>
      </w:r>
      <w:r>
        <w:rPr>
          <w:rFonts w:ascii="Times New Roman;sans-serif" w:hAnsi="Times New Roman;sans-serif"/>
          <w:b w:val="false"/>
          <w:color w:val="000000"/>
          <w:sz w:val="24"/>
          <w:u w:val="single"/>
        </w:rPr>
        <w:t>Class Loans</w:t>
      </w:r>
      <w:r>
        <w:rPr>
          <w:color w:val="000000"/>
        </w:rPr>
        <w:t xml:space="preserve">” </w:t>
      </w:r>
      <w:r>
        <w:rPr>
          <w:rFonts w:ascii="Times New Roman;sans-serif" w:hAnsi="Times New Roman;sans-serif"/>
          <w:b w:val="false"/>
          <w:color w:val="000000"/>
          <w:sz w:val="24"/>
        </w:rPr>
        <w:t>and, together with the Existing Class Loans, the “</w:t>
      </w:r>
      <w:r>
        <w:rPr>
          <w:rFonts w:ascii="Times New Roman;sans-serif" w:hAnsi="Times New Roman;sans-serif"/>
          <w:b w:val="false"/>
          <w:color w:val="000000"/>
          <w:sz w:val="24"/>
          <w:u w:val="single"/>
        </w:rPr>
        <w:t>Class Loans</w:t>
      </w:r>
      <w:r>
        <w:rPr>
          <w:color w:val="000000"/>
        </w:rPr>
        <w:t>”</w:t>
      </w:r>
      <w:r>
        <w:rPr>
          <w:rFonts w:ascii="Times New Roman;sans-serif" w:hAnsi="Times New Roman;sans-serif"/>
          <w:b w:val="false"/>
          <w:color w:val="000000"/>
          <w:sz w:val="24"/>
        </w:rPr>
        <w:t>), each Lender holding Class Loans will be deemed to hold its Pro Rata Share of each Class Loan on the Applicable Date (but without changing the amount of any such Lender’s Term Loans), and each such Lender shall be deemed to have effectuated such assignments as shall be required to ensure the foregoing. The “</w:t>
      </w:r>
      <w:r>
        <w:rPr>
          <w:rFonts w:ascii="Times New Roman;sans-serif" w:hAnsi="Times New Roman;sans-serif"/>
          <w:b w:val="false"/>
          <w:color w:val="000000"/>
          <w:sz w:val="24"/>
          <w:u w:val="single"/>
        </w:rPr>
        <w:t>Pro Rata Share</w:t>
      </w:r>
      <w:r>
        <w:rPr>
          <w:color w:val="000000"/>
        </w:rPr>
        <w:t xml:space="preserve">” </w:t>
      </w:r>
      <w:r>
        <w:rPr>
          <w:rFonts w:ascii="Times New Roman;sans-serif" w:hAnsi="Times New Roman;sans-serif"/>
          <w:b w:val="false"/>
          <w:color w:val="000000"/>
          <w:sz w:val="24"/>
        </w:rPr>
        <w:t>of any Lender on the Applicable Date is the ratio of (1) the sum of such Lender’s Existing Class Loans immediately prior to the Applicable Date plus the amount of New Class Loans made by such Lender on the Applicable Date over (2) the aggregate principal amount of all Class Loans on the Applicable Date.</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 xml:space="preserve">Section 9.09. </w:t>
      </w:r>
      <w:r>
        <w:rPr>
          <w:rFonts w:ascii="Times New Roman;sans-serif" w:hAnsi="Times New Roman;sans-serif"/>
          <w:b w:val="false"/>
          <w:color w:val="000000"/>
          <w:sz w:val="24"/>
          <w:u w:val="single"/>
        </w:rPr>
        <w:t>Interest Rate Limitation</w:t>
      </w:r>
      <w:r>
        <w:rPr>
          <w:rFonts w:ascii="Times New Roman;sans-serif" w:hAnsi="Times New Roman;sans-serif"/>
          <w:b w:val="false"/>
          <w:color w:val="000000"/>
          <w:sz w:val="24"/>
        </w:rPr>
        <w:t>. Notwithstanding anything herein to the contrary, if at any time the applicable interest rate, together with all fees and charges that are treated as interest under applicable law (collectively, the “</w:t>
      </w:r>
      <w:r>
        <w:rPr>
          <w:rFonts w:ascii="Times New Roman;sans-serif" w:hAnsi="Times New Roman;sans-serif"/>
          <w:b w:val="false"/>
          <w:color w:val="000000"/>
          <w:sz w:val="24"/>
          <w:u w:val="single"/>
        </w:rPr>
        <w:t>Charges</w:t>
      </w:r>
      <w:r>
        <w:rPr>
          <w:color w:val="000000"/>
        </w:rPr>
        <w:t>”</w:t>
      </w:r>
      <w:r>
        <w:rPr>
          <w:rFonts w:ascii="Times New Roman;sans-serif" w:hAnsi="Times New Roman;sans-serif"/>
          <w:b w:val="false"/>
          <w:color w:val="000000"/>
          <w:sz w:val="24"/>
        </w:rPr>
        <w:t>), as provided for herein or in any other document executed in connection herewith, or otherwise contracted for, charged, received, taken or reserved by any Lender or any Issuing Bank, shall exceed the maximum lawful rate (the “</w:t>
      </w:r>
      <w:r>
        <w:rPr>
          <w:rFonts w:ascii="Times New Roman;sans-serif" w:hAnsi="Times New Roman;sans-serif"/>
          <w:b w:val="false"/>
          <w:color w:val="000000"/>
          <w:sz w:val="24"/>
          <w:u w:val="single"/>
        </w:rPr>
        <w:t>Maximum Rate</w:t>
      </w:r>
      <w:r>
        <w:rPr>
          <w:color w:val="000000"/>
        </w:rPr>
        <w:t>”</w:t>
      </w:r>
      <w:r>
        <w:rPr>
          <w:rFonts w:ascii="Times New Roman;sans-serif" w:hAnsi="Times New Roman;sans-serif"/>
          <w:b w:val="false"/>
          <w:color w:val="000000"/>
          <w:sz w:val="24"/>
        </w:rPr>
        <w:t xml:space="preserve">) that may be contracted for, charged, taken, received or reserved by such Lender or Issuing Bank in accordance with applicable law, the rate of interest payable hereunder, together with all Charges payable to such Lender or such Issuing Bank, shall be limited to the Maximum Rate;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that such excess amount shall be paid to such Lender or such Issuing Bank on subsequent payment dates to the extent not exceeding the legal limitation. In determining whether the interest contracted for, charged, or received by the Administrative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 xml:space="preserve">Section 9.10. </w:t>
      </w:r>
      <w:r>
        <w:rPr>
          <w:rFonts w:ascii="Times New Roman;sans-serif" w:hAnsi="Times New Roman;sans-serif"/>
          <w:b w:val="false"/>
          <w:color w:val="000000"/>
          <w:sz w:val="24"/>
          <w:u w:val="single"/>
        </w:rPr>
        <w:t>Entire Agreement</w:t>
      </w:r>
      <w:r>
        <w:rPr>
          <w:rFonts w:ascii="Times New Roman;sans-serif" w:hAnsi="Times New Roman;sans-serif"/>
          <w:b w:val="false"/>
          <w:color w:val="000000"/>
          <w:sz w:val="24"/>
        </w:rPr>
        <w:t>. This Agreement, the other Loan Documents and the agreements regarding certain Fees referred to herein constitute the entire contract between the parties relative to the subject matter hereof. Any previous agreement among or representations from the parties or their Affiliates with respect to the subject matter hereof is superseded by this Agreement and the other Loan Documents. Notwithstanding the foregoing, the Engagement Letter and the Agent Fee Letters shall each survive the execution and delivery of this Agreement and remain in full force and effect. Nothing in this Agreement or in the other Loan Documents, expressed or implied, is intended to confer upon any party other than the parties hereto and thereto (and the Indemnitees, the Cash Management Banks under any Secured Cash Management Agreement and the Hedge Banks under any Secured Hedge Agreement) rights, remedies, obligations or liabilities under or by reason of this Agreement or the other Loan Documents.</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6480175" cy="781050"/>
                <wp:effectExtent l="0" t="0" r="0" b="0"/>
                <wp:wrapNone/>
                <wp:docPr id="420" name="Frame419"/>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218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218</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ind w:left="0" w:right="0" w:firstLine="720"/>
        <w:jc w:val="both"/>
        <w:rPr/>
      </w:pPr>
      <w:r>
        <w:rPr>
          <w:rFonts w:ascii="Times New Roman;sans-serif" w:hAnsi="Times New Roman;sans-serif"/>
          <w:b w:val="false"/>
          <w:color w:val="000000"/>
          <w:sz w:val="24"/>
        </w:rPr>
        <w:t xml:space="preserve">Section 9.11. </w:t>
      </w:r>
      <w:r>
        <w:rPr>
          <w:rFonts w:ascii="Times New Roman;sans-serif" w:hAnsi="Times New Roman;sans-serif"/>
          <w:b w:val="false"/>
          <w:color w:val="000000"/>
          <w:sz w:val="24"/>
          <w:u w:val="single"/>
        </w:rPr>
        <w:t>WAIVER OF JURY TRIAL</w:t>
      </w:r>
      <w:r>
        <w:rPr>
          <w:rFonts w:ascii="Times New Roman;sans-serif" w:hAnsi="Times New Roman;sans-serif"/>
          <w:b w:val="false"/>
          <w:color w:val="000000"/>
          <w:sz w:val="24"/>
        </w:rPr>
        <w:t>. EACH PARTY HERETO HEREBY WAIVES, TO THE FULLEST EXTENT PERMITTED BY APPLICABLE LAW, ANY RIGHT IT MAY HAVE TO A TRIAL BY JURY IN ANY LEGAL PROCEEDING DIRECTLY OR INDIRECTLY ARISING OUT OF, UNDER OR IN CONNECTION WITH THIS AGREEMENT OR ANY OF THE OTHER LOAN DOCUMENTS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AND THE OTHER LOAN DOCUMENTS, AS APPLICABLE, BY, AMONG OTHER THINGS, THE MUTUAL WAIVERS AND CERTIFICATIONS IN THIS SECTION 9.11.</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 xml:space="preserve">Section 9.12. </w:t>
      </w:r>
      <w:r>
        <w:rPr>
          <w:rFonts w:ascii="Times New Roman;sans-serif" w:hAnsi="Times New Roman;sans-serif"/>
          <w:b w:val="false"/>
          <w:color w:val="000000"/>
          <w:sz w:val="24"/>
          <w:u w:val="single"/>
        </w:rPr>
        <w:t>Severability</w:t>
      </w:r>
      <w:r>
        <w:rPr>
          <w:rFonts w:ascii="Times New Roman;sans-serif" w:hAnsi="Times New Roman;sans-serif"/>
          <w:b w:val="false"/>
          <w:color w:val="000000"/>
          <w:sz w:val="24"/>
        </w:rPr>
        <w:t>. In the event any one or more of the provisions contained in this Agreement or in any other Loan Document should be held invalid, illegal or unenforceable in any respect in any jurisdiction, the validity, legality and enforceability of the remaining provisions contained herein and therein shall not in any way be affected or impaired thereby as to such jurisdiction, and the invalidity of a particular provision in a particular jurisdiction shall not invalidate such provision in any other jurisdiction. The parties shall endeavor in good-faith negotiations to replace the invalid, illegal or unenforceable provisions with valid provisions the economic effect of which comes as close as possible to that of the invalid, illegal or unenforceable provisions.</w:t>
      </w:r>
    </w:p>
    <w:p>
      <w:pPr>
        <w:pStyle w:val="TextBody"/>
        <w:bidi w:val="0"/>
        <w:spacing w:lineRule="auto" w:line="240" w:before="241" w:after="283"/>
        <w:ind w:left="0" w:right="0" w:firstLine="720"/>
        <w:jc w:val="both"/>
        <w:rPr/>
      </w:pPr>
      <w:r>
        <w:rPr>
          <w:rFonts w:ascii="Times New Roman;sans-serif" w:hAnsi="Times New Roman;sans-serif"/>
          <w:b w:val="false"/>
          <w:color w:val="000000"/>
          <w:sz w:val="24"/>
        </w:rPr>
        <w:t xml:space="preserve">Section 9.13. </w:t>
      </w:r>
      <w:r>
        <w:rPr>
          <w:rFonts w:ascii="Times New Roman;sans-serif" w:hAnsi="Times New Roman;sans-serif"/>
          <w:b w:val="false"/>
          <w:color w:val="000000"/>
          <w:sz w:val="24"/>
          <w:u w:val="single"/>
        </w:rPr>
        <w:t>Counterparts</w:t>
      </w:r>
      <w:r>
        <w:rPr>
          <w:rFonts w:ascii="Times New Roman;sans-serif" w:hAnsi="Times New Roman;sans-serif"/>
          <w:b w:val="false"/>
          <w:color w:val="000000"/>
          <w:sz w:val="24"/>
        </w:rPr>
        <w:t>. This Agreement may be executed in any number of counterparts, each of which shall be deemed an original and all of which, when taken together, shall constitute one agreement, and shall become effective as provided in Section 9.03. Delivery of an executed counterpart of a signature page of this Agreement by facsimile transmission, electronic mail (including pdf) or any electronic signature complying with the U.S. Federal ESIGN Act of 2000 or the New York Electronic Signature and Records Act or other transmission method shall be deemed to have been duly and validly delivered and be valid and effective for all purposes to the fullest extent permitted by applicable law. Each party hereto represents and warrants to the other parties hereto that it has the corporate capacity and authority to execute this Agreement through electronic means and there are no restrictions for doing so in such party’s constitutive documents.</w:t>
      </w:r>
    </w:p>
    <w:p>
      <w:pPr>
        <w:pStyle w:val="TextBody"/>
        <w:bidi w:val="0"/>
        <w:spacing w:lineRule="auto" w:line="240" w:before="239" w:after="283"/>
        <w:ind w:left="0" w:right="0" w:firstLine="720"/>
        <w:jc w:val="both"/>
        <w:rPr/>
      </w:pPr>
      <w:r>
        <w:rPr>
          <w:rFonts w:ascii="Times New Roman;sans-serif" w:hAnsi="Times New Roman;sans-serif"/>
          <w:b w:val="false"/>
          <w:color w:val="000000"/>
          <w:sz w:val="24"/>
        </w:rPr>
        <w:t xml:space="preserve">Section 9.14. </w:t>
      </w:r>
      <w:r>
        <w:rPr>
          <w:rFonts w:ascii="Times New Roman;sans-serif" w:hAnsi="Times New Roman;sans-serif"/>
          <w:b w:val="false"/>
          <w:color w:val="000000"/>
          <w:sz w:val="24"/>
          <w:u w:val="single"/>
        </w:rPr>
        <w:t>Headings</w:t>
      </w:r>
      <w:r>
        <w:rPr>
          <w:rFonts w:ascii="Times New Roman;sans-serif" w:hAnsi="Times New Roman;sans-serif"/>
          <w:b w:val="false"/>
          <w:color w:val="000000"/>
          <w:sz w:val="24"/>
        </w:rPr>
        <w:t>. Article and Section headings and the Table of Contents used herein are for convenience of reference only, are not part of this Agreement and are not to affect the construction of, or to be taken into consideration in interpreting, this Agreement.</w:t>
      </w:r>
    </w:p>
    <w:p>
      <w:pPr>
        <w:pStyle w:val="TextBody"/>
        <w:bidi w:val="0"/>
        <w:spacing w:lineRule="auto" w:line="240" w:before="240" w:after="283"/>
        <w:jc w:val="left"/>
        <w:rPr/>
      </w:pPr>
      <w:r>
        <w:rPr>
          <w:rFonts w:ascii="Times New Roman;sans-serif" w:hAnsi="Times New Roman;sans-serif"/>
          <w:b w:val="false"/>
          <w:color w:val="000000"/>
          <w:sz w:val="24"/>
        </w:rPr>
        <w:t xml:space="preserve">Section 9.15. </w:t>
      </w:r>
      <w:r>
        <w:rPr>
          <w:rFonts w:ascii="Times New Roman;sans-serif" w:hAnsi="Times New Roman;sans-serif"/>
          <w:b w:val="false"/>
          <w:color w:val="000000"/>
          <w:sz w:val="24"/>
          <w:u w:val="single"/>
        </w:rPr>
        <w:t>Jurisdiction; Consent to Service of Process</w:t>
      </w:r>
      <w:r>
        <w:rPr>
          <w:rFonts w:ascii="Times New Roman;sans-serif" w:hAnsi="Times New Roman;sans-serif"/>
          <w:b w:val="false"/>
          <w:color w:val="000000"/>
          <w:sz w:val="24"/>
        </w:rPr>
        <w:t>.</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(a)The Borrower and each other Loan Party irrevocably and unconditionally agrees that it will not commence any action, litigation or proceeding of any kind or description, whether in law or equity, whether in contract or in tort or otherwise, against the Administrative Agent, the Collateral Agent, any Lender, any Issuing Bank, any Arranger or any Affiliate of the foregoing in any way relating to this Agreement or any other Loan Document or the transactions relating hereto</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6480175" cy="781050"/>
                <wp:effectExtent l="0" t="0" r="0" b="0"/>
                <wp:wrapNone/>
                <wp:docPr id="421" name="Frame420"/>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219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jc w:val="both"/>
        <w:rPr>
          <w:rFonts w:ascii="Times New Roman;sans-serif" w:hAnsi="Times New Roman;sans-serif"/>
          <w:b w:val="false"/>
          <w:color w:val="000000"/>
          <w:sz w:val="24"/>
        </w:rPr>
      </w:pPr>
      <w:r>
        <w:rPr>
          <w:rFonts w:ascii="Times New Roman;sans-serif" w:hAnsi="Times New Roman;sans-serif"/>
          <w:b w:val="false"/>
          <w:color w:val="000000"/>
          <w:sz w:val="24"/>
        </w:rPr>
        <w:t>or thereto, in any forum other than the courts of the State of New York sitting in New York County, Borough of Manhattan, and of the United States District Court of the Southern District of New York, sitting in New York County, Borough of Manhattan,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 Nothing in this Agreement or in any other Loan Document shall affect any right that the Administrative Agent, any Issuing Bank or any Lender may otherwise have to bring any action or proceeding relating to this Agreement or any other Loan Document against the Borrower or any other Loan Party or its properties in the courts of any jurisdiction.</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(b)Each of the parties hereto hereby irrevocably and unconditionally waives, to the fullest extent it may legally and effectively do so, any objection which it may now or hereafter have to the laying of venue of any suit, action or proceeding arising out of or relating to this Agreement or the other Loan Documents in any court referred to in paragraph (a) of this Section</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9.15. Each of the parties hereto hereby irrevocably waives, to the fullest extent permitted by law, the defense of an inconvenient forum to the maintenance of such action or proceeding in any such court.</w:t>
      </w:r>
    </w:p>
    <w:p>
      <w:pPr>
        <w:pStyle w:val="TextBody"/>
        <w:bidi w:val="0"/>
        <w:spacing w:lineRule="auto" w:line="240" w:before="241"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(c)Each party to this Agreement irrevocably consents to service of process in the manner provided for notices in Section 9.01. Nothing in this Agreement will affect the right of any party to this Agreement or any other Loan Document to serve process in any other manner permitted by law.</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 xml:space="preserve">Section 9.16. </w:t>
      </w:r>
      <w:r>
        <w:rPr>
          <w:rFonts w:ascii="Times New Roman;sans-serif" w:hAnsi="Times New Roman;sans-serif"/>
          <w:b w:val="false"/>
          <w:color w:val="000000"/>
          <w:sz w:val="24"/>
          <w:u w:val="single"/>
        </w:rPr>
        <w:t>Confidentiality</w:t>
      </w:r>
      <w:r>
        <w:rPr>
          <w:rFonts w:ascii="Times New Roman;sans-serif" w:hAnsi="Times New Roman;sans-serif"/>
          <w:b w:val="false"/>
          <w:color w:val="000000"/>
          <w:sz w:val="24"/>
        </w:rPr>
        <w:t>. Each of the Lenders, each Issuing Bank and each of the Agents agrees that it shall maintain in confidence any information relating to the Borrower and any Subsidiary or their respective businesses furnished to it by or on behalf of the Borrower or any Subsidiary (other than information that (a) has become generally available to the public other than as a result of a disclosure by such party in breach of this Section 9.16, (b) has been independently developed by such Lender, such Issuing Bank or such Agent without violating this Section 9.16 or (c) was available to such Lender, such Issuing Bank or such Agent from a third party having, to such person’s knowledge, no obligations of confidentiality to the Borrower or any other Loan Party) and shall not reveal the same other than on a “need to know” basis to (x) its Related Parties (other than Excluded Affiliates) and (y) any numbering, administration or settlement service providers or to any person that approves or administers the Loans on behalf of such Lender (so long as each such person shall have been instructed to keep the same confidential in accordance with this Section 9.16 and such disclosing Lender, Issuing Bank or Agent, as applicable, remains responsible for such person’s compliance with this paragraph), except: (A) to the extent necessary to comply with applicable laws or any legal process or the requirements of any Governmental Authority purporting to have jurisdiction over such person or its Related Parties, (in which case such Person shall, (i) to the extent permitted by applicable Requirements of Law, inform the Borrower promptly in advance thereof and (ii) use commercially reasonable efforts to ensure that any such information so disclosed is accorded confidential treatment), (B) as part of reporting or review procedures to, or examinations by, Governmental Authorities or self-regulatory authorities</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6480175" cy="781050"/>
                <wp:effectExtent l="0" t="0" r="0" b="0"/>
                <wp:wrapNone/>
                <wp:docPr id="422" name="Frame421"/>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220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220</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jc w:val="both"/>
        <w:rPr/>
      </w:pPr>
      <w:r>
        <w:rPr>
          <w:rFonts w:ascii="Times New Roman;sans-serif" w:hAnsi="Times New Roman;sans-serif"/>
          <w:b w:val="false"/>
          <w:color w:val="000000"/>
          <w:sz w:val="24"/>
        </w:rPr>
        <w:t xml:space="preserve">(in which case such person shall, except with respect to any audit or examination conducted by bank accountants or any Governmental Authority exercising examination or regulatory authority, to the extent permitted by applicable Requirements of Law, (i) inform the Borrower promptly in advance thereof and (ii) use commercially reasonable efforts to ensure that any information so disclosed is accorded confidential treatment) (C) to its parent companies, Affiliates and their Related Parties including auditors, accountants, legal counsel and other advisors (so long as each such person shall have been instructed to keep the same confidential in accordance with this Section 9.16 and such disclosing Lender, Issuing Bank or Agent, as applicable, remains responsible for such person’s compliance with this paragraph);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that in no case shall any information relating to the Borrower or any subsidiary or their respective businesses be provided to any Excluded Affiliate pursuant to this clause (C), (D) in connection with the exercise of any remedies under this Agreement or any other Loan Document or any suit, action or proceeding relating to this Agreement or any other Loan Document or the enforcement of rights hereunder or thereunder, (E) to any pledgee under Section 9.04(d) or any other prospective assignee of, or prospective Participant in, any of its rights under this Agreement (so long as such person shall have been instructed to keep the same confidential in accordance with this Section 9.16 and such disclosing Lender, Issuing Bank or Agent, as applicable, remains responsible for such person’s compliance with this paragraph), (F) to any direct or indirect contractual counterparty (or its Related Parties (other than Excluded Affiliates)) in Hedging Agreements or such contractual counterparty’s professional advisor (so long as such contractual counterparty or professional advisor to such contractual counterparty agrees to be bound by the provisions of this Section 9.16 and such disclosing Lender, Issuing Bank or Agent, as applicable, remains responsible for such person’s compliance with this paragraph), (G) on a confidential basis to (i) any rating agency in connection with rating the Borrower or its Subsidiaries or the facilities evidenced by this Agreement or (ii) the CUSIP Service Bureau or any similar agency in connection with the issuance and monitoring of CUSIP numbers with respect to the facilities evidenced by this Agreement, (H) with the prior written consent of the Borrower, (I) solely with respect to disclosing the existence of this Agreement, the size of the Facilities and the parties to the Loan Documents, to market data collectors, similar service providers to the lending industry, and service providers to the Administrative Agent, Collateral Agent, Issuing Banks and the Lenders, in each case in connection with the administration, settlement and management of this Agreement and the other Loan Documents, (J) each Lender may, at its own expense, place advertisements in financial and other newspapers and periodicals or on a home page or similar place for dissemination of information in the Internet or worldwide web as it may choose, and circulate similar promotional materials, in the form of a “tombstone” or otherwise describe the names of the Borrower and their respective Affiliates (or any of them), and the amount, type and closing date with respect to the transactions contemplated hereby and (K) to any other party to this Agreement. Notwithstanding anything herein to the contrary, in no event shall any information relating to the Borrower and any Subsidiary or their respective businesses furnished to any Lender, Issuing Bank or Agent by or on behalf of the Borrower or any Subsidiary be disclosed to (x) any Disqualified Lender or (y) any Excluded Affiliate.</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 xml:space="preserve">Section 9.17. </w:t>
      </w:r>
      <w:r>
        <w:rPr>
          <w:rFonts w:ascii="Times New Roman;sans-serif" w:hAnsi="Times New Roman;sans-serif"/>
          <w:b w:val="false"/>
          <w:color w:val="000000"/>
          <w:sz w:val="24"/>
          <w:u w:val="single"/>
        </w:rPr>
        <w:t>Platform; Borrower Materials</w:t>
      </w:r>
      <w:r>
        <w:rPr>
          <w:rFonts w:ascii="Times New Roman;sans-serif" w:hAnsi="Times New Roman;sans-serif"/>
          <w:b w:val="false"/>
          <w:color w:val="000000"/>
          <w:sz w:val="24"/>
        </w:rPr>
        <w:t>. THE PLATFORM IS PROVIDED “AS IS” AND “AS AVAILABLE.” THE ADMINISTRATIVE AGENT, ITS RELATED PARTIES AND THE ARRANGERS DO NOT WARRANT THE ACCURACY OR COMPLETENESS OF THE BORROWER MATERIALS OR THE ADEQUACY OF THE PLATFORM, AND EXPRESSLY DISCLAIM LIABILITY FOR ERRORS IN OR OMISSIONS FROM THE BORROWER</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6480175" cy="781050"/>
                <wp:effectExtent l="0" t="0" r="0" b="0"/>
                <wp:wrapNone/>
                <wp:docPr id="423" name="Frame422"/>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221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jc w:val="both"/>
        <w:rPr>
          <w:rFonts w:ascii="Times New Roman;sans-serif" w:hAnsi="Times New Roman;sans-serif"/>
          <w:b w:val="false"/>
          <w:color w:val="000000"/>
          <w:sz w:val="24"/>
        </w:rPr>
      </w:pPr>
      <w:r>
        <w:rPr>
          <w:rFonts w:ascii="Times New Roman;sans-serif" w:hAnsi="Times New Roman;sans-serif"/>
          <w:b w:val="false"/>
          <w:color w:val="000000"/>
          <w:sz w:val="24"/>
        </w:rPr>
        <w:t>MATERIALS. NO WARRANTY OF ANY KIND, EXPRESS, IMPLIED OR STATUTORY, INCLUDING ANY WARRANTY OF MERCHANTABILITY, FITNESS FOR A PARTICULAR PURPOSE, NON-INFRINGEMENT OF THIRD PARTY RIGHTS OR FREEDOM FROM VIRUSES OR OTHER CODE DEFECTS, IS MADE BY THE ADMINISTRATIVE AGENT, ANY OR ITS RELATED PARTIES OR ANY ARRANGER IN CONNECTION WITH THE BORROWER MATERIALS OR THE PLATFORM.</w:t>
      </w:r>
    </w:p>
    <w:p>
      <w:pPr>
        <w:pStyle w:val="TextBody"/>
        <w:bidi w:val="0"/>
        <w:spacing w:lineRule="auto" w:line="240" w:before="240" w:after="283"/>
        <w:jc w:val="left"/>
        <w:rPr/>
      </w:pPr>
      <w:r>
        <w:rPr>
          <w:rFonts w:ascii="Times New Roman;sans-serif" w:hAnsi="Times New Roman;sans-serif"/>
          <w:b w:val="false"/>
          <w:color w:val="000000"/>
          <w:sz w:val="24"/>
        </w:rPr>
        <w:t xml:space="preserve">Section 9.18. </w:t>
      </w:r>
      <w:r>
        <w:rPr>
          <w:rFonts w:ascii="Times New Roman;sans-serif" w:hAnsi="Times New Roman;sans-serif"/>
          <w:b w:val="false"/>
          <w:color w:val="000000"/>
          <w:sz w:val="24"/>
          <w:u w:val="single"/>
        </w:rPr>
        <w:t>Release of Liens and Guarantees</w:t>
      </w:r>
      <w:r>
        <w:rPr>
          <w:rFonts w:ascii="Times New Roman;sans-serif" w:hAnsi="Times New Roman;sans-serif"/>
          <w:b w:val="false"/>
          <w:color w:val="000000"/>
          <w:sz w:val="24"/>
        </w:rPr>
        <w:t>.</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(a)The Lenders, the Issuing Banks, the Swingline Lenders, and the other Secured Parties hereby irrevocably agree that the Liens granted to the Collateral Agent by the Loan Parties on any Collateral shall (1) be automatically released: (i) in full upon the occurrence of the Termination Date as set forth in Section 9.18(d) below, (ii) upon the Disposition (other than any lease or license) of such Collateral by any Loan Party to a person that is not (and is not required to become) a Loan Party in a transaction permitted by this Agreement (and the Collateral Agent may rely conclusively on a certificate to that effect provided to it by any Loan Party upon its reasonable request without further inquiry), (iii) to the extent that such Collateral comprises property leased to a Loan Party, upon termination or expiration of such lease (and the Collateral Agent may rely conclusively on a certificate to that effect provided to it by any Loan Party upon its reasonable request without further inquiry), (iv) if the release of such Lien is approved, authorized or ratified in writing by the Required Lenders (or such other percentage of the Lenders whose consent may be required in accordance with Section 9.08), (v) to the extent that the property constituting such Collateral is owned by any Guarantor, upon the release of such Guarantor from its obligations under the Guarantee in accordance with the Guarantee Agreement (and the Collateral Agent may rely conclusively on a certificate to that effect provided to it by any Loan Party upon its reasonable request without further inquiry), (vi) as required by the Collateral Agent to effect any Disposition of Collateral in connection with any exercise of remedies of the Collateral Agent pursuant to the Security Documents, or (vii) if the property subject to such Lien becomes Excluded Property and</w:t>
      </w:r>
    </w:p>
    <w:p>
      <w:pPr>
        <w:pStyle w:val="TextBody"/>
        <w:bidi w:val="0"/>
        <w:spacing w:lineRule="auto" w:line="276"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(2) be released in the circumstances, and subject to the terms and conditions, provided in Section</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8.11 (and the Collateral Agent may rely conclusively on a certificate to that effect provided to it by any Loan Party upon its reasonable request without any further inquiry). Any such release shall not in any manner discharge, affect, or impair the Obligations or any Liens (other than those being released) upon (or obligations (other than those being released) of the Loan Parties in respect of) all interests retained by the Loan Parties, including the proceeds of any Disposition, all of which shall continue to constitute part of the Collateral except to the extent otherwise released in accordance with the provisions of the Loan Documents.</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(b)In addition, the Lenders, the Issuing Banks and the other Secured Parties hereby irrevocably agree that the respective Subsidiary Guarantor shall be released from its respective Guarantee (i) automatically upon consummation of any transaction permitted hereunder (x) resulting in such Subsidiary ceasing to constitute a Subsidiary (including because such Subsidiary is designated an “</w:t>
      </w:r>
      <w:r>
        <w:rPr>
          <w:rFonts w:ascii="Times New Roman;sans-serif" w:hAnsi="Times New Roman;sans-serif"/>
          <w:b w:val="false"/>
          <w:color w:val="000000"/>
          <w:sz w:val="24"/>
          <w:u w:val="single"/>
        </w:rPr>
        <w:t>Unrestricted Subsidiary</w:t>
      </w:r>
      <w:r>
        <w:rPr>
          <w:color w:val="000000"/>
        </w:rPr>
        <w:t>”</w:t>
      </w:r>
      <w:r>
        <w:rPr>
          <w:rFonts w:ascii="Times New Roman;sans-serif" w:hAnsi="Times New Roman;sans-serif"/>
          <w:b w:val="false"/>
          <w:color w:val="000000"/>
          <w:sz w:val="24"/>
        </w:rPr>
        <w:t>) or (y) in the case of any Subsidiary Guarantor which would not be required to be a Guarantor because it is or has become an Excluded Subsidiary as a result of a transaction permitted by this Agreement following which it has become (or remains) a Subsidiary of a Guarantor, in each case following a written request by the Borrower to the Administrative Agent requesting that such person no longer constitute a Guarantor and certifying its entitlement to the requested release (and the Collateral Agent may rely conclusively on a</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6480175" cy="781050"/>
                <wp:effectExtent l="0" t="0" r="0" b="0"/>
                <wp:wrapNone/>
                <wp:docPr id="424" name="Frame423"/>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222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222</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jc w:val="both"/>
        <w:rPr/>
      </w:pPr>
      <w:r>
        <w:rPr>
          <w:rFonts w:ascii="Times New Roman;sans-serif" w:hAnsi="Times New Roman;sans-serif"/>
          <w:b w:val="false"/>
          <w:color w:val="000000"/>
          <w:sz w:val="24"/>
        </w:rPr>
        <w:t xml:space="preserve">certificate to the foregoing effect without further inquiry);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without the consent of the Required Lenders, no Loan Party shall be released from its obligations under the Loan Documents pursuant to clause (y) above if such Loan Party becomes an Excluded Subsidiary pursuant to clause</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(b) of the definition of “Excluded Subsidiary” solely by virtue of a Disposition or issuance of Equity Interests (unless, for the avoidance of doubt, another clause of the definition of “Excluded Subsidiary” is then applicable), unless such Disposition or issuance is for a legitimate business purpose on an arm’s length basis to a bona fide unaffiliated third party or (ii) if the release of such Guarantor is approved, authorized or ratified by the Required Lenders (or such other percentage of Lenders whose consent is required in accordance with Section 9.08).</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 xml:space="preserve">(c)The Lenders, the Issuing Banks and the other Secured Parties hereby authorize the Administrative Agent and the Collateral Agent, as applicable, to execute and deliver any instruments, documents, and agreements necessary or desirable to evidence and confirm the release of any Guarantor or Collateral pursuant to the foregoing provisions of this Section 9.18, all without the further consent or joinder of any Lender or any other Secured Party. Upon the effectiveness of any such release, any representation, warranty or covenant contained in any Loan Document relating to any such Collateral or Guarantor shall no longer be deemed to be made. In connection with any release hereunder, the Administrative Agent and the Collateral Agent shall promptly (and the Secured Parties hereby authorize the Administrative Agent and the Collateral Agent to) take such action and execute any such documents as may be reasonably requested by the Borrower and at the Borrower’s expense in connection with the release of any Liens created by any Loan Document in respect of such Subsidiary, property or asset;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that (i) the Administrative Agent shall have received a certificate of a Responsible Officer of the Borrower containing such certifications as the Administrative Agent shall reasonably request, (ii) the Administrative Agent or the Collateral Agent shall not be required to execute any such document on terms which, in the applicable Agent’s reasonable opinion, would expose such Agent to liability or create any obligation or entail any consequence other than the release of such Liens without recourse or warranty and (iii) such release shall not in any manner discharge, affect or impair the Obligations or any Liens upon (or obligations of the Borrower or any Subsidiary in respect of) all interests retained by the Borrower or any Subsidiary, including the proceeds of the sale, all of which shall continue to constitute part of the Collateral. Any execution and delivery of documents pursuant to this Section 9.18(c) shall be without recourse to or warranty by the Administrative Agent or Collateral Agent.</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 xml:space="preserve">(d)Notwithstanding anything to the contrary contained herein or any other Loan Document, on the Termination Date, upon request of the Borrower, the Administrative Agent and/or the Collateral Agent, as applicable, shall (without notice to, or vote or consent of, any Secured Party) take such actions as shall be required to release its security interest in all Collateral, and to release all obligations under any Loan Document, whether or not on the date of such release there may be any (i) obligations in respect of any Secured Hedge Agreements or any Secured Cash Management Agreements and (ii) any contingent indemnification obligations or expense reimbursement claims not then due;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that the Administrative Agent shall have received a certificate of a Responsible Officer of the Borrower containing such certifications as the Administrative Agent shall reasonably request. Any such release of obligations shall be deemed subject to the provision that such obligations shall be reinstated if after such release any portion of any payment in respect of the obligations guaranteed thereby shall be rescinded, avoided or must otherwise be restored or returned upon or otherwise in connection with the insolvency, bankruptcy,</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6480175" cy="781050"/>
                <wp:effectExtent l="0" t="0" r="0" b="0"/>
                <wp:wrapNone/>
                <wp:docPr id="425" name="Frame424"/>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223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223</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jc w:val="both"/>
        <w:rPr>
          <w:rFonts w:ascii="Times New Roman;sans-serif" w:hAnsi="Times New Roman;sans-serif"/>
          <w:b w:val="false"/>
          <w:color w:val="000000"/>
          <w:sz w:val="24"/>
        </w:rPr>
      </w:pPr>
      <w:r>
        <w:rPr>
          <w:rFonts w:ascii="Times New Roman;sans-serif" w:hAnsi="Times New Roman;sans-serif"/>
          <w:b w:val="false"/>
          <w:color w:val="000000"/>
          <w:sz w:val="24"/>
        </w:rPr>
        <w:t>dissolution, liquidation or reorganization of the Borrower or any Guarantor, or upon or as a result of the appointment of a receiver, intervenor or conservator of, or trustee or similar officer for, the Borrower or any Guarantor or any substantial part of its property, or otherwise, all as though such payment had not been made. The Borrower agrees to pay all reasonable and documented out-of- pocket expenses incurred by the Administrative Agent or the Collateral Agent (and their respective representatives) in connection with taking such actions to release security interests in all Collateral and all obligations under the Loan Documents as contemplated by this Section 9.18(d).</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(e)Obligations of the Borrower or any of its Subsidiaries under any Secured Cash Management Agreement or Secured Hedge Agreement (after giving effect to all netting arrangements relating to such Secured Hedge Agreements) shall be secured and guaranteed pursuant to the Security Documents only to the extent that, and for so long as, the other Obligations are so secured and guaranteed. No person shall have any voting rights under any Loan Document solely as a result of the existence of obligations owed to it under any such Secured Hedge Agreement or Secured Cash Management Agreement. For the avoidance of doubt, no release of Collateral or Guarantors affected in the manner permitted by this Agreement shall require the consent of any holder of obligations under Secured Hedge Agreements or any Secured Cash Management Agreements.</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 xml:space="preserve">Section 9.19. </w:t>
      </w:r>
      <w:r>
        <w:rPr>
          <w:rFonts w:ascii="Times New Roman;sans-serif" w:hAnsi="Times New Roman;sans-serif"/>
          <w:b w:val="false"/>
          <w:color w:val="000000"/>
          <w:sz w:val="24"/>
          <w:u w:val="single"/>
        </w:rPr>
        <w:t>USA PATRIOT Act and Beneficial Ownership Regulation Notice</w:t>
      </w:r>
      <w:r>
        <w:rPr>
          <w:rFonts w:ascii="Times New Roman;sans-serif" w:hAnsi="Times New Roman;sans-serif"/>
          <w:b w:val="false"/>
          <w:color w:val="000000"/>
          <w:sz w:val="24"/>
        </w:rPr>
        <w:t>. Each Lender that is subject to the USA PATRIOT Act and the Beneficial Ownership Regulation and the Administrative Agent (for itself and not on behalf of any Lender) hereby notifies each Loan Party that pursuant to the requirements of the USA PATRIOT Act and the Beneficial Ownership Regulation, it is required to obtain, verify and record information that identifies such Loan Party, which information includes the name and address of such Loan Party and other information that will allow such Lender or the Administrative Agent, as applicable, to identify each Loan Party in accordance with the USA PATRIOT Act and the Beneficial Ownership Regulation. Each Loan Party shall use commercially reasonable efforts to, promptly following a request by the Administrative Agent or any Lender, provide all documentation and other information that the Administrative Agent or such Lender requests in order to comply with its ongoing obligations under applicable “know your customer” and anti-money laundering rules and regulations, including the USA PATRIOT Act and the Beneficial Ownership Regulation.</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 xml:space="preserve">Section 9.20. </w:t>
      </w:r>
      <w:r>
        <w:rPr>
          <w:rFonts w:ascii="Times New Roman;sans-serif" w:hAnsi="Times New Roman;sans-serif"/>
          <w:b w:val="false"/>
          <w:color w:val="000000"/>
          <w:sz w:val="24"/>
          <w:u w:val="single"/>
        </w:rPr>
        <w:t>Agency of the Borrower for the Loan Parties</w:t>
      </w:r>
      <w:r>
        <w:rPr>
          <w:rFonts w:ascii="Times New Roman;sans-serif" w:hAnsi="Times New Roman;sans-serif"/>
          <w:b w:val="false"/>
          <w:color w:val="000000"/>
          <w:sz w:val="24"/>
        </w:rPr>
        <w:t>. Each of the other Loan Parties hereby appoints the Borrower as its agent for all purposes relevant to this Agreement and the other Loan Documents, including the giving and receipt of notices and the execution and delivery of all documents, instruments and certificates contemplated herein and therein and all modifications hereto and thereto.</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 xml:space="preserve">Section 9.21. </w:t>
      </w:r>
      <w:r>
        <w:rPr>
          <w:rFonts w:ascii="Times New Roman;sans-serif" w:hAnsi="Times New Roman;sans-serif"/>
          <w:b w:val="false"/>
          <w:color w:val="000000"/>
          <w:sz w:val="24"/>
          <w:u w:val="single"/>
        </w:rPr>
        <w:t>No Advisory or Fiduciary Responsibility</w:t>
      </w:r>
      <w:r>
        <w:rPr>
          <w:rFonts w:ascii="Times New Roman;sans-serif" w:hAnsi="Times New Roman;sans-serif"/>
          <w:b w:val="false"/>
          <w:color w:val="000000"/>
          <w:sz w:val="24"/>
        </w:rPr>
        <w:t>. In connection with all aspects of each transaction contemplated hereby (including in connection with any amendment, waiver or other modification hereof or of any other Loan Document), the Borrower acknowledges and agrees that: (i) (A) the arranging and other services regarding this Agreement provided by the Administrative Agent, the Arrangers and the Lenders are arm’s-length commercial transactions between the Borrower and its Affiliates, on the one hand, and the Administrative Agent, the Arrangers and the Lenders, on the other hand, (B) the Borrower has consulted its own legal, accounting, regulatory and tax advisors to the extent it has deemed appropriate, and (C) the</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6480175" cy="781050"/>
                <wp:effectExtent l="0" t="0" r="0" b="0"/>
                <wp:wrapNone/>
                <wp:docPr id="426" name="Frame425"/>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224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224</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jc w:val="both"/>
        <w:rPr>
          <w:rFonts w:ascii="Times New Roman;sans-serif" w:hAnsi="Times New Roman;sans-serif"/>
          <w:b w:val="false"/>
          <w:color w:val="000000"/>
          <w:sz w:val="24"/>
        </w:rPr>
      </w:pPr>
      <w:r>
        <w:rPr>
          <w:rFonts w:ascii="Times New Roman;sans-serif" w:hAnsi="Times New Roman;sans-serif"/>
          <w:b w:val="false"/>
          <w:color w:val="000000"/>
          <w:sz w:val="24"/>
        </w:rPr>
        <w:t>Borrower is capable of evaluating, and understands and accepts, the terms, risks and conditions of the transactions contemplated hereby and by the other Loan Documents; (ii) (A) each of the Administrative Agent, the Arrangers and the Lenders is and has been acting solely as a principal and, except as expressly agreed in writing by the relevant parties, has not been, is not, and will not be acting as an advisor, agent or fiduciary for the Borrower, any of its Affiliates or any other person and (B) neither the Administrative Agent, any Arranger nor any Lender has any obligation to the Borrower or any of its Affiliates with respect to the transactions contemplated hereby except those obligations expressly set forth herein and in the other Loan Documents; and (iii) the Administrative Agent, the Arrangers, the Lenders, and their respective Affiliates may be engaged in a broad range of transactions that involve interests that differ from those of the Borrower and its Affiliates, and neither the Administrative Agent, any Arranger nor any Lender has any obligation to disclose any of such interests to the Borrower or its Affiliates. To the fullest extent permitted by law, the Borrower hereby waives and releases any claims that it may have against the Administrative Agent, the Arrangers and the Lenders with respect to any breach or alleged breach of agency or fiduciary duty in connection with any aspect of any transaction contemplated hereby.</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 xml:space="preserve">Section 9.22. </w:t>
      </w:r>
      <w:r>
        <w:rPr>
          <w:rFonts w:ascii="Times New Roman;sans-serif" w:hAnsi="Times New Roman;sans-serif"/>
          <w:b w:val="false"/>
          <w:color w:val="000000"/>
          <w:sz w:val="24"/>
          <w:u w:val="single"/>
        </w:rPr>
        <w:t>Payments Set Aside</w:t>
      </w:r>
      <w:r>
        <w:rPr>
          <w:rFonts w:ascii="Times New Roman;sans-serif" w:hAnsi="Times New Roman;sans-serif"/>
          <w:b w:val="false"/>
          <w:color w:val="000000"/>
          <w:sz w:val="24"/>
        </w:rPr>
        <w:t xml:space="preserve">. (a) To the extent that any payment by or on behalf of the Borrower is made to the Administrative Agent, any Issuing Bank or any Lender, or the Administrative Agent, any Issuing Bank or any Lender exercises its right of setoff or recoupment, and such payment or the proceeds of such setoff or recoupment or any part thereof is subsequently invalidated, declared to be or avoided as fraudulent or preferential, set aside or required (including pursuant to any settlement entered into by the Administrative Agent, such Issuing Bank or such Lender in its discretion) to be repaid to a trustee, receiver or any other party, in connection with any case or proceeding under any Debtor Relief Law or otherwise, then (a) to the extent of such recovery, the obligation or part thereof originally intended to be satisfied shall be revived and continued in full force and effect as if such payment had not been made or such setoff or recoupment had not occurred, and (b) each Lender and each Issuing Bank severally agrees to pay to the Administrative Agent upon demand its applicable share (without duplication) of any amount so recovered from or repaid by the Administrative Agent, </w:t>
      </w:r>
      <w:r>
        <w:rPr>
          <w:rFonts w:ascii="Times New Roman;sans-serif" w:hAnsi="Times New Roman;sans-serif"/>
          <w:b w:val="false"/>
          <w:color w:val="000000"/>
          <w:sz w:val="24"/>
          <w:u w:val="single"/>
        </w:rPr>
        <w:t>plus</w:t>
      </w:r>
      <w:r>
        <w:rPr>
          <w:color w:val="000000"/>
        </w:rPr>
        <w:t xml:space="preserve"> </w:t>
      </w:r>
      <w:r>
        <w:rPr>
          <w:rFonts w:ascii="Times New Roman;sans-serif" w:hAnsi="Times New Roman;sans-serif"/>
          <w:b w:val="false"/>
          <w:color w:val="000000"/>
          <w:sz w:val="24"/>
        </w:rPr>
        <w:t>interest thereon from the date of such demand to the date such payment is made at a rate per annum equal to the Federal Funds Rate from time to time in effect. The obligations of the Lenders and the Issuing Banks under clause (b) of the preceding sentence shall survive the payment in full of the Loan Obligations and the termination of this Agreement.</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 xml:space="preserve">Section 9.23. </w:t>
      </w:r>
      <w:r>
        <w:rPr>
          <w:rFonts w:ascii="Times New Roman;sans-serif" w:hAnsi="Times New Roman;sans-serif"/>
          <w:b w:val="false"/>
          <w:color w:val="000000"/>
          <w:sz w:val="24"/>
          <w:u w:val="single"/>
        </w:rPr>
        <w:t>Acknowledgement and Consent to Bail-In of Affected Financial</w:t>
      </w:r>
      <w:r>
        <w:rPr>
          <w:color w:val="000000"/>
        </w:rPr>
        <w:t xml:space="preserve"> </w:t>
      </w:r>
      <w:r>
        <w:rPr>
          <w:rFonts w:ascii="Times New Roman;sans-serif" w:hAnsi="Times New Roman;sans-serif"/>
          <w:b w:val="false"/>
          <w:color w:val="000000"/>
          <w:sz w:val="24"/>
          <w:u w:val="single"/>
        </w:rPr>
        <w:t>Institutions</w:t>
      </w:r>
      <w:r>
        <w:rPr>
          <w:rFonts w:ascii="Times New Roman;sans-serif" w:hAnsi="Times New Roman;sans-serif"/>
          <w:b w:val="false"/>
          <w:color w:val="000000"/>
          <w:sz w:val="24"/>
        </w:rPr>
        <w:t>. Notwithstanding anything to the contrary in any Loan Document or in any other agreement, arrangement or understanding among any such parties, each party hereto acknowledges that any liability of any Lender or Issuing Bank that is an Affected Financial Institution arising under any Loan Document, to the extent such liability is unsecured, may be subject to the Write- Down and Conversion Powers of an the applicable Resolution Authority and agrees and consents to, and acknowledges and agrees to be bound by:</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(a)the application of any Write-Down and Conversion Powers by the applicable Resolution Authority to any such liabilities arising hereunder which may be payable to it by any party hereto that is an Affected Financial Institution; and</w:t>
      </w:r>
    </w:p>
    <w:p>
      <w:pPr>
        <w:pStyle w:val="TextBody"/>
        <w:bidi w:val="0"/>
        <w:spacing w:lineRule="auto" w:line="240" w:before="240" w:after="283"/>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(b)the effects of any Bail-In Action on any such liability, including, if applicable:</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6480175" cy="781050"/>
                <wp:effectExtent l="0" t="0" r="0" b="0"/>
                <wp:wrapNone/>
                <wp:docPr id="427" name="Frame426"/>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225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225</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60" w:after="283"/>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(i)a reduction in full or in part or cancellation of any such liability;</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(ii)a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(iii)the variation of the terms of such liability in connection with the exercise of the Write-Down and Conversion Powers of the applicable Resolution Authority.</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 xml:space="preserve">Section 9.24. </w:t>
      </w:r>
      <w:r>
        <w:rPr>
          <w:rFonts w:ascii="Times New Roman;sans-serif" w:hAnsi="Times New Roman;sans-serif"/>
          <w:b w:val="false"/>
          <w:color w:val="000000"/>
          <w:sz w:val="24"/>
          <w:u w:val="single"/>
        </w:rPr>
        <w:t>Acknowledgement Regarding Any Supported QFCs</w:t>
      </w:r>
      <w:r>
        <w:rPr>
          <w:rFonts w:ascii="Times New Roman;sans-serif" w:hAnsi="Times New Roman;sans-serif"/>
          <w:b w:val="false"/>
          <w:color w:val="000000"/>
          <w:sz w:val="24"/>
        </w:rPr>
        <w:t>. To the extent that the Loan Documents provide support, through a guarantee or otherwise, for any Hedging Agreement or any other agreement or instrument that is a QFC (such support, “</w:t>
      </w:r>
      <w:r>
        <w:rPr>
          <w:rFonts w:ascii="Times New Roman;sans-serif" w:hAnsi="Times New Roman;sans-serif"/>
          <w:b w:val="false"/>
          <w:color w:val="000000"/>
          <w:sz w:val="24"/>
          <w:u w:val="single"/>
        </w:rPr>
        <w:t>QFC Credit Support</w:t>
      </w:r>
      <w:r>
        <w:rPr>
          <w:color w:val="000000"/>
        </w:rPr>
        <w:t>”</w:t>
      </w:r>
      <w:r>
        <w:rPr>
          <w:rFonts w:ascii="Times New Roman;sans-serif" w:hAnsi="Times New Roman;sans-serif"/>
          <w:b w:val="false"/>
          <w:color w:val="000000"/>
          <w:sz w:val="24"/>
        </w:rPr>
        <w:t>, and each such QFC, a “</w:t>
      </w:r>
      <w:r>
        <w:rPr>
          <w:rFonts w:ascii="Times New Roman;sans-serif" w:hAnsi="Times New Roman;sans-serif"/>
          <w:b w:val="false"/>
          <w:color w:val="000000"/>
          <w:sz w:val="24"/>
          <w:u w:val="single"/>
        </w:rPr>
        <w:t>Supported QFC</w:t>
      </w:r>
      <w:r>
        <w:rPr>
          <w:color w:val="000000"/>
        </w:rPr>
        <w:t>”</w:t>
      </w:r>
      <w:r>
        <w:rPr>
          <w:rFonts w:ascii="Times New Roman;sans-serif" w:hAnsi="Times New Roman;sans-serif"/>
          <w:b w:val="false"/>
          <w:color w:val="000000"/>
          <w:sz w:val="24"/>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sans-serif" w:hAnsi="Times New Roman;sans-serif"/>
          <w:b w:val="false"/>
          <w:color w:val="000000"/>
          <w:sz w:val="24"/>
          <w:u w:val="single"/>
        </w:rPr>
        <w:t>U.S. Special Resolution Regimes</w:t>
      </w:r>
      <w:r>
        <w:rPr>
          <w:color w:val="000000"/>
        </w:rPr>
        <w:t>”</w:t>
      </w:r>
      <w:r>
        <w:rPr>
          <w:rFonts w:ascii="Times New Roman;sans-serif" w:hAnsi="Times New Roman;sans-serif"/>
          <w:b w:val="false"/>
          <w:color w:val="000000"/>
          <w:sz w:val="24"/>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(a)In the event a Covered Entity that is party to a Supported QFC (each, a “</w:t>
      </w:r>
      <w:r>
        <w:rPr>
          <w:rFonts w:ascii="Times New Roman;sans-serif" w:hAnsi="Times New Roman;sans-serif"/>
          <w:b w:val="false"/>
          <w:color w:val="000000"/>
          <w:sz w:val="24"/>
          <w:u w:val="single"/>
        </w:rPr>
        <w:t>Covered</w:t>
      </w:r>
      <w:r>
        <w:rPr>
          <w:color w:val="000000"/>
        </w:rPr>
        <w:t xml:space="preserve"> </w:t>
      </w:r>
      <w:r>
        <w:rPr>
          <w:rFonts w:ascii="Times New Roman;sans-serif" w:hAnsi="Times New Roman;sans-serif"/>
          <w:b w:val="false"/>
          <w:color w:val="000000"/>
          <w:sz w:val="24"/>
          <w:u w:val="single"/>
        </w:rPr>
        <w:t>Party</w:t>
      </w:r>
      <w:r>
        <w:rPr>
          <w:color w:val="000000"/>
        </w:rPr>
        <w:t>”</w:t>
      </w:r>
      <w:r>
        <w:rPr>
          <w:rFonts w:ascii="Times New Roman;sans-serif" w:hAnsi="Times New Roman;sans-serif"/>
          <w:b w:val="false"/>
          <w:color w:val="000000"/>
          <w:sz w:val="24"/>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pStyle w:val="TextBody"/>
        <w:bidi w:val="0"/>
        <w:spacing w:lineRule="auto" w:line="516" w:before="51" w:after="283"/>
        <w:ind w:left="0" w:right="0" w:hanging="720"/>
        <w:jc w:val="both"/>
        <w:rPr/>
      </w:pPr>
      <w:r>
        <w:rPr>
          <w:rFonts w:ascii="Times New Roman;sans-serif" w:hAnsi="Times New Roman;sans-serif"/>
          <w:b w:val="false"/>
          <w:color w:val="000000"/>
          <w:sz w:val="24"/>
        </w:rPr>
        <w:t>(b)As used in this Section 9.24, the following terms have the following meanings: “</w:t>
      </w:r>
      <w:r>
        <w:rPr>
          <w:rFonts w:ascii="Times New Roman;sans-serif" w:hAnsi="Times New Roman;sans-serif"/>
          <w:b w:val="false"/>
          <w:color w:val="000000"/>
          <w:sz w:val="24"/>
          <w:u w:val="single"/>
        </w:rPr>
        <w:t>BHC Act Affiliate</w:t>
      </w:r>
      <w:r>
        <w:rPr>
          <w:color w:val="000000"/>
        </w:rPr>
        <w:t xml:space="preserve">” </w:t>
      </w:r>
      <w:r>
        <w:rPr>
          <w:rFonts w:ascii="Times New Roman;sans-serif" w:hAnsi="Times New Roman;sans-serif"/>
          <w:b w:val="false"/>
          <w:color w:val="000000"/>
          <w:sz w:val="24"/>
        </w:rPr>
        <w:t>of a party means an “affiliate” (as such term is defined under,</w:t>
      </w:r>
    </w:p>
    <w:p>
      <w:pPr>
        <w:pStyle w:val="TextBody"/>
        <w:bidi w:val="0"/>
        <w:spacing w:lineRule="auto" w:line="22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and interpreted in accordance with, 12 U.S.C. 1841(k)) of such party.</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6480175" cy="781050"/>
                <wp:effectExtent l="0" t="0" r="0" b="0"/>
                <wp:wrapNone/>
                <wp:docPr id="428" name="Frame427"/>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226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226</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60" w:after="283"/>
        <w:ind w:left="0" w:right="0" w:firstLine="720"/>
        <w:jc w:val="both"/>
        <w:rPr/>
      </w:pPr>
      <w:r>
        <w:rPr>
          <w:color w:val="000000"/>
        </w:rPr>
        <w:t>“</w:t>
      </w:r>
      <w:r>
        <w:rPr>
          <w:rFonts w:ascii="Times New Roman;sans-serif" w:hAnsi="Times New Roman;sans-serif"/>
          <w:b w:val="false"/>
          <w:color w:val="000000"/>
          <w:sz w:val="24"/>
          <w:u w:val="single"/>
        </w:rPr>
        <w:t>Covered Entity</w:t>
      </w:r>
      <w:r>
        <w:rPr>
          <w:color w:val="000000"/>
        </w:rPr>
        <w:t xml:space="preserve">” </w:t>
      </w:r>
      <w:r>
        <w:rPr>
          <w:rFonts w:ascii="Times New Roman;sans-serif" w:hAnsi="Times New Roman;sans-serif"/>
          <w:b w:val="false"/>
          <w:color w:val="000000"/>
          <w:sz w:val="24"/>
        </w:rPr>
        <w:t>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val="false"/>
          <w:color w:val="000000"/>
          <w:sz w:val="24"/>
          <w:u w:val="single"/>
        </w:rPr>
        <w:t>Default Right</w:t>
      </w:r>
      <w:r>
        <w:rPr>
          <w:color w:val="000000"/>
        </w:rPr>
        <w:t xml:space="preserve">” </w:t>
      </w:r>
      <w:r>
        <w:rPr>
          <w:rFonts w:ascii="Times New Roman;sans-serif" w:hAnsi="Times New Roman;sans-serif"/>
          <w:b w:val="false"/>
          <w:color w:val="000000"/>
          <w:sz w:val="24"/>
        </w:rPr>
        <w:t>has the meaning assigned to that term in, and shall be interpreted in accordance with, 12 C.F.R. §§ 252.81, 47.2 or 382.1, as applicable.</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val="false"/>
          <w:color w:val="000000"/>
          <w:sz w:val="24"/>
          <w:u w:val="single"/>
        </w:rPr>
        <w:t>QFC</w:t>
      </w:r>
      <w:r>
        <w:rPr>
          <w:color w:val="000000"/>
        </w:rPr>
        <w:t xml:space="preserve">” </w:t>
      </w:r>
      <w:r>
        <w:rPr>
          <w:rFonts w:ascii="Times New Roman;sans-serif" w:hAnsi="Times New Roman;sans-serif"/>
          <w:b w:val="false"/>
          <w:color w:val="000000"/>
          <w:sz w:val="24"/>
        </w:rPr>
        <w:t>has the meaning assigned to the term “qualified financial contract” in, and shall be interpreted in accordance with, 12 U.S.C. 5390(c)(8)(D).</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 xml:space="preserve">Section 9.25. </w:t>
      </w:r>
      <w:r>
        <w:rPr>
          <w:rFonts w:ascii="Times New Roman;sans-serif" w:hAnsi="Times New Roman;sans-serif"/>
          <w:b w:val="false"/>
          <w:color w:val="000000"/>
          <w:sz w:val="24"/>
          <w:u w:val="single"/>
        </w:rPr>
        <w:t>Electronic Execution of Assignments and Certain Other Documents</w:t>
      </w:r>
      <w:r>
        <w:rPr>
          <w:rFonts w:ascii="Times New Roman;sans-serif" w:hAnsi="Times New Roman;sans-serif"/>
          <w:b w:val="false"/>
          <w:color w:val="000000"/>
          <w:sz w:val="24"/>
        </w:rPr>
        <w:t xml:space="preserve">. The words “execution,” “execute,” “signed,” “signature,” and words of like import in or related to any document to be signed in connection with this Agreement and the transactions contemplated hereby (including, without limitation, Assignment and Acceptances, amendments or other Borrowing Requests, Swingline Borrowing Requests, Letter of Credit Requests, Interest Election Requests, waivers and consents)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or the use of a paper- based recordkeeping system, as the case may be, to the extent and as provided for in any applicable law, including the U.S. Federal ESIGN Act of 2000, the New York Electronic Signature and Records Act, or any other similar state laws based on the Uniform Electronic Transactions Act;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notwithstanding anything contained herein to the contrary the Administrative Agent is under no obligation to agree to accept electronic signatures in any form or in any format unless expressly agreed to by the Administrative Agent pursuant to procedures approved by it.</w:t>
      </w:r>
    </w:p>
    <w:p>
      <w:pPr>
        <w:pStyle w:val="TextBody"/>
        <w:bidi w:val="0"/>
        <w:spacing w:lineRule="auto" w:line="240" w:before="241" w:after="283"/>
        <w:ind w:left="0" w:right="0" w:firstLine="720"/>
        <w:jc w:val="both"/>
        <w:rPr/>
      </w:pPr>
      <w:r>
        <w:rPr>
          <w:rFonts w:ascii="Times New Roman;sans-serif" w:hAnsi="Times New Roman;sans-serif"/>
          <w:b w:val="false"/>
          <w:color w:val="000000"/>
          <w:sz w:val="24"/>
        </w:rPr>
        <w:t xml:space="preserve">Section 9.26. </w:t>
      </w:r>
      <w:r>
        <w:rPr>
          <w:rFonts w:ascii="Times New Roman;sans-serif" w:hAnsi="Times New Roman;sans-serif"/>
          <w:b w:val="false"/>
          <w:color w:val="000000"/>
          <w:sz w:val="24"/>
          <w:u w:val="single"/>
        </w:rPr>
        <w:t>Net Short Lenders</w:t>
      </w:r>
      <w:r>
        <w:rPr>
          <w:rFonts w:ascii="Times New Roman;sans-serif" w:hAnsi="Times New Roman;sans-serif"/>
          <w:b w:val="false"/>
          <w:color w:val="000000"/>
          <w:sz w:val="24"/>
        </w:rPr>
        <w:t>. Notwithstanding anything to the contrary herein, in connection with any determination as to whether the Required Lenders or the Required Revolving Facility Lenders, as applicable, have (A) delivered (or not delivered) a notice of a Default or an Event of Default or a notice of acceleration under any Loan Document, (B) otherwise acted on any matter related to a Default, an Event of Default or an acceleration under any Loan Document, or</w:t>
      </w:r>
    </w:p>
    <w:p>
      <w:pPr>
        <w:pStyle w:val="TextBody"/>
        <w:bidi w:val="0"/>
        <w:spacing w:lineRule="auto" w:line="240" w:before="0" w:after="0"/>
        <w:jc w:val="both"/>
        <w:rPr/>
      </w:pPr>
      <w:r>
        <w:rPr>
          <w:rFonts w:ascii="Times New Roman;sans-serif" w:hAnsi="Times New Roman;sans-serif"/>
          <w:b w:val="false"/>
          <w:color w:val="000000"/>
          <w:sz w:val="24"/>
        </w:rPr>
        <w:t>(C) directed or required the Administrative Agent to deliver (or not deliver) a notice of a Default or an Event of Default or a notice of acceleration under any Loan Document (clauses (A) through (C), the “</w:t>
      </w:r>
      <w:r>
        <w:rPr>
          <w:rFonts w:ascii="Times New Roman;sans-serif" w:hAnsi="Times New Roman;sans-serif"/>
          <w:b w:val="false"/>
          <w:color w:val="000000"/>
          <w:sz w:val="24"/>
          <w:u w:val="single"/>
        </w:rPr>
        <w:t>Default Actions</w:t>
      </w:r>
      <w:r>
        <w:rPr>
          <w:color w:val="000000"/>
        </w:rPr>
        <w:t>”</w:t>
      </w:r>
      <w:r>
        <w:rPr>
          <w:rFonts w:ascii="Times New Roman;sans-serif" w:hAnsi="Times New Roman;sans-serif"/>
          <w:b w:val="false"/>
          <w:color w:val="000000"/>
          <w:sz w:val="24"/>
        </w:rPr>
        <w:t>), any Lender (other than (x) any Lender that is a Regulated Bank and</w:t>
      </w:r>
    </w:p>
    <w:p>
      <w:pPr>
        <w:pStyle w:val="TextBody"/>
        <w:bidi w:val="0"/>
        <w:spacing w:lineRule="auto" w:line="240" w:before="0" w:after="0"/>
        <w:jc w:val="both"/>
        <w:rPr/>
      </w:pPr>
      <w:r>
        <w:rPr>
          <w:rFonts w:ascii="Times New Roman;sans-serif" w:hAnsi="Times New Roman;sans-serif"/>
          <w:b w:val="false"/>
          <w:color w:val="000000"/>
          <w:sz w:val="24"/>
        </w:rPr>
        <w:t>(y) any Revolving Facility Lender as of the Closing Date (or as otherwise agreed among the Borrower, the applicable Revolving Facility Lender and the Administrative Agent)) that, as a result of its (or its Affiliates’ (other than any Screened Affiliates)) interest in any total return swap, total rate of return swap, credit default swap or other derivative contract (other than any such total return swap, total rate of return swap, credit default swap or other derivative contract entered into pursuant to bona fide market making activities), has a net short position with respect to the Loans and/or Commitments (each, a “</w:t>
      </w:r>
      <w:r>
        <w:rPr>
          <w:rFonts w:ascii="Times New Roman;sans-serif" w:hAnsi="Times New Roman;sans-serif"/>
          <w:b w:val="false"/>
          <w:color w:val="000000"/>
          <w:sz w:val="24"/>
          <w:u w:val="single"/>
        </w:rPr>
        <w:t>Net Short Lender</w:t>
      </w:r>
      <w:r>
        <w:rPr>
          <w:color w:val="000000"/>
        </w:rPr>
        <w:t>”</w:t>
      </w:r>
      <w:r>
        <w:rPr>
          <w:rFonts w:ascii="Times New Roman;sans-serif" w:hAnsi="Times New Roman;sans-serif"/>
          <w:b w:val="false"/>
          <w:color w:val="000000"/>
          <w:sz w:val="24"/>
        </w:rPr>
        <w:t>), without the consent of the Borrower, shall have no right to take any Default Action, be counted as a Required Lender or Required Revolving Facility Lender with respect to any Default Action or vote any of its Loans and Commitments with respect to any Default Action (and, with respect to any votes with respect to any Default Action, shall be deemed to have voted its interest as a Lender without discretion in the same proportion as</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6480175" cy="781050"/>
                <wp:effectExtent l="0" t="0" r="0" b="0"/>
                <wp:wrapNone/>
                <wp:docPr id="429" name="Frame428"/>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227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227</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jc w:val="both"/>
        <w:rPr>
          <w:rFonts w:ascii="Times New Roman;sans-serif" w:hAnsi="Times New Roman;sans-serif"/>
          <w:b w:val="false"/>
          <w:color w:val="000000"/>
          <w:sz w:val="24"/>
        </w:rPr>
      </w:pPr>
      <w:r>
        <w:rPr>
          <w:rFonts w:ascii="Times New Roman;sans-serif" w:hAnsi="Times New Roman;sans-serif"/>
          <w:b w:val="false"/>
          <w:color w:val="000000"/>
          <w:sz w:val="24"/>
        </w:rPr>
        <w:t>the allocation of voting with respect to such matter by Lenders who are not Net Short Lenders). For purposes of determining whether a Lender (alone or together with its Affiliates (other than any Screened Affiliates)) has a “net short position” on any date of determination: (i) derivative contracts with respect to the Loans and Commitments and such contracts that are the functional equivalent thereof shall be counted at the notional amount thereof in Dollars, (ii) notional amounts in other currencies shall be converted to the dollar equivalent thereof by such Lender in a commercially reasonable manner consistent with generally accepted financial practices and based on the prevailing conversion rate (determined on a mid-market basis) on the date of determination,</w:t>
      </w:r>
    </w:p>
    <w:p>
      <w:pPr>
        <w:pStyle w:val="TextBody"/>
        <w:bidi w:val="0"/>
        <w:spacing w:lineRule="auto" w:line="240" w:before="0" w:after="0"/>
        <w:jc w:val="both"/>
        <w:rPr/>
      </w:pPr>
      <w:r>
        <w:rPr>
          <w:rFonts w:ascii="Times New Roman;sans-serif" w:hAnsi="Times New Roman;sans-serif"/>
          <w:b w:val="false"/>
          <w:color w:val="000000"/>
          <w:sz w:val="24"/>
        </w:rPr>
        <w:t>(iii) derivative contracts in respect of an index that includes any of the Borrower or other Loan Parties or any instrument issued or guaranteed by any of the Borrower or other Loan Parties shall not be deemed to create a short position with respect to the Loans and/or Commitments, so long as (x) such index is not created, designed, administered or requested by such Lender or its Affiliates (other than any Screened Affiliates) and (y) the Borrower and other Loan Parties and any instrument issued or guaranteed by any of the Borrower or other Loan Parties, collectively, shall represent less than 5% of the components of such index, (iv) derivative transactions that are documented using either the 2014 ISDA Credit Derivatives Definitions or the 2003 ISDA Credit Derivatives Definitions (collectively, the “</w:t>
      </w:r>
      <w:r>
        <w:rPr>
          <w:rFonts w:ascii="Times New Roman;sans-serif" w:hAnsi="Times New Roman;sans-serif"/>
          <w:b w:val="false"/>
          <w:color w:val="000000"/>
          <w:sz w:val="24"/>
          <w:u w:val="single"/>
        </w:rPr>
        <w:t>ISDA CDS Definitions</w:t>
      </w:r>
      <w:r>
        <w:rPr>
          <w:color w:val="000000"/>
        </w:rPr>
        <w:t>”</w:t>
      </w:r>
      <w:r>
        <w:rPr>
          <w:rFonts w:ascii="Times New Roman;sans-serif" w:hAnsi="Times New Roman;sans-serif"/>
          <w:b w:val="false"/>
          <w:color w:val="000000"/>
          <w:sz w:val="24"/>
        </w:rPr>
        <w:t>) shall be deemed to create a short position with respect to the Loans and/or Commitments if such Lender or its Affiliates (other than any Screened Affiliates) is a protection buyer or the equivalent thereof for such derivative transaction and (x) the Loans or the Commitments are a “Reference Obligation” under the terms of such derivative transaction (whether specified by name in the related documentation, included as a “Standard Reference Obligation” on the most recent list published by Markit, if “Standard Reference Obligation” is specified as applicable in the relevant documentation or in any other manner), (y) the Loans or the Commitments would be a “Deliverable Obligation” under the terms of such derivative transaction or (z) any of the Borrower or other Loan Parties (or its successor) is designated as a “Reference Entity” under the terms of such derivative transactions, and (v) credit derivative transactions or other derivatives transactions not documented using the ISDA CDS Definitions shall be deemed to create a short position with respect to the Loans and/or Commitments if such transactions are functionally equivalent to a transaction that offers the Lender or its Affiliates (other than any Screened Affiliates) protection in respect of the Loans or the Commitments, or as to the credit quality of any of the Borrower or other Loan Parties other than, in each case, as part of an index so long as (x) such index is not created, designed, administered or requested by such Lender or its Affiliates (other than any Screened Affiliates) and</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(y) the Borrower and other Loan Parties and any instrument issued or guaranteed by any of the Borrower or other Loan Parties, collectively, shall represent less than 5% of the components of such index. In connection with any such determination, each Lender shall promptly notify the Administrative Agent in writing that it is a Net Short Lender, or, in the absence of any such written notification to the Administrative Agent prior to the date of such determination, shall otherwise be deemed to have represented and warranted to the Borrower and the Administrative Agent that it is not a Net Short Lender (it being understood and agreed that the Borrower and the Administrative Agent shall be entitled to rely conclusively on each such representation and deemed representation). The Administrative Agent shall be entitled to rely conclusively on any Net Short Representation delivered, provided or made (or deemed delivered, provided or made) to it in accordance with this Agreement, shall have no duty to inquire as to or investigate the accuracy of any Net Short Representation, verify any statements in any officer’s certificate delivered to it, or otherwise make any calculations, investigations or determinations with respect to any interest in</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6480175" cy="781050"/>
                <wp:effectExtent l="0" t="0" r="0" b="0"/>
                <wp:wrapNone/>
                <wp:docPr id="430" name="Frame429"/>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228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228</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any total return swap, total rate of return swap, credit default swap or other derivative contract or “net short positions” or any Person.</w:t>
      </w:r>
    </w:p>
    <w:p>
      <w:pPr>
        <w:pStyle w:val="TextBody"/>
        <w:bidi w:val="0"/>
        <w:spacing w:before="240" w:after="283"/>
        <w:jc w:val="left"/>
        <w:rPr/>
      </w:pPr>
      <w:r>
        <w:rPr/>
      </w:r>
    </w:p>
    <w:p>
      <w:pPr>
        <w:pStyle w:val="TextBody"/>
        <w:bidi w:val="0"/>
        <w:spacing w:lineRule="auto" w:line="240"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IN WITNESS WHEREOF, the parties hereto have caused this Agreement to be duly executed as of the date first written above.</w:t>
      </w:r>
    </w:p>
    <w:p>
      <w:pPr>
        <w:pStyle w:val="TextBody"/>
        <w:bidi w:val="0"/>
        <w:spacing w:lineRule="auto" w:line="240" w:before="240" w:after="283"/>
        <w:jc w:val="left"/>
        <w:rPr/>
      </w:pPr>
      <w:r>
        <w:rPr>
          <w:rFonts w:ascii="Times New Roman;sans-serif" w:hAnsi="Times New Roman;sans-serif"/>
          <w:b/>
          <w:color w:val="000000"/>
          <w:sz w:val="24"/>
        </w:rPr>
        <w:t>MAGNITE, INC.</w:t>
      </w:r>
      <w:r>
        <w:rPr>
          <w:rFonts w:ascii="Times New Roman;sans-serif" w:hAnsi="Times New Roman;sans-serif"/>
          <w:b w:val="false"/>
          <w:color w:val="000000"/>
          <w:sz w:val="24"/>
        </w:rPr>
        <w:t>, as Borrower</w:t>
      </w:r>
    </w:p>
    <w:p>
      <w:pPr>
        <w:pStyle w:val="TextBody"/>
        <w:bidi w:val="0"/>
        <w:spacing w:before="0" w:after="0"/>
        <w:jc w:val="left"/>
        <w:rPr/>
      </w:pPr>
      <w:r>
        <w:rPr/>
      </w:r>
    </w:p>
    <w:p>
      <w:pPr>
        <w:pStyle w:val="TextBody"/>
        <w:bidi w:val="0"/>
        <w:spacing w:before="48" w:after="283"/>
        <w:jc w:val="left"/>
        <w:rPr/>
      </w:pPr>
      <w:r>
        <w:rPr/>
      </w:r>
    </w:p>
    <w:p>
      <w:pPr>
        <w:pStyle w:val="TextBody"/>
        <w:bidi w:val="0"/>
        <w:spacing w:lineRule="auto" w:line="240" w:before="0" w:after="0"/>
        <w:jc w:val="left"/>
        <w:rPr/>
      </w:pPr>
      <w:r>
        <w:rPr>
          <w:rFonts w:ascii="Times New Roman;sans-serif" w:hAnsi="Times New Roman;sans-serif"/>
          <w:b w:val="false"/>
          <w:color w:val="000000"/>
          <w:sz w:val="24"/>
        </w:rPr>
        <w:t xml:space="preserve">By: </w:t>
      </w:r>
      <w:r>
        <w:rPr>
          <w:color w:val="000000"/>
          <w:u w:val="single"/>
        </w:rPr>
        <w:t>    </w:t>
      </w:r>
      <w:r>
        <w:rPr>
          <w:rFonts w:ascii="Times New Roman;sans-serif" w:hAnsi="Times New Roman;sans-serif"/>
          <w:b w:val="false"/>
          <w:color w:val="000000"/>
          <w:sz w:val="24"/>
          <w:u w:val="single"/>
        </w:rPr>
        <w:t>/s/ David Day    </w:t>
      </w:r>
      <w:r>
        <w:rPr>
          <w:color w:val="000000"/>
        </w:rPr>
        <w:t xml:space="preserve"> </w:t>
      </w:r>
      <w:r>
        <w:rPr>
          <w:rFonts w:ascii="Times New Roman;sans-serif" w:hAnsi="Times New Roman;sans-serif"/>
          <w:b w:val="false"/>
          <w:color w:val="000000"/>
          <w:sz w:val="24"/>
        </w:rPr>
        <w:t>Name: David Day</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Title: Chief Financial Officer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216" w:after="283"/>
        <w:jc w:val="left"/>
        <w:rPr/>
      </w:pPr>
      <w:r>
        <w:rPr/>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TO CREDIT AGREEMENT]</w:t>
      </w:r>
    </w:p>
    <w:p>
      <w:pPr>
        <w:pStyle w:val="TextBody"/>
        <w:bidi w:val="0"/>
        <w:spacing w:before="0" w:after="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6480175" cy="781050"/>
                <wp:effectExtent l="0" t="0" r="0" b="0"/>
                <wp:wrapNone/>
                <wp:docPr id="431" name="Frame430"/>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229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229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40" w:before="60" w:after="283"/>
        <w:jc w:val="left"/>
        <w:rPr>
          <w:rFonts w:ascii="Times New Roman;sans-serif" w:hAnsi="Times New Roman;sans-serif"/>
          <w:b/>
          <w:color w:val="000000"/>
          <w:sz w:val="24"/>
        </w:rPr>
      </w:pPr>
      <w:r>
        <w:rPr>
          <w:rFonts w:ascii="Times New Roman;sans-serif" w:hAnsi="Times New Roman;sans-serif"/>
          <w:b/>
          <w:color w:val="000000"/>
          <w:sz w:val="24"/>
        </w:rPr>
        <w:t>MORGAN STANLEY SENIOR FUNDING,</w:t>
      </w:r>
    </w:p>
    <w:p>
      <w:pPr>
        <w:pStyle w:val="TextBody"/>
        <w:bidi w:val="0"/>
        <w:spacing w:lineRule="auto" w:line="240" w:before="0" w:after="0"/>
        <w:jc w:val="left"/>
        <w:rPr/>
      </w:pPr>
      <w:r>
        <w:rPr>
          <w:rFonts w:ascii="Times New Roman;sans-serif" w:hAnsi="Times New Roman;sans-serif"/>
          <w:b/>
          <w:color w:val="000000"/>
          <w:sz w:val="24"/>
        </w:rPr>
        <w:t>INC.</w:t>
      </w:r>
      <w:r>
        <w:rPr>
          <w:rFonts w:ascii="Times New Roman;sans-serif" w:hAnsi="Times New Roman;sans-serif"/>
          <w:b w:val="false"/>
          <w:color w:val="000000"/>
          <w:sz w:val="24"/>
        </w:rPr>
        <w:t>, as Term Facility Administrative Agent</w:t>
      </w:r>
    </w:p>
    <w:p>
      <w:pPr>
        <w:pStyle w:val="TextBody"/>
        <w:bidi w:val="0"/>
        <w:spacing w:before="0" w:after="0"/>
        <w:jc w:val="left"/>
        <w:rPr/>
      </w:pPr>
      <w:r>
        <w:rPr/>
      </w:r>
    </w:p>
    <w:p>
      <w:pPr>
        <w:pStyle w:val="TextBody"/>
        <w:bidi w:val="0"/>
        <w:spacing w:before="48" w:after="283"/>
        <w:jc w:val="left"/>
        <w:rPr/>
      </w:pPr>
      <w:r>
        <w:rPr/>
      </w:r>
    </w:p>
    <w:p>
      <w:pPr>
        <w:pStyle w:val="TextBody"/>
        <w:bidi w:val="0"/>
        <w:spacing w:lineRule="auto" w:line="240" w:before="0" w:after="0"/>
        <w:jc w:val="left"/>
        <w:rPr/>
      </w:pPr>
      <w:r>
        <w:rPr>
          <w:rFonts w:ascii="Times New Roman;sans-serif" w:hAnsi="Times New Roman;sans-serif"/>
          <w:b w:val="false"/>
          <w:color w:val="000000"/>
          <w:sz w:val="24"/>
        </w:rPr>
        <w:t>By:    </w:t>
      </w:r>
      <w:r>
        <w:rPr>
          <w:color w:val="000000"/>
          <w:u w:val="single"/>
        </w:rPr>
        <w:t>    </w:t>
      </w:r>
      <w:r>
        <w:rPr>
          <w:rFonts w:ascii="Times New Roman;sans-serif" w:hAnsi="Times New Roman;sans-serif"/>
          <w:b w:val="false"/>
          <w:color w:val="000000"/>
          <w:sz w:val="24"/>
          <w:u w:val="single"/>
        </w:rPr>
        <w:t>/s/ Jennifer DeFazio    </w:t>
      </w:r>
      <w:r>
        <w:rPr>
          <w:color w:val="000000"/>
        </w:rPr>
        <w:t xml:space="preserve"> </w:t>
      </w:r>
      <w:r>
        <w:rPr>
          <w:rFonts w:ascii="Times New Roman;sans-serif" w:hAnsi="Times New Roman;sans-serif"/>
          <w:b w:val="false"/>
          <w:color w:val="000000"/>
          <w:sz w:val="24"/>
        </w:rPr>
        <w:t>Name: Jennifer DeFazio</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Title: Executive Director</w:t>
      </w:r>
    </w:p>
    <w:p>
      <w:pPr>
        <w:pStyle w:val="TextBody"/>
        <w:bidi w:val="0"/>
        <w:spacing w:before="204" w:after="283"/>
        <w:jc w:val="left"/>
        <w:rPr/>
      </w:pPr>
      <w:r>
        <w:rPr/>
      </w:r>
    </w:p>
    <w:p>
      <w:pPr>
        <w:pStyle w:val="TextBody"/>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MORGAN STANLEY SENIOR FUNDING,</w:t>
      </w:r>
    </w:p>
    <w:p>
      <w:pPr>
        <w:pStyle w:val="TextBody"/>
        <w:bidi w:val="0"/>
        <w:spacing w:lineRule="auto" w:line="240" w:before="0" w:after="0"/>
        <w:jc w:val="left"/>
        <w:rPr/>
      </w:pPr>
      <w:r>
        <w:rPr>
          <w:rFonts w:ascii="Times New Roman;sans-serif" w:hAnsi="Times New Roman;sans-serif"/>
          <w:b/>
          <w:color w:val="000000"/>
          <w:sz w:val="24"/>
        </w:rPr>
        <w:t>INC.</w:t>
      </w:r>
      <w:r>
        <w:rPr>
          <w:rFonts w:ascii="Times New Roman;sans-serif" w:hAnsi="Times New Roman;sans-serif"/>
          <w:b w:val="false"/>
          <w:color w:val="000000"/>
          <w:sz w:val="24"/>
        </w:rPr>
        <w:t>, as Issuing Bank and Lender</w:t>
      </w:r>
    </w:p>
    <w:p>
      <w:pPr>
        <w:pStyle w:val="TextBody"/>
        <w:bidi w:val="0"/>
        <w:spacing w:before="0" w:after="0"/>
        <w:jc w:val="left"/>
        <w:rPr/>
      </w:pPr>
      <w:r>
        <w:rPr/>
      </w:r>
    </w:p>
    <w:p>
      <w:pPr>
        <w:pStyle w:val="TextBody"/>
        <w:bidi w:val="0"/>
        <w:spacing w:before="48" w:after="283"/>
        <w:jc w:val="left"/>
        <w:rPr/>
      </w:pPr>
      <w:r>
        <w:rPr/>
      </w:r>
    </w:p>
    <w:p>
      <w:pPr>
        <w:pStyle w:val="TextBody"/>
        <w:bidi w:val="0"/>
        <w:spacing w:lineRule="auto" w:line="240" w:before="0" w:after="0"/>
        <w:jc w:val="left"/>
        <w:rPr/>
      </w:pPr>
      <w:r>
        <w:rPr>
          <w:rFonts w:ascii="Times New Roman;sans-serif" w:hAnsi="Times New Roman;sans-serif"/>
          <w:b w:val="false"/>
          <w:color w:val="000000"/>
          <w:sz w:val="24"/>
        </w:rPr>
        <w:t>By:    </w:t>
      </w:r>
      <w:r>
        <w:rPr>
          <w:color w:val="000000"/>
          <w:u w:val="single"/>
        </w:rPr>
        <w:t>    </w:t>
      </w:r>
      <w:r>
        <w:rPr>
          <w:rFonts w:ascii="Times New Roman;sans-serif" w:hAnsi="Times New Roman;sans-serif"/>
          <w:b w:val="false"/>
          <w:color w:val="000000"/>
          <w:sz w:val="24"/>
          <w:u w:val="single"/>
        </w:rPr>
        <w:t>/s/ Michael King    </w:t>
      </w:r>
      <w:r>
        <w:rPr>
          <w:color w:val="000000"/>
        </w:rPr>
        <w:t xml:space="preserve"> </w:t>
      </w:r>
      <w:r>
        <w:rPr>
          <w:rFonts w:ascii="Times New Roman;sans-serif" w:hAnsi="Times New Roman;sans-serif"/>
          <w:b w:val="false"/>
          <w:color w:val="000000"/>
          <w:sz w:val="24"/>
        </w:rPr>
        <w:t>Name: Michael King</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Title: Vice President</w:t>
      </w:r>
    </w:p>
    <w:p>
      <w:pPr>
        <w:pStyle w:val="TextBody"/>
        <w:bidi w:val="0"/>
        <w:spacing w:before="204" w:after="283"/>
        <w:jc w:val="left"/>
        <w:rPr/>
      </w:pPr>
      <w:r>
        <w:rPr/>
      </w:r>
    </w:p>
    <w:p>
      <w:pPr>
        <w:pStyle w:val="TextBody"/>
        <w:bidi w:val="0"/>
        <w:spacing w:lineRule="auto" w:line="240" w:before="0" w:after="0"/>
        <w:jc w:val="left"/>
        <w:rPr/>
      </w:pPr>
      <w:r>
        <w:rPr>
          <w:rFonts w:ascii="Times New Roman;sans-serif" w:hAnsi="Times New Roman;sans-serif"/>
          <w:b/>
          <w:color w:val="000000"/>
          <w:sz w:val="24"/>
        </w:rPr>
        <w:t>MORGAN STANLEY BANK, N.A..</w:t>
      </w:r>
      <w:r>
        <w:rPr>
          <w:rFonts w:ascii="Times New Roman;sans-serif" w:hAnsi="Times New Roman;sans-serif"/>
          <w:b w:val="false"/>
          <w:color w:val="000000"/>
          <w:sz w:val="24"/>
        </w:rPr>
        <w:t>, as Lender</w:t>
      </w:r>
    </w:p>
    <w:p>
      <w:pPr>
        <w:pStyle w:val="TextBody"/>
        <w:bidi w:val="0"/>
        <w:spacing w:before="0" w:after="0"/>
        <w:jc w:val="left"/>
        <w:rPr/>
      </w:pPr>
      <w:r>
        <w:rPr/>
      </w:r>
    </w:p>
    <w:p>
      <w:pPr>
        <w:pStyle w:val="TextBody"/>
        <w:bidi w:val="0"/>
        <w:spacing w:before="48" w:after="283"/>
        <w:jc w:val="left"/>
        <w:rPr/>
      </w:pPr>
      <w:r>
        <w:rPr/>
      </w:r>
    </w:p>
    <w:p>
      <w:pPr>
        <w:pStyle w:val="TextBody"/>
        <w:bidi w:val="0"/>
        <w:spacing w:lineRule="auto" w:line="240" w:before="0" w:after="0"/>
        <w:jc w:val="left"/>
        <w:rPr/>
      </w:pPr>
      <w:r>
        <w:rPr>
          <w:rFonts w:ascii="Times New Roman;sans-serif" w:hAnsi="Times New Roman;sans-serif"/>
          <w:b w:val="false"/>
          <w:color w:val="000000"/>
          <w:sz w:val="24"/>
        </w:rPr>
        <w:t>By:    </w:t>
      </w:r>
      <w:r>
        <w:rPr>
          <w:color w:val="000000"/>
          <w:u w:val="single"/>
        </w:rPr>
        <w:t xml:space="preserve"> </w:t>
      </w:r>
      <w:r>
        <w:rPr>
          <w:rFonts w:ascii="Times New Roman;sans-serif" w:hAnsi="Times New Roman;sans-serif"/>
          <w:b w:val="false"/>
          <w:color w:val="000000"/>
          <w:sz w:val="24"/>
          <w:u w:val="single"/>
        </w:rPr>
        <w:t>/s/ Jennifer DeFazio    </w:t>
      </w:r>
      <w:r>
        <w:rPr>
          <w:color w:val="000000"/>
        </w:rPr>
        <w:t xml:space="preserve"> </w:t>
      </w:r>
      <w:r>
        <w:rPr>
          <w:rFonts w:ascii="Times New Roman;sans-serif" w:hAnsi="Times New Roman;sans-serif"/>
          <w:b w:val="false"/>
          <w:color w:val="000000"/>
          <w:sz w:val="24"/>
        </w:rPr>
        <w:t>Name: Jennifer DeFazio</w:t>
      </w:r>
    </w:p>
    <w:p>
      <w:pPr>
        <w:pStyle w:val="TextBody"/>
        <w:bidi w:val="0"/>
        <w:spacing w:lineRule="auto" w:line="240"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Title: Executive Director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120" w:after="283"/>
        <w:jc w:val="left"/>
        <w:rPr/>
      </w:pPr>
      <w:r>
        <w:rPr/>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TO CREDIT AGREEMENT]</w:t>
      </w:r>
    </w:p>
    <w:p>
      <w:pPr>
        <w:pStyle w:val="TextBody"/>
        <w:bidi w:val="0"/>
        <w:spacing w:before="0" w:after="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6480175" cy="781050"/>
                <wp:effectExtent l="0" t="0" r="0" b="0"/>
                <wp:wrapNone/>
                <wp:docPr id="432" name="Frame431"/>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230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230</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40" w:before="60" w:after="283"/>
        <w:jc w:val="left"/>
        <w:rPr/>
      </w:pPr>
      <w:r>
        <w:rPr>
          <w:rFonts w:ascii="Times New Roman;sans-serif" w:hAnsi="Times New Roman;sans-serif"/>
          <w:b/>
          <w:color w:val="000000"/>
          <w:sz w:val="24"/>
        </w:rPr>
        <w:t>CITIBANK, N.A.</w:t>
      </w:r>
      <w:r>
        <w:rPr>
          <w:rFonts w:ascii="Times New Roman;sans-serif" w:hAnsi="Times New Roman;sans-serif"/>
          <w:b w:val="false"/>
          <w:color w:val="000000"/>
          <w:sz w:val="24"/>
        </w:rPr>
        <w:t>, as Revolving Facility Administrative Agent and Collateral Agent</w:t>
      </w:r>
    </w:p>
    <w:p>
      <w:pPr>
        <w:pStyle w:val="TextBody"/>
        <w:bidi w:val="0"/>
        <w:spacing w:before="0" w:after="0"/>
        <w:jc w:val="left"/>
        <w:rPr/>
      </w:pPr>
      <w:r>
        <w:rPr/>
      </w:r>
    </w:p>
    <w:p>
      <w:pPr>
        <w:pStyle w:val="TextBody"/>
        <w:bidi w:val="0"/>
        <w:spacing w:before="48" w:after="283"/>
        <w:jc w:val="left"/>
        <w:rPr/>
      </w:pPr>
      <w:r>
        <w:rPr/>
      </w:r>
    </w:p>
    <w:p>
      <w:pPr>
        <w:pStyle w:val="TextBody"/>
        <w:bidi w:val="0"/>
        <w:spacing w:lineRule="auto" w:line="240" w:before="0" w:after="0"/>
        <w:jc w:val="left"/>
        <w:rPr/>
      </w:pPr>
      <w:r>
        <w:rPr>
          <w:rFonts w:ascii="Times New Roman;sans-serif" w:hAnsi="Times New Roman;sans-serif"/>
          <w:b w:val="false"/>
          <w:color w:val="000000"/>
          <w:sz w:val="24"/>
        </w:rPr>
        <w:t>By:    </w:t>
      </w:r>
      <w:r>
        <w:rPr>
          <w:color w:val="000000"/>
          <w:u w:val="single"/>
        </w:rPr>
        <w:t>    </w:t>
      </w:r>
      <w:r>
        <w:rPr>
          <w:rFonts w:ascii="Times New Roman;sans-serif" w:hAnsi="Times New Roman;sans-serif"/>
          <w:b w:val="false"/>
          <w:color w:val="000000"/>
          <w:sz w:val="24"/>
          <w:u w:val="single"/>
        </w:rPr>
        <w:t>/s/ Nathan Hamsik    </w:t>
      </w:r>
      <w:r>
        <w:rPr>
          <w:color w:val="000000"/>
        </w:rPr>
        <w:t xml:space="preserve"> </w:t>
      </w:r>
      <w:r>
        <w:rPr>
          <w:rFonts w:ascii="Times New Roman;sans-serif" w:hAnsi="Times New Roman;sans-serif"/>
          <w:b w:val="false"/>
          <w:color w:val="000000"/>
          <w:sz w:val="24"/>
        </w:rPr>
        <w:t>Name: Nathan Hamsik</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Title: SVP</w:t>
      </w:r>
    </w:p>
    <w:p>
      <w:pPr>
        <w:pStyle w:val="TextBody"/>
        <w:bidi w:val="0"/>
        <w:spacing w:before="204" w:after="283"/>
        <w:jc w:val="left"/>
        <w:rPr/>
      </w:pPr>
      <w:r>
        <w:rPr/>
      </w:r>
    </w:p>
    <w:p>
      <w:pPr>
        <w:pStyle w:val="TextBody"/>
        <w:bidi w:val="0"/>
        <w:spacing w:lineRule="auto" w:line="240" w:before="0" w:after="0"/>
        <w:jc w:val="left"/>
        <w:rPr/>
      </w:pPr>
      <w:r>
        <w:rPr>
          <w:rFonts w:ascii="Times New Roman;sans-serif" w:hAnsi="Times New Roman;sans-serif"/>
          <w:b/>
          <w:color w:val="000000"/>
          <w:sz w:val="24"/>
        </w:rPr>
        <w:t>CITIBANK, N.A.</w:t>
      </w:r>
      <w:r>
        <w:rPr>
          <w:rFonts w:ascii="Times New Roman;sans-serif" w:hAnsi="Times New Roman;sans-serif"/>
          <w:b w:val="false"/>
          <w:color w:val="000000"/>
          <w:sz w:val="24"/>
        </w:rPr>
        <w:t>, as Swingline Lender, Issuing Bank and Lender</w:t>
      </w:r>
    </w:p>
    <w:p>
      <w:pPr>
        <w:pStyle w:val="TextBody"/>
        <w:bidi w:val="0"/>
        <w:spacing w:before="0" w:after="0"/>
        <w:jc w:val="left"/>
        <w:rPr/>
      </w:pPr>
      <w:r>
        <w:rPr/>
      </w:r>
    </w:p>
    <w:p>
      <w:pPr>
        <w:pStyle w:val="TextBody"/>
        <w:bidi w:val="0"/>
        <w:spacing w:before="48" w:after="283"/>
        <w:jc w:val="left"/>
        <w:rPr/>
      </w:pPr>
      <w:r>
        <w:rPr/>
      </w:r>
    </w:p>
    <w:p>
      <w:pPr>
        <w:pStyle w:val="TextBody"/>
        <w:bidi w:val="0"/>
        <w:spacing w:lineRule="auto" w:line="240" w:before="0" w:after="0"/>
        <w:jc w:val="left"/>
        <w:rPr/>
      </w:pPr>
      <w:r>
        <w:rPr>
          <w:rFonts w:ascii="Times New Roman;sans-serif" w:hAnsi="Times New Roman;sans-serif"/>
          <w:b w:val="false"/>
          <w:color w:val="000000"/>
          <w:sz w:val="24"/>
        </w:rPr>
        <w:t>By:    </w:t>
      </w:r>
      <w:r>
        <w:rPr>
          <w:color w:val="000000"/>
          <w:u w:val="single"/>
        </w:rPr>
        <w:t>    </w:t>
      </w:r>
      <w:r>
        <w:rPr>
          <w:rFonts w:ascii="Times New Roman;sans-serif" w:hAnsi="Times New Roman;sans-serif"/>
          <w:b w:val="false"/>
          <w:color w:val="000000"/>
          <w:sz w:val="24"/>
          <w:u w:val="single"/>
        </w:rPr>
        <w:t>/s/ Nathan Hamsik    </w:t>
      </w:r>
      <w:r>
        <w:rPr>
          <w:color w:val="000000"/>
        </w:rPr>
        <w:t xml:space="preserve"> </w:t>
      </w:r>
      <w:r>
        <w:rPr>
          <w:rFonts w:ascii="Times New Roman;sans-serif" w:hAnsi="Times New Roman;sans-serif"/>
          <w:b w:val="false"/>
          <w:color w:val="000000"/>
          <w:sz w:val="24"/>
        </w:rPr>
        <w:t>Name: Nathan Hamsik</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Title: SVP</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217" w:after="283"/>
        <w:jc w:val="left"/>
        <w:rPr/>
      </w:pPr>
      <w:r>
        <w:rPr/>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TO CREDIT AGREEMENT]</w:t>
      </w:r>
    </w:p>
    <w:p>
      <w:pPr>
        <w:pStyle w:val="TextBody"/>
        <w:bidi w:val="0"/>
        <w:spacing w:before="0" w:after="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6480175" cy="781050"/>
                <wp:effectExtent l="0" t="0" r="0" b="0"/>
                <wp:wrapNone/>
                <wp:docPr id="433" name="Frame432"/>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231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231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40" w:before="60" w:after="283"/>
        <w:jc w:val="left"/>
        <w:rPr/>
      </w:pPr>
      <w:r>
        <w:rPr>
          <w:rFonts w:ascii="Times New Roman;sans-serif" w:hAnsi="Times New Roman;sans-serif"/>
          <w:b/>
          <w:color w:val="000000"/>
          <w:sz w:val="24"/>
        </w:rPr>
        <w:t>BARCLAYS BANK PLC</w:t>
      </w:r>
      <w:r>
        <w:rPr>
          <w:rFonts w:ascii="Times New Roman;sans-serif" w:hAnsi="Times New Roman;sans-serif"/>
          <w:b w:val="false"/>
          <w:color w:val="000000"/>
          <w:sz w:val="24"/>
        </w:rPr>
        <w:t>, as Lender</w:t>
      </w:r>
    </w:p>
    <w:p>
      <w:pPr>
        <w:pStyle w:val="TextBody"/>
        <w:bidi w:val="0"/>
        <w:spacing w:before="0" w:after="0"/>
        <w:jc w:val="left"/>
        <w:rPr/>
      </w:pPr>
      <w:r>
        <w:rPr/>
      </w:r>
    </w:p>
    <w:p>
      <w:pPr>
        <w:pStyle w:val="TextBody"/>
        <w:bidi w:val="0"/>
        <w:spacing w:before="48" w:after="283"/>
        <w:jc w:val="left"/>
        <w:rPr/>
      </w:pPr>
      <w:r>
        <w:rPr/>
      </w:r>
    </w:p>
    <w:p>
      <w:pPr>
        <w:pStyle w:val="TextBody"/>
        <w:bidi w:val="0"/>
        <w:spacing w:lineRule="auto" w:line="240" w:before="0" w:after="0"/>
        <w:jc w:val="left"/>
        <w:rPr/>
      </w:pPr>
      <w:r>
        <w:rPr>
          <w:rFonts w:ascii="Times New Roman;sans-serif" w:hAnsi="Times New Roman;sans-serif"/>
          <w:b w:val="false"/>
          <w:color w:val="000000"/>
          <w:sz w:val="24"/>
        </w:rPr>
        <w:t>By:    </w:t>
      </w:r>
      <w:r>
        <w:rPr>
          <w:color w:val="000000"/>
          <w:u w:val="single"/>
        </w:rPr>
        <w:t xml:space="preserve"> </w:t>
      </w:r>
      <w:r>
        <w:rPr>
          <w:rFonts w:ascii="Times New Roman;sans-serif" w:hAnsi="Times New Roman;sans-serif"/>
          <w:b w:val="false"/>
          <w:color w:val="000000"/>
          <w:sz w:val="24"/>
          <w:u w:val="single"/>
        </w:rPr>
        <w:t>/s/ Sean Duggan    </w:t>
      </w:r>
      <w:r>
        <w:rPr>
          <w:color w:val="000000"/>
        </w:rPr>
        <w:t xml:space="preserve"> </w:t>
      </w:r>
      <w:r>
        <w:rPr>
          <w:rFonts w:ascii="Times New Roman;sans-serif" w:hAnsi="Times New Roman;sans-serif"/>
          <w:b w:val="false"/>
          <w:color w:val="000000"/>
          <w:sz w:val="24"/>
        </w:rPr>
        <w:t>Name: Sean Duggan</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Title: Director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37" w:after="283"/>
        <w:jc w:val="left"/>
        <w:rPr/>
      </w:pPr>
      <w:r>
        <w:rPr/>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TO CREDIT AGREEMENT]</w:t>
      </w:r>
    </w:p>
    <w:p>
      <w:pPr>
        <w:pStyle w:val="TextBody"/>
        <w:bidi w:val="0"/>
        <w:spacing w:before="0" w:after="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6480175" cy="781050"/>
                <wp:effectExtent l="0" t="0" r="0" b="0"/>
                <wp:wrapNone/>
                <wp:docPr id="434" name="Frame433"/>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232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232</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40" w:before="60" w:after="283"/>
        <w:jc w:val="left"/>
        <w:rPr/>
      </w:pPr>
      <w:r>
        <w:rPr>
          <w:rFonts w:ascii="Times New Roman;sans-serif" w:hAnsi="Times New Roman;sans-serif"/>
          <w:b/>
          <w:color w:val="000000"/>
          <w:sz w:val="24"/>
        </w:rPr>
        <w:t>GOLDMAN SACHS BANK USA</w:t>
      </w:r>
      <w:r>
        <w:rPr>
          <w:rFonts w:ascii="Times New Roman;sans-serif" w:hAnsi="Times New Roman;sans-serif"/>
          <w:b w:val="false"/>
          <w:color w:val="000000"/>
          <w:sz w:val="24"/>
        </w:rPr>
        <w:t>, as Lender</w:t>
      </w:r>
    </w:p>
    <w:p>
      <w:pPr>
        <w:pStyle w:val="TextBody"/>
        <w:bidi w:val="0"/>
        <w:spacing w:before="0" w:after="0"/>
        <w:jc w:val="left"/>
        <w:rPr/>
      </w:pPr>
      <w:r>
        <w:rPr/>
      </w:r>
    </w:p>
    <w:p>
      <w:pPr>
        <w:pStyle w:val="TextBody"/>
        <w:bidi w:val="0"/>
        <w:spacing w:before="48" w:after="283"/>
        <w:jc w:val="left"/>
        <w:rPr/>
      </w:pPr>
      <w:r>
        <w:rPr/>
      </w:r>
    </w:p>
    <w:p>
      <w:pPr>
        <w:pStyle w:val="TextBody"/>
        <w:bidi w:val="0"/>
        <w:spacing w:lineRule="auto" w:line="240" w:before="0" w:after="0"/>
        <w:jc w:val="left"/>
        <w:rPr/>
      </w:pPr>
      <w:r>
        <w:rPr>
          <w:rFonts w:ascii="Times New Roman;sans-serif" w:hAnsi="Times New Roman;sans-serif"/>
          <w:b w:val="false"/>
          <w:color w:val="000000"/>
          <w:sz w:val="24"/>
        </w:rPr>
        <w:t>By:    </w:t>
      </w:r>
      <w:r>
        <w:rPr>
          <w:color w:val="000000"/>
          <w:u w:val="single"/>
        </w:rPr>
        <w:t xml:space="preserve"> </w:t>
      </w:r>
      <w:r>
        <w:rPr>
          <w:rFonts w:ascii="Times New Roman;sans-serif" w:hAnsi="Times New Roman;sans-serif"/>
          <w:b w:val="false"/>
          <w:color w:val="000000"/>
          <w:sz w:val="24"/>
          <w:u w:val="single"/>
        </w:rPr>
        <w:t>/s/ Dana Siconolfi    </w:t>
      </w:r>
      <w:r>
        <w:rPr>
          <w:color w:val="000000"/>
        </w:rPr>
        <w:t xml:space="preserve"> </w:t>
      </w:r>
      <w:r>
        <w:rPr>
          <w:rFonts w:ascii="Times New Roman;sans-serif" w:hAnsi="Times New Roman;sans-serif"/>
          <w:b w:val="false"/>
          <w:color w:val="000000"/>
          <w:sz w:val="24"/>
        </w:rPr>
        <w:t>Name: Dana Siconolfi</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Title: Authorized Signatory</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73" w:after="283"/>
        <w:jc w:val="left"/>
        <w:rPr/>
      </w:pPr>
      <w:r>
        <w:rPr/>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TO CREDIT AGREEMENT]</w:t>
      </w:r>
    </w:p>
    <w:p>
      <w:pPr>
        <w:pStyle w:val="TextBody"/>
        <w:bidi w:val="0"/>
        <w:spacing w:before="0" w:after="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6480175" cy="781050"/>
                <wp:effectExtent l="0" t="0" r="0" b="0"/>
                <wp:wrapNone/>
                <wp:docPr id="435" name="Frame434"/>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233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233</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40" w:before="60" w:after="283"/>
        <w:jc w:val="left"/>
        <w:rPr/>
      </w:pPr>
      <w:r>
        <w:rPr>
          <w:rFonts w:ascii="Times New Roman;sans-serif" w:hAnsi="Times New Roman;sans-serif"/>
          <w:b/>
          <w:color w:val="000000"/>
          <w:sz w:val="24"/>
        </w:rPr>
        <w:t>CAPITAL ONE, NATIONAL ASSOCIATION</w:t>
      </w:r>
      <w:r>
        <w:rPr>
          <w:rFonts w:ascii="Times New Roman;sans-serif" w:hAnsi="Times New Roman;sans-serif"/>
          <w:b w:val="false"/>
          <w:color w:val="000000"/>
          <w:sz w:val="24"/>
        </w:rPr>
        <w:t>,</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as Lender</w:t>
      </w:r>
    </w:p>
    <w:p>
      <w:pPr>
        <w:pStyle w:val="TextBody"/>
        <w:bidi w:val="0"/>
        <w:spacing w:before="0" w:after="0"/>
        <w:jc w:val="left"/>
        <w:rPr/>
      </w:pPr>
      <w:r>
        <w:rPr/>
      </w:r>
    </w:p>
    <w:p>
      <w:pPr>
        <w:pStyle w:val="TextBody"/>
        <w:bidi w:val="0"/>
        <w:spacing w:before="48" w:after="283"/>
        <w:jc w:val="left"/>
        <w:rPr/>
      </w:pPr>
      <w:r>
        <w:rPr/>
      </w:r>
    </w:p>
    <w:p>
      <w:pPr>
        <w:pStyle w:val="TextBody"/>
        <w:bidi w:val="0"/>
        <w:spacing w:lineRule="auto" w:line="240" w:before="0" w:after="0"/>
        <w:jc w:val="left"/>
        <w:rPr/>
      </w:pPr>
      <w:r>
        <w:rPr>
          <w:rFonts w:ascii="Times New Roman;sans-serif" w:hAnsi="Times New Roman;sans-serif"/>
          <w:b w:val="false"/>
          <w:color w:val="000000"/>
          <w:sz w:val="24"/>
        </w:rPr>
        <w:t>By:    </w:t>
      </w:r>
      <w:r>
        <w:rPr>
          <w:color w:val="000000"/>
          <w:u w:val="single"/>
        </w:rPr>
        <w:t>    </w:t>
      </w:r>
      <w:r>
        <w:rPr>
          <w:rFonts w:ascii="Times New Roman;sans-serif" w:hAnsi="Times New Roman;sans-serif"/>
          <w:b w:val="false"/>
          <w:color w:val="000000"/>
          <w:sz w:val="24"/>
          <w:u w:val="single"/>
        </w:rPr>
        <w:t>/s/ Matthew Corrado    </w:t>
      </w:r>
      <w:r>
        <w:rPr>
          <w:color w:val="000000"/>
        </w:rPr>
        <w:t xml:space="preserve"> </w:t>
      </w:r>
      <w:r>
        <w:rPr>
          <w:rFonts w:ascii="Times New Roman;sans-serif" w:hAnsi="Times New Roman;sans-serif"/>
          <w:b w:val="false"/>
          <w:color w:val="000000"/>
          <w:sz w:val="24"/>
        </w:rPr>
        <w:t>Name: Matthew Corrado</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Title: Duly Authorized Signatory</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73" w:after="283"/>
        <w:jc w:val="left"/>
        <w:rPr/>
      </w:pPr>
      <w:r>
        <w:rPr/>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TO CREDIT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6480175" cy="781050"/>
                <wp:effectExtent l="0" t="0" r="0" b="0"/>
                <wp:wrapNone/>
                <wp:docPr id="436" name="Frame435"/>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234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234</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76" w:after="283"/>
        <w:jc w:val="left"/>
        <w:rPr/>
      </w:pPr>
      <w:r>
        <w:rPr>
          <w:rFonts w:ascii="Times New Roman;sans-serif" w:hAnsi="Times New Roman;sans-serif"/>
          <w:b/>
          <w:color w:val="000000"/>
          <w:sz w:val="24"/>
        </w:rPr>
        <w:t>MUFG BANK, LTD</w:t>
      </w:r>
      <w:r>
        <w:rPr>
          <w:rFonts w:ascii="Times New Roman;sans-serif" w:hAnsi="Times New Roman;sans-serif"/>
          <w:b w:val="false"/>
          <w:color w:val="000000"/>
          <w:sz w:val="24"/>
        </w:rPr>
        <w:t>, as Lender</w:t>
      </w:r>
    </w:p>
    <w:p>
      <w:pPr>
        <w:pStyle w:val="TextBody"/>
        <w:bidi w:val="0"/>
        <w:spacing w:before="0" w:after="0"/>
        <w:jc w:val="left"/>
        <w:rPr/>
      </w:pPr>
      <w:r>
        <w:rPr/>
      </w:r>
    </w:p>
    <w:p>
      <w:pPr>
        <w:pStyle w:val="TextBody"/>
        <w:bidi w:val="0"/>
        <w:spacing w:before="48" w:after="283"/>
        <w:jc w:val="left"/>
        <w:rPr/>
      </w:pPr>
      <w:r>
        <w:rPr/>
      </w:r>
    </w:p>
    <w:p>
      <w:pPr>
        <w:pStyle w:val="TextBody"/>
        <w:bidi w:val="0"/>
        <w:spacing w:lineRule="auto" w:line="240" w:before="0" w:after="0"/>
        <w:jc w:val="left"/>
        <w:rPr/>
      </w:pPr>
      <w:r>
        <w:rPr>
          <w:rFonts w:ascii="Times New Roman;sans-serif" w:hAnsi="Times New Roman;sans-serif"/>
          <w:b w:val="false"/>
          <w:color w:val="000000"/>
          <w:sz w:val="24"/>
        </w:rPr>
        <w:t>By:    </w:t>
      </w:r>
      <w:r>
        <w:rPr>
          <w:color w:val="000000"/>
          <w:u w:val="single"/>
        </w:rPr>
        <w:t>    </w:t>
      </w:r>
      <w:r>
        <w:rPr>
          <w:rFonts w:ascii="Times New Roman;sans-serif" w:hAnsi="Times New Roman;sans-serif"/>
          <w:b w:val="false"/>
          <w:color w:val="000000"/>
          <w:sz w:val="24"/>
          <w:u w:val="single"/>
        </w:rPr>
        <w:t>/s/ Lawrence Chao    </w:t>
      </w:r>
      <w:r>
        <w:rPr>
          <w:color w:val="000000"/>
        </w:rPr>
        <w:t xml:space="preserve"> </w:t>
      </w:r>
      <w:r>
        <w:rPr>
          <w:rFonts w:ascii="Times New Roman;sans-serif" w:hAnsi="Times New Roman;sans-serif"/>
          <w:b w:val="false"/>
          <w:color w:val="000000"/>
          <w:sz w:val="24"/>
        </w:rPr>
        <w:t>Name: Lawrence Chao</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Title: Vice President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109" w:after="283"/>
        <w:jc w:val="left"/>
        <w:rPr/>
      </w:pPr>
      <w:r>
        <w:rPr/>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TO CREDIT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6480175" cy="781050"/>
                <wp:effectExtent l="0" t="0" r="0" b="0"/>
                <wp:wrapNone/>
                <wp:docPr id="437" name="Frame436"/>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235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235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60" w:after="283"/>
        <w:jc w:val="left"/>
        <w:rPr>
          <w:rFonts w:ascii="Times New Roman;sans-serif" w:hAnsi="Times New Roman;sans-serif"/>
          <w:b/>
          <w:color w:val="000000"/>
          <w:sz w:val="24"/>
        </w:rPr>
      </w:pPr>
      <w:r>
        <w:rPr>
          <w:rFonts w:ascii="Times New Roman;sans-serif" w:hAnsi="Times New Roman;sans-serif"/>
          <w:b/>
          <w:color w:val="000000"/>
          <w:sz w:val="24"/>
        </w:rPr>
        <w:t>FIRST-CITIZENS BANK &amp; TRUST</w:t>
      </w:r>
    </w:p>
    <w:p>
      <w:pPr>
        <w:pStyle w:val="TextBody"/>
        <w:bidi w:val="0"/>
        <w:spacing w:lineRule="auto" w:line="240" w:before="0" w:after="0"/>
        <w:jc w:val="left"/>
        <w:rPr/>
      </w:pPr>
      <w:r>
        <w:rPr>
          <w:rFonts w:ascii="Times New Roman;sans-serif" w:hAnsi="Times New Roman;sans-serif"/>
          <w:b/>
          <w:color w:val="000000"/>
          <w:sz w:val="24"/>
        </w:rPr>
        <w:t>COMPANY</w:t>
      </w:r>
      <w:r>
        <w:rPr>
          <w:rFonts w:ascii="Times New Roman;sans-serif" w:hAnsi="Times New Roman;sans-serif"/>
          <w:b w:val="false"/>
          <w:color w:val="000000"/>
          <w:sz w:val="24"/>
        </w:rPr>
        <w:t>, as Issuing Bank and Lender</w:t>
      </w:r>
    </w:p>
    <w:p>
      <w:pPr>
        <w:pStyle w:val="TextBody"/>
        <w:bidi w:val="0"/>
        <w:spacing w:before="0" w:after="0"/>
        <w:jc w:val="left"/>
        <w:rPr/>
      </w:pPr>
      <w:r>
        <w:rPr/>
      </w:r>
    </w:p>
    <w:p>
      <w:pPr>
        <w:pStyle w:val="TextBody"/>
        <w:bidi w:val="0"/>
        <w:spacing w:before="48" w:after="283"/>
        <w:jc w:val="left"/>
        <w:rPr/>
      </w:pPr>
      <w:r>
        <w:rPr/>
      </w:r>
    </w:p>
    <w:p>
      <w:pPr>
        <w:pStyle w:val="TextBody"/>
        <w:bidi w:val="0"/>
        <w:spacing w:lineRule="auto" w:line="240" w:before="0" w:after="0"/>
        <w:jc w:val="left"/>
        <w:rPr/>
      </w:pPr>
      <w:r>
        <w:rPr>
          <w:rFonts w:ascii="Times New Roman;sans-serif" w:hAnsi="Times New Roman;sans-serif"/>
          <w:b w:val="false"/>
          <w:color w:val="000000"/>
          <w:sz w:val="24"/>
        </w:rPr>
        <w:t>By:    </w:t>
      </w:r>
      <w:r>
        <w:rPr>
          <w:color w:val="000000"/>
          <w:u w:val="single"/>
        </w:rPr>
        <w:t>    </w:t>
      </w:r>
      <w:r>
        <w:rPr>
          <w:rFonts w:ascii="Times New Roman;sans-serif" w:hAnsi="Times New Roman;sans-serif"/>
          <w:b w:val="false"/>
          <w:color w:val="000000"/>
          <w:sz w:val="24"/>
          <w:u w:val="single"/>
        </w:rPr>
        <w:t>/s/ Ryan McGeary    </w:t>
      </w:r>
      <w:r>
        <w:rPr>
          <w:color w:val="000000"/>
        </w:rPr>
        <w:t xml:space="preserve"> </w:t>
      </w:r>
      <w:r>
        <w:rPr>
          <w:rFonts w:ascii="Times New Roman;sans-serif" w:hAnsi="Times New Roman;sans-serif"/>
          <w:b w:val="false"/>
          <w:color w:val="000000"/>
          <w:sz w:val="24"/>
        </w:rPr>
        <w:t>Name: Ryan McGeary</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Title: Managing Director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73" w:after="283"/>
        <w:jc w:val="left"/>
        <w:rPr/>
      </w:pPr>
      <w:r>
        <w:rPr/>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TO CREDIT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6480175" cy="781050"/>
                <wp:effectExtent l="0" t="0" r="0" b="0"/>
                <wp:wrapNone/>
                <wp:docPr id="438" name="Frame437"/>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236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236</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76" w:after="283"/>
        <w:jc w:val="left"/>
        <w:rPr/>
      </w:pPr>
      <w:r>
        <w:rPr>
          <w:rFonts w:ascii="Times New Roman;sans-serif" w:hAnsi="Times New Roman;sans-serif"/>
          <w:b/>
          <w:color w:val="000000"/>
          <w:sz w:val="24"/>
        </w:rPr>
        <w:t>TRUIST BANK</w:t>
      </w:r>
      <w:r>
        <w:rPr>
          <w:rFonts w:ascii="Times New Roman;sans-serif" w:hAnsi="Times New Roman;sans-serif"/>
          <w:b w:val="false"/>
          <w:color w:val="000000"/>
          <w:sz w:val="24"/>
        </w:rPr>
        <w:t>, as Lender</w:t>
      </w:r>
    </w:p>
    <w:p>
      <w:pPr>
        <w:pStyle w:val="TextBody"/>
        <w:bidi w:val="0"/>
        <w:spacing w:before="0" w:after="0"/>
        <w:jc w:val="left"/>
        <w:rPr/>
      </w:pPr>
      <w:r>
        <w:rPr/>
      </w:r>
    </w:p>
    <w:p>
      <w:pPr>
        <w:pStyle w:val="TextBody"/>
        <w:bidi w:val="0"/>
        <w:spacing w:before="48" w:after="283"/>
        <w:jc w:val="left"/>
        <w:rPr/>
      </w:pPr>
      <w:r>
        <w:rPr/>
      </w:r>
    </w:p>
    <w:p>
      <w:pPr>
        <w:pStyle w:val="TextBody"/>
        <w:bidi w:val="0"/>
        <w:spacing w:lineRule="auto" w:line="240" w:before="0" w:after="0"/>
        <w:jc w:val="left"/>
        <w:rPr/>
      </w:pPr>
      <w:r>
        <w:rPr>
          <w:rFonts w:ascii="Times New Roman;sans-serif" w:hAnsi="Times New Roman;sans-serif"/>
          <w:b w:val="false"/>
          <w:color w:val="000000"/>
          <w:sz w:val="24"/>
        </w:rPr>
        <w:t>By:    </w:t>
      </w:r>
      <w:r>
        <w:rPr>
          <w:color w:val="000000"/>
          <w:u w:val="single"/>
        </w:rPr>
        <w:t xml:space="preserve"> </w:t>
      </w:r>
      <w:r>
        <w:rPr>
          <w:rFonts w:ascii="Times New Roman;sans-serif" w:hAnsi="Times New Roman;sans-serif"/>
          <w:b w:val="false"/>
          <w:color w:val="000000"/>
          <w:sz w:val="24"/>
          <w:u w:val="single"/>
        </w:rPr>
        <w:t>/s/ Alfonso Brigham    </w:t>
      </w:r>
      <w:r>
        <w:rPr>
          <w:color w:val="000000"/>
        </w:rPr>
        <w:t xml:space="preserve"> </w:t>
      </w:r>
      <w:r>
        <w:rPr>
          <w:rFonts w:ascii="Times New Roman;sans-serif" w:hAnsi="Times New Roman;sans-serif"/>
          <w:b w:val="false"/>
          <w:color w:val="000000"/>
          <w:sz w:val="24"/>
        </w:rPr>
        <w:t>Name: Alfonso Brigham</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Title: Director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145" w:after="283"/>
        <w:jc w:val="left"/>
        <w:rPr/>
      </w:pPr>
      <w:r>
        <w:rPr/>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TO CREDIT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6480175" cy="781050"/>
                <wp:effectExtent l="0" t="0" r="0" b="0"/>
                <wp:wrapNone/>
                <wp:docPr id="439" name="Frame438"/>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237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237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60" w:after="283"/>
        <w:jc w:val="right"/>
        <w:rPr>
          <w:rFonts w:ascii="Times New Roman;sans-serif" w:hAnsi="Times New Roman;sans-serif"/>
          <w:b/>
          <w:color w:val="000000"/>
          <w:sz w:val="24"/>
        </w:rPr>
      </w:pPr>
      <w:r>
        <w:rPr>
          <w:rFonts w:ascii="Times New Roman;sans-serif" w:hAnsi="Times New Roman;sans-serif"/>
          <w:b/>
          <w:color w:val="000000"/>
          <w:sz w:val="24"/>
        </w:rPr>
        <w:t>EXHIBIT A</w:t>
      </w:r>
    </w:p>
    <w:p>
      <w:pPr>
        <w:pStyle w:val="TextBody"/>
        <w:bidi w:val="0"/>
        <w:spacing w:lineRule="auto" w:line="240" w:before="240" w:after="283"/>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FORM OF ASSIGNMENT AND ACCEPTANCE</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This Assignment and Acceptance (the “</w:t>
      </w:r>
      <w:r>
        <w:rPr>
          <w:rFonts w:ascii="Times New Roman;sans-serif" w:hAnsi="Times New Roman;sans-serif"/>
          <w:b/>
          <w:i/>
          <w:color w:val="000000"/>
          <w:sz w:val="24"/>
        </w:rPr>
        <w:t>Assignment and Acceptance</w:t>
      </w:r>
      <w:r>
        <w:rPr>
          <w:color w:val="000000"/>
        </w:rPr>
        <w:t>”</w:t>
      </w:r>
      <w:r>
        <w:rPr>
          <w:rFonts w:ascii="Times New Roman;sans-serif" w:hAnsi="Times New Roman;sans-serif"/>
          <w:b w:val="false"/>
          <w:color w:val="000000"/>
          <w:sz w:val="24"/>
        </w:rPr>
        <w:t xml:space="preserve">) is dated as of the Effective Date set forth below and is entered into by and [between][among] </w:t>
      </w:r>
      <w:r>
        <w:rPr>
          <w:rFonts w:ascii="Times New Roman;sans-serif" w:hAnsi="Times New Roman;sans-serif"/>
          <w:b w:val="false"/>
          <w:i/>
          <w:color w:val="000000"/>
          <w:sz w:val="24"/>
        </w:rPr>
        <w:t xml:space="preserve">[Insert name(s) of Assignor(s)] </w:t>
      </w:r>
      <w:r>
        <w:rPr>
          <w:rFonts w:ascii="Times New Roman;sans-serif" w:hAnsi="Times New Roman;sans-serif"/>
          <w:b w:val="false"/>
          <w:color w:val="000000"/>
          <w:sz w:val="24"/>
        </w:rPr>
        <w:t>([the][each] “</w:t>
      </w:r>
      <w:r>
        <w:rPr>
          <w:rFonts w:ascii="Times New Roman;sans-serif" w:hAnsi="Times New Roman;sans-serif"/>
          <w:b/>
          <w:i/>
          <w:color w:val="000000"/>
          <w:sz w:val="24"/>
        </w:rPr>
        <w:t>Assignor</w:t>
      </w:r>
      <w:r>
        <w:rPr>
          <w:color w:val="000000"/>
        </w:rPr>
        <w:t>”</w:t>
      </w:r>
      <w:r>
        <w:rPr>
          <w:rFonts w:ascii="Times New Roman;sans-serif" w:hAnsi="Times New Roman;sans-serif"/>
          <w:b w:val="false"/>
          <w:color w:val="000000"/>
          <w:sz w:val="24"/>
        </w:rPr>
        <w:t xml:space="preserve">) and </w:t>
      </w:r>
      <w:r>
        <w:rPr>
          <w:rFonts w:ascii="Times New Roman;sans-serif" w:hAnsi="Times New Roman;sans-serif"/>
          <w:b w:val="false"/>
          <w:i/>
          <w:color w:val="000000"/>
          <w:sz w:val="24"/>
        </w:rPr>
        <w:t xml:space="preserve">[Insert name(s) of Assignee(s)] </w:t>
      </w:r>
      <w:r>
        <w:rPr>
          <w:rFonts w:ascii="Times New Roman;sans-serif" w:hAnsi="Times New Roman;sans-serif"/>
          <w:b w:val="false"/>
          <w:color w:val="000000"/>
          <w:sz w:val="24"/>
        </w:rPr>
        <w:t>([the][each, an] “</w:t>
      </w:r>
      <w:r>
        <w:rPr>
          <w:rFonts w:ascii="Times New Roman;sans-serif" w:hAnsi="Times New Roman;sans-serif"/>
          <w:b/>
          <w:i/>
          <w:color w:val="000000"/>
          <w:sz w:val="24"/>
        </w:rPr>
        <w:t>Assignee</w:t>
      </w:r>
      <w:r>
        <w:rPr>
          <w:color w:val="000000"/>
        </w:rPr>
        <w:t>”</w:t>
      </w:r>
      <w:r>
        <w:rPr>
          <w:rFonts w:ascii="Times New Roman;sans-serif" w:hAnsi="Times New Roman;sans-serif"/>
          <w:b w:val="false"/>
          <w:color w:val="000000"/>
          <w:sz w:val="24"/>
        </w:rPr>
        <w:t>). [It is understood and agreed that the rights and obligations of [the Assignors][the Assignees]</w:t>
      </w:r>
      <w:r>
        <w:rPr>
          <w:rFonts w:ascii="Times New Roman;sans-serif" w:hAnsi="Times New Roman;sans-serif"/>
          <w:b w:val="false"/>
          <w:color w:val="000000"/>
          <w:sz w:val="16"/>
        </w:rPr>
        <w:t>1</w:t>
      </w:r>
      <w:r>
        <w:rPr>
          <w:color w:val="000000"/>
        </w:rPr>
        <w:t xml:space="preserve"> </w:t>
      </w:r>
      <w:r>
        <w:rPr>
          <w:rFonts w:ascii="Times New Roman;sans-serif" w:hAnsi="Times New Roman;sans-serif"/>
          <w:b w:val="false"/>
          <w:color w:val="000000"/>
          <w:sz w:val="24"/>
        </w:rPr>
        <w:t>hereunder are several and not joint.]</w:t>
      </w:r>
      <w:r>
        <w:rPr>
          <w:rFonts w:ascii="Times New Roman;sans-serif" w:hAnsi="Times New Roman;sans-serif"/>
          <w:b w:val="false"/>
          <w:color w:val="000000"/>
          <w:sz w:val="16"/>
        </w:rPr>
        <w:t>2</w:t>
      </w:r>
      <w:r>
        <w:rPr>
          <w:color w:val="000000"/>
        </w:rPr>
        <w:t xml:space="preserve"> </w:t>
      </w:r>
      <w:r>
        <w:rPr>
          <w:rFonts w:ascii="Times New Roman;sans-serif" w:hAnsi="Times New Roman;sans-serif"/>
          <w:b w:val="false"/>
          <w:color w:val="000000"/>
          <w:sz w:val="24"/>
        </w:rPr>
        <w:t>Capitalized terms used but not defined herein shall have the meanings given to them in the Credit Agreement identified below (as amended, supplemented or otherwise modified from time to time, the “</w:t>
      </w:r>
      <w:r>
        <w:rPr>
          <w:rFonts w:ascii="Times New Roman;sans-serif" w:hAnsi="Times New Roman;sans-serif"/>
          <w:b/>
          <w:i/>
          <w:color w:val="000000"/>
          <w:sz w:val="24"/>
        </w:rPr>
        <w:t>Credit Agreement</w:t>
      </w:r>
      <w:r>
        <w:rPr>
          <w:color w:val="000000"/>
        </w:rPr>
        <w:t>”</w:t>
      </w:r>
      <w:r>
        <w:rPr>
          <w:rFonts w:ascii="Times New Roman;sans-serif" w:hAnsi="Times New Roman;sans-serif"/>
          <w:b w:val="false"/>
          <w:color w:val="000000"/>
          <w:sz w:val="24"/>
        </w:rPr>
        <w:t>), receipt of a copy of which is hereby acknowledged by [the][each] Assignee. The Standard Terms and Conditions set forth in Annex 1 attached hereto are hereby agreed to and incorporated herein by reference and made a part of this Assignment and Acceptance as if set forth herein in full.</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For an agreed consideration, [the][each] Assignor hereby irrevocably sells and assigns to [the Assignee][the respective Assignees], and [the][each] Assignee hereby irrevocably purchases and assumes from [the Assignor][the respective Assignors], subject to and in accordance with the Standard Terms and Conditions and the Credit Agreement, as of the Effective Date inserted by the [Term Facility Administrative Agent][ and the ][Revolving Facility Administrative Agent] as contemplated below (i) all of [the Assignor’s][the respective Assignors’] rights and obligations in [its capacity as a Lender][their respective capacities as Lenders] under the Credit Agreement and any other documents or instruments delivered pursuant thereto to the extent related to the amount and percentage interest identified below of all of such outstanding rights and obligations of [the Assignor][the respective Assignors] under the respective facilities identified below (including, without limitation, any letters of credit, guarantees, and swingline loans included in such facilities) and (ii) to the extent permitted to be assigned under applicable law, all claims, suits, causes of action and any other right of [the Assignor (in its capacity as a Lender)][the respective Assignors (in their respective capacities as Lenders)] against any Person, whether known or unknown, arising under or in connection with the Credit Agreement, any other documents or instruments delivered pursuant thereto or the loan transactions governed thereby or in any way based on or related to any of the foregoing, including, but not limited to, contract claims, tort claims, malpractice claims, statutory claims and all other claims at law or in equity related to the rights and obligations sold and assigned pursuant to clause (i) above (the rights and obligations sold and assigned by [the][any] Assignor to [the][any] Assignee pursuant to clauses (i) and (ii) above being referred to herein collectively as [the][an] “</w:t>
      </w:r>
      <w:r>
        <w:rPr>
          <w:rFonts w:ascii="Times New Roman;sans-serif" w:hAnsi="Times New Roman;sans-serif"/>
          <w:b/>
          <w:i/>
          <w:color w:val="000000"/>
          <w:sz w:val="24"/>
        </w:rPr>
        <w:t>Assigned Interest</w:t>
      </w:r>
      <w:r>
        <w:rPr>
          <w:color w:val="000000"/>
        </w:rPr>
        <w:t>”</w:t>
      </w:r>
      <w:r>
        <w:rPr>
          <w:rFonts w:ascii="Times New Roman;sans-serif" w:hAnsi="Times New Roman;sans-serif"/>
          <w:b w:val="false"/>
          <w:color w:val="000000"/>
          <w:sz w:val="24"/>
        </w:rPr>
        <w:t>). [Each such][Such] sale and assignment is without recourse to [the][any] Assignor and, except as expressly provided in this Assignment and Acceptance, without representation or warranty by [the][any] Assignor.</w:t>
      </w:r>
    </w:p>
    <w:p>
      <w:pPr>
        <w:pStyle w:val="TextBody"/>
        <w:bidi w:val="0"/>
        <w:spacing w:lineRule="auto" w:line="240" w:before="240" w:after="283"/>
        <w:ind w:left="0" w:right="0" w:hanging="720"/>
        <w:jc w:val="left"/>
        <w:rPr/>
      </w:pPr>
      <w:r>
        <w:rPr>
          <w:rFonts w:ascii="Times New Roman;sans-serif" w:hAnsi="Times New Roman;sans-serif"/>
          <w:b w:val="false"/>
          <w:color w:val="000000"/>
          <w:sz w:val="24"/>
        </w:rPr>
        <w:t>1.Assignor[s]:    </w:t>
      </w:r>
      <w:r>
        <w:rPr>
          <w:color w:val="000000"/>
          <w:u w:val="single"/>
        </w:rPr>
        <w:t>    </w:t>
      </w:r>
    </w:p>
    <w:p>
      <w:pPr>
        <w:pStyle w:val="TextBody"/>
        <w:bidi w:val="0"/>
        <w:spacing w:lineRule="auto" w:line="240" w:before="240" w:after="283"/>
        <w:ind w:left="0" w:right="0" w:hanging="719"/>
        <w:jc w:val="left"/>
        <w:rPr/>
      </w:pPr>
      <w:r>
        <w:rPr>
          <w:rFonts w:ascii="Times New Roman;sans-serif" w:hAnsi="Times New Roman;sans-serif"/>
          <w:b w:val="false"/>
          <w:color w:val="000000"/>
          <w:sz w:val="24"/>
        </w:rPr>
        <w:t>2.Assignee[s]:    </w:t>
      </w:r>
      <w:r>
        <w:rPr>
          <w:color w:val="000000"/>
          <w:u w:val="single"/>
        </w:rPr>
        <w:t>    </w:t>
      </w:r>
    </w:p>
    <w:p>
      <w:pPr>
        <w:pStyle w:val="TextBody"/>
        <w:bidi w:val="0"/>
        <w:spacing w:before="0" w:after="0"/>
        <w:jc w:val="left"/>
        <w:rPr/>
      </w:pPr>
      <w:r>
        <w:rPr/>
      </w:r>
    </w:p>
    <w:p>
      <w:pPr>
        <w:pStyle w:val="TextBody"/>
        <w:bidi w:val="0"/>
        <w:spacing w:lineRule="auto" w:line="240" w:before="204" w:after="283"/>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w:t>
      </w:r>
    </w:p>
    <w:p>
      <w:pPr>
        <w:pStyle w:val="TextBody"/>
        <w:bidi w:val="0"/>
        <w:spacing w:lineRule="auto" w:line="240" w:before="222" w:after="283"/>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Select as appropriate.</w:t>
      </w:r>
    </w:p>
    <w:p>
      <w:pPr>
        <w:pStyle w:val="TextBody"/>
        <w:bidi w:val="0"/>
        <w:spacing w:lineRule="auto" w:line="240" w:before="105" w:after="283"/>
        <w:jc w:val="left"/>
        <w:rPr/>
      </w:pPr>
      <w:r>
        <w:rPr>
          <w:rFonts w:ascii="Times New Roman;sans-serif" w:hAnsi="Times New Roman;sans-serif"/>
          <w:b w:val="false"/>
          <w:color w:val="000000"/>
          <w:sz w:val="16"/>
        </w:rPr>
        <w:t xml:space="preserve">2 </w:t>
      </w:r>
      <w:r>
        <w:rPr>
          <w:rFonts w:ascii="Times New Roman;sans-serif" w:hAnsi="Times New Roman;sans-serif"/>
          <w:b w:val="false"/>
          <w:color w:val="000000"/>
          <w:sz w:val="20"/>
        </w:rPr>
        <w:t>Include bracketed language if there are either multiple Assignors or multiple Assignees.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6480175" cy="781050"/>
                <wp:effectExtent l="0" t="0" r="0" b="0"/>
                <wp:wrapNone/>
                <wp:docPr id="440" name="Frame439"/>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238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238</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80" w:after="283"/>
        <w:jc w:val="left"/>
        <w:rPr/>
      </w:pPr>
      <w:r>
        <w:rPr>
          <w:rFonts w:ascii="Times New Roman;sans-serif" w:hAnsi="Times New Roman;sans-serif"/>
          <w:b w:val="false"/>
          <w:color w:val="000000"/>
          <w:sz w:val="24"/>
        </w:rPr>
        <w:t xml:space="preserve">[and is an Affiliate/Approved Fund of </w:t>
      </w:r>
      <w:r>
        <w:rPr>
          <w:rFonts w:ascii="Times New Roman;sans-serif" w:hAnsi="Times New Roman;sans-serif"/>
          <w:b w:val="false"/>
          <w:i/>
          <w:color w:val="000000"/>
          <w:sz w:val="24"/>
        </w:rPr>
        <w:t>[identify Lender]</w:t>
      </w:r>
      <w:r>
        <w:rPr>
          <w:rFonts w:ascii="Times New Roman;sans-serif" w:hAnsi="Times New Roman;sans-serif"/>
          <w:b w:val="false"/>
          <w:i/>
          <w:color w:val="000000"/>
          <w:sz w:val="16"/>
        </w:rPr>
        <w:t>3</w:t>
      </w:r>
      <w:r>
        <w:rPr>
          <w:rFonts w:ascii="Times New Roman;sans-serif" w:hAnsi="Times New Roman;sans-serif"/>
          <w:b w:val="false"/>
          <w:color w:val="000000"/>
          <w:sz w:val="24"/>
        </w:rPr>
        <w:t>]</w:t>
      </w:r>
    </w:p>
    <w:p>
      <w:pPr>
        <w:pStyle w:val="TextBody"/>
        <w:bidi w:val="0"/>
        <w:spacing w:lineRule="auto" w:line="240" w:before="240" w:after="283"/>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3.Borrower: Magnite, Inc., a Delaware corporation</w:t>
      </w:r>
    </w:p>
    <w:p>
      <w:pPr>
        <w:pStyle w:val="TextBody"/>
        <w:bidi w:val="0"/>
        <w:spacing w:lineRule="auto" w:line="240" w:before="240" w:after="283"/>
        <w:jc w:val="both"/>
        <w:rPr/>
      </w:pPr>
      <w:r>
        <w:rPr>
          <w:rFonts w:ascii="Times New Roman;sans-serif" w:hAnsi="Times New Roman;sans-serif"/>
          <w:b w:val="false"/>
          <w:color w:val="000000"/>
          <w:sz w:val="24"/>
        </w:rPr>
        <w:t>4.Administrative Agent: [Morgan Stanley Senior Funding, Inc., as administrative agent for the Term Facility][ and ][Citibank, N.A., as administrative agent for the Revolving Facility]</w:t>
      </w:r>
      <w:r>
        <w:rPr>
          <w:rFonts w:ascii="Times New Roman;sans-serif" w:hAnsi="Times New Roman;sans-serif"/>
          <w:b w:val="false"/>
          <w:color w:val="000000"/>
          <w:sz w:val="16"/>
        </w:rPr>
        <w:t>4</w:t>
      </w:r>
    </w:p>
    <w:p>
      <w:pPr>
        <w:pStyle w:val="TextBody"/>
        <w:bidi w:val="0"/>
        <w:spacing w:lineRule="auto" w:line="240"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5.Credit Agreement: The Credit Agreement dated as of February 6, 2024, by and among Magnite, Inc., as Borrower, Morgan Stanley Senior Funding, Inc., as Term Facility Administrative Agent, Citibank, N.A., as Revolving Facility Administrative Agent, Collateral Agent and Swingline Lender, and each Issuing Bank and Lender party thereto from time to time</w:t>
      </w:r>
    </w:p>
    <w:p>
      <w:pPr>
        <w:pStyle w:val="TextBody"/>
        <w:bidi w:val="0"/>
        <w:spacing w:lineRule="auto" w:line="240" w:before="240" w:after="283"/>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6.Assigned Interest[s]:</w:t>
      </w:r>
    </w:p>
    <w:p>
      <w:pPr>
        <w:pStyle w:val="TextBody"/>
        <w:bidi w:val="0"/>
        <w:spacing w:before="9" w:after="283"/>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37"/>
        <w:gridCol w:w="297"/>
        <w:gridCol w:w="298"/>
        <w:gridCol w:w="310"/>
        <w:gridCol w:w="310"/>
        <w:gridCol w:w="311"/>
        <w:gridCol w:w="656"/>
        <w:gridCol w:w="656"/>
        <w:gridCol w:w="489"/>
        <w:gridCol w:w="688"/>
        <w:gridCol w:w="688"/>
        <w:gridCol w:w="690"/>
        <w:gridCol w:w="584"/>
        <w:gridCol w:w="584"/>
        <w:gridCol w:w="586"/>
        <w:gridCol w:w="592"/>
        <w:gridCol w:w="592"/>
        <w:gridCol w:w="593"/>
        <w:gridCol w:w="273"/>
        <w:gridCol w:w="273"/>
        <w:gridCol w:w="398"/>
      </w:tblGrid>
      <w:tr>
        <w:trPr/>
        <w:tc>
          <w:tcPr>
            <w:tcW w:w="33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r>
      <w:tr>
        <w:trPr/>
        <w:tc>
          <w:tcPr>
            <w:tcW w:w="932"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Assignor[s]</w:t>
            </w:r>
          </w:p>
        </w:tc>
        <w:tc>
          <w:tcPr>
            <w:tcW w:w="931"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Assignee[s]</w:t>
            </w:r>
          </w:p>
        </w:tc>
        <w:tc>
          <w:tcPr>
            <w:tcW w:w="1801"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Facility Assigned</w:t>
            </w:r>
          </w:p>
        </w:tc>
        <w:tc>
          <w:tcPr>
            <w:tcW w:w="2066"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Aggregate Amount of Commitment/Loans for all Lenders</w:t>
            </w:r>
          </w:p>
        </w:tc>
        <w:tc>
          <w:tcPr>
            <w:tcW w:w="175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Amount of Commitment/Loans Assigned</w:t>
            </w:r>
          </w:p>
        </w:tc>
        <w:tc>
          <w:tcPr>
            <w:tcW w:w="1777" w:type="dxa"/>
            <w:gridSpan w:val="3"/>
            <w:tcBorders/>
            <w:tcMar>
              <w:top w:w="0" w:type="dxa"/>
              <w:left w:w="0" w:type="dxa"/>
              <w:bottom w:w="0" w:type="dxa"/>
              <w:right w:w="0" w:type="dxa"/>
            </w:tcMar>
            <w:vAlign w:val="center"/>
          </w:tcPr>
          <w:p>
            <w:pPr>
              <w:pStyle w:val="TableContents"/>
              <w:bidi w:val="0"/>
              <w:spacing w:lineRule="auto" w:line="268" w:before="0" w:after="0"/>
              <w:jc w:val="center"/>
              <w:rPr/>
            </w:pPr>
            <w:r>
              <w:rPr>
                <w:rFonts w:ascii="Times New Roman;sans-serif" w:hAnsi="Times New Roman;sans-serif"/>
                <w:b w:val="false"/>
                <w:color w:val="000000"/>
                <w:sz w:val="20"/>
              </w:rPr>
              <w:t>Percentage Assigned of Commitment Loans</w:t>
            </w:r>
            <w:r>
              <w:rPr>
                <w:rFonts w:ascii="Times New Roman;sans-serif" w:hAnsi="Times New Roman;sans-serif"/>
                <w:b w:val="false"/>
                <w:color w:val="000000"/>
                <w:sz w:val="13"/>
              </w:rPr>
              <w:t>5</w:t>
            </w:r>
          </w:p>
        </w:tc>
        <w:tc>
          <w:tcPr>
            <w:tcW w:w="94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CUSIP Number</w:t>
            </w:r>
          </w:p>
        </w:tc>
      </w:tr>
      <w:tr>
        <w:trPr/>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Initial Term Loan Commitments/Loans</w:t>
            </w:r>
          </w:p>
        </w:tc>
        <w:tc>
          <w:tcPr>
            <w:tcW w:w="206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5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77" w:type="dxa"/>
            <w:gridSpan w:val="3"/>
            <w:tcBorders/>
            <w:tcMar>
              <w:top w:w="0" w:type="dxa"/>
              <w:left w:w="0" w:type="dxa"/>
              <w:bottom w:w="0" w:type="dxa"/>
              <w:right w:w="0" w:type="dxa"/>
            </w:tcMar>
            <w:vAlign w:val="center"/>
          </w:tcPr>
          <w:p>
            <w:pPr>
              <w:pStyle w:val="TableContents"/>
              <w:bidi w:val="0"/>
              <w:spacing w:lineRule="auto" w:line="26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Revolving Facility Commitments/Loans</w:t>
            </w:r>
          </w:p>
        </w:tc>
        <w:tc>
          <w:tcPr>
            <w:tcW w:w="206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5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77" w:type="dxa"/>
            <w:gridSpan w:val="3"/>
            <w:tcBorders/>
            <w:tcMar>
              <w:top w:w="0" w:type="dxa"/>
              <w:left w:w="0" w:type="dxa"/>
              <w:bottom w:w="0" w:type="dxa"/>
              <w:right w:w="0" w:type="dxa"/>
            </w:tcMar>
            <w:vAlign w:val="center"/>
          </w:tcPr>
          <w:p>
            <w:pPr>
              <w:pStyle w:val="TableContents"/>
              <w:bidi w:val="0"/>
              <w:spacing w:lineRule="auto" w:line="26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40" w:before="0" w:after="0"/>
        <w:jc w:val="both"/>
        <w:rPr/>
      </w:pPr>
      <w:r>
        <w:rPr>
          <w:rFonts w:ascii="Times New Roman;sans-serif" w:hAnsi="Times New Roman;sans-serif"/>
          <w:b w:val="false"/>
          <w:color w:val="000000"/>
          <w:sz w:val="24"/>
        </w:rPr>
        <w:t xml:space="preserve">[7. Trade Date: </w:t>
      </w:r>
      <w:r>
        <w:rPr>
          <w:color w:val="000000"/>
          <w:u w:val="single"/>
        </w:rPr>
        <w:t>    </w:t>
      </w:r>
      <w:r>
        <w:rPr>
          <w:rFonts w:ascii="Times New Roman;sans-serif" w:hAnsi="Times New Roman;sans-serif"/>
          <w:b w:val="false"/>
          <w:color w:val="000000"/>
          <w:sz w:val="24"/>
        </w:rPr>
        <w:t>]</w:t>
      </w:r>
      <w:r>
        <w:rPr>
          <w:rFonts w:ascii="Times New Roman;sans-serif" w:hAnsi="Times New Roman;sans-serif"/>
          <w:b w:val="false"/>
          <w:color w:val="000000"/>
          <w:sz w:val="16"/>
        </w:rPr>
        <w:t>6</w:t>
      </w:r>
    </w:p>
    <w:p>
      <w:pPr>
        <w:pStyle w:val="TextBody"/>
        <w:bidi w:val="0"/>
        <w:spacing w:lineRule="auto" w:line="240" w:before="240" w:after="283"/>
        <w:jc w:val="both"/>
        <w:rPr/>
      </w:pPr>
      <w:r>
        <w:rPr>
          <w:rFonts w:ascii="Times New Roman;sans-serif" w:hAnsi="Times New Roman;sans-serif"/>
          <w:b w:val="false"/>
          <w:color w:val="000000"/>
          <w:sz w:val="24"/>
        </w:rPr>
        <w:t xml:space="preserve">Effective Date: </w:t>
      </w:r>
      <w:r>
        <w:rPr>
          <w:rFonts w:ascii="Times New Roman;sans-serif" w:hAnsi="Times New Roman;sans-serif"/>
          <w:b w:val="false"/>
          <w:color w:val="000000"/>
          <w:sz w:val="24"/>
          <w:u w:val="single"/>
        </w:rPr>
        <w:t>[●]</w:t>
      </w:r>
      <w:r>
        <w:rPr>
          <w:rFonts w:ascii="Times New Roman;sans-serif" w:hAnsi="Times New Roman;sans-serif"/>
          <w:b w:val="false"/>
          <w:color w:val="000000"/>
          <w:sz w:val="24"/>
        </w:rPr>
        <w:t xml:space="preserve">, 20 </w:t>
      </w:r>
      <w:r>
        <w:rPr>
          <w:rFonts w:ascii="Times New Roman;sans-serif" w:hAnsi="Times New Roman;sans-serif"/>
          <w:b w:val="false"/>
          <w:color w:val="000000"/>
          <w:sz w:val="24"/>
          <w:u w:val="single"/>
        </w:rPr>
        <w:t>[●]</w:t>
      </w:r>
      <w:r>
        <w:rPr>
          <w:color w:val="000000"/>
        </w:rPr>
        <w:t xml:space="preserve"> </w:t>
      </w:r>
      <w:r>
        <w:rPr>
          <w:rFonts w:ascii="Times New Roman;sans-serif" w:hAnsi="Times New Roman;sans-serif"/>
          <w:b w:val="false"/>
          <w:color w:val="000000"/>
          <w:sz w:val="24"/>
        </w:rPr>
        <w:t>[TO BE INSERTED BY THE APPLICABLE ADMINISTRATIVE AGENT AND WHICH SHALL BE THE EFFECTIVE DATE OF RECORDATION OF TRANSFER IN THE REGISTER THEREFOR.]</w:t>
      </w:r>
    </w:p>
    <w:p>
      <w:pPr>
        <w:pStyle w:val="TextBody"/>
        <w:bidi w:val="0"/>
        <w:spacing w:lineRule="auto" w:line="276"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[The][Each] Assignee agrees to deliver to the [Term Facility Administrative Agent][ and the</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][Revolving Facility Administrative Agent] a completed Administrative Questionnaire in which [the][each] Assignee designates one or more credit contacts to whom all syndicate-level information (which may contain material non-public information about the Borrower, the Loan Parties and their Related Parties or their respective securities) will be made available and who may receive such information in accordance with [the][each] Assignee’s compliance procedures and applicable laws, including federal and state securities laws.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123" w:after="283"/>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w:t>
      </w:r>
    </w:p>
    <w:p>
      <w:pPr>
        <w:pStyle w:val="TextBody"/>
        <w:bidi w:val="0"/>
        <w:spacing w:lineRule="auto" w:line="240" w:before="221" w:after="283"/>
        <w:jc w:val="left"/>
        <w:rPr/>
      </w:pPr>
      <w:r>
        <w:rPr>
          <w:rFonts w:ascii="Times New Roman;sans-serif" w:hAnsi="Times New Roman;sans-serif"/>
          <w:b w:val="false"/>
          <w:color w:val="000000"/>
          <w:sz w:val="13"/>
        </w:rPr>
        <w:t>3</w:t>
      </w:r>
      <w:r>
        <w:rPr>
          <w:color w:val="000000"/>
        </w:rPr>
        <w:t xml:space="preserve"> </w:t>
      </w:r>
      <w:r>
        <w:rPr>
          <w:rFonts w:ascii="Times New Roman;sans-serif" w:hAnsi="Times New Roman;sans-serif"/>
          <w:b w:val="false"/>
          <w:color w:val="000000"/>
          <w:sz w:val="20"/>
        </w:rPr>
        <w:t>Select as applicable.</w:t>
      </w:r>
    </w:p>
    <w:p>
      <w:pPr>
        <w:pStyle w:val="TextBody"/>
        <w:bidi w:val="0"/>
        <w:spacing w:lineRule="auto" w:line="240" w:before="120" w:after="283"/>
        <w:jc w:val="left"/>
        <w:rPr/>
      </w:pPr>
      <w:r>
        <w:rPr>
          <w:rFonts w:ascii="Times New Roman;sans-serif" w:hAnsi="Times New Roman;sans-serif"/>
          <w:b w:val="false"/>
          <w:color w:val="000000"/>
          <w:sz w:val="13"/>
        </w:rPr>
        <w:t>4</w:t>
      </w:r>
      <w:r>
        <w:rPr>
          <w:color w:val="000000"/>
        </w:rPr>
        <w:t xml:space="preserve"> </w:t>
      </w:r>
      <w:r>
        <w:rPr>
          <w:rFonts w:ascii="Times New Roman;sans-serif" w:hAnsi="Times New Roman;sans-serif"/>
          <w:b w:val="false"/>
          <w:color w:val="000000"/>
          <w:sz w:val="20"/>
        </w:rPr>
        <w:t>Select as applicable.</w:t>
      </w:r>
    </w:p>
    <w:p>
      <w:pPr>
        <w:pStyle w:val="TextBody"/>
        <w:bidi w:val="0"/>
        <w:spacing w:lineRule="auto" w:line="240" w:before="121" w:after="283"/>
        <w:jc w:val="left"/>
        <w:rPr/>
      </w:pPr>
      <w:r>
        <w:rPr>
          <w:rFonts w:ascii="Times New Roman;sans-serif" w:hAnsi="Times New Roman;sans-serif"/>
          <w:b w:val="false"/>
          <w:color w:val="000000"/>
          <w:sz w:val="13"/>
        </w:rPr>
        <w:t>5</w:t>
      </w:r>
      <w:r>
        <w:rPr>
          <w:color w:val="000000"/>
        </w:rPr>
        <w:t xml:space="preserve"> </w:t>
      </w:r>
      <w:r>
        <w:rPr>
          <w:rFonts w:ascii="Times New Roman;sans-serif" w:hAnsi="Times New Roman;sans-serif"/>
          <w:b w:val="false"/>
          <w:color w:val="000000"/>
          <w:sz w:val="20"/>
        </w:rPr>
        <w:t>Set forth, to at least 9 decimals, as a percentage of the Commitment/Loans of all Lenders thereunder.</w:t>
      </w:r>
    </w:p>
    <w:p>
      <w:pPr>
        <w:pStyle w:val="TextBody"/>
        <w:bidi w:val="0"/>
        <w:spacing w:lineRule="auto" w:line="240" w:before="119" w:after="283"/>
        <w:jc w:val="left"/>
        <w:rPr/>
      </w:pPr>
      <w:r>
        <w:rPr>
          <w:rFonts w:ascii="Times New Roman;sans-serif" w:hAnsi="Times New Roman;sans-serif"/>
          <w:b w:val="false"/>
          <w:color w:val="000000"/>
          <w:sz w:val="13"/>
        </w:rPr>
        <w:t>6</w:t>
      </w:r>
      <w:r>
        <w:rPr>
          <w:color w:val="000000"/>
        </w:rPr>
        <w:t xml:space="preserve"> </w:t>
      </w:r>
      <w:r>
        <w:rPr>
          <w:rFonts w:ascii="Times New Roman;sans-serif" w:hAnsi="Times New Roman;sans-serif"/>
          <w:b w:val="false"/>
          <w:color w:val="000000"/>
          <w:sz w:val="20"/>
        </w:rPr>
        <w:t>To be completed if the Assignor(s) and the Assignee(s) intend that the minimum assignment amount is to be determined as of the Trade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6480175" cy="781050"/>
                <wp:effectExtent l="0" t="0" r="0" b="0"/>
                <wp:wrapNone/>
                <wp:docPr id="441" name="Frame440"/>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239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239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6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The terms set forth in this Assignment and Acceptance are hereby agreed to:</w:t>
      </w:r>
    </w:p>
    <w:p>
      <w:pPr>
        <w:pStyle w:val="TextBody"/>
        <w:bidi w:val="0"/>
        <w:spacing w:lineRule="auto" w:line="240" w:before="24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ASSIGNOR[S]</w:t>
      </w:r>
    </w:p>
    <w:p>
      <w:pPr>
        <w:pStyle w:val="TextBody"/>
        <w:bidi w:val="0"/>
        <w:spacing w:lineRule="auto" w:line="240" w:before="24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 OF ASSIGNOR]</w:t>
      </w:r>
    </w:p>
    <w:p>
      <w:pPr>
        <w:pStyle w:val="TextBody"/>
        <w:bidi w:val="0"/>
        <w:spacing w:before="204" w:after="283"/>
        <w:jc w:val="left"/>
        <w:rPr/>
      </w:pPr>
      <w:r>
        <w:rPr/>
      </w:r>
    </w:p>
    <w:p>
      <w:pPr>
        <w:pStyle w:val="TextBody"/>
        <w:bidi w:val="0"/>
        <w:spacing w:lineRule="auto" w:line="285" w:before="0" w:after="0"/>
        <w:ind w:left="0" w:right="0" w:hanging="813"/>
        <w:jc w:val="left"/>
        <w:rPr/>
      </w:pPr>
      <w:r>
        <w:rPr>
          <w:rFonts w:ascii="Times New Roman;sans-serif" w:hAnsi="Times New Roman;sans-serif"/>
          <w:b w:val="false"/>
          <w:color w:val="000000"/>
          <w:sz w:val="24"/>
        </w:rPr>
        <w:t>By:    </w:t>
      </w:r>
      <w:r>
        <w:rPr>
          <w:color w:val="000000"/>
          <w:u w:val="single"/>
        </w:rPr>
        <w:t>        </w:t>
      </w:r>
      <w:r>
        <w:rPr>
          <w:color w:val="000000"/>
        </w:rPr>
        <w:t xml:space="preserve"> </w:t>
      </w:r>
      <w:r>
        <w:rPr>
          <w:rFonts w:ascii="Times New Roman;sans-serif" w:hAnsi="Times New Roman;sans-serif"/>
          <w:b w:val="false"/>
          <w:color w:val="000000"/>
          <w:sz w:val="24"/>
        </w:rPr>
        <w:t>Name:</w:t>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Title: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ASSIGNEE[S]</w:t>
      </w:r>
    </w:p>
    <w:p>
      <w:pPr>
        <w:pStyle w:val="TextBody"/>
        <w:bidi w:val="0"/>
        <w:spacing w:lineRule="auto" w:line="240" w:before="24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 OF ASSIGNEE]</w:t>
      </w:r>
    </w:p>
    <w:p>
      <w:pPr>
        <w:pStyle w:val="TextBody"/>
        <w:bidi w:val="0"/>
        <w:spacing w:before="204" w:after="283"/>
        <w:jc w:val="left"/>
        <w:rPr/>
      </w:pPr>
      <w:r>
        <w:rPr/>
      </w:r>
    </w:p>
    <w:p>
      <w:pPr>
        <w:pStyle w:val="TextBody"/>
        <w:bidi w:val="0"/>
        <w:spacing w:lineRule="auto" w:line="285" w:before="0" w:after="0"/>
        <w:ind w:left="0" w:right="0" w:hanging="813"/>
        <w:jc w:val="left"/>
        <w:rPr/>
      </w:pPr>
      <w:r>
        <w:rPr>
          <w:rFonts w:ascii="Times New Roman;sans-serif" w:hAnsi="Times New Roman;sans-serif"/>
          <w:b w:val="false"/>
          <w:color w:val="000000"/>
          <w:sz w:val="24"/>
        </w:rPr>
        <w:t>By:    </w:t>
      </w:r>
      <w:r>
        <w:rPr>
          <w:color w:val="000000"/>
          <w:u w:val="single"/>
        </w:rPr>
        <w:t>        </w:t>
      </w:r>
      <w:r>
        <w:rPr>
          <w:color w:val="000000"/>
        </w:rPr>
        <w:t xml:space="preserve"> </w:t>
      </w:r>
      <w:r>
        <w:rPr>
          <w:rFonts w:ascii="Times New Roman;sans-serif" w:hAnsi="Times New Roman;sans-serif"/>
          <w:b w:val="false"/>
          <w:color w:val="000000"/>
          <w:sz w:val="24"/>
        </w:rPr>
        <w:t>Name:</w:t>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Title:</w:t>
      </w:r>
    </w:p>
    <w:p>
      <w:pPr>
        <w:pStyle w:val="TextBody"/>
        <w:bidi w:val="0"/>
        <w:spacing w:before="240" w:after="283"/>
        <w:jc w:val="left"/>
        <w:rPr/>
      </w:pPr>
      <w:r>
        <w:rPr/>
      </w:r>
    </w:p>
    <w:p>
      <w:pPr>
        <w:pStyle w:val="TextBody"/>
        <w:bidi w:val="0"/>
        <w:spacing w:lineRule="auto" w:line="240" w:before="0" w:after="0"/>
        <w:jc w:val="left"/>
        <w:rPr/>
      </w:pPr>
      <w:r>
        <w:rPr>
          <w:rFonts w:ascii="Times New Roman;sans-serif" w:hAnsi="Times New Roman;sans-serif"/>
          <w:b w:val="false"/>
          <w:color w:val="000000"/>
          <w:sz w:val="24"/>
        </w:rPr>
        <w:t>[Consented to and]</w:t>
      </w:r>
      <w:r>
        <w:rPr>
          <w:rFonts w:ascii="Times New Roman;sans-serif" w:hAnsi="Times New Roman;sans-serif"/>
          <w:b w:val="false"/>
          <w:color w:val="000000"/>
          <w:sz w:val="16"/>
        </w:rPr>
        <w:t>7</w:t>
      </w:r>
      <w:r>
        <w:rPr>
          <w:color w:val="000000"/>
        </w:rPr>
        <w:t xml:space="preserve"> </w:t>
      </w:r>
      <w:r>
        <w:rPr>
          <w:rFonts w:ascii="Times New Roman;sans-serif" w:hAnsi="Times New Roman;sans-serif"/>
          <w:b w:val="false"/>
          <w:color w:val="000000"/>
          <w:sz w:val="24"/>
        </w:rPr>
        <w:t>Accepted:</w:t>
      </w:r>
    </w:p>
    <w:p>
      <w:pPr>
        <w:pStyle w:val="TextBody"/>
        <w:bidi w:val="0"/>
        <w:spacing w:lineRule="auto" w:line="240" w:before="24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[MORGAN STANLEY SENIOR FUNDING, INC.</w:t>
      </w:r>
    </w:p>
    <w:p>
      <w:pPr>
        <w:pStyle w:val="TextBody"/>
        <w:bidi w:val="0"/>
        <w:spacing w:lineRule="auto" w:line="240" w:before="0" w:after="0"/>
        <w:jc w:val="left"/>
        <w:rPr/>
      </w:pPr>
      <w:r>
        <w:rPr>
          <w:rFonts w:ascii="Times New Roman;sans-serif" w:hAnsi="Times New Roman;sans-serif"/>
          <w:b w:val="false"/>
          <w:color w:val="000000"/>
          <w:sz w:val="24"/>
        </w:rPr>
        <w:t>as Term Facility Administrative Agent]</w:t>
      </w:r>
      <w:r>
        <w:rPr>
          <w:rFonts w:ascii="Times New Roman;sans-serif" w:hAnsi="Times New Roman;sans-serif"/>
          <w:b w:val="false"/>
          <w:color w:val="000000"/>
          <w:sz w:val="16"/>
        </w:rPr>
        <w:t>8</w:t>
      </w:r>
    </w:p>
    <w:p>
      <w:pPr>
        <w:pStyle w:val="TextBody"/>
        <w:bidi w:val="0"/>
        <w:spacing w:before="204" w:after="283"/>
        <w:jc w:val="left"/>
        <w:rPr/>
      </w:pPr>
      <w:r>
        <w:rPr/>
      </w:r>
    </w:p>
    <w:p>
      <w:pPr>
        <w:pStyle w:val="TextBody"/>
        <w:bidi w:val="0"/>
        <w:spacing w:lineRule="auto" w:line="288" w:before="0" w:after="0"/>
        <w:ind w:left="0" w:right="0" w:hanging="813"/>
        <w:jc w:val="left"/>
        <w:rPr/>
      </w:pPr>
      <w:r>
        <w:rPr>
          <w:rFonts w:ascii="Times New Roman;sans-serif" w:hAnsi="Times New Roman;sans-serif"/>
          <w:b w:val="false"/>
          <w:color w:val="000000"/>
          <w:sz w:val="24"/>
        </w:rPr>
        <w:t>By:    </w:t>
      </w:r>
      <w:r>
        <w:rPr>
          <w:color w:val="000000"/>
          <w:u w:val="single"/>
        </w:rPr>
        <w:t>        </w:t>
      </w:r>
      <w:r>
        <w:rPr>
          <w:color w:val="000000"/>
        </w:rPr>
        <w:t xml:space="preserve"> </w:t>
      </w:r>
      <w:r>
        <w:rPr>
          <w:rFonts w:ascii="Times New Roman;sans-serif" w:hAnsi="Times New Roman;sans-serif"/>
          <w:b w:val="false"/>
          <w:color w:val="000000"/>
          <w:sz w:val="24"/>
        </w:rPr>
        <w:t>Name:</w:t>
      </w:r>
    </w:p>
    <w:p>
      <w:pPr>
        <w:pStyle w:val="TextBody"/>
        <w:bidi w:val="0"/>
        <w:spacing w:lineRule="auto" w:line="264"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Title: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207" w:after="283"/>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w:t>
      </w:r>
    </w:p>
    <w:p>
      <w:pPr>
        <w:pStyle w:val="TextBody"/>
        <w:bidi w:val="0"/>
        <w:spacing w:lineRule="auto" w:line="240" w:before="221" w:after="283"/>
        <w:jc w:val="both"/>
        <w:rPr/>
      </w:pPr>
      <w:r>
        <w:rPr>
          <w:rFonts w:ascii="Times New Roman;sans-serif" w:hAnsi="Times New Roman;sans-serif"/>
          <w:b w:val="false"/>
          <w:color w:val="000000"/>
          <w:sz w:val="13"/>
        </w:rPr>
        <w:t>7</w:t>
      </w:r>
      <w:r>
        <w:rPr>
          <w:color w:val="000000"/>
        </w:rPr>
        <w:t xml:space="preserve"> </w:t>
      </w:r>
      <w:r>
        <w:rPr>
          <w:rFonts w:ascii="Times New Roman;sans-serif" w:hAnsi="Times New Roman;sans-serif"/>
          <w:b w:val="false"/>
          <w:color w:val="000000"/>
          <w:sz w:val="20"/>
        </w:rPr>
        <w:t>To be completed to the extent consents are required under the Credit Agreement.</w:t>
      </w:r>
    </w:p>
    <w:p>
      <w:pPr>
        <w:pStyle w:val="TextBody"/>
        <w:bidi w:val="0"/>
        <w:spacing w:lineRule="auto" w:line="240" w:before="120" w:after="283"/>
        <w:jc w:val="both"/>
        <w:rPr/>
      </w:pPr>
      <w:r>
        <w:rPr>
          <w:rFonts w:ascii="Times New Roman;sans-serif" w:hAnsi="Times New Roman;sans-serif"/>
          <w:b w:val="false"/>
          <w:color w:val="000000"/>
          <w:sz w:val="13"/>
        </w:rPr>
        <w:t>8</w:t>
      </w:r>
      <w:r>
        <w:rPr>
          <w:color w:val="000000"/>
        </w:rPr>
        <w:t xml:space="preserve"> </w:t>
      </w:r>
      <w:r>
        <w:rPr>
          <w:rFonts w:ascii="Times New Roman;sans-serif" w:hAnsi="Times New Roman;sans-serif"/>
          <w:b w:val="false"/>
          <w:color w:val="000000"/>
          <w:sz w:val="20"/>
        </w:rPr>
        <w:t>Consent of the Term Loan Administrative Agent shall not be required for an assignment of all or any portion of (x) a Revolving Facility Commitment or a Revolving Facility Loan or (y) a Term Loan to a Lender, an Affiliate of a Lender or an Approved Fund or to the Borrower or an Affiliate of the Borrower in accordance with Section 2.25 of the Credit Agreement.</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6480175" cy="781050"/>
                <wp:effectExtent l="0" t="0" r="0" b="0"/>
                <wp:wrapNone/>
                <wp:docPr id="442" name="Frame441"/>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240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240</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[CITIBANK, N.A.</w:t>
      </w:r>
    </w:p>
    <w:p>
      <w:pPr>
        <w:pStyle w:val="TextBody"/>
        <w:bidi w:val="0"/>
        <w:spacing w:lineRule="auto" w:line="240" w:before="0" w:after="0"/>
        <w:jc w:val="left"/>
        <w:rPr/>
      </w:pPr>
      <w:r>
        <w:rPr>
          <w:rFonts w:ascii="Times New Roman;sans-serif" w:hAnsi="Times New Roman;sans-serif"/>
          <w:b w:val="false"/>
          <w:color w:val="000000"/>
          <w:sz w:val="24"/>
        </w:rPr>
        <w:t>as Revolving Facility Administrative Agent]</w:t>
      </w:r>
      <w:r>
        <w:rPr>
          <w:rFonts w:ascii="Times New Roman;sans-serif" w:hAnsi="Times New Roman;sans-serif"/>
          <w:b w:val="false"/>
          <w:color w:val="000000"/>
          <w:sz w:val="16"/>
        </w:rPr>
        <w:t>9</w:t>
      </w:r>
    </w:p>
    <w:p>
      <w:pPr>
        <w:pStyle w:val="TextBody"/>
        <w:bidi w:val="0"/>
        <w:spacing w:before="204" w:after="283"/>
        <w:jc w:val="left"/>
        <w:rPr/>
      </w:pPr>
      <w:r>
        <w:rPr/>
      </w:r>
    </w:p>
    <w:p>
      <w:pPr>
        <w:pStyle w:val="TextBody"/>
        <w:bidi w:val="0"/>
        <w:spacing w:lineRule="auto" w:line="285" w:before="0" w:after="0"/>
        <w:ind w:left="0" w:right="0" w:hanging="813"/>
        <w:jc w:val="left"/>
        <w:rPr/>
      </w:pPr>
      <w:r>
        <w:rPr>
          <w:rFonts w:ascii="Times New Roman;sans-serif" w:hAnsi="Times New Roman;sans-serif"/>
          <w:b w:val="false"/>
          <w:color w:val="000000"/>
          <w:sz w:val="24"/>
        </w:rPr>
        <w:t>By:    </w:t>
      </w:r>
      <w:r>
        <w:rPr>
          <w:color w:val="000000"/>
          <w:u w:val="single"/>
        </w:rPr>
        <w:t>        </w:t>
      </w:r>
      <w:r>
        <w:rPr>
          <w:color w:val="000000"/>
        </w:rPr>
        <w:t xml:space="preserve"> </w:t>
      </w:r>
      <w:r>
        <w:rPr>
          <w:rFonts w:ascii="Times New Roman;sans-serif" w:hAnsi="Times New Roman;sans-serif"/>
          <w:b w:val="false"/>
          <w:color w:val="000000"/>
          <w:sz w:val="24"/>
        </w:rPr>
        <w:t>Name:</w:t>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Title:</w:t>
      </w:r>
    </w:p>
    <w:p>
      <w:pPr>
        <w:pStyle w:val="TextBody"/>
        <w:bidi w:val="0"/>
        <w:spacing w:before="120" w:after="283"/>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[CITIBANK, N.A.</w:t>
      </w:r>
    </w:p>
    <w:p>
      <w:pPr>
        <w:pStyle w:val="TextBody"/>
        <w:bidi w:val="0"/>
        <w:spacing w:lineRule="auto" w:line="240" w:before="0" w:after="0"/>
        <w:jc w:val="left"/>
        <w:rPr/>
      </w:pPr>
      <w:r>
        <w:rPr>
          <w:rFonts w:ascii="Times New Roman;sans-serif" w:hAnsi="Times New Roman;sans-serif"/>
          <w:b w:val="false"/>
          <w:color w:val="000000"/>
          <w:sz w:val="24"/>
        </w:rPr>
        <w:t>as Swingline Lender]</w:t>
      </w:r>
      <w:r>
        <w:rPr>
          <w:rFonts w:ascii="Times New Roman;sans-serif" w:hAnsi="Times New Roman;sans-serif"/>
          <w:b w:val="false"/>
          <w:color w:val="000000"/>
          <w:sz w:val="16"/>
        </w:rPr>
        <w:t>10</w:t>
      </w:r>
    </w:p>
    <w:p>
      <w:pPr>
        <w:pStyle w:val="TextBody"/>
        <w:bidi w:val="0"/>
        <w:spacing w:before="204" w:after="283"/>
        <w:jc w:val="left"/>
        <w:rPr/>
      </w:pPr>
      <w:r>
        <w:rPr/>
      </w:r>
    </w:p>
    <w:p>
      <w:pPr>
        <w:pStyle w:val="TextBody"/>
        <w:bidi w:val="0"/>
        <w:spacing w:lineRule="auto" w:line="285" w:before="0" w:after="0"/>
        <w:ind w:left="0" w:right="0" w:hanging="813"/>
        <w:jc w:val="left"/>
        <w:rPr/>
      </w:pPr>
      <w:r>
        <w:rPr>
          <w:rFonts w:ascii="Times New Roman;sans-serif" w:hAnsi="Times New Roman;sans-serif"/>
          <w:b w:val="false"/>
          <w:color w:val="000000"/>
          <w:sz w:val="24"/>
        </w:rPr>
        <w:t>By:    </w:t>
      </w:r>
      <w:r>
        <w:rPr>
          <w:color w:val="000000"/>
          <w:u w:val="single"/>
        </w:rPr>
        <w:t>        </w:t>
      </w:r>
      <w:r>
        <w:rPr>
          <w:color w:val="000000"/>
        </w:rPr>
        <w:t xml:space="preserve"> </w:t>
      </w:r>
      <w:r>
        <w:rPr>
          <w:rFonts w:ascii="Times New Roman;sans-serif" w:hAnsi="Times New Roman;sans-serif"/>
          <w:b w:val="false"/>
          <w:color w:val="000000"/>
          <w:sz w:val="24"/>
        </w:rPr>
        <w:t>Name:</w:t>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Title:</w:t>
      </w:r>
    </w:p>
    <w:p>
      <w:pPr>
        <w:pStyle w:val="TextBody"/>
        <w:bidi w:val="0"/>
        <w:spacing w:before="120" w:after="283"/>
        <w:jc w:val="left"/>
        <w:rPr/>
      </w:pPr>
      <w:r>
        <w:rPr/>
      </w:r>
    </w:p>
    <w:p>
      <w:pPr>
        <w:pStyle w:val="TextBody"/>
        <w:bidi w:val="0"/>
        <w:spacing w:lineRule="auto" w:line="240" w:before="0" w:after="0"/>
        <w:jc w:val="left"/>
        <w:rPr/>
      </w:pPr>
      <w:r>
        <w:rPr>
          <w:rFonts w:ascii="Times New Roman;sans-serif" w:hAnsi="Times New Roman;sans-serif"/>
          <w:b w:val="false"/>
          <w:color w:val="000000"/>
          <w:sz w:val="24"/>
        </w:rPr>
        <w:t>[[_____]</w:t>
      </w:r>
      <w:r>
        <w:rPr>
          <w:rFonts w:ascii="Times New Roman;sans-serif" w:hAnsi="Times New Roman;sans-serif"/>
          <w:b w:val="false"/>
          <w:color w:val="000000"/>
          <w:sz w:val="16"/>
        </w:rPr>
        <w:t>11</w:t>
      </w:r>
    </w:p>
    <w:p>
      <w:pPr>
        <w:pStyle w:val="TextBody"/>
        <w:bidi w:val="0"/>
        <w:spacing w:lineRule="auto" w:line="240" w:before="0" w:after="0"/>
        <w:jc w:val="left"/>
        <w:rPr/>
      </w:pPr>
      <w:r>
        <w:rPr>
          <w:rFonts w:ascii="Times New Roman;sans-serif" w:hAnsi="Times New Roman;sans-serif"/>
          <w:b w:val="false"/>
          <w:color w:val="000000"/>
          <w:sz w:val="24"/>
        </w:rPr>
        <w:t>as [an] Issuing Bank]</w:t>
      </w:r>
      <w:r>
        <w:rPr>
          <w:rFonts w:ascii="Times New Roman;sans-serif" w:hAnsi="Times New Roman;sans-serif"/>
          <w:b w:val="false"/>
          <w:color w:val="000000"/>
          <w:sz w:val="16"/>
        </w:rPr>
        <w:t>12</w:t>
      </w:r>
    </w:p>
    <w:p>
      <w:pPr>
        <w:pStyle w:val="TextBody"/>
        <w:bidi w:val="0"/>
        <w:spacing w:before="160" w:after="283"/>
        <w:jc w:val="left"/>
        <w:rPr/>
      </w:pPr>
      <w:r>
        <w:rPr/>
      </w:r>
    </w:p>
    <w:p>
      <w:pPr>
        <w:pStyle w:val="TextBody"/>
        <w:bidi w:val="0"/>
        <w:spacing w:lineRule="auto" w:line="285" w:before="0" w:after="0"/>
        <w:ind w:left="0" w:right="0" w:hanging="813"/>
        <w:jc w:val="left"/>
        <w:rPr/>
      </w:pPr>
      <w:r>
        <w:rPr>
          <w:rFonts w:ascii="Times New Roman;sans-serif" w:hAnsi="Times New Roman;sans-serif"/>
          <w:b w:val="false"/>
          <w:color w:val="000000"/>
          <w:sz w:val="24"/>
        </w:rPr>
        <w:t>By:    </w:t>
      </w:r>
      <w:r>
        <w:rPr>
          <w:color w:val="000000"/>
          <w:u w:val="single"/>
        </w:rPr>
        <w:t>        </w:t>
      </w:r>
      <w:r>
        <w:rPr>
          <w:color w:val="000000"/>
        </w:rPr>
        <w:t xml:space="preserve"> </w:t>
      </w:r>
      <w:r>
        <w:rPr>
          <w:rFonts w:ascii="Times New Roman;sans-serif" w:hAnsi="Times New Roman;sans-serif"/>
          <w:b w:val="false"/>
          <w:color w:val="000000"/>
          <w:sz w:val="24"/>
        </w:rPr>
        <w:t>Name:</w:t>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Title:</w:t>
      </w:r>
    </w:p>
    <w:p>
      <w:pPr>
        <w:pStyle w:val="TextBody"/>
        <w:bidi w:val="0"/>
        <w:spacing w:before="0" w:after="0"/>
        <w:jc w:val="left"/>
        <w:rPr/>
      </w:pPr>
      <w:r>
        <w:rPr/>
      </w:r>
    </w:p>
    <w:p>
      <w:pPr>
        <w:pStyle w:val="TextBody"/>
        <w:bidi w:val="0"/>
        <w:spacing w:lineRule="auto" w:line="240"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[MAGNITE, INC.,</w:t>
      </w:r>
    </w:p>
    <w:p>
      <w:pPr>
        <w:pStyle w:val="TextBody"/>
        <w:bidi w:val="0"/>
        <w:spacing w:lineRule="auto" w:line="240" w:before="0" w:after="0"/>
        <w:jc w:val="left"/>
        <w:rPr/>
      </w:pPr>
      <w:r>
        <w:rPr>
          <w:rFonts w:ascii="Times New Roman;sans-serif" w:hAnsi="Times New Roman;sans-serif"/>
          <w:b w:val="false"/>
          <w:color w:val="000000"/>
          <w:sz w:val="24"/>
        </w:rPr>
        <w:t>as Borrower]</w:t>
      </w:r>
      <w:r>
        <w:rPr>
          <w:rFonts w:ascii="Times New Roman;sans-serif" w:hAnsi="Times New Roman;sans-serif"/>
          <w:b w:val="false"/>
          <w:color w:val="000000"/>
          <w:sz w:val="16"/>
        </w:rPr>
        <w:t>13</w:t>
      </w:r>
    </w:p>
    <w:p>
      <w:pPr>
        <w:pStyle w:val="TextBody"/>
        <w:bidi w:val="0"/>
        <w:spacing w:before="0" w:after="0"/>
        <w:jc w:val="left"/>
        <w:rPr/>
      </w:pPr>
      <w:r>
        <w:rPr/>
      </w:r>
    </w:p>
    <w:p>
      <w:pPr>
        <w:pStyle w:val="TextBody"/>
        <w:bidi w:val="0"/>
        <w:spacing w:lineRule="auto" w:line="285" w:before="0" w:after="0"/>
        <w:ind w:left="0" w:right="0" w:hanging="813"/>
        <w:jc w:val="left"/>
        <w:rPr/>
      </w:pPr>
      <w:r>
        <w:rPr>
          <w:rFonts w:ascii="Times New Roman;sans-serif" w:hAnsi="Times New Roman;sans-serif"/>
          <w:b w:val="false"/>
          <w:color w:val="000000"/>
          <w:sz w:val="24"/>
        </w:rPr>
        <w:t>By:    </w:t>
      </w:r>
      <w:r>
        <w:rPr>
          <w:color w:val="000000"/>
          <w:u w:val="single"/>
        </w:rPr>
        <w:t>        </w:t>
      </w:r>
      <w:r>
        <w:rPr>
          <w:color w:val="000000"/>
        </w:rPr>
        <w:t xml:space="preserve"> </w:t>
      </w:r>
      <w:r>
        <w:rPr>
          <w:rFonts w:ascii="Times New Roman;sans-serif" w:hAnsi="Times New Roman;sans-serif"/>
          <w:b w:val="false"/>
          <w:color w:val="000000"/>
          <w:sz w:val="24"/>
        </w:rPr>
        <w:t>Name:</w:t>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Title: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168" w:after="283"/>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w:t>
      </w:r>
    </w:p>
    <w:p>
      <w:pPr>
        <w:pStyle w:val="TextBody"/>
        <w:bidi w:val="0"/>
        <w:spacing w:lineRule="auto" w:line="240" w:before="221" w:after="283"/>
        <w:jc w:val="both"/>
        <w:rPr/>
      </w:pPr>
      <w:r>
        <w:rPr>
          <w:rFonts w:ascii="Times New Roman;sans-serif" w:hAnsi="Times New Roman;sans-serif"/>
          <w:b w:val="false"/>
          <w:color w:val="000000"/>
          <w:sz w:val="13"/>
        </w:rPr>
        <w:t>9</w:t>
      </w:r>
      <w:r>
        <w:rPr>
          <w:color w:val="000000"/>
        </w:rPr>
        <w:t xml:space="preserve"> </w:t>
      </w:r>
      <w:r>
        <w:rPr>
          <w:rFonts w:ascii="Times New Roman;sans-serif" w:hAnsi="Times New Roman;sans-serif"/>
          <w:b w:val="false"/>
          <w:color w:val="000000"/>
          <w:sz w:val="20"/>
        </w:rPr>
        <w:t>Consent of the Revolving Facility Administrative Agent shall not be required for an assignment of all or any portion of a Term Loan.</w:t>
      </w:r>
    </w:p>
    <w:p>
      <w:pPr>
        <w:pStyle w:val="TextBody"/>
        <w:bidi w:val="0"/>
        <w:spacing w:lineRule="auto" w:line="240" w:before="121" w:after="283"/>
        <w:jc w:val="both"/>
        <w:rPr/>
      </w:pPr>
      <w:r>
        <w:rPr>
          <w:rFonts w:ascii="Times New Roman;sans-serif" w:hAnsi="Times New Roman;sans-serif"/>
          <w:b w:val="false"/>
          <w:color w:val="000000"/>
          <w:sz w:val="13"/>
        </w:rPr>
        <w:t>10</w:t>
      </w:r>
      <w:r>
        <w:rPr>
          <w:color w:val="000000"/>
        </w:rPr>
        <w:t xml:space="preserve"> </w:t>
      </w:r>
      <w:r>
        <w:rPr>
          <w:rFonts w:ascii="Times New Roman;sans-serif" w:hAnsi="Times New Roman;sans-serif"/>
          <w:b w:val="false"/>
          <w:color w:val="000000"/>
          <w:sz w:val="20"/>
        </w:rPr>
        <w:t>Consent of the Swingline Lender shall not be required for an assignment of all or any portion of a Term Loan.</w:t>
      </w:r>
    </w:p>
    <w:p>
      <w:pPr>
        <w:pStyle w:val="TextBody"/>
        <w:bidi w:val="0"/>
        <w:spacing w:lineRule="auto" w:line="240" w:before="119" w:after="283"/>
        <w:jc w:val="both"/>
        <w:rPr/>
      </w:pPr>
      <w:r>
        <w:rPr>
          <w:rFonts w:ascii="Times New Roman;sans-serif" w:hAnsi="Times New Roman;sans-serif"/>
          <w:b w:val="false"/>
          <w:color w:val="000000"/>
          <w:sz w:val="13"/>
        </w:rPr>
        <w:t>11</w:t>
      </w:r>
      <w:r>
        <w:rPr>
          <w:color w:val="000000"/>
        </w:rPr>
        <w:t xml:space="preserve"> </w:t>
      </w:r>
      <w:r>
        <w:rPr>
          <w:rFonts w:ascii="Times New Roman;sans-serif" w:hAnsi="Times New Roman;sans-serif"/>
          <w:b w:val="false"/>
          <w:color w:val="000000"/>
          <w:sz w:val="20"/>
        </w:rPr>
        <w:t>Insert name of Issuing Bank.</w:t>
      </w:r>
    </w:p>
    <w:p>
      <w:pPr>
        <w:pStyle w:val="TextBody"/>
        <w:bidi w:val="0"/>
        <w:spacing w:lineRule="auto" w:line="240" w:before="120" w:after="283"/>
        <w:jc w:val="both"/>
        <w:rPr/>
      </w:pPr>
      <w:r>
        <w:rPr>
          <w:rFonts w:ascii="Times New Roman;sans-serif" w:hAnsi="Times New Roman;sans-serif"/>
          <w:b w:val="false"/>
          <w:color w:val="000000"/>
          <w:sz w:val="13"/>
        </w:rPr>
        <w:t>12</w:t>
      </w:r>
      <w:r>
        <w:rPr>
          <w:color w:val="000000"/>
        </w:rPr>
        <w:t xml:space="preserve"> </w:t>
      </w:r>
      <w:r>
        <w:rPr>
          <w:rFonts w:ascii="Times New Roman;sans-serif" w:hAnsi="Times New Roman;sans-serif"/>
          <w:b w:val="false"/>
          <w:color w:val="000000"/>
          <w:sz w:val="20"/>
        </w:rPr>
        <w:t>Consent of the Issuing Bank(s) shall not be required for an assignment of all or any portion of a Term Loan.</w:t>
      </w:r>
    </w:p>
    <w:p>
      <w:pPr>
        <w:pStyle w:val="TextBody"/>
        <w:bidi w:val="0"/>
        <w:spacing w:lineRule="auto" w:line="240" w:before="121" w:after="283"/>
        <w:jc w:val="both"/>
        <w:rPr/>
      </w:pPr>
      <w:r>
        <w:rPr>
          <w:rFonts w:ascii="Times New Roman;sans-serif" w:hAnsi="Times New Roman;sans-serif"/>
          <w:b w:val="false"/>
          <w:color w:val="000000"/>
          <w:sz w:val="13"/>
        </w:rPr>
        <w:t>13</w:t>
      </w:r>
      <w:r>
        <w:rPr>
          <w:color w:val="000000"/>
        </w:rPr>
        <w:t xml:space="preserve"> </w:t>
      </w:r>
      <w:r>
        <w:rPr>
          <w:rFonts w:ascii="Times New Roman;sans-serif" w:hAnsi="Times New Roman;sans-serif"/>
          <w:b w:val="false"/>
          <w:color w:val="000000"/>
          <w:sz w:val="20"/>
        </w:rPr>
        <w:t xml:space="preserve">Consent of the Borrower shall not be required for an assignment of a Term Loan to a Lender, an Affiliate of a Lender or an Approved Fund, or of a Revolving Facility Commitment or Revolving Facility Loan to a Revolving Facility Lender, an Affiliate of a Revolving Facility Lender or an Approved Fund with respect to a Revolving Facility Lender or, in each case, if an Event of Default under </w:t>
      </w:r>
      <w:r>
        <w:rPr>
          <w:rFonts w:ascii="Times New Roman;sans-serif" w:hAnsi="Times New Roman;sans-serif"/>
          <w:b w:val="false"/>
          <w:color w:val="000000"/>
          <w:sz w:val="20"/>
          <w:u w:val="single"/>
        </w:rPr>
        <w:t>Sections 7.01(b)</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(c)</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(h)</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(i)</w:t>
      </w:r>
      <w:r>
        <w:rPr>
          <w:color w:val="000000"/>
        </w:rPr>
        <w:t xml:space="preserve"> </w:t>
      </w:r>
      <w:r>
        <w:rPr>
          <w:rFonts w:ascii="Times New Roman;sans-serif" w:hAnsi="Times New Roman;sans-serif"/>
          <w:b w:val="false"/>
          <w:color w:val="000000"/>
          <w:sz w:val="20"/>
        </w:rPr>
        <w:t>of the Credit Agreement has occurred and is continuing. Consent of the Borrower shall be deemed to have been given if the Borrower has not responded within ten (10) Business Days after the delivery of any request for such consent.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6480175" cy="781050"/>
                <wp:effectExtent l="0" t="0" r="0" b="0"/>
                <wp:wrapNone/>
                <wp:docPr id="443" name="Frame442"/>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241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241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60" w:after="283"/>
        <w:jc w:val="right"/>
        <w:rPr>
          <w:rFonts w:ascii="Times New Roman;sans-serif" w:hAnsi="Times New Roman;sans-serif"/>
          <w:b/>
          <w:color w:val="000000"/>
          <w:sz w:val="24"/>
        </w:rPr>
      </w:pPr>
      <w:r>
        <w:rPr>
          <w:rFonts w:ascii="Times New Roman;sans-serif" w:hAnsi="Times New Roman;sans-serif"/>
          <w:b/>
          <w:color w:val="000000"/>
          <w:sz w:val="24"/>
        </w:rPr>
        <w:t>ANNEX 1</w:t>
      </w:r>
    </w:p>
    <w:p>
      <w:pPr>
        <w:pStyle w:val="TextBody"/>
        <w:bidi w:val="0"/>
        <w:spacing w:lineRule="auto" w:line="240" w:before="24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MAGNITE, INC. CREDIT AGREEMENT</w:t>
      </w:r>
    </w:p>
    <w:p>
      <w:pPr>
        <w:pStyle w:val="TextBody"/>
        <w:bidi w:val="0"/>
        <w:spacing w:lineRule="auto" w:line="240" w:before="24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STANDARD TERMS AND CONDITIONS FOR ASSIGNMENT AND ACCEPTANCE</w:t>
      </w:r>
    </w:p>
    <w:p>
      <w:pPr>
        <w:pStyle w:val="TextBody"/>
        <w:bidi w:val="0"/>
        <w:spacing w:lineRule="auto" w:line="240" w:before="240" w:after="283"/>
        <w:ind w:left="0" w:right="0" w:hanging="719"/>
        <w:jc w:val="left"/>
        <w:rPr/>
      </w:pPr>
      <w:r>
        <w:rPr>
          <w:rFonts w:ascii="Times New Roman;sans-serif" w:hAnsi="Times New Roman;sans-serif"/>
          <w:b w:val="false"/>
          <w:color w:val="000000"/>
          <w:sz w:val="24"/>
        </w:rPr>
        <w:t>1.</w:t>
      </w:r>
      <w:r>
        <w:rPr>
          <w:rFonts w:ascii="Times New Roman;sans-serif" w:hAnsi="Times New Roman;sans-serif"/>
          <w:b w:val="false"/>
          <w:color w:val="000000"/>
          <w:sz w:val="24"/>
          <w:u w:val="single"/>
        </w:rPr>
        <w:t>Representations and Warranties</w:t>
      </w:r>
      <w:r>
        <w:rPr>
          <w:rFonts w:ascii="Times New Roman;sans-serif" w:hAnsi="Times New Roman;sans-serif"/>
          <w:b w:val="false"/>
          <w:color w:val="000000"/>
          <w:sz w:val="24"/>
        </w:rPr>
        <w:t>.</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1.1</w:t>
      </w:r>
      <w:r>
        <w:rPr>
          <w:rFonts w:ascii="Times New Roman;sans-serif" w:hAnsi="Times New Roman;sans-serif"/>
          <w:b w:val="false"/>
          <w:color w:val="000000"/>
          <w:sz w:val="24"/>
          <w:u w:val="single"/>
        </w:rPr>
        <w:t>Assignor[s]</w:t>
      </w:r>
      <w:r>
        <w:rPr>
          <w:rFonts w:ascii="Times New Roman;sans-serif" w:hAnsi="Times New Roman;sans-serif"/>
          <w:b w:val="false"/>
          <w:color w:val="000000"/>
          <w:sz w:val="24"/>
        </w:rPr>
        <w:t>. [The][Each] Assignor (a) represents and warrants that (i) it is the legal and beneficial owner of [the][the relevant] Assigned Interest, (ii) [the][such] Assigned Interest is free and clear of any lien, encumbrance or other adverse claim, (iii) it has full power and authority, and has taken all action necessary, to execute and deliver this Assignment and Acceptance and to consummate the transactions contemplated hereby and (iv) it is not a Defaulting Lender; and (b) assumes no responsibility with respect to (i) any statements, warranties or representations made in or in connection with the Credit Agreement or any other Loan Document, (ii) the execution, legality, validity, enforceability, genuineness, sufficiency or value of the Loan Documents or any collateral thereunder, (iii) the financial condition of the Borrower, any of its Subsidiaries or Affiliates or any other Person obligated in respect of any Loan Document or (iv) the performance or observance by the Borrower, any of its Subsidiaries or Affiliates or any other Person of any of their respective obligations under any Loan Document.</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 xml:space="preserve">1.2. </w:t>
      </w:r>
      <w:r>
        <w:rPr>
          <w:rFonts w:ascii="Times New Roman;sans-serif" w:hAnsi="Times New Roman;sans-serif"/>
          <w:b w:val="false"/>
          <w:color w:val="000000"/>
          <w:sz w:val="24"/>
          <w:u w:val="single"/>
        </w:rPr>
        <w:t>Assignee[s]</w:t>
      </w:r>
      <w:r>
        <w:rPr>
          <w:rFonts w:ascii="Times New Roman;sans-serif" w:hAnsi="Times New Roman;sans-serif"/>
          <w:b w:val="false"/>
          <w:color w:val="000000"/>
          <w:sz w:val="24"/>
        </w:rPr>
        <w:t xml:space="preserve">. [The][Each] Assignee (a) represents and warrants that (i) it has full power and authority, and has taken all action necessary, to execute and deliver this Assignment and Acceptance and to consummate the transactions contemplated hereby and to become a Lender under the Credit Agreement, (ii) it meets all the requirements to be an assignee under </w:t>
      </w:r>
      <w:r>
        <w:rPr>
          <w:rFonts w:ascii="Times New Roman;sans-serif" w:hAnsi="Times New Roman;sans-serif"/>
          <w:b w:val="false"/>
          <w:color w:val="000000"/>
          <w:sz w:val="24"/>
          <w:u w:val="single"/>
        </w:rPr>
        <w:t>Section 9.04</w:t>
      </w:r>
      <w:r>
        <w:rPr>
          <w:color w:val="000000"/>
        </w:rPr>
        <w:t xml:space="preserve"> </w:t>
      </w:r>
      <w:r>
        <w:rPr>
          <w:rFonts w:ascii="Times New Roman;sans-serif" w:hAnsi="Times New Roman;sans-serif"/>
          <w:b w:val="false"/>
          <w:color w:val="000000"/>
          <w:sz w:val="24"/>
        </w:rPr>
        <w:t xml:space="preserve">of the Credit Agreement (subject to such consents, if any, as may be required thereunder), (iii) from and after the Effective Date, it shall be bound by the provisions of the Credit Agreement as a Lender thereunder and, to the extent of [the][the relevant] Assigned Interest, shall have the obligations of a Lender thereunder, (iv) it is sophisticated with respect to decisions to acquire assets of the type represented by the Assigned Interest and either it, or the Person exercising discretion in making its decision to acquire the Assigned Interest, is experienced in acquiring assets of such type, (v) it has received a copy of the Credit Agreement, and has received copies of the most recent financial statements delivered pursuant to </w:t>
      </w:r>
      <w:r>
        <w:rPr>
          <w:rFonts w:ascii="Times New Roman;sans-serif" w:hAnsi="Times New Roman;sans-serif"/>
          <w:b w:val="false"/>
          <w:color w:val="000000"/>
          <w:sz w:val="24"/>
          <w:u w:val="single"/>
        </w:rPr>
        <w:t>Section 4.01(i)</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5.04(a)</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5.04(b)</w:t>
      </w:r>
      <w:r>
        <w:rPr>
          <w:color w:val="000000"/>
        </w:rPr>
        <w:t xml:space="preserve"> </w:t>
      </w:r>
      <w:r>
        <w:rPr>
          <w:rFonts w:ascii="Times New Roman;sans-serif" w:hAnsi="Times New Roman;sans-serif"/>
          <w:b w:val="false"/>
          <w:color w:val="000000"/>
          <w:sz w:val="24"/>
        </w:rPr>
        <w:t>thereof, as applicable, and such other documents and information as it has deemed appropriate to make its own credit analysis and decision to enter into this Assignment and Acceptance and to purchase [the][such] Assigned Interest on the basis of which it has made such analysis and decision independently and without reliance on the Administrative Agents or any other Lender, (vi) attached to the Assignment and Acceptance is any documentation required to be delivered by it pursuant to the terms of the Credit Agreement, duly completed and executed by the Assignee and (vii) it is not a Disqualified Lender under the Credit Agreement; and (b) agrees that (i) it will, independently and without reliance on the Administrative Agents, the Assignor or any other Lender, and based on such documents and information as it shall deem appropriate at the time, continue to make its own credit decisions in taking or not taking action under the Loan Documents, and (ii) it will perform in accordance with their terms all of the obligations which by the terms of the Loan Documents are required to be performed by it as a Lender.</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6480175" cy="781050"/>
                <wp:effectExtent l="0" t="0" r="0" b="0"/>
                <wp:wrapNone/>
                <wp:docPr id="444" name="Frame443"/>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242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242</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ind w:left="0" w:right="0" w:firstLine="720"/>
        <w:jc w:val="both"/>
        <w:rPr/>
      </w:pPr>
      <w:r>
        <w:rPr>
          <w:rFonts w:ascii="Times New Roman;sans-serif" w:hAnsi="Times New Roman;sans-serif"/>
          <w:b w:val="false"/>
          <w:color w:val="000000"/>
          <w:sz w:val="24"/>
        </w:rPr>
        <w:t>2.</w:t>
      </w:r>
      <w:r>
        <w:rPr>
          <w:rFonts w:ascii="Times New Roman;sans-serif" w:hAnsi="Times New Roman;sans-serif"/>
          <w:b w:val="false"/>
          <w:color w:val="000000"/>
          <w:sz w:val="24"/>
          <w:u w:val="single"/>
        </w:rPr>
        <w:t>Payments</w:t>
      </w:r>
      <w:r>
        <w:rPr>
          <w:rFonts w:ascii="Times New Roman;sans-serif" w:hAnsi="Times New Roman;sans-serif"/>
          <w:b w:val="false"/>
          <w:color w:val="000000"/>
          <w:sz w:val="24"/>
        </w:rPr>
        <w:t>. From and after the Effective Date, the [Term Facility Administrative Agent][ and the ][Revolving Facility Administrative Agent] shall make all payments in respect of [the][each] Assigned Interest (including payments of principal, interest, fees and other amounts) to [the][the relevant] Assignor for amounts which have accrued to but excluding the Effective Date and to [the][the relevant] Assignee for amounts which have accrued from and after the Effective Date.</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3.</w:t>
      </w:r>
      <w:r>
        <w:rPr>
          <w:rFonts w:ascii="Times New Roman;sans-serif" w:hAnsi="Times New Roman;sans-serif"/>
          <w:b w:val="false"/>
          <w:color w:val="000000"/>
          <w:sz w:val="24"/>
          <w:u w:val="single"/>
        </w:rPr>
        <w:t>General Provisions</w:t>
      </w:r>
      <w:r>
        <w:rPr>
          <w:rFonts w:ascii="Times New Roman;sans-serif" w:hAnsi="Times New Roman;sans-serif"/>
          <w:b w:val="false"/>
          <w:color w:val="000000"/>
          <w:sz w:val="24"/>
        </w:rPr>
        <w:t>. This Assignment and Acceptance shall be binding upon, and inure to the benefit of, the parties hereto and their respective successors and assigns. This Assignment and Acceptance may be executed in any number of counterparts, which together shall constitute one instrument. Acceptance and adoption of the terms of this Assignment and Acceptance by the Assignee and the Assignor by Electronic Signature (as defined below) or delivery of an executed counterpart of a signature page of this Assignment and Acceptance by any Electronic System (as defined below) shall be effective as delivery of a manually executed counterpart of this Assignment and Acceptance. This Assignment and Acceptance shall be governed by, and construed in accordance with, the law of the State of New York.</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i/>
          <w:color w:val="000000"/>
          <w:sz w:val="24"/>
        </w:rPr>
        <w:t>Electronic Signature</w:t>
      </w:r>
      <w:r>
        <w:rPr>
          <w:color w:val="000000"/>
        </w:rPr>
        <w:t xml:space="preserve">” </w:t>
      </w:r>
      <w:r>
        <w:rPr>
          <w:rFonts w:ascii="Times New Roman;sans-serif" w:hAnsi="Times New Roman;sans-serif"/>
          <w:b w:val="false"/>
          <w:color w:val="000000"/>
          <w:sz w:val="24"/>
        </w:rPr>
        <w:t>means an electronic sound, symbol, or process attached to, or associated with, a contract or other record and adopted by a person with the intent to sign, authenticate or accept such contract or record.</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i/>
          <w:color w:val="000000"/>
          <w:sz w:val="24"/>
        </w:rPr>
        <w:t>Electronic System</w:t>
      </w:r>
      <w:r>
        <w:rPr>
          <w:color w:val="000000"/>
        </w:rPr>
        <w:t xml:space="preserve">” </w:t>
      </w:r>
      <w:r>
        <w:rPr>
          <w:rFonts w:ascii="Times New Roman;sans-serif" w:hAnsi="Times New Roman;sans-serif"/>
          <w:b w:val="false"/>
          <w:color w:val="000000"/>
          <w:sz w:val="24"/>
        </w:rPr>
        <w:t>means any electronic system, including e-mail, e-fax, Intralinks®, ClearPar®, Debt Domain, Syndtrak and any other Internet or extranet-based site, whether such electronic system is owned, operated or hosted by the [Term Facility Administrative Agent][ and the ][Revolving Facility Administrative Agent] and the Issuing Bank and any of its respective Related Parties or any other person, providing for access to data protected by passcodes or other security system.</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6480175" cy="781050"/>
                <wp:effectExtent l="0" t="0" r="0" b="0"/>
                <wp:wrapNone/>
                <wp:docPr id="445" name="Frame444"/>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243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243</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jc w:val="right"/>
        <w:rPr>
          <w:rFonts w:ascii="Times New Roman;sans-serif" w:hAnsi="Times New Roman;sans-serif"/>
          <w:b/>
          <w:color w:val="000000"/>
          <w:sz w:val="24"/>
        </w:rPr>
      </w:pPr>
      <w:r>
        <w:rPr>
          <w:rFonts w:ascii="Times New Roman;sans-serif" w:hAnsi="Times New Roman;sans-serif"/>
          <w:b/>
          <w:color w:val="000000"/>
          <w:sz w:val="24"/>
        </w:rPr>
        <w:t>EXHIBIT B</w:t>
      </w:r>
    </w:p>
    <w:p>
      <w:pPr>
        <w:pStyle w:val="TextBody"/>
        <w:bidi w:val="0"/>
        <w:spacing w:lineRule="auto" w:line="240" w:before="24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[Reserved]</w:t>
      </w:r>
    </w:p>
    <w:p>
      <w:pPr>
        <w:pStyle w:val="TextBody"/>
        <w:bidi w:val="0"/>
        <w:spacing w:before="0" w:after="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6480175" cy="781050"/>
                <wp:effectExtent l="0" t="0" r="0" b="0"/>
                <wp:wrapNone/>
                <wp:docPr id="446" name="Frame445"/>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244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244</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40" w:before="60" w:after="283"/>
        <w:jc w:val="right"/>
        <w:rPr>
          <w:rFonts w:ascii="Times New Roman;sans-serif" w:hAnsi="Times New Roman;sans-serif"/>
          <w:b/>
          <w:color w:val="000000"/>
          <w:sz w:val="24"/>
        </w:rPr>
      </w:pPr>
      <w:r>
        <w:rPr>
          <w:rFonts w:ascii="Times New Roman;sans-serif" w:hAnsi="Times New Roman;sans-serif"/>
          <w:b/>
          <w:color w:val="000000"/>
          <w:sz w:val="24"/>
        </w:rPr>
        <w:t>EXHIBIT C</w:t>
      </w:r>
    </w:p>
    <w:p>
      <w:pPr>
        <w:pStyle w:val="TextBody"/>
        <w:bidi w:val="0"/>
        <w:spacing w:lineRule="auto" w:line="240" w:before="240" w:after="283"/>
        <w:jc w:val="center"/>
        <w:rPr/>
      </w:pPr>
      <w:r>
        <w:rPr>
          <w:rFonts w:ascii="Times New Roman;sans-serif" w:hAnsi="Times New Roman;sans-serif"/>
          <w:b w:val="false"/>
          <w:color w:val="000000"/>
          <w:sz w:val="24"/>
          <w:u w:val="single"/>
        </w:rPr>
        <w:t>FORM OF SOLVENCY CERTIFICATE (the “Certificate”)</w:t>
      </w:r>
      <w:r>
        <w:rPr>
          <w:color w:val="000000"/>
        </w:rPr>
        <w:t xml:space="preserve"> </w:t>
      </w:r>
      <w:r>
        <w:rPr>
          <w:rFonts w:ascii="Times New Roman;sans-serif" w:hAnsi="Times New Roman;sans-serif"/>
          <w:b w:val="false"/>
          <w:color w:val="000000"/>
          <w:sz w:val="24"/>
          <w:u w:val="single"/>
        </w:rPr>
        <w:t>of</w:t>
      </w:r>
    </w:p>
    <w:p>
      <w:pPr>
        <w:pStyle w:val="TextBody"/>
        <w:bidi w:val="0"/>
        <w:spacing w:lineRule="auto" w:line="240" w:before="0" w:after="0"/>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BORROWER</w:t>
      </w:r>
    </w:p>
    <w:p>
      <w:pPr>
        <w:pStyle w:val="TextBody"/>
        <w:bidi w:val="0"/>
        <w:spacing w:lineRule="auto" w:line="240" w:before="0" w:after="0"/>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AND ITS SUBSIDIARIES</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 xml:space="preserve">Pursuant to </w:t>
      </w:r>
      <w:r>
        <w:rPr>
          <w:rFonts w:ascii="Times New Roman;sans-serif" w:hAnsi="Times New Roman;sans-serif"/>
          <w:b w:val="false"/>
          <w:color w:val="000000"/>
          <w:sz w:val="24"/>
          <w:u w:val="single"/>
        </w:rPr>
        <w:t>Section 4.01(e)</w:t>
      </w:r>
      <w:r>
        <w:rPr>
          <w:color w:val="000000"/>
        </w:rPr>
        <w:t xml:space="preserve"> </w:t>
      </w:r>
      <w:r>
        <w:rPr>
          <w:rFonts w:ascii="Times New Roman;sans-serif" w:hAnsi="Times New Roman;sans-serif"/>
          <w:b w:val="false"/>
          <w:color w:val="000000"/>
          <w:sz w:val="24"/>
        </w:rPr>
        <w:t>of the Credit Agreement dated as of February 6, 2024 (the “</w:t>
      </w:r>
      <w:r>
        <w:rPr>
          <w:rFonts w:ascii="Times New Roman;sans-serif" w:hAnsi="Times New Roman;sans-serif"/>
          <w:b w:val="false"/>
          <w:color w:val="000000"/>
          <w:sz w:val="24"/>
          <w:u w:val="single"/>
        </w:rPr>
        <w:t>Credit Agreement</w:t>
      </w:r>
      <w:r>
        <w:rPr>
          <w:color w:val="000000"/>
        </w:rPr>
        <w:t>”</w:t>
      </w:r>
      <w:r>
        <w:rPr>
          <w:rFonts w:ascii="Times New Roman;sans-serif" w:hAnsi="Times New Roman;sans-serif"/>
          <w:b w:val="false"/>
          <w:color w:val="000000"/>
          <w:sz w:val="24"/>
        </w:rPr>
        <w:t>), by and among Magnite, Inc., a Delaware corporation (the “</w:t>
      </w:r>
      <w:r>
        <w:rPr>
          <w:rFonts w:ascii="Times New Roman;sans-serif" w:hAnsi="Times New Roman;sans-serif"/>
          <w:b w:val="false"/>
          <w:color w:val="000000"/>
          <w:sz w:val="24"/>
          <w:u w:val="single"/>
        </w:rPr>
        <w:t>Borrower</w:t>
      </w:r>
      <w:r>
        <w:rPr>
          <w:color w:val="000000"/>
        </w:rPr>
        <w:t>”</w:t>
      </w:r>
      <w:r>
        <w:rPr>
          <w:rFonts w:ascii="Times New Roman;sans-serif" w:hAnsi="Times New Roman;sans-serif"/>
          <w:b w:val="false"/>
          <w:color w:val="000000"/>
          <w:sz w:val="24"/>
        </w:rPr>
        <w:t>), Morgan Stanley Senior Funding, Inc., as Term Facility Administrative Agent, Citibank, N.A., as Revolving Facility Administrative Agent, Collateral Agent and Swingline Lender, and each Issuing Bank and Lender party thereto from time to time, the undersigned hereby certifies, solely in such undersigned’s capacity as [chief financial officer][</w:t>
      </w:r>
      <w:r>
        <w:rPr>
          <w:rFonts w:ascii="Times New Roman;sans-serif" w:hAnsi="Times New Roman;sans-serif"/>
          <w:b w:val="false"/>
          <w:i/>
          <w:color w:val="000000"/>
          <w:sz w:val="24"/>
        </w:rPr>
        <w:t>specify other officer with equivalent duties</w:t>
      </w:r>
      <w:r>
        <w:rPr>
          <w:rFonts w:ascii="Times New Roman;sans-serif" w:hAnsi="Times New Roman;sans-serif"/>
          <w:b w:val="false"/>
          <w:color w:val="000000"/>
          <w:sz w:val="24"/>
        </w:rPr>
        <w:t>] of the Borrower, and not individually, and without any personal liability, as follows:</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As of the date hereof, [after giving effect to the consummation of the Transactions, including the making of the Loans under the Credit Agreement on the date hereof, and after giving effect to the application of the proceeds of such Loans,]</w:t>
      </w:r>
      <w:r>
        <w:rPr>
          <w:rFonts w:ascii="Times New Roman;sans-serif" w:hAnsi="Times New Roman;sans-serif"/>
          <w:b w:val="false"/>
          <w:color w:val="000000"/>
          <w:sz w:val="16"/>
        </w:rPr>
        <w:t>14</w:t>
      </w:r>
      <w:r>
        <w:rPr>
          <w:color w:val="000000"/>
        </w:rPr>
        <w:t xml:space="preserve"> </w:t>
      </w:r>
      <w:r>
        <w:rPr>
          <w:rFonts w:ascii="Times New Roman;sans-serif" w:hAnsi="Times New Roman;sans-serif"/>
          <w:b w:val="false"/>
          <w:color w:val="000000"/>
          <w:sz w:val="24"/>
        </w:rPr>
        <w:t>that:</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a.The fair value of the assets of the Borrower and its Subsidiaries, on a consolidated basis, exceeds, on a consolidated basis, their debts and liabilities, subordinated, contingent or otherwise;</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b.The present fair saleable value of the property of the Borrower and its Subsidiaries, on a consolidated basis, is greater than the amount that will be required to pay the probable liability, on a consolidated basis, of their debts and other liabilities, subordinated, contingent or otherwise, as such debts and other liabilities become absolute and matured;</w:t>
      </w:r>
    </w:p>
    <w:p>
      <w:pPr>
        <w:pStyle w:val="TextBody"/>
        <w:bidi w:val="0"/>
        <w:spacing w:lineRule="auto" w:line="240" w:before="241"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c.The Borrower and its Subsidiaries, on a consolidated basis, are able to pay their debts and liabilities, subordinated, contingent or otherwise, as such debts and liabilities become absolute and matured; and</w:t>
      </w:r>
    </w:p>
    <w:p>
      <w:pPr>
        <w:pStyle w:val="TextBody"/>
        <w:bidi w:val="0"/>
        <w:spacing w:lineRule="auto" w:line="240" w:before="238"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d.The Borrower and its Subsidiaries, on a consolidated basis, are not engaged in, and are not about to engage in, business for which they have unreasonably small capital.</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For purposes of this Certificate, the amount of any contingent liability at any time shall be computed as the amount that would reasonably be expected to become an actual and matured liability. Capitalized terms used but not otherwise defined herein shall have the meanings assigned to them in the Credit Agreement.</w:t>
      </w:r>
    </w:p>
    <w:p>
      <w:pPr>
        <w:pStyle w:val="TextBody"/>
        <w:bidi w:val="0"/>
        <w:spacing w:lineRule="auto" w:line="240" w:before="241"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undersigned is familiar with the business and financial position of the Borrower and its Subsidiaries. In reaching the conclusions set forth in this Certificate, the undersigned has made such other investigations and inquiries as the undersigned has deemed appropriate, having taken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w:t>
      </w:r>
    </w:p>
    <w:p>
      <w:pPr>
        <w:pStyle w:val="TextBody"/>
        <w:bidi w:val="0"/>
        <w:spacing w:before="8" w:after="283"/>
        <w:jc w:val="left"/>
        <w:rPr/>
      </w:pPr>
      <w:r>
        <w:rPr/>
      </w:r>
    </w:p>
    <w:p>
      <w:pPr>
        <w:pStyle w:val="TextBody"/>
        <w:bidi w:val="0"/>
        <w:spacing w:lineRule="auto" w:line="240" w:before="222" w:after="283"/>
        <w:jc w:val="left"/>
        <w:rPr/>
      </w:pPr>
      <w:r>
        <w:rPr>
          <w:rFonts w:ascii="Times New Roman;sans-serif" w:hAnsi="Times New Roman;sans-serif"/>
          <w:b w:val="false"/>
          <w:color w:val="000000"/>
          <w:sz w:val="13"/>
        </w:rPr>
        <w:t>14</w:t>
      </w:r>
      <w:r>
        <w:rPr>
          <w:color w:val="000000"/>
        </w:rPr>
        <w:t xml:space="preserve"> </w:t>
      </w:r>
      <w:r>
        <w:rPr>
          <w:rFonts w:ascii="Times New Roman;sans-serif" w:hAnsi="Times New Roman;sans-serif"/>
          <w:b w:val="false"/>
          <w:color w:val="000000"/>
          <w:sz w:val="20"/>
        </w:rPr>
        <w:t>To be included on the solvency certificate delivered on the Closing Date.</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6480175" cy="781050"/>
                <wp:effectExtent l="0" t="0" r="0" b="0"/>
                <wp:wrapNone/>
                <wp:docPr id="447" name="Frame446"/>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245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245</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6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into account the nature of the particular business anticipated to be conducted by the Borrower and its Subsidiaries after consummation of the Transactions.</w:t>
      </w:r>
    </w:p>
    <w:p>
      <w:pPr>
        <w:pStyle w:val="TextBody"/>
        <w:bidi w:val="0"/>
        <w:spacing w:lineRule="auto" w:line="240" w:before="240" w:after="283"/>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Follows]</w:t>
      </w:r>
    </w:p>
    <w:p>
      <w:pPr>
        <w:pStyle w:val="TextBody"/>
        <w:bidi w:val="0"/>
        <w:spacing w:before="0" w:after="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6480175" cy="781050"/>
                <wp:effectExtent l="0" t="0" r="0" b="0"/>
                <wp:wrapNone/>
                <wp:docPr id="448" name="Frame447"/>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246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246</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40" w:before="60" w:after="283"/>
        <w:ind w:left="0" w:right="0" w:firstLine="720"/>
        <w:jc w:val="both"/>
        <w:rPr/>
      </w:pPr>
      <w:r>
        <w:rPr>
          <w:rFonts w:ascii="Times New Roman;sans-serif" w:hAnsi="Times New Roman;sans-serif"/>
          <w:b w:val="false"/>
          <w:color w:val="000000"/>
          <w:sz w:val="24"/>
        </w:rPr>
        <w:t>IN WITNESS WHEREOF, the undersigned has executed this Certificate in such undersigned’s capacity as [chief financial officer][</w:t>
      </w:r>
      <w:r>
        <w:rPr>
          <w:rFonts w:ascii="Times New Roman;sans-serif" w:hAnsi="Times New Roman;sans-serif"/>
          <w:b w:val="false"/>
          <w:i/>
          <w:color w:val="000000"/>
          <w:sz w:val="24"/>
        </w:rPr>
        <w:t>specify other officer with equivalent duties</w:t>
      </w:r>
      <w:r>
        <w:rPr>
          <w:rFonts w:ascii="Times New Roman;sans-serif" w:hAnsi="Times New Roman;sans-serif"/>
          <w:b w:val="false"/>
          <w:color w:val="000000"/>
          <w:sz w:val="24"/>
        </w:rPr>
        <w:t>] of the Borrower, on behalf of the Borrower, and not individually, as of the date first stated above.</w:t>
      </w:r>
    </w:p>
    <w:p>
      <w:pPr>
        <w:pStyle w:val="TextBody"/>
        <w:bidi w:val="0"/>
        <w:spacing w:lineRule="auto" w:line="240" w:before="24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MAGNITE, INC.</w:t>
      </w:r>
    </w:p>
    <w:p>
      <w:pPr>
        <w:pStyle w:val="TextBody"/>
        <w:bidi w:val="0"/>
        <w:spacing w:before="204" w:after="283"/>
        <w:jc w:val="left"/>
        <w:rPr/>
      </w:pPr>
      <w:r>
        <w:rPr/>
      </w:r>
    </w:p>
    <w:p>
      <w:pPr>
        <w:pStyle w:val="TextBody"/>
        <w:bidi w:val="0"/>
        <w:spacing w:lineRule="auto" w:line="285" w:before="0" w:after="0"/>
        <w:ind w:left="0" w:right="0" w:hanging="813"/>
        <w:jc w:val="left"/>
        <w:rPr/>
      </w:pPr>
      <w:r>
        <w:rPr>
          <w:rFonts w:ascii="Times New Roman;sans-serif" w:hAnsi="Times New Roman;sans-serif"/>
          <w:b w:val="false"/>
          <w:color w:val="000000"/>
          <w:sz w:val="24"/>
        </w:rPr>
        <w:t>By:    </w:t>
      </w:r>
      <w:r>
        <w:rPr>
          <w:color w:val="000000"/>
          <w:u w:val="single"/>
        </w:rPr>
        <w:t>        </w:t>
      </w:r>
      <w:r>
        <w:rPr>
          <w:color w:val="000000"/>
        </w:rPr>
        <w:t xml:space="preserve"> </w:t>
      </w:r>
      <w:r>
        <w:rPr>
          <w:rFonts w:ascii="Times New Roman;sans-serif" w:hAnsi="Times New Roman;sans-serif"/>
          <w:b w:val="false"/>
          <w:color w:val="000000"/>
          <w:sz w:val="24"/>
        </w:rPr>
        <w:t>Name:</w:t>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Title: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6480175" cy="781050"/>
                <wp:effectExtent l="0" t="0" r="0" b="0"/>
                <wp:wrapNone/>
                <wp:docPr id="449" name="Frame448"/>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247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247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ind w:left="0" w:right="0" w:firstLine="720"/>
        <w:jc w:val="left"/>
        <w:rPr>
          <w:rFonts w:ascii="Times New Roman;sans-serif" w:hAnsi="Times New Roman;sans-serif"/>
          <w:b/>
          <w:color w:val="000000"/>
          <w:sz w:val="24"/>
        </w:rPr>
      </w:pPr>
      <w:r>
        <w:rPr>
          <w:rFonts w:ascii="Times New Roman;sans-serif" w:hAnsi="Times New Roman;sans-serif"/>
          <w:b/>
          <w:color w:val="000000"/>
          <w:sz w:val="24"/>
        </w:rPr>
        <w:t>EXHIBIT D-1</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FORM OF BORROWING REQUEST</w:t>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24"/>
        </w:rPr>
        <w:t>Date:</w:t>
      </w:r>
      <w:r>
        <w:rPr>
          <w:rFonts w:ascii="Times New Roman;sans-serif" w:hAnsi="Times New Roman;sans-serif"/>
          <w:b w:val="false"/>
          <w:color w:val="000000"/>
          <w:sz w:val="16"/>
        </w:rPr>
        <w:t>15</w:t>
      </w:r>
      <w:r>
        <w:rPr>
          <w:color w:val="000000"/>
        </w:rPr>
        <w:t xml:space="preserve"> </w:t>
      </w:r>
      <w:r>
        <w:rPr>
          <w:rFonts w:ascii="Times New Roman;sans-serif" w:hAnsi="Times New Roman;sans-serif"/>
          <w:b w:val="false"/>
          <w:color w:val="000000"/>
          <w:sz w:val="24"/>
        </w:rPr>
        <w:t>[●], [●]</w:t>
      </w:r>
    </w:p>
    <w:p>
      <w:pPr>
        <w:pStyle w:val="TextBody"/>
        <w:bidi w:val="0"/>
        <w:spacing w:before="0" w:after="0"/>
        <w:jc w:val="both"/>
        <w:rPr/>
      </w:pPr>
      <w:r>
        <w:rPr/>
      </w:r>
    </w:p>
    <w:p>
      <w:pPr>
        <w:pStyle w:val="TextBody"/>
        <w:bidi w:val="0"/>
        <w:spacing w:lineRule="auto" w:line="240" w:before="0" w:after="0"/>
        <w:ind w:left="0" w:right="0" w:hanging="810"/>
        <w:jc w:val="both"/>
        <w:rPr/>
      </w:pPr>
      <w:r>
        <w:rPr>
          <w:rFonts w:ascii="Times New Roman;sans-serif" w:hAnsi="Times New Roman;sans-serif"/>
          <w:b w:val="false"/>
          <w:color w:val="000000"/>
          <w:sz w:val="24"/>
        </w:rPr>
        <w:t>To:    [Morgan Stanley Senior Funding, Inc., as administrative agent for the Term Facility (in such capacity, the “</w:t>
      </w:r>
      <w:r>
        <w:rPr>
          <w:rFonts w:ascii="Times New Roman;sans-serif" w:hAnsi="Times New Roman;sans-serif"/>
          <w:b w:val="false"/>
          <w:color w:val="000000"/>
          <w:sz w:val="24"/>
          <w:u w:val="single"/>
        </w:rPr>
        <w:t>Term Facility Administrative Agent</w:t>
      </w:r>
      <w:r>
        <w:rPr>
          <w:color w:val="000000"/>
        </w:rPr>
        <w:t>”</w:t>
      </w:r>
      <w:r>
        <w:rPr>
          <w:rFonts w:ascii="Times New Roman;sans-serif" w:hAnsi="Times New Roman;sans-serif"/>
          <w:b w:val="false"/>
          <w:color w:val="000000"/>
          <w:sz w:val="24"/>
        </w:rPr>
        <w:t>) under that certain Credit Agreement dated as of February 6, 2024 (as the same may be amended, supplemented, restated, amended and restated, or otherwise modified from time to time, the “</w:t>
      </w:r>
      <w:r>
        <w:rPr>
          <w:rFonts w:ascii="Times New Roman;sans-serif" w:hAnsi="Times New Roman;sans-serif"/>
          <w:b w:val="false"/>
          <w:color w:val="000000"/>
          <w:sz w:val="24"/>
          <w:u w:val="single"/>
        </w:rPr>
        <w:t>Credit</w:t>
      </w:r>
      <w:r>
        <w:rPr>
          <w:color w:val="000000"/>
        </w:rPr>
        <w:t xml:space="preserve"> </w:t>
      </w:r>
      <w:r>
        <w:rPr>
          <w:rFonts w:ascii="Times New Roman;sans-serif" w:hAnsi="Times New Roman;sans-serif"/>
          <w:b w:val="false"/>
          <w:color w:val="000000"/>
          <w:sz w:val="24"/>
          <w:u w:val="single"/>
        </w:rPr>
        <w:t>Agreement</w:t>
      </w:r>
      <w:r>
        <w:rPr>
          <w:color w:val="000000"/>
        </w:rPr>
        <w:t>”</w:t>
      </w:r>
      <w:r>
        <w:rPr>
          <w:rFonts w:ascii="Times New Roman;sans-serif" w:hAnsi="Times New Roman;sans-serif"/>
          <w:b w:val="false"/>
          <w:color w:val="000000"/>
          <w:sz w:val="24"/>
        </w:rPr>
        <w:t>), by and among Magnite, Inc., a Delaware corporation (the “</w:t>
      </w:r>
      <w:r>
        <w:rPr>
          <w:rFonts w:ascii="Times New Roman;sans-serif" w:hAnsi="Times New Roman;sans-serif"/>
          <w:b w:val="false"/>
          <w:color w:val="000000"/>
          <w:sz w:val="24"/>
          <w:u w:val="single"/>
        </w:rPr>
        <w:t>Borrower</w:t>
      </w:r>
      <w:r>
        <w:rPr>
          <w:color w:val="000000"/>
        </w:rPr>
        <w:t>”</w:t>
      </w:r>
      <w:r>
        <w:rPr>
          <w:rFonts w:ascii="Times New Roman;sans-serif" w:hAnsi="Times New Roman;sans-serif"/>
          <w:b w:val="false"/>
          <w:color w:val="000000"/>
          <w:sz w:val="24"/>
        </w:rPr>
        <w:t>), Morgan Stanley Senior Funding, Inc., as Term Facility Administrative Agent, Citibank, N.A., as Revolving Facility Administrative Agent, Collateral Agent and Swingline Lender, and each Issuing Bank and Lender party thereto from time to time.]</w:t>
      </w:r>
      <w:r>
        <w:rPr>
          <w:rFonts w:ascii="Times New Roman;sans-serif" w:hAnsi="Times New Roman;sans-serif"/>
          <w:b w:val="false"/>
          <w:color w:val="000000"/>
          <w:sz w:val="16"/>
        </w:rPr>
        <w:t>16</w:t>
      </w:r>
      <w:r>
        <w:rPr>
          <w:rFonts w:ascii="Times New Roman;sans-serif" w:hAnsi="Times New Roman;sans-serif"/>
          <w:b w:val="false"/>
          <w:color w:val="000000"/>
          <w:sz w:val="24"/>
        </w:rPr>
        <w:t>[Citibank, N.A., as administrative agent for the Revolving Facility (in such capacity, the “</w:t>
      </w:r>
      <w:r>
        <w:rPr>
          <w:rFonts w:ascii="Times New Roman;sans-serif" w:hAnsi="Times New Roman;sans-serif"/>
          <w:b w:val="false"/>
          <w:color w:val="000000"/>
          <w:sz w:val="24"/>
          <w:u w:val="single"/>
        </w:rPr>
        <w:t>Revolving Facility</w:t>
      </w:r>
      <w:r>
        <w:rPr>
          <w:color w:val="000000"/>
        </w:rPr>
        <w:t xml:space="preserve"> </w:t>
      </w:r>
      <w:r>
        <w:rPr>
          <w:rFonts w:ascii="Times New Roman;sans-serif" w:hAnsi="Times New Roman;sans-serif"/>
          <w:b w:val="false"/>
          <w:color w:val="000000"/>
          <w:sz w:val="24"/>
          <w:u w:val="single"/>
        </w:rPr>
        <w:t>Administrative Agent</w:t>
      </w:r>
      <w:r>
        <w:rPr>
          <w:color w:val="000000"/>
        </w:rPr>
        <w:t>”</w:t>
      </w:r>
      <w:r>
        <w:rPr>
          <w:rFonts w:ascii="Times New Roman;sans-serif" w:hAnsi="Times New Roman;sans-serif"/>
          <w:b w:val="false"/>
          <w:color w:val="000000"/>
          <w:sz w:val="24"/>
        </w:rPr>
        <w:t>) under that certain Credit Agreement dated as of February 6, 2024 (as the same may be amended, supplemented, restated, amended and restated, or otherwise modified from time to time, the “</w:t>
      </w:r>
      <w:r>
        <w:rPr>
          <w:rFonts w:ascii="Times New Roman;sans-serif" w:hAnsi="Times New Roman;sans-serif"/>
          <w:b w:val="false"/>
          <w:color w:val="000000"/>
          <w:sz w:val="24"/>
          <w:u w:val="single"/>
        </w:rPr>
        <w:t>Credit Agreement</w:t>
      </w:r>
      <w:r>
        <w:rPr>
          <w:color w:val="000000"/>
        </w:rPr>
        <w:t>”</w:t>
      </w:r>
      <w:r>
        <w:rPr>
          <w:rFonts w:ascii="Times New Roman;sans-serif" w:hAnsi="Times New Roman;sans-serif"/>
          <w:b w:val="false"/>
          <w:color w:val="000000"/>
          <w:sz w:val="24"/>
        </w:rPr>
        <w:t>), by and among Magnite, Inc., a Delaware corporation (the “</w:t>
      </w:r>
      <w:r>
        <w:rPr>
          <w:rFonts w:ascii="Times New Roman;sans-serif" w:hAnsi="Times New Roman;sans-serif"/>
          <w:b w:val="false"/>
          <w:color w:val="000000"/>
          <w:sz w:val="24"/>
          <w:u w:val="single"/>
        </w:rPr>
        <w:t>Borrower</w:t>
      </w:r>
      <w:r>
        <w:rPr>
          <w:color w:val="000000"/>
        </w:rPr>
        <w:t>”</w:t>
      </w:r>
      <w:r>
        <w:rPr>
          <w:rFonts w:ascii="Times New Roman;sans-serif" w:hAnsi="Times New Roman;sans-serif"/>
          <w:b w:val="false"/>
          <w:color w:val="000000"/>
          <w:sz w:val="24"/>
        </w:rPr>
        <w:t>), Morgan Stanley Senior Funding, Inc., as Term Facility Administrative Agent, Citibank, N.A., as Revolving Facility Administrative Agent, Collateral Agent and Swingline Lender, and each Issuing Bank and Lender party thereto from time to time.]</w:t>
      </w:r>
      <w:r>
        <w:rPr>
          <w:rFonts w:ascii="Times New Roman;sans-serif" w:hAnsi="Times New Roman;sans-serif"/>
          <w:b w:val="false"/>
          <w:color w:val="000000"/>
          <w:sz w:val="16"/>
        </w:rPr>
        <w:t>17</w:t>
      </w:r>
    </w:p>
    <w:p>
      <w:pPr>
        <w:pStyle w:val="TextBody"/>
        <w:bidi w:val="0"/>
        <w:spacing w:lineRule="auto" w:line="240" w:before="241" w:after="283"/>
        <w:jc w:val="both"/>
        <w:rPr>
          <w:rFonts w:ascii="Times New Roman;sans-serif" w:hAnsi="Times New Roman;sans-serif"/>
          <w:b w:val="false"/>
          <w:color w:val="000000"/>
          <w:sz w:val="24"/>
        </w:rPr>
      </w:pPr>
      <w:r>
        <w:rPr>
          <w:rFonts w:ascii="Times New Roman;sans-serif" w:hAnsi="Times New Roman;sans-serif"/>
          <w:b w:val="false"/>
          <w:color w:val="000000"/>
          <w:sz w:val="24"/>
        </w:rPr>
        <w:t>Ladies and Gentlemen:</w:t>
      </w:r>
    </w:p>
    <w:p>
      <w:pPr>
        <w:pStyle w:val="TextBody"/>
        <w:bidi w:val="0"/>
        <w:spacing w:lineRule="auto" w:line="240"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Reference is made to the above-described Credit Agreement. Terms defined in the Credit Agreement, wherever used herein, unless otherwise defined herein, shall have the same meanings herein as are prescribed by the Credit Agreement. The undersigned hereby notifies you, pursuant to Section 2.03 of the Credit Agreement, of the Borrowing specified below:</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w:t>
      </w:r>
    </w:p>
    <w:p>
      <w:pPr>
        <w:pStyle w:val="TextBody"/>
        <w:bidi w:val="0"/>
        <w:spacing w:before="38" w:after="283"/>
        <w:jc w:val="left"/>
        <w:rPr/>
      </w:pPr>
      <w:r>
        <w:rPr/>
      </w:r>
    </w:p>
    <w:p>
      <w:pPr>
        <w:pStyle w:val="TextBody"/>
        <w:bidi w:val="0"/>
        <w:spacing w:lineRule="auto" w:line="240" w:before="222" w:after="283"/>
        <w:jc w:val="both"/>
        <w:rPr/>
      </w:pPr>
      <w:r>
        <w:rPr>
          <w:rFonts w:ascii="Times New Roman;sans-serif" w:hAnsi="Times New Roman;sans-serif"/>
          <w:b w:val="false"/>
          <w:color w:val="000000"/>
          <w:sz w:val="13"/>
        </w:rPr>
        <w:t>15</w:t>
      </w:r>
      <w:r>
        <w:rPr>
          <w:color w:val="000000"/>
        </w:rPr>
        <w:t xml:space="preserve"> </w:t>
      </w:r>
      <w:r>
        <w:rPr>
          <w:rFonts w:ascii="Times New Roman;sans-serif" w:hAnsi="Times New Roman;sans-serif"/>
          <w:b w:val="false"/>
          <w:color w:val="000000"/>
          <w:sz w:val="20"/>
        </w:rPr>
        <w:t>The Borrower must notify the Administrative Agent (a) in the case of a Term SOFR Borrowing after the Closing Date, not later than 12:00 noon, Local Time, three (3) U.S. Government Securities Business Days before the date of the proposed Borrowing or (b) in the case of an ABR Borrowing, by telephone, not later than 10:00 a.m., Local Time, on the Business Day of the proposed Borrowing (or, in each case, such later time as is acceptable to the Administrative Agent). If the Borrower wishes to request Term SOFR Loans having an Interest Period other than one, three or six months in duration, the Borrower must notify the Administrative Agent not later than 12:00 noon, Local Time four</w:t>
      </w:r>
    </w:p>
    <w:p>
      <w:pPr>
        <w:pStyle w:val="TextBody"/>
        <w:bidi w:val="0"/>
        <w:spacing w:lineRule="auto" w:line="240" w:before="0" w:after="0"/>
        <w:jc w:val="both"/>
        <w:rPr/>
      </w:pPr>
      <w:r>
        <w:rPr>
          <w:rFonts w:ascii="Times New Roman;sans-serif" w:hAnsi="Times New Roman;sans-serif"/>
          <w:b w:val="false"/>
          <w:color w:val="000000"/>
          <w:sz w:val="20"/>
        </w:rPr>
        <w:t xml:space="preserve">(4) U.S. Government Securities Business Days prior to the requested date of the proposed Borrowing. Any notice of an ABR Revolving Facility Borrowing as contemplated by </w:t>
      </w:r>
      <w:r>
        <w:rPr>
          <w:rFonts w:ascii="Times New Roman;sans-serif" w:hAnsi="Times New Roman;sans-serif"/>
          <w:b w:val="false"/>
          <w:color w:val="000000"/>
          <w:sz w:val="20"/>
          <w:u w:val="single"/>
        </w:rPr>
        <w:t>Section 2.04(c)</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2.05(c)</w:t>
      </w:r>
      <w:r>
        <w:rPr>
          <w:color w:val="000000"/>
        </w:rPr>
        <w:t xml:space="preserve"> </w:t>
      </w:r>
      <w:r>
        <w:rPr>
          <w:rFonts w:ascii="Times New Roman;sans-serif" w:hAnsi="Times New Roman;sans-serif"/>
          <w:b w:val="false"/>
          <w:color w:val="000000"/>
          <w:sz w:val="20"/>
        </w:rPr>
        <w:t>of the Credit Agreement may be given no later than 12:00 noon, Local Time, on the date of the proposed Borrowing. Each Borrowing Request will be irrevocable (other than in the case of any notice given in respect of the Closing Date, which may be conditioned upon the occurrence of the Closing Date) and (in the case of telephonic requests) must be confirmed promptly by hand delivery or electronic means of this form, signed by the Borrower, to the Administrative Agent.</w:t>
      </w:r>
    </w:p>
    <w:p>
      <w:pPr>
        <w:pStyle w:val="TextBody"/>
        <w:bidi w:val="0"/>
        <w:spacing w:lineRule="auto" w:line="240" w:before="119" w:after="283"/>
        <w:jc w:val="both"/>
        <w:rPr/>
      </w:pPr>
      <w:r>
        <w:rPr>
          <w:rFonts w:ascii="Times New Roman;sans-serif" w:hAnsi="Times New Roman;sans-serif"/>
          <w:b w:val="false"/>
          <w:color w:val="000000"/>
          <w:sz w:val="13"/>
        </w:rPr>
        <w:t>16</w:t>
      </w:r>
      <w:r>
        <w:rPr>
          <w:color w:val="000000"/>
        </w:rPr>
        <w:t xml:space="preserve"> </w:t>
      </w:r>
      <w:r>
        <w:rPr>
          <w:rFonts w:ascii="Times New Roman;sans-serif" w:hAnsi="Times New Roman;sans-serif"/>
          <w:b w:val="false"/>
          <w:color w:val="000000"/>
          <w:sz w:val="20"/>
        </w:rPr>
        <w:t>If requests is for Initial Term Loans or Other Term Loans.</w:t>
      </w:r>
    </w:p>
    <w:p>
      <w:pPr>
        <w:pStyle w:val="TextBody"/>
        <w:bidi w:val="0"/>
        <w:spacing w:lineRule="auto" w:line="240" w:before="121" w:after="283"/>
        <w:jc w:val="both"/>
        <w:rPr/>
      </w:pPr>
      <w:r>
        <w:rPr>
          <w:rFonts w:ascii="Times New Roman;sans-serif" w:hAnsi="Times New Roman;sans-serif"/>
          <w:b w:val="false"/>
          <w:color w:val="000000"/>
          <w:sz w:val="13"/>
        </w:rPr>
        <w:t>17</w:t>
      </w:r>
      <w:r>
        <w:rPr>
          <w:color w:val="000000"/>
        </w:rPr>
        <w:t xml:space="preserve"> </w:t>
      </w:r>
      <w:r>
        <w:rPr>
          <w:rFonts w:ascii="Times New Roman;sans-serif" w:hAnsi="Times New Roman;sans-serif"/>
          <w:b w:val="false"/>
          <w:color w:val="000000"/>
          <w:sz w:val="20"/>
        </w:rPr>
        <w:t>If request is for Revolving Facility Loans.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6480175" cy="781050"/>
                <wp:effectExtent l="0" t="0" r="0" b="0"/>
                <wp:wrapNone/>
                <wp:docPr id="450" name="Frame449"/>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248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248</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80" w:after="283"/>
        <w:ind w:left="0" w:right="0" w:hanging="720"/>
        <w:jc w:val="left"/>
        <w:rPr/>
      </w:pPr>
      <w:r>
        <w:rPr>
          <w:rFonts w:ascii="Times New Roman;sans-serif" w:hAnsi="Times New Roman;sans-serif"/>
          <w:b w:val="false"/>
          <w:color w:val="000000"/>
          <w:sz w:val="24"/>
        </w:rPr>
        <w:t>1.The Borrowing will be a Borrowing of</w:t>
      </w:r>
      <w:r>
        <w:rPr>
          <w:color w:val="000000"/>
          <w:u w:val="single"/>
        </w:rPr>
        <w:t>    </w:t>
      </w:r>
      <w:r>
        <w:rPr>
          <w:rFonts w:ascii="Times New Roman;sans-serif" w:hAnsi="Times New Roman;sans-serif"/>
          <w:b w:val="false"/>
          <w:color w:val="000000"/>
          <w:sz w:val="24"/>
        </w:rPr>
        <w:t>Loans.</w:t>
      </w:r>
      <w:r>
        <w:rPr>
          <w:rFonts w:ascii="Times New Roman;sans-serif" w:hAnsi="Times New Roman;sans-serif"/>
          <w:b w:val="false"/>
          <w:color w:val="000000"/>
          <w:sz w:val="16"/>
        </w:rPr>
        <w:t>18</w:t>
      </w:r>
    </w:p>
    <w:p>
      <w:pPr>
        <w:pStyle w:val="TextBody"/>
        <w:bidi w:val="0"/>
        <w:spacing w:lineRule="auto" w:line="240" w:before="240" w:after="283"/>
        <w:ind w:left="0" w:right="0" w:hanging="720"/>
        <w:jc w:val="left"/>
        <w:rPr/>
      </w:pPr>
      <w:r>
        <w:rPr>
          <w:rFonts w:ascii="Times New Roman;sans-serif" w:hAnsi="Times New Roman;sans-serif"/>
          <w:b w:val="false"/>
          <w:color w:val="000000"/>
          <w:sz w:val="24"/>
        </w:rPr>
        <w:t>2.The aggregate amount of the proposed Borrowing is: $</w:t>
      </w:r>
      <w:r>
        <w:rPr>
          <w:color w:val="000000"/>
          <w:u w:val="single"/>
        </w:rPr>
        <w:t>    </w:t>
      </w:r>
      <w:r>
        <w:rPr>
          <w:rFonts w:ascii="Times New Roman;sans-serif" w:hAnsi="Times New Roman;sans-serif"/>
          <w:b w:val="false"/>
          <w:color w:val="000000"/>
          <w:sz w:val="24"/>
        </w:rPr>
        <w:t>.</w:t>
      </w:r>
    </w:p>
    <w:p>
      <w:pPr>
        <w:pStyle w:val="TextBody"/>
        <w:bidi w:val="0"/>
        <w:spacing w:lineRule="auto" w:line="240" w:before="240" w:after="283"/>
        <w:ind w:left="0" w:right="0" w:firstLine="720"/>
        <w:jc w:val="left"/>
        <w:rPr/>
      </w:pPr>
      <w:r>
        <w:rPr>
          <w:rFonts w:ascii="Times New Roman;sans-serif" w:hAnsi="Times New Roman;sans-serif"/>
          <w:b w:val="false"/>
          <w:color w:val="000000"/>
          <w:sz w:val="24"/>
        </w:rPr>
        <w:t>3.The Business Day or U.S. Government Securities Business Day, as applicable, of the proposed Borrowing is:</w:t>
      </w:r>
      <w:r>
        <w:rPr>
          <w:color w:val="000000"/>
          <w:u w:val="single"/>
        </w:rPr>
        <w:t>    </w:t>
      </w:r>
      <w:r>
        <w:rPr>
          <w:rFonts w:ascii="Times New Roman;sans-serif" w:hAnsi="Times New Roman;sans-serif"/>
          <w:b w:val="false"/>
          <w:color w:val="000000"/>
          <w:sz w:val="24"/>
        </w:rPr>
        <w:t>.</w:t>
      </w:r>
    </w:p>
    <w:p>
      <w:pPr>
        <w:pStyle w:val="TextBody"/>
        <w:bidi w:val="0"/>
        <w:spacing w:lineRule="auto" w:line="240" w:before="240" w:after="283"/>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4.The Borrowing is an [ABR Borrowing][Term SOFR Borrowing].</w:t>
      </w:r>
    </w:p>
    <w:p>
      <w:pPr>
        <w:pStyle w:val="TextBody"/>
        <w:bidi w:val="0"/>
        <w:spacing w:lineRule="auto" w:line="240" w:before="240" w:after="283"/>
        <w:ind w:left="0" w:right="0" w:firstLine="720"/>
        <w:jc w:val="left"/>
        <w:rPr/>
      </w:pPr>
      <w:r>
        <w:rPr>
          <w:rFonts w:ascii="Times New Roman;sans-serif" w:hAnsi="Times New Roman;sans-serif"/>
          <w:b w:val="false"/>
          <w:color w:val="000000"/>
          <w:sz w:val="24"/>
        </w:rPr>
        <w:t>5.[The duration of the initial Interest Period for the Term SOFR Borrowing included in the Borrowing shall be</w:t>
      </w:r>
      <w:r>
        <w:rPr>
          <w:color w:val="000000"/>
          <w:u w:val="single"/>
        </w:rPr>
        <w:t>    </w:t>
      </w:r>
      <w:r>
        <w:rPr>
          <w:rFonts w:ascii="Times New Roman;sans-serif" w:hAnsi="Times New Roman;sans-serif"/>
          <w:b w:val="false"/>
          <w:color w:val="000000"/>
          <w:sz w:val="24"/>
        </w:rPr>
        <w:t>month(s).]</w:t>
      </w:r>
      <w:r>
        <w:rPr>
          <w:rFonts w:ascii="Times New Roman;sans-serif" w:hAnsi="Times New Roman;sans-serif"/>
          <w:b w:val="false"/>
          <w:color w:val="000000"/>
          <w:sz w:val="16"/>
        </w:rPr>
        <w:t>19</w:t>
      </w:r>
    </w:p>
    <w:p>
      <w:pPr>
        <w:pStyle w:val="TextBody"/>
        <w:bidi w:val="0"/>
        <w:spacing w:lineRule="auto" w:line="240" w:before="240" w:after="283"/>
        <w:ind w:left="0" w:right="0" w:firstLine="720"/>
        <w:jc w:val="left"/>
        <w:rPr/>
      </w:pPr>
      <w:r>
        <w:rPr>
          <w:rFonts w:ascii="Times New Roman;sans-serif" w:hAnsi="Times New Roman;sans-serif"/>
          <w:b w:val="false"/>
          <w:color w:val="000000"/>
          <w:sz w:val="24"/>
        </w:rPr>
        <w:t>6.The location and number of the undersigned Borrower’s account to which the proceeds of such Borrowing are to be disbursed is</w:t>
      </w:r>
      <w:r>
        <w:rPr>
          <w:color w:val="000000"/>
          <w:u w:val="single"/>
        </w:rPr>
        <w:t>    </w:t>
      </w:r>
      <w:r>
        <w:rPr>
          <w:rFonts w:ascii="Times New Roman;sans-serif" w:hAnsi="Times New Roman;sans-serif"/>
          <w:b w:val="false"/>
          <w:color w:val="000000"/>
          <w:sz w:val="24"/>
        </w:rPr>
        <w:t>.</w:t>
      </w:r>
    </w:p>
    <w:p>
      <w:pPr>
        <w:pStyle w:val="TextBody"/>
        <w:bidi w:val="0"/>
        <w:spacing w:lineRule="auto" w:line="240" w:before="240" w:after="283"/>
        <w:jc w:val="both"/>
        <w:rPr/>
      </w:pPr>
      <w:r>
        <w:rPr>
          <w:rFonts w:ascii="Times New Roman;sans-serif" w:hAnsi="Times New Roman;sans-serif"/>
          <w:b w:val="false"/>
          <w:color w:val="000000"/>
          <w:sz w:val="24"/>
        </w:rPr>
        <w:t xml:space="preserve">[The Borrower hereby represents and warrants to the [Term Facility][Revolving Facility] Administrative Agent and the Lenders that, on and as of the date of the Borrowing contemplated by this Borrowing Request, the conditions to lending specified in </w:t>
      </w:r>
      <w:r>
        <w:rPr>
          <w:rFonts w:ascii="Times New Roman;sans-serif" w:hAnsi="Times New Roman;sans-serif"/>
          <w:b w:val="false"/>
          <w:color w:val="000000"/>
          <w:sz w:val="24"/>
          <w:u w:val="single"/>
        </w:rPr>
        <w:t>Sections 4.02(b)</w:t>
      </w:r>
      <w:r>
        <w:rPr>
          <w:color w:val="000000"/>
        </w:rPr>
        <w:t xml:space="preserve"> </w:t>
      </w:r>
      <w:r>
        <w:rPr>
          <w:rFonts w:ascii="Times New Roman;sans-serif" w:hAnsi="Times New Roman;sans-serif"/>
          <w:b w:val="false"/>
          <w:color w:val="000000"/>
          <w:sz w:val="24"/>
        </w:rPr>
        <w:t xml:space="preserve">and, to the extent applicable, </w:t>
      </w:r>
      <w:r>
        <w:rPr>
          <w:rFonts w:ascii="Times New Roman;sans-serif" w:hAnsi="Times New Roman;sans-serif"/>
          <w:b w:val="false"/>
          <w:color w:val="000000"/>
          <w:sz w:val="24"/>
          <w:u w:val="single"/>
        </w:rPr>
        <w:t>4.02(c)</w:t>
      </w:r>
      <w:r>
        <w:rPr>
          <w:color w:val="000000"/>
        </w:rPr>
        <w:t xml:space="preserve"> </w:t>
      </w:r>
      <w:r>
        <w:rPr>
          <w:rFonts w:ascii="Times New Roman;sans-serif" w:hAnsi="Times New Roman;sans-serif"/>
          <w:b w:val="false"/>
          <w:color w:val="000000"/>
          <w:sz w:val="24"/>
        </w:rPr>
        <w:t>of the Credit Agreement shall have been satisfied.]</w:t>
      </w:r>
      <w:r>
        <w:rPr>
          <w:rFonts w:ascii="Times New Roman;sans-serif" w:hAnsi="Times New Roman;sans-serif"/>
          <w:b w:val="false"/>
          <w:color w:val="000000"/>
          <w:sz w:val="16"/>
        </w:rPr>
        <w:t>20</w:t>
      </w:r>
    </w:p>
    <w:p>
      <w:pPr>
        <w:pStyle w:val="TextBody"/>
        <w:bidi w:val="0"/>
        <w:spacing w:lineRule="auto" w:line="240" w:before="240" w:after="283"/>
        <w:jc w:val="center"/>
        <w:rPr>
          <w:rFonts w:ascii="Times New Roman;sans-serif" w:hAnsi="Times New Roman;sans-serif"/>
          <w:b w:val="false"/>
          <w:i/>
          <w:color w:val="000000"/>
          <w:sz w:val="24"/>
        </w:rPr>
      </w:pPr>
      <w:r>
        <w:rPr>
          <w:rFonts w:ascii="Times New Roman;sans-serif" w:hAnsi="Times New Roman;sans-serif"/>
          <w:b w:val="false"/>
          <w:i/>
          <w:color w:val="000000"/>
          <w:sz w:val="24"/>
        </w:rPr>
        <w:t>[Remainder of Page Intentionally Left Blank]</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w:t>
      </w:r>
    </w:p>
    <w:p>
      <w:pPr>
        <w:pStyle w:val="TextBody"/>
        <w:bidi w:val="0"/>
        <w:spacing w:lineRule="auto" w:line="240" w:before="222" w:after="283"/>
        <w:jc w:val="left"/>
        <w:rPr/>
      </w:pPr>
      <w:r>
        <w:rPr>
          <w:rFonts w:ascii="Times New Roman;sans-serif" w:hAnsi="Times New Roman;sans-serif"/>
          <w:b w:val="false"/>
          <w:color w:val="000000"/>
          <w:sz w:val="13"/>
        </w:rPr>
        <w:t>18</w:t>
      </w:r>
      <w:r>
        <w:rPr>
          <w:color w:val="000000"/>
        </w:rPr>
        <w:t xml:space="preserve"> </w:t>
      </w:r>
      <w:r>
        <w:rPr>
          <w:rFonts w:ascii="Times New Roman;sans-serif" w:hAnsi="Times New Roman;sans-serif"/>
          <w:b w:val="false"/>
          <w:color w:val="000000"/>
          <w:sz w:val="20"/>
        </w:rPr>
        <w:t>Specify whether the Borrowing is of Initial Term Loans, Other Term Loans or Revolving Facility Loans of a particular Class.</w:t>
      </w:r>
    </w:p>
    <w:p>
      <w:pPr>
        <w:pStyle w:val="TextBody"/>
        <w:bidi w:val="0"/>
        <w:spacing w:lineRule="auto" w:line="240" w:before="120" w:after="283"/>
        <w:jc w:val="left"/>
        <w:rPr/>
      </w:pPr>
      <w:r>
        <w:rPr>
          <w:rFonts w:ascii="Times New Roman;sans-serif" w:hAnsi="Times New Roman;sans-serif"/>
          <w:b w:val="false"/>
          <w:color w:val="000000"/>
          <w:sz w:val="13"/>
        </w:rPr>
        <w:t>19</w:t>
      </w:r>
      <w:r>
        <w:rPr>
          <w:color w:val="000000"/>
        </w:rPr>
        <w:t xml:space="preserve"> </w:t>
      </w:r>
      <w:r>
        <w:rPr>
          <w:rFonts w:ascii="Times New Roman;sans-serif" w:hAnsi="Times New Roman;sans-serif"/>
          <w:b w:val="false"/>
          <w:color w:val="000000"/>
          <w:sz w:val="20"/>
        </w:rPr>
        <w:t>Insert in the case of a Borrowing of Term SOFR Loans 1, 3 or 6 months (or such other period that is requested by the Borrower, if agreed to by all relevant Lenders).</w:t>
      </w:r>
    </w:p>
    <w:p>
      <w:pPr>
        <w:pStyle w:val="TextBody"/>
        <w:bidi w:val="0"/>
        <w:spacing w:lineRule="auto" w:line="240" w:before="121" w:after="283"/>
        <w:jc w:val="left"/>
        <w:rPr/>
      </w:pPr>
      <w:r>
        <w:rPr>
          <w:rFonts w:ascii="Times New Roman;sans-serif" w:hAnsi="Times New Roman;sans-serif"/>
          <w:b w:val="false"/>
          <w:color w:val="000000"/>
          <w:sz w:val="13"/>
        </w:rPr>
        <w:t>20</w:t>
      </w:r>
      <w:r>
        <w:rPr>
          <w:color w:val="000000"/>
        </w:rPr>
        <w:t xml:space="preserve"> </w:t>
      </w:r>
      <w:r>
        <w:rPr>
          <w:rFonts w:ascii="Times New Roman;sans-serif" w:hAnsi="Times New Roman;sans-serif"/>
          <w:b w:val="false"/>
          <w:color w:val="000000"/>
          <w:sz w:val="20"/>
        </w:rPr>
        <w:t>Include only for borrowing requests made after Closing Date.</w:t>
      </w:r>
    </w:p>
    <w:p>
      <w:pPr>
        <w:pStyle w:val="TextBody"/>
        <w:bidi w:val="0"/>
        <w:spacing w:lineRule="auto" w:line="240" w:before="119"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This Borrowing Request is issued pursuant to and is subject to the Credit Agreement, executed as of the date first written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6480175" cy="781050"/>
                <wp:effectExtent l="0" t="0" r="0" b="0"/>
                <wp:wrapNone/>
                <wp:docPr id="451" name="Frame450"/>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249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249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6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This Borrowing Request is issued pursuant to and is subject to the Credit Agreement, executed as of the date first written above.</w:t>
      </w:r>
    </w:p>
    <w:p>
      <w:pPr>
        <w:pStyle w:val="TextBody"/>
        <w:bidi w:val="0"/>
        <w:spacing w:lineRule="auto" w:line="240" w:before="24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MAGNITE, INC.</w:t>
      </w:r>
    </w:p>
    <w:p>
      <w:pPr>
        <w:pStyle w:val="TextBody"/>
        <w:bidi w:val="0"/>
        <w:spacing w:before="240" w:after="283"/>
        <w:jc w:val="left"/>
        <w:rPr/>
      </w:pPr>
      <w:r>
        <w:rPr/>
      </w:r>
    </w:p>
    <w:p>
      <w:pPr>
        <w:pStyle w:val="TextBody"/>
        <w:bidi w:val="0"/>
        <w:spacing w:lineRule="auto" w:line="285" w:before="0" w:after="0"/>
        <w:ind w:left="0" w:right="0" w:hanging="813"/>
        <w:jc w:val="left"/>
        <w:rPr/>
      </w:pPr>
      <w:r>
        <w:rPr>
          <w:rFonts w:ascii="Times New Roman;sans-serif" w:hAnsi="Times New Roman;sans-serif"/>
          <w:b w:val="false"/>
          <w:color w:val="000000"/>
          <w:sz w:val="24"/>
        </w:rPr>
        <w:t>By:    </w:t>
      </w:r>
      <w:r>
        <w:rPr>
          <w:color w:val="000000"/>
          <w:u w:val="single"/>
        </w:rPr>
        <w:t>        </w:t>
      </w:r>
      <w:r>
        <w:rPr>
          <w:color w:val="000000"/>
        </w:rPr>
        <w:t xml:space="preserve"> </w:t>
      </w:r>
      <w:r>
        <w:rPr>
          <w:rFonts w:ascii="Times New Roman;sans-serif" w:hAnsi="Times New Roman;sans-serif"/>
          <w:b w:val="false"/>
          <w:color w:val="000000"/>
          <w:sz w:val="24"/>
        </w:rPr>
        <w:t>Name:</w:t>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Title: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217" w:after="283"/>
        <w:jc w:val="left"/>
        <w:rPr/>
      </w:pPr>
      <w:r>
        <w:rPr/>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to Borrowing Request]</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6480175" cy="781050"/>
                <wp:effectExtent l="0" t="0" r="0" b="0"/>
                <wp:wrapNone/>
                <wp:docPr id="452" name="Frame451"/>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250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250</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jc w:val="right"/>
        <w:rPr>
          <w:rFonts w:ascii="Times New Roman;sans-serif" w:hAnsi="Times New Roman;sans-serif"/>
          <w:b/>
          <w:color w:val="000000"/>
          <w:sz w:val="24"/>
        </w:rPr>
      </w:pPr>
      <w:r>
        <w:rPr>
          <w:rFonts w:ascii="Times New Roman;sans-serif" w:hAnsi="Times New Roman;sans-serif"/>
          <w:b/>
          <w:color w:val="000000"/>
          <w:sz w:val="24"/>
        </w:rPr>
        <w:t>EXHIBIT D-2</w:t>
      </w:r>
    </w:p>
    <w:p>
      <w:pPr>
        <w:pStyle w:val="TextBody"/>
        <w:bidi w:val="0"/>
        <w:spacing w:lineRule="auto" w:line="240" w:before="0" w:after="240"/>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FORM OF SWINGLINE BORROWING REQUEST</w:t>
      </w:r>
    </w:p>
    <w:p>
      <w:pPr>
        <w:pStyle w:val="TextBody"/>
        <w:bidi w:val="0"/>
        <w:spacing w:lineRule="auto" w:line="240" w:before="0" w:after="240"/>
        <w:jc w:val="left"/>
        <w:rPr/>
      </w:pPr>
      <w:r>
        <w:rPr>
          <w:rFonts w:ascii="Times New Roman;sans-serif" w:hAnsi="Times New Roman;sans-serif"/>
          <w:b w:val="false"/>
          <w:color w:val="000000"/>
          <w:sz w:val="24"/>
        </w:rPr>
        <w:t>Date:</w:t>
      </w:r>
      <w:r>
        <w:rPr>
          <w:rFonts w:ascii="Times New Roman;sans-serif" w:hAnsi="Times New Roman;sans-serif"/>
          <w:b w:val="false"/>
          <w:color w:val="000000"/>
          <w:sz w:val="16"/>
        </w:rPr>
        <w:t>21</w:t>
      </w:r>
      <w:r>
        <w:rPr>
          <w:color w:val="000000"/>
        </w:rPr>
        <w:t xml:space="preserve"> </w:t>
      </w:r>
      <w:r>
        <w:rPr>
          <w:rFonts w:ascii="Times New Roman;sans-serif" w:hAnsi="Times New Roman;sans-serif"/>
          <w:b w:val="false"/>
          <w:color w:val="000000"/>
          <w:sz w:val="24"/>
          <w:u w:val="single"/>
        </w:rPr>
        <w:t>[●]</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To:    Citibank, N.A., as administrative agent under the Revolving Facility (in such capacity, the “</w:t>
      </w:r>
      <w:r>
        <w:rPr>
          <w:rFonts w:ascii="Times New Roman;sans-serif" w:hAnsi="Times New Roman;sans-serif"/>
          <w:b w:val="false"/>
          <w:color w:val="000000"/>
          <w:sz w:val="24"/>
          <w:u w:val="single"/>
        </w:rPr>
        <w:t>Revolving Facility Administrative Agent</w:t>
      </w:r>
      <w:r>
        <w:rPr>
          <w:color w:val="000000"/>
        </w:rPr>
        <w:t>”</w:t>
      </w:r>
      <w:r>
        <w:rPr>
          <w:rFonts w:ascii="Times New Roman;sans-serif" w:hAnsi="Times New Roman;sans-serif"/>
          <w:b w:val="false"/>
          <w:color w:val="000000"/>
          <w:sz w:val="24"/>
        </w:rPr>
        <w:t>) under that certain Credit Agreement dated as of February 6, 2024 (as the same may be amended, supplemented, restated, amended and restated, or otherwise modified from time to time, the “</w:t>
      </w:r>
      <w:r>
        <w:rPr>
          <w:rFonts w:ascii="Times New Roman;sans-serif" w:hAnsi="Times New Roman;sans-serif"/>
          <w:b w:val="false"/>
          <w:color w:val="000000"/>
          <w:sz w:val="24"/>
          <w:u w:val="single"/>
        </w:rPr>
        <w:t>Credit Agreement</w:t>
      </w:r>
      <w:r>
        <w:rPr>
          <w:color w:val="000000"/>
        </w:rPr>
        <w:t>”</w:t>
      </w:r>
      <w:r>
        <w:rPr>
          <w:rFonts w:ascii="Times New Roman;sans-serif" w:hAnsi="Times New Roman;sans-serif"/>
          <w:b w:val="false"/>
          <w:color w:val="000000"/>
          <w:sz w:val="24"/>
        </w:rPr>
        <w:t>), by and among Magnite, Inc., a Delaware corporation (the “</w:t>
      </w:r>
      <w:r>
        <w:rPr>
          <w:rFonts w:ascii="Times New Roman;sans-serif" w:hAnsi="Times New Roman;sans-serif"/>
          <w:b w:val="false"/>
          <w:color w:val="000000"/>
          <w:sz w:val="24"/>
          <w:u w:val="single"/>
        </w:rPr>
        <w:t>Borrower</w:t>
      </w:r>
      <w:r>
        <w:rPr>
          <w:color w:val="000000"/>
        </w:rPr>
        <w:t>”</w:t>
      </w:r>
      <w:r>
        <w:rPr>
          <w:rFonts w:ascii="Times New Roman;sans-serif" w:hAnsi="Times New Roman;sans-serif"/>
          <w:b w:val="false"/>
          <w:color w:val="000000"/>
          <w:sz w:val="24"/>
        </w:rPr>
        <w:t>), Morgan Stanley Senior Funding, Inc., as Term Facility Administrative Agent, Citibank, N.A., as Revolving Facility Administrative Agent, Collateral Agent and Swingline Lender, and each Issuing Bank and Lender party thereto from time to time.</w: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Ladies and Gentlemen:</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Reference is made to the above-described Credit Agreement. Terms defined in the Credit Agreement, wherever used herein, unless otherwise defined herein, shall have the same meanings herein as are prescribed by the Credit Agreement. The undersigned hereby irrevocably notifies you, pursuant to Section 2.04(b) of the Credit Agreement, of the Swingline Borrowing specified below:</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1.    The Business Day of the proposed Swingline Borrowing is: </w:t>
      </w:r>
      <w:r>
        <w:rPr>
          <w:rFonts w:ascii="Times New Roman;sans-serif" w:hAnsi="Times New Roman;sans-serif"/>
          <w:b w:val="false"/>
          <w:color w:val="000000"/>
          <w:sz w:val="24"/>
          <w:u w:val="single"/>
        </w:rPr>
        <w:t>[●]</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2.    The aggregate amount of the proposed Swingline Borrowing is: $</w:t>
      </w:r>
      <w:r>
        <w:rPr>
          <w:rFonts w:ascii="Times New Roman;sans-serif" w:hAnsi="Times New Roman;sans-serif"/>
          <w:b w:val="false"/>
          <w:color w:val="000000"/>
          <w:sz w:val="24"/>
          <w:u w:val="single"/>
        </w:rPr>
        <w:t>[●]</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3.    The location and number of the undersigned Borrower’s account to which the proceeds of such Swingline Borrowing are to be disbursed is </w:t>
      </w:r>
      <w:r>
        <w:rPr>
          <w:rFonts w:ascii="Times New Roman;sans-serif" w:hAnsi="Times New Roman;sans-serif"/>
          <w:b w:val="false"/>
          <w:color w:val="000000"/>
          <w:sz w:val="24"/>
          <w:u w:val="single"/>
        </w:rPr>
        <w:t>[●]</w:t>
      </w:r>
      <w:r>
        <w:rPr>
          <w:rFonts w:ascii="Times New Roman;sans-serif" w:hAnsi="Times New Roman;sans-serif"/>
          <w:b w:val="false"/>
          <w:color w:val="000000"/>
          <w:sz w:val="24"/>
        </w:rPr>
        <w:t>.</w:t>
      </w:r>
    </w:p>
    <w:p>
      <w:pPr>
        <w:pStyle w:val="TextBody"/>
        <w:bidi w:val="0"/>
        <w:spacing w:lineRule="auto" w:line="240" w:before="0" w:after="240"/>
        <w:jc w:val="both"/>
        <w:rPr/>
      </w:pPr>
      <w:r>
        <w:rPr>
          <w:rFonts w:ascii="Times New Roman;sans-serif" w:hAnsi="Times New Roman;sans-serif"/>
          <w:b w:val="false"/>
          <w:color w:val="000000"/>
          <w:sz w:val="24"/>
        </w:rPr>
        <w:t xml:space="preserve">The Borrower hereby represents and warrants to the Revolving Facility Administrative Agent and the Lenders that, on and as of the date of the Borrowing contemplated by this Borrowing Request, the conditions to lending specified in </w:t>
      </w:r>
      <w:r>
        <w:rPr>
          <w:rFonts w:ascii="Times New Roman;sans-serif" w:hAnsi="Times New Roman;sans-serif"/>
          <w:b w:val="false"/>
          <w:color w:val="000000"/>
          <w:sz w:val="24"/>
          <w:u w:val="single"/>
        </w:rPr>
        <w:t>Sections 4.02(b)</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4.02(c)</w:t>
      </w:r>
      <w:r>
        <w:rPr>
          <w:color w:val="000000"/>
        </w:rPr>
        <w:t xml:space="preserve"> </w:t>
      </w:r>
      <w:r>
        <w:rPr>
          <w:rFonts w:ascii="Times New Roman;sans-serif" w:hAnsi="Times New Roman;sans-serif"/>
          <w:b w:val="false"/>
          <w:color w:val="000000"/>
          <w:sz w:val="24"/>
        </w:rPr>
        <w:t>of the Credit Agreement shall have been satisfied.</w:t>
      </w:r>
    </w:p>
    <w:p>
      <w:pPr>
        <w:pStyle w:val="TextBody"/>
        <w:bidi w:val="0"/>
        <w:spacing w:lineRule="auto" w:line="240" w:before="1200" w:after="240"/>
        <w:jc w:val="center"/>
        <w:rPr>
          <w:rFonts w:ascii="Times New Roman;sans-serif" w:hAnsi="Times New Roman;sans-serif"/>
          <w:b w:val="false"/>
          <w:i/>
          <w:color w:val="000000"/>
          <w:sz w:val="24"/>
        </w:rPr>
      </w:pPr>
      <w:r>
        <w:rPr>
          <w:rFonts w:ascii="Times New Roman;sans-serif" w:hAnsi="Times New Roman;sans-serif"/>
          <w:b w:val="false"/>
          <w:i/>
          <w:color w:val="000000"/>
          <w:sz w:val="24"/>
        </w:rPr>
        <w:t>[Remainder of Page Intentionally Left Blank]</w:t>
      </w:r>
    </w:p>
    <w:p>
      <w:pPr>
        <w:pStyle w:val="TextBody"/>
        <w:bidi w:val="0"/>
        <w:spacing w:before="0" w:after="0"/>
        <w:jc w:val="center"/>
        <w:rPr/>
      </w:pPr>
      <w:r>
        <w:rPr/>
      </w:r>
    </w:p>
    <w:p>
      <w:pPr>
        <w:pStyle w:val="TextBody"/>
        <w:bidi w:val="0"/>
        <w:spacing w:before="0" w:after="0"/>
        <w:jc w:val="center"/>
        <w:rPr/>
      </w:pPr>
      <w:r>
        <w:rPr/>
      </w:r>
    </w:p>
    <w:p>
      <w:pPr>
        <w:pStyle w:val="TextBody"/>
        <w:bidi w:val="0"/>
        <w:spacing w:before="95" w:after="283"/>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95" w:after="283"/>
        <w:jc w:val="left"/>
        <w:rPr>
          <w:rFonts w:ascii="Times New Roman;sans-serif" w:hAnsi="Times New Roman;sans-serif"/>
          <w:b w:val="false"/>
          <w:color w:val="000000"/>
          <w:sz w:val="22"/>
        </w:rPr>
      </w:pPr>
      <w:r>
        <w:rPr>
          <w:rFonts w:ascii="Times New Roman;sans-serif" w:hAnsi="Times New Roman;sans-serif"/>
          <w:b w:val="false"/>
          <w:color w:val="000000"/>
          <w:sz w:val="22"/>
        </w:rPr>
        <w:t>___________________________________</w:t>
      </w:r>
    </w:p>
    <w:p>
      <w:pPr>
        <w:pStyle w:val="TextBody"/>
        <w:bidi w:val="0"/>
        <w:spacing w:lineRule="auto" w:line="240" w:before="222" w:after="283"/>
        <w:jc w:val="left"/>
        <w:rPr/>
      </w:pPr>
      <w:r>
        <w:rPr>
          <w:rFonts w:ascii="Times New Roman;sans-serif" w:hAnsi="Times New Roman;sans-serif"/>
          <w:b w:val="false"/>
          <w:color w:val="000000"/>
          <w:sz w:val="13"/>
        </w:rPr>
        <w:t>21</w:t>
      </w:r>
      <w:r>
        <w:rPr>
          <w:color w:val="000000"/>
        </w:rPr>
        <w:t xml:space="preserve"> </w:t>
      </w:r>
      <w:r>
        <w:rPr>
          <w:rFonts w:ascii="Times New Roman;sans-serif" w:hAnsi="Times New Roman;sans-serif"/>
          <w:b w:val="false"/>
          <w:color w:val="000000"/>
          <w:sz w:val="20"/>
        </w:rPr>
        <w:t>The Borrower must notify the Revolving Facility Administrative Agent and the Swingline Lender by telephone not later than 2:00 p.m., Local Time, on the day of the proposed Swingline Borrowing. Each telephonic Swingline Borrowing Request will be irrevocable and must be confirmed by delivery of this form to the Revolving Facility Administrative Agent.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6480175" cy="781050"/>
                <wp:effectExtent l="0" t="0" r="0" b="0"/>
                <wp:wrapNone/>
                <wp:docPr id="453" name="Frame452"/>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251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251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6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This Swingline Borrowing Request is issued pursuant to and is subject to the Credit Agreement, executed as of the date first written above.</w:t>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MAGNITE, INC.</w:t>
      </w:r>
    </w:p>
    <w:p>
      <w:pPr>
        <w:pStyle w:val="TextBody"/>
        <w:bidi w:val="0"/>
        <w:spacing w:before="240" w:after="283"/>
        <w:jc w:val="left"/>
        <w:rPr/>
      </w:pPr>
      <w:r>
        <w:rPr/>
      </w:r>
    </w:p>
    <w:p>
      <w:pPr>
        <w:pStyle w:val="TextBody"/>
        <w:bidi w:val="0"/>
        <w:spacing w:lineRule="auto" w:line="285" w:before="0" w:after="0"/>
        <w:ind w:left="0" w:right="0" w:hanging="813"/>
        <w:jc w:val="left"/>
        <w:rPr/>
      </w:pPr>
      <w:r>
        <w:rPr>
          <w:rFonts w:ascii="Times New Roman;sans-serif" w:hAnsi="Times New Roman;sans-serif"/>
          <w:b w:val="false"/>
          <w:color w:val="000000"/>
          <w:sz w:val="24"/>
        </w:rPr>
        <w:t>By:    </w:t>
      </w:r>
      <w:r>
        <w:rPr>
          <w:color w:val="000000"/>
          <w:u w:val="single"/>
        </w:rPr>
        <w:t>        </w:t>
      </w:r>
      <w:r>
        <w:rPr>
          <w:color w:val="000000"/>
        </w:rPr>
        <w:t xml:space="preserve"> </w:t>
      </w:r>
      <w:r>
        <w:rPr>
          <w:rFonts w:ascii="Times New Roman;sans-serif" w:hAnsi="Times New Roman;sans-serif"/>
          <w:b w:val="false"/>
          <w:color w:val="000000"/>
          <w:sz w:val="24"/>
        </w:rPr>
        <w:t>Name:</w:t>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Title: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217" w:after="283"/>
        <w:jc w:val="left"/>
        <w:rPr/>
      </w:pPr>
      <w:r>
        <w:rPr/>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to Borrowing Request]</w:t>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6480175" cy="781050"/>
                <wp:effectExtent l="0" t="0" r="0" b="0"/>
                <wp:wrapNone/>
                <wp:docPr id="454" name="Frame453"/>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252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252</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ind w:left="0" w:right="0" w:firstLine="720"/>
        <w:jc w:val="left"/>
        <w:rPr>
          <w:rFonts w:ascii="Times New Roman;sans-serif" w:hAnsi="Times New Roman;sans-serif"/>
          <w:b/>
          <w:color w:val="000000"/>
          <w:sz w:val="24"/>
        </w:rPr>
      </w:pPr>
      <w:r>
        <w:rPr>
          <w:rFonts w:ascii="Times New Roman;sans-serif" w:hAnsi="Times New Roman;sans-serif"/>
          <w:b/>
          <w:color w:val="000000"/>
          <w:sz w:val="24"/>
        </w:rPr>
        <w:t>EXHIBIT D-3</w:t>
      </w:r>
    </w:p>
    <w:p>
      <w:pPr>
        <w:pStyle w:val="TextBody"/>
        <w:bidi w:val="0"/>
        <w:spacing w:before="0" w:after="0"/>
        <w:jc w:val="left"/>
        <w:rPr/>
      </w:pPr>
      <w:r>
        <w:rPr/>
      </w:r>
    </w:p>
    <w:p>
      <w:pPr>
        <w:pStyle w:val="TextBody"/>
        <w:bidi w:val="0"/>
        <w:spacing w:lineRule="auto" w:line="240" w:before="0" w:after="0"/>
        <w:jc w:val="center"/>
        <w:rPr/>
      </w:pPr>
      <w:r>
        <w:rPr>
          <w:rFonts w:ascii="Times New Roman;sans-serif" w:hAnsi="Times New Roman;sans-serif"/>
          <w:b w:val="false"/>
          <w:color w:val="000000"/>
          <w:sz w:val="24"/>
        </w:rPr>
        <w:t>FORM OF LETTER OF CREDIT REQUEST</w:t>
      </w:r>
      <w:r>
        <w:rPr>
          <w:rFonts w:ascii="Times New Roman;sans-serif" w:hAnsi="Times New Roman;sans-serif"/>
          <w:b w:val="false"/>
          <w:color w:val="000000"/>
          <w:sz w:val="16"/>
        </w:rPr>
        <w:t>22</w:t>
      </w:r>
    </w:p>
    <w:p>
      <w:pPr>
        <w:pStyle w:val="TextBody"/>
        <w:bidi w:val="0"/>
        <w:spacing w:before="0" w:after="0"/>
        <w:jc w:val="center"/>
        <w:rPr/>
      </w:pPr>
      <w:r>
        <w:rPr/>
      </w:r>
    </w:p>
    <w:p>
      <w:pPr>
        <w:pStyle w:val="TextBody"/>
        <w:bidi w:val="0"/>
        <w:spacing w:lineRule="auto" w:line="240" w:before="0" w:after="0"/>
        <w:jc w:val="left"/>
        <w:rPr/>
      </w:pPr>
      <w:r>
        <w:rPr>
          <w:rFonts w:ascii="Times New Roman;sans-serif" w:hAnsi="Times New Roman;sans-serif"/>
          <w:b w:val="false"/>
          <w:color w:val="000000"/>
          <w:sz w:val="24"/>
        </w:rPr>
        <w:t>Date:</w:t>
      </w:r>
      <w:r>
        <w:rPr>
          <w:rFonts w:ascii="Times New Roman;sans-serif" w:hAnsi="Times New Roman;sans-serif"/>
          <w:b w:val="false"/>
          <w:color w:val="000000"/>
          <w:sz w:val="16"/>
        </w:rPr>
        <w:t>23</w:t>
      </w:r>
      <w:r>
        <w:rPr>
          <w:color w:val="000000"/>
        </w:rPr>
        <w:t xml:space="preserve"> </w:t>
      </w:r>
      <w:r>
        <w:rPr>
          <w:rFonts w:ascii="Times New Roman;sans-serif" w:hAnsi="Times New Roman;sans-serif"/>
          <w:b w:val="false"/>
          <w:color w:val="000000"/>
          <w:sz w:val="24"/>
        </w:rPr>
        <w:t>[●], [●]</w:t>
      </w:r>
    </w:p>
    <w:p>
      <w:pPr>
        <w:pStyle w:val="TextBody"/>
        <w:bidi w:val="0"/>
        <w:spacing w:before="0" w:after="0"/>
        <w:jc w:val="left"/>
        <w:rPr/>
      </w:pPr>
      <w:r>
        <w:rPr/>
      </w:r>
    </w:p>
    <w:p>
      <w:pPr>
        <w:pStyle w:val="TextBody"/>
        <w:bidi w:val="0"/>
        <w:spacing w:lineRule="auto" w:line="240" w:before="240" w:after="283"/>
        <w:ind w:left="0" w:right="0" w:hanging="720"/>
        <w:jc w:val="both"/>
        <w:rPr/>
      </w:pPr>
      <w:r>
        <w:rPr>
          <w:rFonts w:ascii="Times New Roman;sans-serif" w:hAnsi="Times New Roman;sans-serif"/>
          <w:b w:val="false"/>
          <w:color w:val="000000"/>
          <w:sz w:val="24"/>
        </w:rPr>
        <w:t>To: Citibank, N.A., as administrative agent under the Revolving Facility (in such capacity, the “</w:t>
      </w:r>
      <w:r>
        <w:rPr>
          <w:rFonts w:ascii="Times New Roman;sans-serif" w:hAnsi="Times New Roman;sans-serif"/>
          <w:b w:val="false"/>
          <w:color w:val="000000"/>
          <w:sz w:val="24"/>
          <w:u w:val="single"/>
        </w:rPr>
        <w:t>Revolving Facility Administrative Agent</w:t>
      </w:r>
      <w:r>
        <w:rPr>
          <w:color w:val="000000"/>
        </w:rPr>
        <w:t>”</w:t>
      </w:r>
      <w:r>
        <w:rPr>
          <w:rFonts w:ascii="Times New Roman;sans-serif" w:hAnsi="Times New Roman;sans-serif"/>
          <w:b w:val="false"/>
          <w:color w:val="000000"/>
          <w:sz w:val="24"/>
        </w:rPr>
        <w:t>) under that certain Credit Agreement dated as of February 6, 2024 (as the same may be amended, supplemented, restated, amended and restated, or otherwise modified from time to time, the “</w:t>
      </w:r>
      <w:r>
        <w:rPr>
          <w:rFonts w:ascii="Times New Roman;sans-serif" w:hAnsi="Times New Roman;sans-serif"/>
          <w:b w:val="false"/>
          <w:color w:val="000000"/>
          <w:sz w:val="24"/>
          <w:u w:val="single"/>
        </w:rPr>
        <w:t>Credit Agreement</w:t>
      </w:r>
      <w:r>
        <w:rPr>
          <w:color w:val="000000"/>
        </w:rPr>
        <w:t>”</w:t>
      </w:r>
      <w:r>
        <w:rPr>
          <w:rFonts w:ascii="Times New Roman;sans-serif" w:hAnsi="Times New Roman;sans-serif"/>
          <w:b w:val="false"/>
          <w:color w:val="000000"/>
          <w:sz w:val="24"/>
        </w:rPr>
        <w:t>), by and among Magnite, Inc., a Delaware corporation (the “</w:t>
      </w:r>
      <w:r>
        <w:rPr>
          <w:rFonts w:ascii="Times New Roman;sans-serif" w:hAnsi="Times New Roman;sans-serif"/>
          <w:b w:val="false"/>
          <w:color w:val="000000"/>
          <w:sz w:val="24"/>
          <w:u w:val="single"/>
        </w:rPr>
        <w:t>Borrower</w:t>
      </w:r>
      <w:r>
        <w:rPr>
          <w:color w:val="000000"/>
        </w:rPr>
        <w:t>”</w:t>
      </w:r>
      <w:r>
        <w:rPr>
          <w:rFonts w:ascii="Times New Roman;sans-serif" w:hAnsi="Times New Roman;sans-serif"/>
          <w:b w:val="false"/>
          <w:color w:val="000000"/>
          <w:sz w:val="24"/>
        </w:rPr>
        <w:t>), Morgan Stanley Senior Funding, Inc., as Term Facility Administrative Agent, Citibank, N.A., as Revolving Facility Administrative Agent, Collateral Agent and Swingline Lender, and each Issuing Bank and Lender party thereto from time to time.</w:t>
      </w:r>
    </w:p>
    <w:p>
      <w:pPr>
        <w:pStyle w:val="TextBody"/>
        <w:bidi w:val="0"/>
        <w:spacing w:lineRule="auto" w:line="240" w:before="24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Citibank, N.A.</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Attention: SYNDICATIONS DEPT 388 Greenwich Street</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New York, NY 10013 Fax: 866-634-5642</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Email: clo.cbgdlo@citi.com</w:t>
      </w:r>
    </w:p>
    <w:p>
      <w:pPr>
        <w:pStyle w:val="TextBody"/>
        <w:bidi w:val="0"/>
        <w:spacing w:lineRule="auto" w:line="240" w:before="240" w:after="283"/>
        <w:jc w:val="left"/>
        <w:rPr/>
      </w:pPr>
      <w:r>
        <w:rPr>
          <w:rFonts w:ascii="Times New Roman;sans-serif" w:hAnsi="Times New Roman;sans-serif"/>
          <w:b w:val="false"/>
          <w:color w:val="000000"/>
          <w:sz w:val="24"/>
        </w:rPr>
        <w:t>[</w:t>
      </w:r>
      <w:r>
        <w:rPr>
          <w:color w:val="000000"/>
          <w:u w:val="single"/>
        </w:rPr>
        <w:t>    </w:t>
      </w:r>
      <w:r>
        <w:rPr>
          <w:rFonts w:ascii="Times New Roman;sans-serif" w:hAnsi="Times New Roman;sans-serif"/>
          <w:b w:val="false"/>
          <w:color w:val="000000"/>
          <w:sz w:val="24"/>
        </w:rPr>
        <w:t>]</w:t>
      </w:r>
      <w:r>
        <w:rPr>
          <w:rFonts w:ascii="Times New Roman;sans-serif" w:hAnsi="Times New Roman;sans-serif"/>
          <w:b w:val="false"/>
          <w:color w:val="000000"/>
          <w:sz w:val="16"/>
        </w:rPr>
        <w:t>24</w:t>
      </w:r>
      <w:r>
        <w:rPr>
          <w:rFonts w:ascii="Times New Roman;sans-serif" w:hAnsi="Times New Roman;sans-serif"/>
          <w:b w:val="false"/>
          <w:color w:val="000000"/>
          <w:sz w:val="24"/>
        </w:rPr>
        <w:t>, as Issuing Bank under the Credit Agreement</w:t>
      </w:r>
    </w:p>
    <w:p>
      <w:pPr>
        <w:pStyle w:val="TextBody"/>
        <w:bidi w:val="0"/>
        <w:spacing w:before="0" w:after="0"/>
        <w:jc w:val="left"/>
        <w:rPr/>
      </w:pPr>
      <w:r>
        <w:rPr/>
      </w:r>
    </w:p>
    <w:p>
      <w:pPr>
        <w:pStyle w:val="TextBody"/>
        <w:bidi w:val="0"/>
        <w:spacing w:lineRule="auto" w:line="240" w:before="0" w:after="0"/>
        <w:jc w:val="left"/>
        <w:rPr>
          <w:color w:val="000000"/>
          <w:u w:val="single"/>
        </w:rPr>
      </w:pPr>
      <w:r>
        <w:rPr>
          <w:color w:val="000000"/>
          <w:u w:val="single"/>
        </w:rPr>
        <w:t>    </w:t>
      </w:r>
      <w:r>
        <w:rPr>
          <w:rFonts w:ascii="Times New Roman;sans-serif" w:hAnsi="Times New Roman;sans-serif"/>
          <w:b w:val="false"/>
          <w:color w:val="000000"/>
          <w:sz w:val="24"/>
          <w:u w:val="single"/>
        </w:rPr>
        <w:br/>
        <w:t>    </w:t>
        <w:br/>
        <w:t>    </w:t>
      </w:r>
    </w:p>
    <w:p>
      <w:pPr>
        <w:pStyle w:val="TextBody"/>
        <w:bidi w:val="0"/>
        <w:spacing w:before="10" w:after="283"/>
        <w:jc w:val="left"/>
        <w:rPr/>
      </w:pPr>
      <w:r>
        <w:rPr/>
      </w:r>
    </w:p>
    <w:p>
      <w:pPr>
        <w:pStyle w:val="TextBody"/>
        <w:bidi w:val="0"/>
        <w:spacing w:before="10" w:after="283"/>
        <w:jc w:val="left"/>
        <w:rPr/>
      </w:pPr>
      <w:r>
        <w:rPr/>
      </w:r>
    </w:p>
    <w:p>
      <w:pPr>
        <w:pStyle w:val="TextBody"/>
        <w:bidi w:val="0"/>
        <w:spacing w:lineRule="auto" w:line="240" w:before="13" w:after="283"/>
        <w:jc w:val="left"/>
        <w:rPr/>
      </w:pPr>
      <w:r>
        <w:rPr>
          <w:rFonts w:ascii="Times New Roman;sans-serif" w:hAnsi="Times New Roman;sans-serif"/>
          <w:b w:val="false"/>
          <w:color w:val="000000"/>
          <w:sz w:val="24"/>
        </w:rPr>
        <w:t>Attention: [</w:t>
      </w:r>
      <w:r>
        <w:rPr>
          <w:color w:val="000000"/>
          <w:u w:val="single"/>
        </w:rPr>
        <w:t>    </w:t>
      </w:r>
      <w:r>
        <w:rPr>
          <w:rFonts w:ascii="Times New Roman;sans-serif" w:hAnsi="Times New Roman;sans-serif"/>
          <w:b w:val="false"/>
          <w:color w:val="000000"/>
          <w:sz w:val="24"/>
        </w:rPr>
        <w:t>]</w:t>
      </w:r>
    </w:p>
    <w:p>
      <w:pPr>
        <w:pStyle w:val="TextBody"/>
        <w:bidi w:val="0"/>
        <w:spacing w:before="204" w:after="283"/>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Ladies and Gentlemen: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___________________________________</w:t>
      </w:r>
    </w:p>
    <w:p>
      <w:pPr>
        <w:pStyle w:val="TextBody"/>
        <w:bidi w:val="0"/>
        <w:spacing w:before="18" w:after="283"/>
        <w:jc w:val="left"/>
        <w:rPr/>
      </w:pPr>
      <w:r>
        <w:rPr/>
      </w:r>
    </w:p>
    <w:p>
      <w:pPr>
        <w:pStyle w:val="TextBody"/>
        <w:bidi w:val="0"/>
        <w:spacing w:lineRule="auto" w:line="240" w:before="222" w:after="283"/>
        <w:jc w:val="both"/>
        <w:rPr/>
      </w:pPr>
      <w:r>
        <w:rPr>
          <w:rFonts w:ascii="Times New Roman;sans-serif" w:hAnsi="Times New Roman;sans-serif"/>
          <w:b w:val="false"/>
          <w:color w:val="000000"/>
          <w:sz w:val="13"/>
        </w:rPr>
        <w:t>22</w:t>
      </w:r>
      <w:r>
        <w:rPr>
          <w:color w:val="000000"/>
        </w:rPr>
        <w:t xml:space="preserve"> </w:t>
      </w:r>
      <w:r>
        <w:rPr>
          <w:rFonts w:ascii="Times New Roman;sans-serif" w:hAnsi="Times New Roman;sans-serif"/>
          <w:b w:val="false"/>
          <w:color w:val="000000"/>
          <w:sz w:val="20"/>
        </w:rPr>
        <w:t>To be included in the case of any original issuance of a Letter of Credit.</w:t>
      </w:r>
    </w:p>
    <w:p>
      <w:pPr>
        <w:pStyle w:val="TextBody"/>
        <w:bidi w:val="0"/>
        <w:spacing w:lineRule="auto" w:line="240" w:before="121" w:after="283"/>
        <w:jc w:val="both"/>
        <w:rPr/>
      </w:pPr>
      <w:r>
        <w:rPr>
          <w:rFonts w:ascii="Times New Roman;sans-serif" w:hAnsi="Times New Roman;sans-serif"/>
          <w:b w:val="false"/>
          <w:color w:val="000000"/>
          <w:sz w:val="13"/>
        </w:rPr>
        <w:t>23</w:t>
      </w:r>
      <w:r>
        <w:rPr>
          <w:color w:val="000000"/>
        </w:rPr>
        <w:t xml:space="preserve"> </w:t>
      </w:r>
      <w:r>
        <w:rPr>
          <w:rFonts w:ascii="Times New Roman;sans-serif" w:hAnsi="Times New Roman;sans-serif"/>
          <w:b w:val="false"/>
          <w:color w:val="000000"/>
          <w:sz w:val="20"/>
        </w:rPr>
        <w:t>The Borrower must deliver, by facsimile, by United States mail, by overnight courier, by electronic transmission using the system provided by the applicable Issuing Bank (with a copy to the Revolving Facility Administrative Agent), by personal delivery or by any other means acceptable to such Issuing Bank not later than 12:00 noon at least 2 Business Days in advance of the requested date of issuance, amendment or extension (or such later date and time as the Revolving Facility Administrative Agent and such Issuing Bank in their sole discretion may agree).</w:t>
      </w:r>
    </w:p>
    <w:p>
      <w:pPr>
        <w:pStyle w:val="TextBody"/>
        <w:bidi w:val="0"/>
        <w:spacing w:lineRule="auto" w:line="240" w:before="119" w:after="283"/>
        <w:jc w:val="both"/>
        <w:rPr/>
      </w:pPr>
      <w:r>
        <w:rPr>
          <w:rFonts w:ascii="Times New Roman;sans-serif" w:hAnsi="Times New Roman;sans-serif"/>
          <w:b w:val="false"/>
          <w:color w:val="000000"/>
          <w:sz w:val="13"/>
        </w:rPr>
        <w:t>24</w:t>
      </w:r>
      <w:r>
        <w:rPr>
          <w:color w:val="000000"/>
        </w:rPr>
        <w:t xml:space="preserve"> </w:t>
      </w:r>
      <w:r>
        <w:rPr>
          <w:rFonts w:ascii="Times New Roman;sans-serif" w:hAnsi="Times New Roman;sans-serif"/>
          <w:b w:val="false"/>
          <w:color w:val="000000"/>
          <w:sz w:val="20"/>
        </w:rPr>
        <w:t>Insert name and address of Issuing Bank.</w:t>
      </w:r>
    </w:p>
    <w:p>
      <w:pPr>
        <w:pStyle w:val="TextBody"/>
        <w:bidi w:val="0"/>
        <w:spacing w:before="0" w:after="0"/>
        <w:jc w:val="left"/>
        <w:rPr/>
      </w:pPr>
      <w:r>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6480175" cy="781050"/>
                <wp:effectExtent l="0" t="0" r="0" b="0"/>
                <wp:wrapNone/>
                <wp:docPr id="455" name="Frame454"/>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253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253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60" w:after="283"/>
        <w:ind w:left="0" w:right="0" w:firstLine="720"/>
        <w:jc w:val="both"/>
        <w:rPr/>
      </w:pPr>
      <w:r>
        <w:rPr>
          <w:rFonts w:ascii="Times New Roman;sans-serif" w:hAnsi="Times New Roman;sans-serif"/>
          <w:b w:val="false"/>
          <w:color w:val="000000"/>
          <w:sz w:val="24"/>
        </w:rPr>
        <w:t xml:space="preserve">Pursuant to </w:t>
      </w:r>
      <w:r>
        <w:rPr>
          <w:rFonts w:ascii="Times New Roman;sans-serif" w:hAnsi="Times New Roman;sans-serif"/>
          <w:b w:val="false"/>
          <w:color w:val="000000"/>
          <w:sz w:val="24"/>
          <w:u w:val="single"/>
        </w:rPr>
        <w:t>Section 2.05(b)</w:t>
      </w:r>
      <w:r>
        <w:rPr>
          <w:color w:val="000000"/>
        </w:rPr>
        <w:t xml:space="preserve"> </w:t>
      </w:r>
      <w:r>
        <w:rPr>
          <w:rFonts w:ascii="Times New Roman;sans-serif" w:hAnsi="Times New Roman;sans-serif"/>
          <w:b w:val="false"/>
          <w:color w:val="000000"/>
          <w:sz w:val="24"/>
        </w:rPr>
        <w:t>of the Credit Agreement, we hereby request that the Issuing Bank referred to above issue a standby Letter of Credit for the account of the undersigned on [</w:t>
      </w:r>
    </w:p>
    <w:p>
      <w:pPr>
        <w:pStyle w:val="TextBody"/>
        <w:bidi w:val="0"/>
        <w:spacing w:lineRule="auto" w:line="415" w:before="0" w:after="0"/>
        <w:jc w:val="left"/>
        <w:rPr/>
      </w:pPr>
      <w:r>
        <w:rPr>
          <w:color w:val="000000"/>
          <w:u w:val="single"/>
        </w:rPr>
        <w:t>    </w:t>
      </w:r>
      <w:r>
        <w:rPr>
          <w:rFonts w:ascii="Times New Roman;sans-serif" w:hAnsi="Times New Roman;sans-serif"/>
          <w:b w:val="false"/>
          <w:color w:val="000000"/>
          <w:sz w:val="24"/>
        </w:rPr>
        <w:t>]</w:t>
      </w:r>
      <w:r>
        <w:rPr>
          <w:rFonts w:ascii="Times New Roman;sans-serif" w:hAnsi="Times New Roman;sans-serif"/>
          <w:b w:val="false"/>
          <w:color w:val="000000"/>
          <w:sz w:val="16"/>
        </w:rPr>
        <w:t xml:space="preserve">25 </w:t>
      </w:r>
      <w:r>
        <w:rPr>
          <w:rFonts w:ascii="Times New Roman;sans-serif" w:hAnsi="Times New Roman;sans-serif"/>
          <w:b w:val="false"/>
          <w:color w:val="000000"/>
          <w:sz w:val="24"/>
        </w:rPr>
        <w:t>(the “</w:t>
      </w:r>
      <w:r>
        <w:rPr>
          <w:rFonts w:ascii="Times New Roman;sans-serif" w:hAnsi="Times New Roman;sans-serif"/>
          <w:b w:val="false"/>
          <w:color w:val="000000"/>
          <w:sz w:val="24"/>
          <w:u w:val="single"/>
        </w:rPr>
        <w:t>Date of Issuance</w:t>
      </w:r>
      <w:r>
        <w:rPr>
          <w:color w:val="000000"/>
        </w:rPr>
        <w:t>”</w:t>
      </w:r>
      <w:r>
        <w:rPr>
          <w:rFonts w:ascii="Times New Roman;sans-serif" w:hAnsi="Times New Roman;sans-serif"/>
          <w:b w:val="false"/>
          <w:color w:val="000000"/>
          <w:sz w:val="24"/>
        </w:rPr>
        <w:t>) in the aggregate amount of [</w:t>
      </w:r>
      <w:r>
        <w:rPr>
          <w:color w:val="000000"/>
          <w:u w:val="single"/>
        </w:rPr>
        <w:t>    </w:t>
      </w:r>
      <w:r>
        <w:rPr>
          <w:rFonts w:ascii="Times New Roman;sans-serif" w:hAnsi="Times New Roman;sans-serif"/>
          <w:b w:val="false"/>
          <w:color w:val="000000"/>
          <w:sz w:val="24"/>
        </w:rPr>
        <w:t xml:space="preserve">] </w:t>
      </w:r>
      <w:r>
        <w:rPr>
          <w:rFonts w:ascii="Times New Roman;sans-serif" w:hAnsi="Times New Roman;sans-serif"/>
          <w:b w:val="false"/>
          <w:color w:val="000000"/>
          <w:sz w:val="16"/>
        </w:rPr>
        <w:t>26</w:t>
      </w:r>
      <w:r>
        <w:rPr>
          <w:rFonts w:ascii="Times New Roman;sans-serif" w:hAnsi="Times New Roman;sans-serif"/>
          <w:b w:val="false"/>
          <w:color w:val="000000"/>
          <w:sz w:val="24"/>
        </w:rPr>
        <w:t>.</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For purposes of this Letter of Credit Request, unless otherwise defined herein, each capitalized term used herein which is defined in the Credit Agreement shall have the respective meaning provided therein.</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The beneficiary of the requested Letter of Credit will be [ ]</w:t>
      </w:r>
      <w:r>
        <w:rPr>
          <w:rFonts w:ascii="Times New Roman;sans-serif" w:hAnsi="Times New Roman;sans-serif"/>
          <w:b w:val="false"/>
          <w:color w:val="000000"/>
          <w:sz w:val="16"/>
        </w:rPr>
        <w:t>27</w:t>
      </w:r>
      <w:r>
        <w:rPr>
          <w:rFonts w:ascii="Times New Roman;sans-serif" w:hAnsi="Times New Roman;sans-serif"/>
          <w:b w:val="false"/>
          <w:color w:val="000000"/>
          <w:sz w:val="24"/>
        </w:rPr>
        <w:t xml:space="preserve">, the documents to be presented by such beneficiary in the case of any drawing under the requested Letter of Credit shall be [ ] and </w:t>
      </w:r>
      <w:r>
        <w:rPr>
          <w:rFonts w:ascii="Times New Roman;sans-serif" w:hAnsi="Times New Roman;sans-serif"/>
          <w:b w:val="false"/>
          <w:color w:val="000000"/>
          <w:sz w:val="16"/>
        </w:rPr>
        <w:t>28</w:t>
      </w:r>
      <w:r>
        <w:rPr>
          <w:rFonts w:ascii="Times New Roman;sans-serif" w:hAnsi="Times New Roman;sans-serif"/>
          <w:b w:val="false"/>
          <w:color w:val="000000"/>
          <w:sz w:val="24"/>
        </w:rPr>
        <w:t>such Letter of Credit will have a stated expiration date of [ ]</w:t>
      </w:r>
      <w:r>
        <w:rPr>
          <w:rFonts w:ascii="Times New Roman;sans-serif" w:hAnsi="Times New Roman;sans-serif"/>
          <w:b w:val="false"/>
          <w:color w:val="000000"/>
          <w:sz w:val="16"/>
        </w:rPr>
        <w:t>29</w:t>
      </w:r>
      <w:r>
        <w:rPr>
          <w:rFonts w:ascii="Times New Roman;sans-serif" w:hAnsi="Times New Roman;sans-serif"/>
          <w:b w:val="false"/>
          <w:color w:val="000000"/>
          <w:sz w:val="24"/>
        </w:rPr>
        <w:t>.</w:t>
      </w:r>
    </w:p>
    <w:p>
      <w:pPr>
        <w:pStyle w:val="TextBody"/>
        <w:bidi w:val="0"/>
        <w:spacing w:lineRule="auto" w:line="240" w:before="240" w:after="283"/>
        <w:jc w:val="left"/>
        <w:rPr/>
      </w:pPr>
      <w:r>
        <w:rPr>
          <w:rFonts w:ascii="Times New Roman;sans-serif" w:hAnsi="Times New Roman;sans-serif"/>
          <w:b w:val="false"/>
          <w:color w:val="000000"/>
          <w:sz w:val="24"/>
        </w:rPr>
        <w:t>[</w:t>
      </w:r>
      <w:r>
        <w:rPr>
          <w:color w:val="000000"/>
          <w:u w:val="single"/>
        </w:rPr>
        <w:t>    </w:t>
      </w:r>
      <w:r>
        <w:rPr>
          <w:rFonts w:ascii="Times New Roman;sans-serif" w:hAnsi="Times New Roman;sans-serif"/>
          <w:b w:val="false"/>
          <w:color w:val="000000"/>
          <w:sz w:val="24"/>
        </w:rPr>
        <w:t>].</w:t>
      </w:r>
      <w:r>
        <w:rPr>
          <w:rFonts w:ascii="Times New Roman;sans-serif" w:hAnsi="Times New Roman;sans-serif"/>
          <w:b w:val="false"/>
          <w:color w:val="000000"/>
          <w:sz w:val="16"/>
        </w:rPr>
        <w:t>30</w:t>
      </w:r>
    </w:p>
    <w:p>
      <w:pPr>
        <w:pStyle w:val="TextBody"/>
        <w:bidi w:val="0"/>
        <w:spacing w:lineRule="auto" w:line="240" w:before="240" w:after="283"/>
        <w:jc w:val="left"/>
        <w:rPr/>
      </w:pPr>
      <w:r>
        <w:rPr>
          <w:rFonts w:ascii="Times New Roman;sans-serif" w:hAnsi="Times New Roman;sans-serif"/>
          <w:b w:val="false"/>
          <w:color w:val="000000"/>
          <w:sz w:val="24"/>
        </w:rPr>
        <w:t>[</w:t>
      </w:r>
      <w:r>
        <w:rPr>
          <w:color w:val="000000"/>
          <w:u w:val="single"/>
        </w:rPr>
        <w:t>    </w:t>
      </w:r>
      <w:r>
        <w:rPr>
          <w:rFonts w:ascii="Times New Roman;sans-serif" w:hAnsi="Times New Roman;sans-serif"/>
          <w:b w:val="false"/>
          <w:color w:val="000000"/>
          <w:sz w:val="24"/>
        </w:rPr>
        <w:t>].</w:t>
      </w:r>
      <w:r>
        <w:rPr>
          <w:rFonts w:ascii="Times New Roman;sans-serif" w:hAnsi="Times New Roman;sans-serif"/>
          <w:b w:val="false"/>
          <w:color w:val="000000"/>
          <w:sz w:val="16"/>
        </w:rPr>
        <w:t>31</w:t>
      </w:r>
    </w:p>
    <w:p>
      <w:pPr>
        <w:pStyle w:val="TextBody"/>
        <w:bidi w:val="0"/>
        <w:spacing w:lineRule="auto" w:line="240" w:before="240" w:after="283"/>
        <w:jc w:val="left"/>
        <w:rPr/>
      </w:pPr>
      <w:r>
        <w:rPr>
          <w:rFonts w:ascii="Times New Roman;sans-serif" w:hAnsi="Times New Roman;sans-serif"/>
          <w:b w:val="false"/>
          <w:color w:val="000000"/>
          <w:sz w:val="24"/>
        </w:rPr>
        <w:t>[</w:t>
      </w:r>
      <w:r>
        <w:rPr>
          <w:color w:val="000000"/>
          <w:u w:val="single"/>
        </w:rPr>
        <w:t>    </w:t>
      </w:r>
      <w:r>
        <w:rPr>
          <w:rFonts w:ascii="Times New Roman;sans-serif" w:hAnsi="Times New Roman;sans-serif"/>
          <w:b w:val="false"/>
          <w:color w:val="000000"/>
          <w:sz w:val="24"/>
        </w:rPr>
        <w:t>].</w:t>
      </w:r>
      <w:r>
        <w:rPr>
          <w:rFonts w:ascii="Times New Roman;sans-serif" w:hAnsi="Times New Roman;sans-serif"/>
          <w:b w:val="false"/>
          <w:color w:val="000000"/>
          <w:sz w:val="16"/>
        </w:rPr>
        <w:t>32</w:t>
      </w:r>
    </w:p>
    <w:p>
      <w:pPr>
        <w:pStyle w:val="TextBody"/>
        <w:bidi w:val="0"/>
        <w:spacing w:lineRule="auto" w:line="240" w:before="240" w:after="283"/>
        <w:jc w:val="both"/>
        <w:rPr/>
      </w:pPr>
      <w:r>
        <w:rPr>
          <w:rFonts w:ascii="Times New Roman;sans-serif" w:hAnsi="Times New Roman;sans-serif"/>
          <w:b w:val="false"/>
          <w:color w:val="000000"/>
          <w:sz w:val="24"/>
        </w:rPr>
        <w:t xml:space="preserve">The Borrower hereby represents and warrants to the Revolving Facility Administrative Agent and the Lenders that, on and as of the date of the Credit Event contemplated by this Letter of Credit Request, the conditions to lending specified in </w:t>
      </w:r>
      <w:r>
        <w:rPr>
          <w:rFonts w:ascii="Times New Roman;sans-serif" w:hAnsi="Times New Roman;sans-serif"/>
          <w:b w:val="false"/>
          <w:color w:val="000000"/>
          <w:sz w:val="24"/>
          <w:u w:val="single"/>
        </w:rPr>
        <w:t>Sections 4.02(b)</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4.02(c)</w:t>
      </w:r>
      <w:r>
        <w:rPr>
          <w:color w:val="000000"/>
        </w:rPr>
        <w:t xml:space="preserve"> </w:t>
      </w:r>
      <w:r>
        <w:rPr>
          <w:rFonts w:ascii="Times New Roman;sans-serif" w:hAnsi="Times New Roman;sans-serif"/>
          <w:b w:val="false"/>
          <w:color w:val="000000"/>
          <w:sz w:val="24"/>
        </w:rPr>
        <w:t>of the Credit Agreement shall have been satisfied.</w:t>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[Remainder of Page Intentionally Left Blank]</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95" w:after="283"/>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w:t>
      </w:r>
    </w:p>
    <w:p>
      <w:pPr>
        <w:pStyle w:val="TextBody"/>
        <w:bidi w:val="0"/>
        <w:spacing w:lineRule="auto" w:line="240" w:before="221" w:after="283"/>
        <w:jc w:val="both"/>
        <w:rPr/>
      </w:pPr>
      <w:r>
        <w:rPr>
          <w:rFonts w:ascii="Times New Roman;sans-serif" w:hAnsi="Times New Roman;sans-serif"/>
          <w:b w:val="false"/>
          <w:color w:val="000000"/>
          <w:sz w:val="13"/>
        </w:rPr>
        <w:t>25</w:t>
      </w:r>
      <w:r>
        <w:rPr>
          <w:color w:val="000000"/>
        </w:rPr>
        <w:t xml:space="preserve"> </w:t>
      </w:r>
      <w:r>
        <w:rPr>
          <w:rFonts w:ascii="Times New Roman;sans-serif" w:hAnsi="Times New Roman;sans-serif"/>
          <w:b w:val="false"/>
          <w:color w:val="000000"/>
          <w:sz w:val="20"/>
        </w:rPr>
        <w:t>Insert date of requested issuance/amendment/extensions which shall be (x) a Business Day and (y) at least 2 Business Days after the date hereof (or such earlier date as the Revolving Facility Administrative Agent and the Issuing Bank in their sole discretion may agree).</w:t>
      </w:r>
    </w:p>
    <w:p>
      <w:pPr>
        <w:pStyle w:val="TextBody"/>
        <w:bidi w:val="0"/>
        <w:spacing w:lineRule="auto" w:line="240" w:before="120" w:after="283"/>
        <w:jc w:val="both"/>
        <w:rPr/>
      </w:pPr>
      <w:r>
        <w:rPr>
          <w:rFonts w:ascii="Times New Roman;sans-serif" w:hAnsi="Times New Roman;sans-serif"/>
          <w:b w:val="false"/>
          <w:color w:val="000000"/>
          <w:sz w:val="13"/>
        </w:rPr>
        <w:t>26</w:t>
      </w:r>
      <w:r>
        <w:rPr>
          <w:color w:val="000000"/>
        </w:rPr>
        <w:t xml:space="preserve"> </w:t>
      </w:r>
      <w:r>
        <w:rPr>
          <w:rFonts w:ascii="Times New Roman;sans-serif" w:hAnsi="Times New Roman;sans-serif"/>
          <w:b w:val="false"/>
          <w:color w:val="000000"/>
          <w:sz w:val="20"/>
        </w:rPr>
        <w:t>Insert aggregate initial amount of the Letter of Credit.</w:t>
      </w:r>
    </w:p>
    <w:p>
      <w:pPr>
        <w:pStyle w:val="TextBody"/>
        <w:bidi w:val="0"/>
        <w:spacing w:lineRule="auto" w:line="240" w:before="120" w:after="283"/>
        <w:jc w:val="both"/>
        <w:rPr/>
      </w:pPr>
      <w:r>
        <w:rPr>
          <w:rFonts w:ascii="Times New Roman;sans-serif" w:hAnsi="Times New Roman;sans-serif"/>
          <w:b w:val="false"/>
          <w:color w:val="000000"/>
          <w:sz w:val="13"/>
        </w:rPr>
        <w:t>27</w:t>
      </w:r>
      <w:r>
        <w:rPr>
          <w:color w:val="000000"/>
        </w:rPr>
        <w:t xml:space="preserve"> </w:t>
      </w:r>
      <w:r>
        <w:rPr>
          <w:rFonts w:ascii="Times New Roman;sans-serif" w:hAnsi="Times New Roman;sans-serif"/>
          <w:b w:val="false"/>
          <w:color w:val="000000"/>
          <w:sz w:val="20"/>
        </w:rPr>
        <w:t>Insert name and address of beneficiary.</w:t>
      </w:r>
    </w:p>
    <w:p>
      <w:pPr>
        <w:pStyle w:val="TextBody"/>
        <w:bidi w:val="0"/>
        <w:spacing w:lineRule="auto" w:line="240" w:before="120" w:after="283"/>
        <w:jc w:val="both"/>
        <w:rPr/>
      </w:pPr>
      <w:r>
        <w:rPr>
          <w:rFonts w:ascii="Times New Roman;sans-serif" w:hAnsi="Times New Roman;sans-serif"/>
          <w:b w:val="false"/>
          <w:color w:val="000000"/>
          <w:sz w:val="13"/>
        </w:rPr>
        <w:t>28</w:t>
      </w:r>
      <w:r>
        <w:rPr>
          <w:color w:val="000000"/>
        </w:rPr>
        <w:t xml:space="preserve"> </w:t>
      </w:r>
      <w:r>
        <w:rPr>
          <w:rFonts w:ascii="Times New Roman;sans-serif" w:hAnsi="Times New Roman;sans-serif"/>
          <w:b w:val="false"/>
          <w:color w:val="000000"/>
          <w:sz w:val="20"/>
        </w:rPr>
        <w:t>Insert documents to be presented by beneficiary in the case of any drawing under the requested Letter of Credit.</w:t>
      </w:r>
    </w:p>
    <w:p>
      <w:pPr>
        <w:pStyle w:val="TextBody"/>
        <w:bidi w:val="0"/>
        <w:spacing w:lineRule="auto" w:line="240" w:before="120" w:after="283"/>
        <w:jc w:val="both"/>
        <w:rPr/>
      </w:pPr>
      <w:r>
        <w:rPr>
          <w:rFonts w:ascii="Times New Roman;sans-serif" w:hAnsi="Times New Roman;sans-serif"/>
          <w:b w:val="false"/>
          <w:color w:val="000000"/>
          <w:sz w:val="13"/>
        </w:rPr>
        <w:t>29</w:t>
      </w:r>
      <w:r>
        <w:rPr>
          <w:color w:val="000000"/>
        </w:rPr>
        <w:t xml:space="preserve"> </w:t>
      </w:r>
      <w:r>
        <w:rPr>
          <w:rFonts w:ascii="Times New Roman;sans-serif" w:hAnsi="Times New Roman;sans-serif"/>
          <w:b w:val="false"/>
          <w:color w:val="000000"/>
          <w:sz w:val="20"/>
        </w:rPr>
        <w:t>Insert the last date upon which drafts may be presented which may not be later than the earlier of (x) one year after the date of issuance/extension/renewal and (y) the Letter of Credit Facility Expiration Date of the applicable Revolving Facility unless all the Revolving Facility Lenders under that Revolving Facility and the Issuing Bank have approved such expiry date or such Letter of Credit is Cash Collateralized on terms and pursuant to arrangements satisfactory to the Issuing Bank.</w:t>
      </w:r>
    </w:p>
    <w:p>
      <w:pPr>
        <w:pStyle w:val="TextBody"/>
        <w:bidi w:val="0"/>
        <w:spacing w:lineRule="auto" w:line="240" w:before="120" w:after="283"/>
        <w:jc w:val="both"/>
        <w:rPr/>
      </w:pPr>
      <w:r>
        <w:rPr>
          <w:rFonts w:ascii="Times New Roman;sans-serif" w:hAnsi="Times New Roman;sans-serif"/>
          <w:b w:val="false"/>
          <w:color w:val="000000"/>
          <w:sz w:val="13"/>
        </w:rPr>
        <w:t>30</w:t>
      </w:r>
      <w:r>
        <w:rPr>
          <w:color w:val="000000"/>
        </w:rPr>
        <w:t xml:space="preserve"> </w:t>
      </w:r>
      <w:r>
        <w:rPr>
          <w:rFonts w:ascii="Times New Roman;sans-serif" w:hAnsi="Times New Roman;sans-serif"/>
          <w:b w:val="false"/>
          <w:color w:val="000000"/>
          <w:sz w:val="20"/>
        </w:rPr>
        <w:t>Insert the full text of any certificate to be presented by the beneficiary in case of any drawing under the requested Letter of Credit.</w:t>
      </w:r>
    </w:p>
    <w:p>
      <w:pPr>
        <w:pStyle w:val="TextBody"/>
        <w:bidi w:val="0"/>
        <w:spacing w:lineRule="auto" w:line="240" w:before="121" w:after="283"/>
        <w:jc w:val="both"/>
        <w:rPr/>
      </w:pPr>
      <w:r>
        <w:rPr>
          <w:rFonts w:ascii="Times New Roman;sans-serif" w:hAnsi="Times New Roman;sans-serif"/>
          <w:b w:val="false"/>
          <w:color w:val="000000"/>
          <w:sz w:val="13"/>
        </w:rPr>
        <w:t>31</w:t>
      </w:r>
      <w:r>
        <w:rPr>
          <w:color w:val="000000"/>
        </w:rPr>
        <w:t xml:space="preserve"> </w:t>
      </w:r>
      <w:r>
        <w:rPr>
          <w:rFonts w:ascii="Times New Roman;sans-serif" w:hAnsi="Times New Roman;sans-serif"/>
          <w:b w:val="false"/>
          <w:color w:val="000000"/>
          <w:sz w:val="20"/>
        </w:rPr>
        <w:t>Insert the purpose and nature of the requested Letter of Credit.</w:t>
      </w:r>
    </w:p>
    <w:p>
      <w:pPr>
        <w:pStyle w:val="TextBody"/>
        <w:bidi w:val="0"/>
        <w:spacing w:lineRule="auto" w:line="240" w:before="119" w:after="283"/>
        <w:jc w:val="both"/>
        <w:rPr/>
      </w:pPr>
      <w:r>
        <w:rPr>
          <w:rFonts w:ascii="Times New Roman;sans-serif" w:hAnsi="Times New Roman;sans-serif"/>
          <w:b w:val="false"/>
          <w:color w:val="000000"/>
          <w:sz w:val="13"/>
        </w:rPr>
        <w:t>32</w:t>
      </w:r>
      <w:r>
        <w:rPr>
          <w:color w:val="000000"/>
        </w:rPr>
        <w:t xml:space="preserve"> </w:t>
      </w:r>
      <w:r>
        <w:rPr>
          <w:rFonts w:ascii="Times New Roman;sans-serif" w:hAnsi="Times New Roman;sans-serif"/>
          <w:b w:val="false"/>
          <w:color w:val="000000"/>
          <w:sz w:val="20"/>
        </w:rPr>
        <w:t>If more than one Revolving Facility is then in effect, insert the Revolving Facility under which such Letter of Credit is to be issued.</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6480175" cy="781050"/>
                <wp:effectExtent l="0" t="0" r="0" b="0"/>
                <wp:wrapNone/>
                <wp:docPr id="456" name="Frame455"/>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254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254</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This Letter of Credit Request is issued pursuant to and is subject to the Credit Agreement, executed as of the date first written above.</w:t>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MAGNITE, INC.</w:t>
      </w:r>
    </w:p>
    <w:p>
      <w:pPr>
        <w:pStyle w:val="TextBody"/>
        <w:bidi w:val="0"/>
        <w:spacing w:before="204" w:after="283"/>
        <w:jc w:val="left"/>
        <w:rPr/>
      </w:pPr>
      <w:r>
        <w:rPr/>
      </w:r>
    </w:p>
    <w:p>
      <w:pPr>
        <w:pStyle w:val="TextBody"/>
        <w:bidi w:val="0"/>
        <w:spacing w:lineRule="auto" w:line="285" w:before="0" w:after="0"/>
        <w:ind w:left="0" w:right="0" w:hanging="813"/>
        <w:jc w:val="left"/>
        <w:rPr/>
      </w:pPr>
      <w:r>
        <w:rPr>
          <w:rFonts w:ascii="Times New Roman;sans-serif" w:hAnsi="Times New Roman;sans-serif"/>
          <w:b w:val="false"/>
          <w:color w:val="000000"/>
          <w:sz w:val="24"/>
        </w:rPr>
        <w:t>By:    </w:t>
      </w:r>
      <w:r>
        <w:rPr>
          <w:color w:val="000000"/>
          <w:u w:val="single"/>
        </w:rPr>
        <w:t>        </w:t>
      </w:r>
      <w:r>
        <w:rPr>
          <w:color w:val="000000"/>
        </w:rPr>
        <w:t xml:space="preserve"> </w:t>
      </w:r>
      <w:r>
        <w:rPr>
          <w:rFonts w:ascii="Times New Roman;sans-serif" w:hAnsi="Times New Roman;sans-serif"/>
          <w:b w:val="false"/>
          <w:color w:val="000000"/>
          <w:sz w:val="24"/>
        </w:rPr>
        <w:t>Name:</w:t>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Title: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1" w:after="283"/>
        <w:jc w:val="left"/>
        <w:rPr/>
      </w:pPr>
      <w:r>
        <w:rPr/>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to Letter of Credit Request]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6480175" cy="781050"/>
                <wp:effectExtent l="0" t="0" r="0" b="0"/>
                <wp:wrapNone/>
                <wp:docPr id="457" name="Frame456"/>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255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255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80" w:after="283"/>
        <w:jc w:val="center"/>
        <w:rPr/>
      </w:pPr>
      <w:r>
        <w:rPr>
          <w:rFonts w:ascii="Times New Roman;sans-serif" w:hAnsi="Times New Roman;sans-serif"/>
          <w:b w:val="false"/>
          <w:color w:val="000000"/>
          <w:sz w:val="24"/>
          <w:u w:val="single"/>
        </w:rPr>
        <w:t>FORM OF LETTER OF CREDIT AMENDMENT REQUEST</w:t>
      </w:r>
      <w:r>
        <w:rPr>
          <w:rFonts w:ascii="Times New Roman;sans-serif" w:hAnsi="Times New Roman;sans-serif"/>
          <w:b w:val="false"/>
          <w:color w:val="000000"/>
          <w:sz w:val="16"/>
        </w:rPr>
        <w:t>33</w:t>
      </w:r>
    </w:p>
    <w:p>
      <w:pPr>
        <w:pStyle w:val="TextBody"/>
        <w:bidi w:val="0"/>
        <w:spacing w:lineRule="auto" w:line="240" w:before="240" w:after="283"/>
        <w:jc w:val="left"/>
        <w:rPr/>
      </w:pPr>
      <w:r>
        <w:rPr>
          <w:rFonts w:ascii="Times New Roman;sans-serif" w:hAnsi="Times New Roman;sans-serif"/>
          <w:b w:val="false"/>
          <w:color w:val="000000"/>
          <w:sz w:val="24"/>
        </w:rPr>
        <w:t>Date:</w:t>
      </w:r>
      <w:r>
        <w:rPr>
          <w:rFonts w:ascii="Times New Roman;sans-serif" w:hAnsi="Times New Roman;sans-serif"/>
          <w:b w:val="false"/>
          <w:color w:val="000000"/>
          <w:sz w:val="16"/>
        </w:rPr>
        <w:t>34</w:t>
      </w:r>
      <w:r>
        <w:rPr>
          <w:color w:val="000000"/>
        </w:rPr>
        <w:t xml:space="preserve"> </w:t>
      </w:r>
      <w:r>
        <w:rPr>
          <w:rFonts w:ascii="Times New Roman;sans-serif" w:hAnsi="Times New Roman;sans-serif"/>
          <w:b w:val="false"/>
          <w:color w:val="000000"/>
          <w:sz w:val="24"/>
          <w:u w:val="single"/>
        </w:rPr>
        <w:t>[●]</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w:t>
      </w:r>
    </w:p>
    <w:p>
      <w:pPr>
        <w:pStyle w:val="TextBody"/>
        <w:bidi w:val="0"/>
        <w:spacing w:lineRule="auto" w:line="240" w:before="240" w:after="283"/>
        <w:ind w:left="0" w:right="0" w:hanging="720"/>
        <w:jc w:val="both"/>
        <w:rPr/>
      </w:pPr>
      <w:r>
        <w:rPr>
          <w:rFonts w:ascii="Times New Roman;sans-serif" w:hAnsi="Times New Roman;sans-serif"/>
          <w:b w:val="false"/>
          <w:color w:val="000000"/>
          <w:sz w:val="24"/>
        </w:rPr>
        <w:t>To: Citibank, N.A., as administrative agent under the Revolving Facility (in such capacity, the “</w:t>
      </w:r>
      <w:r>
        <w:rPr>
          <w:rFonts w:ascii="Times New Roman;sans-serif" w:hAnsi="Times New Roman;sans-serif"/>
          <w:b w:val="false"/>
          <w:color w:val="000000"/>
          <w:sz w:val="24"/>
          <w:u w:val="single"/>
        </w:rPr>
        <w:t>Revolving Facility Administrative Agent</w:t>
      </w:r>
      <w:r>
        <w:rPr>
          <w:color w:val="000000"/>
        </w:rPr>
        <w:t>”</w:t>
      </w:r>
      <w:r>
        <w:rPr>
          <w:rFonts w:ascii="Times New Roman;sans-serif" w:hAnsi="Times New Roman;sans-serif"/>
          <w:b w:val="false"/>
          <w:color w:val="000000"/>
          <w:sz w:val="24"/>
        </w:rPr>
        <w:t>) under that certain Credit Agreement dated as of February 6, 2024 (as the same may be amended, supplemented, restated, amended and restated, or otherwise modified from time to time, the “</w:t>
      </w:r>
      <w:r>
        <w:rPr>
          <w:rFonts w:ascii="Times New Roman;sans-serif" w:hAnsi="Times New Roman;sans-serif"/>
          <w:b w:val="false"/>
          <w:color w:val="000000"/>
          <w:sz w:val="24"/>
          <w:u w:val="single"/>
        </w:rPr>
        <w:t>Credit Agreement</w:t>
      </w:r>
      <w:r>
        <w:rPr>
          <w:color w:val="000000"/>
        </w:rPr>
        <w:t>”</w:t>
      </w:r>
      <w:r>
        <w:rPr>
          <w:rFonts w:ascii="Times New Roman;sans-serif" w:hAnsi="Times New Roman;sans-serif"/>
          <w:b w:val="false"/>
          <w:color w:val="000000"/>
          <w:sz w:val="24"/>
        </w:rPr>
        <w:t>), by and among Magnite, Inc., a Delaware corporation (the “</w:t>
      </w:r>
      <w:r>
        <w:rPr>
          <w:rFonts w:ascii="Times New Roman;sans-serif" w:hAnsi="Times New Roman;sans-serif"/>
          <w:b w:val="false"/>
          <w:color w:val="000000"/>
          <w:sz w:val="24"/>
          <w:u w:val="single"/>
        </w:rPr>
        <w:t>Borrower</w:t>
      </w:r>
      <w:r>
        <w:rPr>
          <w:color w:val="000000"/>
        </w:rPr>
        <w:t>”</w:t>
      </w:r>
      <w:r>
        <w:rPr>
          <w:rFonts w:ascii="Times New Roman;sans-serif" w:hAnsi="Times New Roman;sans-serif"/>
          <w:b w:val="false"/>
          <w:color w:val="000000"/>
          <w:sz w:val="24"/>
        </w:rPr>
        <w:t>), Morgan Stanley Senior Funding, Inc., as Term Facility Administrative Agent, Citibank, N.A., as Revolving Facility Administrative Agent, Collateral Agent and Swingline Lender, and each Issuing Bank and Lender party thereto from time to time.</w:t>
      </w:r>
    </w:p>
    <w:p>
      <w:pPr>
        <w:pStyle w:val="TextBody"/>
        <w:bidi w:val="0"/>
        <w:spacing w:lineRule="auto" w:line="240" w:before="24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Citibank, N.A.</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Attention: SYNDICATIONS DEPT 388 Greenwich Street</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New York, NY 10013 Fax: 866-634-5642</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Email: clo.cbgdlo@citi.com</w:t>
      </w:r>
    </w:p>
    <w:p>
      <w:pPr>
        <w:pStyle w:val="TextBody"/>
        <w:bidi w:val="0"/>
        <w:spacing w:lineRule="auto" w:line="240" w:before="240" w:after="283"/>
        <w:jc w:val="left"/>
        <w:rPr/>
      </w:pPr>
      <w:r>
        <w:rPr>
          <w:rFonts w:ascii="Times New Roman;sans-serif" w:hAnsi="Times New Roman;sans-serif"/>
          <w:b/>
          <w:color w:val="000000"/>
          <w:sz w:val="24"/>
        </w:rPr>
        <w:t>[</w:t>
      </w:r>
      <w:r>
        <w:rPr>
          <w:color w:val="000000"/>
          <w:u w:val="single"/>
        </w:rPr>
        <w:t>    </w:t>
      </w:r>
      <w:r>
        <w:rPr>
          <w:rFonts w:ascii="Times New Roman;sans-serif" w:hAnsi="Times New Roman;sans-serif"/>
          <w:b/>
          <w:color w:val="000000"/>
          <w:sz w:val="24"/>
        </w:rPr>
        <w:t>]</w:t>
      </w:r>
      <w:r>
        <w:rPr>
          <w:rFonts w:ascii="Times New Roman;sans-serif" w:hAnsi="Times New Roman;sans-serif"/>
          <w:b/>
          <w:color w:val="000000"/>
          <w:sz w:val="16"/>
        </w:rPr>
        <w:t>35</w:t>
      </w:r>
      <w:r>
        <w:rPr>
          <w:rFonts w:ascii="Times New Roman;sans-serif" w:hAnsi="Times New Roman;sans-serif"/>
          <w:b w:val="false"/>
          <w:color w:val="000000"/>
          <w:sz w:val="24"/>
        </w:rPr>
        <w:t>, as Issuing Bank under the Credit Agreement</w:t>
      </w:r>
    </w:p>
    <w:p>
      <w:pPr>
        <w:pStyle w:val="TextBody"/>
        <w:bidi w:val="0"/>
        <w:spacing w:before="0" w:after="0"/>
        <w:jc w:val="left"/>
        <w:rPr/>
      </w:pPr>
      <w:r>
        <w:rPr/>
      </w:r>
    </w:p>
    <w:p>
      <w:pPr>
        <w:pStyle w:val="TextBody"/>
        <w:bidi w:val="0"/>
        <w:spacing w:lineRule="auto" w:line="240" w:before="43"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w:t>
      </w:r>
    </w:p>
    <w:p>
      <w:pPr>
        <w:pStyle w:val="TextBody"/>
        <w:bidi w:val="0"/>
        <w:spacing w:before="0" w:after="0"/>
        <w:jc w:val="left"/>
        <w:rPr/>
      </w:pPr>
      <w:r>
        <w:rPr/>
      </w:r>
    </w:p>
    <w:p>
      <w:pPr>
        <w:pStyle w:val="TextBody"/>
        <w:bidi w:val="0"/>
        <w:spacing w:lineRule="auto" w:line="240" w:before="43"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w:t>
      </w:r>
    </w:p>
    <w:p>
      <w:pPr>
        <w:pStyle w:val="TextBody"/>
        <w:bidi w:val="0"/>
        <w:spacing w:before="43" w:after="283"/>
        <w:ind w:left="0" w:right="0" w:firstLine="720"/>
        <w:jc w:val="left"/>
        <w:rPr/>
      </w:pPr>
      <w:r>
        <w:rPr/>
      </w:r>
    </w:p>
    <w:p>
      <w:pPr>
        <w:pStyle w:val="TextBody"/>
        <w:bidi w:val="0"/>
        <w:spacing w:lineRule="auto" w:line="240" w:before="13" w:after="283"/>
        <w:ind w:left="0" w:right="0" w:firstLine="90"/>
        <w:jc w:val="left"/>
        <w:rPr>
          <w:color w:val="000000"/>
          <w:u w:val="single"/>
        </w:rPr>
      </w:pPr>
      <w:r>
        <w:rPr>
          <w:color w:val="000000"/>
          <w:u w:val="single"/>
        </w:rPr>
        <w:t>    </w:t>
      </w:r>
    </w:p>
    <w:p>
      <w:pPr>
        <w:pStyle w:val="TextBody"/>
        <w:bidi w:val="0"/>
        <w:spacing w:lineRule="auto" w:line="240" w:before="0" w:after="0"/>
        <w:ind w:left="0" w:right="0" w:firstLine="720"/>
        <w:jc w:val="left"/>
        <w:rPr/>
      </w:pPr>
      <w:r>
        <w:rPr>
          <w:color w:val="000000"/>
        </w:rPr>
        <w:t>            </w:t>
      </w:r>
      <w:r>
        <w:rPr>
          <w:rFonts w:ascii="Times New Roman;sans-serif" w:hAnsi="Times New Roman;sans-serif"/>
          <w:b w:val="false"/>
          <w:color w:val="000000"/>
          <w:sz w:val="24"/>
        </w:rPr>
        <w:t>Attention: [</w:t>
      </w:r>
      <w:r>
        <w:rPr>
          <w:color w:val="000000"/>
          <w:u w:val="single"/>
        </w:rPr>
        <w:t>        </w:t>
      </w:r>
      <w:r>
        <w:rPr>
          <w:rFonts w:ascii="Times New Roman;sans-serif" w:hAnsi="Times New Roman;sans-serif"/>
          <w:b w:val="false"/>
          <w:color w:val="000000"/>
          <w:sz w:val="24"/>
        </w:rPr>
        <w:t>]</w:t>
      </w:r>
    </w:p>
    <w:p>
      <w:pPr>
        <w:pStyle w:val="TextBody"/>
        <w:bidi w:val="0"/>
        <w:spacing w:before="0" w:after="0"/>
        <w:jc w:val="left"/>
        <w:rPr/>
      </w:pPr>
      <w:r>
        <w:rPr/>
      </w:r>
    </w:p>
    <w:p>
      <w:pPr>
        <w:pStyle w:val="TextBody"/>
        <w:bidi w:val="0"/>
        <w:spacing w:before="84" w:after="283"/>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Ladies and Gentlemen:</w:t>
      </w:r>
    </w:p>
    <w:p>
      <w:pPr>
        <w:pStyle w:val="TextBody"/>
        <w:bidi w:val="0"/>
        <w:spacing w:lineRule="auto" w:line="240" w:before="275" w:after="283"/>
        <w:ind w:left="0" w:right="0" w:firstLine="720"/>
        <w:jc w:val="left"/>
        <w:rPr/>
      </w:pPr>
      <w:r>
        <w:rPr>
          <w:rFonts w:ascii="Times New Roman;sans-serif" w:hAnsi="Times New Roman;sans-serif"/>
          <w:b w:val="false"/>
          <w:color w:val="000000"/>
          <w:sz w:val="24"/>
        </w:rPr>
        <w:t xml:space="preserve">Pursuant to </w:t>
      </w:r>
      <w:r>
        <w:rPr>
          <w:rFonts w:ascii="Times New Roman;sans-serif" w:hAnsi="Times New Roman;sans-serif"/>
          <w:b w:val="false"/>
          <w:color w:val="000000"/>
          <w:sz w:val="24"/>
          <w:u w:val="single"/>
        </w:rPr>
        <w:t>Section 2.05(b)</w:t>
      </w:r>
      <w:r>
        <w:rPr>
          <w:color w:val="000000"/>
        </w:rPr>
        <w:t xml:space="preserve"> </w:t>
      </w:r>
      <w:r>
        <w:rPr>
          <w:rFonts w:ascii="Times New Roman;sans-serif" w:hAnsi="Times New Roman;sans-serif"/>
          <w:b w:val="false"/>
          <w:color w:val="000000"/>
          <w:sz w:val="24"/>
        </w:rPr>
        <w:t>of the Credit Agreement, we hereby request that the Issuing Bank referred to above [amend][extend] that certain standby Letter of Credit issued on [</w:t>
      </w:r>
      <w:r>
        <w:rPr>
          <w:color w:val="000000"/>
          <w:u w:val="single"/>
        </w:rPr>
        <w:t xml:space="preserve"> </w:t>
      </w:r>
      <w:r>
        <w:rPr>
          <w:rFonts w:ascii="Times New Roman;sans-serif" w:hAnsi="Times New Roman;sans-serif"/>
          <w:b w:val="false"/>
          <w:color w:val="000000"/>
          <w:sz w:val="24"/>
        </w:rPr>
        <w:t>]</w:t>
      </w:r>
      <w:r>
        <w:rPr>
          <w:rFonts w:ascii="Times New Roman;sans-serif" w:hAnsi="Times New Roman;sans-serif"/>
          <w:b w:val="false"/>
          <w:color w:val="000000"/>
          <w:sz w:val="16"/>
        </w:rPr>
        <w:t>36</w:t>
      </w:r>
      <w:r>
        <w:rPr>
          <w:color w:val="000000"/>
        </w:rPr>
        <w:t>    </w:t>
      </w:r>
      <w:r>
        <w:rPr>
          <w:rFonts w:ascii="Times New Roman;sans-serif" w:hAnsi="Times New Roman;sans-serif"/>
          <w:b w:val="false"/>
          <w:color w:val="000000"/>
          <w:sz w:val="24"/>
        </w:rPr>
        <w:t>for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75" w:after="283"/>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w:t>
      </w:r>
    </w:p>
    <w:p>
      <w:pPr>
        <w:pStyle w:val="TextBody"/>
        <w:bidi w:val="0"/>
        <w:spacing w:lineRule="auto" w:line="240" w:before="221" w:after="283"/>
        <w:jc w:val="left"/>
        <w:rPr/>
      </w:pPr>
      <w:r>
        <w:rPr>
          <w:rFonts w:ascii="Times New Roman;sans-serif" w:hAnsi="Times New Roman;sans-serif"/>
          <w:b w:val="false"/>
          <w:color w:val="000000"/>
          <w:sz w:val="13"/>
        </w:rPr>
        <w:t>33</w:t>
      </w:r>
      <w:r>
        <w:rPr>
          <w:color w:val="000000"/>
        </w:rPr>
        <w:t xml:space="preserve"> </w:t>
      </w:r>
      <w:r>
        <w:rPr>
          <w:rFonts w:ascii="Times New Roman;sans-serif" w:hAnsi="Times New Roman;sans-serif"/>
          <w:b w:val="false"/>
          <w:color w:val="000000"/>
          <w:sz w:val="20"/>
        </w:rPr>
        <w:t>To be included in the case of any amendment or extension to an existing Letter of Credit.</w:t>
      </w:r>
    </w:p>
    <w:p>
      <w:pPr>
        <w:pStyle w:val="TextBody"/>
        <w:bidi w:val="0"/>
        <w:spacing w:lineRule="auto" w:line="240" w:before="120" w:after="283"/>
        <w:jc w:val="left"/>
        <w:rPr/>
      </w:pPr>
      <w:r>
        <w:rPr>
          <w:rFonts w:ascii="Times New Roman;sans-serif" w:hAnsi="Times New Roman;sans-serif"/>
          <w:b w:val="false"/>
          <w:color w:val="000000"/>
          <w:sz w:val="13"/>
        </w:rPr>
        <w:t>34</w:t>
      </w:r>
      <w:r>
        <w:rPr>
          <w:color w:val="000000"/>
        </w:rPr>
        <w:t xml:space="preserve"> </w:t>
      </w:r>
      <w:r>
        <w:rPr>
          <w:rFonts w:ascii="Times New Roman;sans-serif" w:hAnsi="Times New Roman;sans-serif"/>
          <w:b w:val="false"/>
          <w:color w:val="000000"/>
          <w:sz w:val="20"/>
        </w:rPr>
        <w:t>The Borrower must deliver, by facsimile, by United States mail, by overnight courier, by electronic transmission using the system provided by the applicable Issuing Bank (with a copy to the Revolving Facility Administrative Agent</w:t>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by personal delivery or by any other means acceptable to such Issuing Bank not later than 12:00 noon at least two</w:t>
      </w:r>
    </w:p>
    <w:p>
      <w:pPr>
        <w:pStyle w:val="TextBody"/>
        <w:bidi w:val="0"/>
        <w:spacing w:lineRule="auto" w:line="240" w:before="1" w:after="283"/>
        <w:jc w:val="left"/>
        <w:rPr>
          <w:rFonts w:ascii="Times New Roman;sans-serif" w:hAnsi="Times New Roman;sans-serif"/>
          <w:b w:val="false"/>
          <w:color w:val="000000"/>
          <w:sz w:val="20"/>
        </w:rPr>
      </w:pPr>
      <w:r>
        <w:rPr>
          <w:rFonts w:ascii="Times New Roman;sans-serif" w:hAnsi="Times New Roman;sans-serif"/>
          <w:b w:val="false"/>
          <w:color w:val="000000"/>
          <w:sz w:val="20"/>
        </w:rPr>
        <w:t>(2) Business Days in advance of the requested date of issuance, amendment or extension (or such later date and time as the Revolving Facility Administrative Agent and such Issuing Bank in their sole discretion may agree).</w:t>
      </w:r>
    </w:p>
    <w:p>
      <w:pPr>
        <w:pStyle w:val="TextBody"/>
        <w:bidi w:val="0"/>
        <w:spacing w:lineRule="auto" w:line="240" w:before="119" w:after="283"/>
        <w:jc w:val="left"/>
        <w:rPr/>
      </w:pPr>
      <w:r>
        <w:rPr>
          <w:rFonts w:ascii="Times New Roman;sans-serif" w:hAnsi="Times New Roman;sans-serif"/>
          <w:b w:val="false"/>
          <w:color w:val="000000"/>
          <w:sz w:val="13"/>
        </w:rPr>
        <w:t>35</w:t>
      </w:r>
      <w:r>
        <w:rPr>
          <w:color w:val="000000"/>
        </w:rPr>
        <w:t xml:space="preserve"> </w:t>
      </w:r>
      <w:r>
        <w:rPr>
          <w:rFonts w:ascii="Times New Roman;sans-serif" w:hAnsi="Times New Roman;sans-serif"/>
          <w:b w:val="false"/>
          <w:color w:val="000000"/>
          <w:sz w:val="20"/>
        </w:rPr>
        <w:t>Insert name and address of Issuing Bank.</w:t>
      </w:r>
    </w:p>
    <w:p>
      <w:pPr>
        <w:pStyle w:val="TextBody"/>
        <w:bidi w:val="0"/>
        <w:spacing w:lineRule="auto" w:line="240" w:before="121" w:after="283"/>
        <w:jc w:val="left"/>
        <w:rPr/>
      </w:pPr>
      <w:r>
        <w:rPr>
          <w:rFonts w:ascii="Times New Roman;sans-serif" w:hAnsi="Times New Roman;sans-serif"/>
          <w:b w:val="false"/>
          <w:color w:val="000000"/>
          <w:sz w:val="13"/>
        </w:rPr>
        <w:t>36</w:t>
      </w:r>
      <w:r>
        <w:rPr>
          <w:color w:val="000000"/>
        </w:rPr>
        <w:t xml:space="preserve"> </w:t>
      </w:r>
      <w:r>
        <w:rPr>
          <w:rFonts w:ascii="Times New Roman;sans-serif" w:hAnsi="Times New Roman;sans-serif"/>
          <w:b w:val="false"/>
          <w:color w:val="000000"/>
          <w:sz w:val="20"/>
        </w:rPr>
        <w:t>Insert initial issuance date of Letter of Credit being requested to be amended/extended.</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6480175" cy="781050"/>
                <wp:effectExtent l="0" t="0" r="0" b="0"/>
                <wp:wrapNone/>
                <wp:docPr id="458" name="Frame457"/>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256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256</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80" w:after="283"/>
        <w:jc w:val="left"/>
        <w:rPr/>
      </w:pPr>
      <w:r>
        <w:rPr>
          <w:rFonts w:ascii="Times New Roman;sans-serif" w:hAnsi="Times New Roman;sans-serif"/>
          <w:b w:val="false"/>
          <w:color w:val="000000"/>
          <w:sz w:val="24"/>
        </w:rPr>
        <w:t>the account of the undersigned on [</w:t>
      </w:r>
      <w:r>
        <w:rPr>
          <w:color w:val="000000"/>
          <w:u w:val="single"/>
        </w:rPr>
        <w:t xml:space="preserve"> </w:t>
      </w:r>
      <w:r>
        <w:rPr>
          <w:rFonts w:ascii="Times New Roman;sans-serif" w:hAnsi="Times New Roman;sans-serif"/>
          <w:b w:val="false"/>
          <w:color w:val="000000"/>
          <w:sz w:val="24"/>
        </w:rPr>
        <w:t>]</w:t>
      </w:r>
      <w:r>
        <w:rPr>
          <w:rFonts w:ascii="Times New Roman;sans-serif" w:hAnsi="Times New Roman;sans-serif"/>
          <w:b w:val="false"/>
          <w:color w:val="000000"/>
          <w:sz w:val="16"/>
        </w:rPr>
        <w:t>37</w:t>
      </w:r>
      <w:r>
        <w:rPr>
          <w:color w:val="000000"/>
        </w:rPr>
        <w:t xml:space="preserve"> </w:t>
      </w:r>
      <w:r>
        <w:rPr>
          <w:rFonts w:ascii="Times New Roman;sans-serif" w:hAnsi="Times New Roman;sans-serif"/>
          <w:b w:val="false"/>
          <w:color w:val="000000"/>
          <w:sz w:val="24"/>
        </w:rPr>
        <w:t>(the “</w:t>
      </w:r>
      <w:r>
        <w:rPr>
          <w:rFonts w:ascii="Times New Roman;sans-serif" w:hAnsi="Times New Roman;sans-serif"/>
          <w:b w:val="false"/>
          <w:color w:val="000000"/>
          <w:sz w:val="24"/>
          <w:u w:val="single"/>
        </w:rPr>
        <w:t>Date of [Amendment][Extension]</w:t>
      </w:r>
      <w:r>
        <w:rPr>
          <w:color w:val="000000"/>
        </w:rPr>
        <w:t>”</w:t>
      </w:r>
      <w:r>
        <w:rPr>
          <w:rFonts w:ascii="Times New Roman;sans-serif" w:hAnsi="Times New Roman;sans-serif"/>
          <w:b w:val="false"/>
          <w:color w:val="000000"/>
          <w:sz w:val="24"/>
        </w:rPr>
        <w:t>) in the aggregate amount of [</w:t>
      </w:r>
      <w:r>
        <w:rPr>
          <w:color w:val="000000"/>
          <w:u w:val="single"/>
        </w:rPr>
        <w:t>    </w:t>
      </w:r>
      <w:r>
        <w:rPr>
          <w:rFonts w:ascii="Times New Roman;sans-serif" w:hAnsi="Times New Roman;sans-serif"/>
          <w:b w:val="false"/>
          <w:color w:val="000000"/>
          <w:sz w:val="24"/>
        </w:rPr>
        <w:t>]</w:t>
      </w:r>
      <w:r>
        <w:rPr>
          <w:rFonts w:ascii="Times New Roman;sans-serif" w:hAnsi="Times New Roman;sans-serif"/>
          <w:b w:val="false"/>
          <w:color w:val="000000"/>
          <w:sz w:val="16"/>
        </w:rPr>
        <w:t>38</w:t>
      </w:r>
      <w:r>
        <w:rPr>
          <w:rFonts w:ascii="Times New Roman;sans-serif" w:hAnsi="Times New Roman;sans-serif"/>
          <w:b w:val="false"/>
          <w:color w:val="000000"/>
          <w:sz w:val="24"/>
        </w:rPr>
        <w:t>.</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For purposes of this Letter of Credit Request, unless otherwise defined herein, each capitalized term used herein which is defined in the Credit Agreement shall have the respective meaning provided therein.</w:t>
      </w:r>
    </w:p>
    <w:p>
      <w:pPr>
        <w:pStyle w:val="TextBody"/>
        <w:bidi w:val="0"/>
        <w:spacing w:lineRule="auto" w:line="240" w:before="240" w:after="283"/>
        <w:jc w:val="left"/>
        <w:rPr/>
      </w:pPr>
      <w:r>
        <w:rPr>
          <w:rFonts w:ascii="Times New Roman;sans-serif" w:hAnsi="Times New Roman;sans-serif"/>
          <w:b w:val="false"/>
          <w:color w:val="000000"/>
          <w:sz w:val="24"/>
        </w:rPr>
        <w:t>[</w:t>
      </w:r>
      <w:r>
        <w:rPr>
          <w:color w:val="000000"/>
          <w:u w:val="single"/>
        </w:rPr>
        <w:t>    </w:t>
      </w:r>
      <w:r>
        <w:rPr>
          <w:rFonts w:ascii="Times New Roman;sans-serif" w:hAnsi="Times New Roman;sans-serif"/>
          <w:b w:val="false"/>
          <w:color w:val="000000"/>
          <w:sz w:val="24"/>
        </w:rPr>
        <w:t>].</w:t>
      </w:r>
      <w:r>
        <w:rPr>
          <w:rFonts w:ascii="Times New Roman;sans-serif" w:hAnsi="Times New Roman;sans-serif"/>
          <w:b w:val="false"/>
          <w:color w:val="000000"/>
          <w:sz w:val="16"/>
        </w:rPr>
        <w:t>39</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 xml:space="preserve">The Borrower hereby represents and warrants to the Revolving Facility Administrative Agent and the Lenders that, on and as of the date of the Credit Event contemplated by this Letter of Credit Request, the conditions to lending specified in </w:t>
      </w:r>
      <w:r>
        <w:rPr>
          <w:rFonts w:ascii="Times New Roman;sans-serif" w:hAnsi="Times New Roman;sans-serif"/>
          <w:b w:val="false"/>
          <w:color w:val="000000"/>
          <w:sz w:val="24"/>
          <w:u w:val="single"/>
        </w:rPr>
        <w:t>Sections 4.02(b)</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4.02(c)</w:t>
      </w:r>
      <w:r>
        <w:rPr>
          <w:color w:val="000000"/>
        </w:rPr>
        <w:t xml:space="preserve"> </w:t>
      </w:r>
      <w:r>
        <w:rPr>
          <w:rFonts w:ascii="Times New Roman;sans-serif" w:hAnsi="Times New Roman;sans-serif"/>
          <w:b w:val="false"/>
          <w:color w:val="000000"/>
          <w:sz w:val="24"/>
        </w:rPr>
        <w:t>of the Credit Agreement shall have been satisfied.</w:t>
      </w:r>
    </w:p>
    <w:p>
      <w:pPr>
        <w:pStyle w:val="TextBody"/>
        <w:bidi w:val="0"/>
        <w:spacing w:lineRule="auto" w:line="240" w:before="240" w:after="283"/>
        <w:jc w:val="center"/>
        <w:rPr>
          <w:rFonts w:ascii="Times New Roman;sans-serif" w:hAnsi="Times New Roman;sans-serif"/>
          <w:b w:val="false"/>
          <w:i/>
          <w:color w:val="000000"/>
          <w:sz w:val="24"/>
        </w:rPr>
      </w:pPr>
      <w:r>
        <w:rPr>
          <w:rFonts w:ascii="Times New Roman;sans-serif" w:hAnsi="Times New Roman;sans-serif"/>
          <w:b w:val="false"/>
          <w:i/>
          <w:color w:val="000000"/>
          <w:sz w:val="24"/>
        </w:rPr>
        <w:t>[Remainder of Page Intentionally Left Blank]</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186" w:after="283"/>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w:t>
      </w:r>
    </w:p>
    <w:p>
      <w:pPr>
        <w:pStyle w:val="TextBody"/>
        <w:bidi w:val="0"/>
        <w:spacing w:before="0" w:after="0"/>
        <w:jc w:val="left"/>
        <w:rPr/>
      </w:pPr>
      <w:r>
        <w:rPr/>
      </w:r>
    </w:p>
    <w:p>
      <w:pPr>
        <w:pStyle w:val="TextBody"/>
        <w:bidi w:val="0"/>
        <w:spacing w:lineRule="auto" w:line="240" w:before="222" w:after="283"/>
        <w:jc w:val="left"/>
        <w:rPr/>
      </w:pPr>
      <w:r>
        <w:rPr>
          <w:rFonts w:ascii="Times New Roman;sans-serif" w:hAnsi="Times New Roman;sans-serif"/>
          <w:b w:val="false"/>
          <w:color w:val="000000"/>
          <w:sz w:val="13"/>
        </w:rPr>
        <w:t>37</w:t>
      </w:r>
      <w:r>
        <w:rPr>
          <w:color w:val="000000"/>
        </w:rPr>
        <w:t xml:space="preserve"> </w:t>
      </w:r>
      <w:r>
        <w:rPr>
          <w:rFonts w:ascii="Times New Roman;sans-serif" w:hAnsi="Times New Roman;sans-serif"/>
          <w:b w:val="false"/>
          <w:color w:val="000000"/>
          <w:sz w:val="20"/>
        </w:rPr>
        <w:t>Insert the proposed date of the amendment thereof (which shall be a Business Day).</w:t>
      </w:r>
    </w:p>
    <w:p>
      <w:pPr>
        <w:pStyle w:val="TextBody"/>
        <w:bidi w:val="0"/>
        <w:spacing w:lineRule="auto" w:line="240" w:before="119" w:after="283"/>
        <w:jc w:val="left"/>
        <w:rPr/>
      </w:pPr>
      <w:r>
        <w:rPr>
          <w:rFonts w:ascii="Times New Roman;sans-serif" w:hAnsi="Times New Roman;sans-serif"/>
          <w:b w:val="false"/>
          <w:color w:val="000000"/>
          <w:sz w:val="13"/>
        </w:rPr>
        <w:t>38</w:t>
      </w:r>
      <w:r>
        <w:rPr>
          <w:color w:val="000000"/>
        </w:rPr>
        <w:t xml:space="preserve"> </w:t>
      </w:r>
      <w:r>
        <w:rPr>
          <w:rFonts w:ascii="Times New Roman;sans-serif" w:hAnsi="Times New Roman;sans-serif"/>
          <w:b w:val="false"/>
          <w:color w:val="000000"/>
          <w:sz w:val="20"/>
        </w:rPr>
        <w:t>Insert amount requested.</w:t>
      </w:r>
    </w:p>
    <w:p>
      <w:pPr>
        <w:pStyle w:val="TextBody"/>
        <w:bidi w:val="0"/>
        <w:spacing w:lineRule="auto" w:line="240" w:before="121" w:after="283"/>
        <w:jc w:val="left"/>
        <w:rPr/>
      </w:pPr>
      <w:r>
        <w:rPr>
          <w:rFonts w:ascii="Times New Roman;sans-serif" w:hAnsi="Times New Roman;sans-serif"/>
          <w:b w:val="false"/>
          <w:color w:val="000000"/>
          <w:sz w:val="13"/>
        </w:rPr>
        <w:t>39</w:t>
      </w:r>
      <w:r>
        <w:rPr>
          <w:color w:val="000000"/>
        </w:rPr>
        <w:t xml:space="preserve"> </w:t>
      </w:r>
      <w:r>
        <w:rPr>
          <w:rFonts w:ascii="Times New Roman;sans-serif" w:hAnsi="Times New Roman;sans-serif"/>
          <w:b w:val="false"/>
          <w:color w:val="000000"/>
          <w:sz w:val="20"/>
        </w:rPr>
        <w:t>Insert the nature of the proposed amendment.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6480175" cy="781050"/>
                <wp:effectExtent l="0" t="0" r="0" b="0"/>
                <wp:wrapNone/>
                <wp:docPr id="459" name="Frame458"/>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257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257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6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This Letter of Credit Request is issued pursuant to and is subject to the Credit Agreement, executed as of the date first written above.</w:t>
      </w:r>
    </w:p>
    <w:p>
      <w:pPr>
        <w:pStyle w:val="TextBody"/>
        <w:bidi w:val="0"/>
        <w:spacing w:lineRule="auto" w:line="240" w:before="24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MAGNITE, INC.</w:t>
      </w:r>
    </w:p>
    <w:p>
      <w:pPr>
        <w:pStyle w:val="TextBody"/>
        <w:bidi w:val="0"/>
        <w:spacing w:before="204" w:after="283"/>
        <w:jc w:val="left"/>
        <w:rPr/>
      </w:pPr>
      <w:r>
        <w:rPr/>
      </w:r>
    </w:p>
    <w:p>
      <w:pPr>
        <w:pStyle w:val="TextBody"/>
        <w:bidi w:val="0"/>
        <w:spacing w:lineRule="auto" w:line="285" w:before="0" w:after="0"/>
        <w:ind w:left="0" w:right="0" w:hanging="813"/>
        <w:jc w:val="left"/>
        <w:rPr/>
      </w:pPr>
      <w:r>
        <w:rPr>
          <w:rFonts w:ascii="Times New Roman;sans-serif" w:hAnsi="Times New Roman;sans-serif"/>
          <w:b w:val="false"/>
          <w:color w:val="000000"/>
          <w:sz w:val="24"/>
        </w:rPr>
        <w:t>By:    </w:t>
      </w:r>
      <w:r>
        <w:rPr>
          <w:color w:val="000000"/>
          <w:u w:val="single"/>
        </w:rPr>
        <w:t>        </w:t>
      </w:r>
      <w:r>
        <w:rPr>
          <w:color w:val="000000"/>
        </w:rPr>
        <w:t xml:space="preserve"> </w:t>
      </w:r>
      <w:r>
        <w:rPr>
          <w:rFonts w:ascii="Times New Roman;sans-serif" w:hAnsi="Times New Roman;sans-serif"/>
          <w:b w:val="false"/>
          <w:color w:val="000000"/>
          <w:sz w:val="24"/>
        </w:rPr>
        <w:t>Name:</w:t>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Title: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6480175" cy="781050"/>
                <wp:effectExtent l="0" t="0" r="0" b="0"/>
                <wp:wrapNone/>
                <wp:docPr id="460" name="Frame459"/>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258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258</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ind w:left="0" w:right="0" w:firstLine="720"/>
        <w:jc w:val="left"/>
        <w:rPr>
          <w:rFonts w:ascii="Times New Roman;sans-serif" w:hAnsi="Times New Roman;sans-serif"/>
          <w:b/>
          <w:color w:val="000000"/>
          <w:sz w:val="24"/>
        </w:rPr>
      </w:pPr>
      <w:r>
        <w:rPr>
          <w:rFonts w:ascii="Times New Roman;sans-serif" w:hAnsi="Times New Roman;sans-serif"/>
          <w:b/>
          <w:color w:val="000000"/>
          <w:sz w:val="24"/>
        </w:rPr>
        <w:t>EXHIBIT E</w:t>
      </w:r>
    </w:p>
    <w:p>
      <w:pPr>
        <w:pStyle w:val="TextBody"/>
        <w:bidi w:val="0"/>
        <w:spacing w:lineRule="auto" w:line="240" w:before="0" w:after="240"/>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FORM OF INTEREST ELECTION REQUEST</w:t>
      </w:r>
    </w:p>
    <w:p>
      <w:pPr>
        <w:pStyle w:val="TextBody"/>
        <w:bidi w:val="0"/>
        <w:spacing w:lineRule="auto" w:line="240" w:before="0" w:after="240"/>
        <w:jc w:val="left"/>
        <w:rPr/>
      </w:pPr>
      <w:r>
        <w:rPr>
          <w:rFonts w:ascii="Times New Roman;sans-serif" w:hAnsi="Times New Roman;sans-serif"/>
          <w:b w:val="false"/>
          <w:color w:val="000000"/>
          <w:sz w:val="24"/>
        </w:rPr>
        <w:t>Date</w:t>
      </w:r>
      <w:r>
        <w:rPr>
          <w:rFonts w:ascii="Times New Roman;sans-serif" w:hAnsi="Times New Roman;sans-serif"/>
          <w:b w:val="false"/>
          <w:color w:val="000000"/>
          <w:sz w:val="22"/>
        </w:rPr>
        <w:t>:</w:t>
      </w:r>
      <w:r>
        <w:rPr>
          <w:rFonts w:ascii="Times New Roman;sans-serif" w:hAnsi="Times New Roman;sans-serif"/>
          <w:b w:val="false"/>
          <w:color w:val="000000"/>
          <w:sz w:val="16"/>
        </w:rPr>
        <w:t>40</w:t>
      </w:r>
      <w:r>
        <w:rPr>
          <w:color w:val="000000"/>
        </w:rPr>
        <w:t xml:space="preserve"> </w:t>
      </w:r>
      <w:r>
        <w:rPr>
          <w:rFonts w:ascii="Times New Roman;sans-serif" w:hAnsi="Times New Roman;sans-serif"/>
          <w:b w:val="false"/>
          <w:color w:val="000000"/>
          <w:sz w:val="24"/>
          <w:u w:val="single"/>
        </w:rPr>
        <w:t>[●]</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w:t>
      </w:r>
    </w:p>
    <w:p>
      <w:pPr>
        <w:pStyle w:val="TextBody"/>
        <w:bidi w:val="0"/>
        <w:spacing w:before="0" w:after="0"/>
        <w:jc w:val="both"/>
        <w:rPr/>
      </w:pPr>
      <w:r>
        <w:rPr/>
      </w:r>
    </w:p>
    <w:p>
      <w:pPr>
        <w:pStyle w:val="TextBody"/>
        <w:bidi w:val="0"/>
        <w:spacing w:lineRule="auto" w:line="240" w:before="0" w:after="0"/>
        <w:ind w:left="0" w:right="0" w:hanging="720"/>
        <w:jc w:val="both"/>
        <w:rPr/>
      </w:pPr>
      <w:r>
        <w:rPr>
          <w:rFonts w:ascii="Times New Roman;sans-serif" w:hAnsi="Times New Roman;sans-serif"/>
          <w:b w:val="false"/>
          <w:color w:val="000000"/>
          <w:sz w:val="24"/>
        </w:rPr>
        <w:t>To:    [Morgan Stanley Senior Funding, Inc., as administrative agent for the Term Facility (in such     capacity, the “</w:t>
      </w:r>
      <w:r>
        <w:rPr>
          <w:rFonts w:ascii="Times New Roman;sans-serif" w:hAnsi="Times New Roman;sans-serif"/>
          <w:b w:val="false"/>
          <w:color w:val="000000"/>
          <w:sz w:val="24"/>
          <w:u w:val="single"/>
        </w:rPr>
        <w:t>Term Facility Administrative Agent</w:t>
      </w:r>
      <w:r>
        <w:rPr>
          <w:color w:val="000000"/>
        </w:rPr>
        <w:t>”</w:t>
      </w:r>
      <w:r>
        <w:rPr>
          <w:rFonts w:ascii="Times New Roman;sans-serif" w:hAnsi="Times New Roman;sans-serif"/>
          <w:b w:val="false"/>
          <w:color w:val="000000"/>
          <w:sz w:val="24"/>
        </w:rPr>
        <w:t>) under that certain Credit Agreement dated as of February 6, 2024 (as the same may be amended, supplemented, restated, amended and restated, or otherwise modified from time to time, the “</w:t>
      </w:r>
      <w:r>
        <w:rPr>
          <w:rFonts w:ascii="Times New Roman;sans-serif" w:hAnsi="Times New Roman;sans-serif"/>
          <w:b w:val="false"/>
          <w:color w:val="000000"/>
          <w:sz w:val="24"/>
          <w:u w:val="single"/>
        </w:rPr>
        <w:t>Credit</w:t>
      </w:r>
      <w:r>
        <w:rPr>
          <w:color w:val="000000"/>
        </w:rPr>
        <w:t xml:space="preserve"> </w:t>
      </w:r>
      <w:r>
        <w:rPr>
          <w:rFonts w:ascii="Times New Roman;sans-serif" w:hAnsi="Times New Roman;sans-serif"/>
          <w:b w:val="false"/>
          <w:color w:val="000000"/>
          <w:sz w:val="24"/>
          <w:u w:val="single"/>
        </w:rPr>
        <w:t>Agreement</w:t>
      </w:r>
      <w:r>
        <w:rPr>
          <w:color w:val="000000"/>
        </w:rPr>
        <w:t>”</w:t>
      </w:r>
      <w:r>
        <w:rPr>
          <w:rFonts w:ascii="Times New Roman;sans-serif" w:hAnsi="Times New Roman;sans-serif"/>
          <w:b w:val="false"/>
          <w:color w:val="000000"/>
          <w:sz w:val="24"/>
        </w:rPr>
        <w:t>), by and among Magnite, Inc., a Delaware corporation (the “</w:t>
      </w:r>
      <w:r>
        <w:rPr>
          <w:rFonts w:ascii="Times New Roman;sans-serif" w:hAnsi="Times New Roman;sans-serif"/>
          <w:b w:val="false"/>
          <w:color w:val="000000"/>
          <w:sz w:val="24"/>
          <w:u w:val="single"/>
        </w:rPr>
        <w:t>Borrower</w:t>
      </w:r>
      <w:r>
        <w:rPr>
          <w:color w:val="000000"/>
        </w:rPr>
        <w:t>”</w:t>
      </w:r>
      <w:r>
        <w:rPr>
          <w:rFonts w:ascii="Times New Roman;sans-serif" w:hAnsi="Times New Roman;sans-serif"/>
          <w:b w:val="false"/>
          <w:color w:val="000000"/>
          <w:sz w:val="24"/>
        </w:rPr>
        <w:t>), Morgan Stanley Senior Funding, Inc., as Term Facility Administrative Agent, Citibank, N.A., as Revolving Facility Administrative Agent, Collateral Agent and Swingline Lender, and each Issuing Bank and Lender party thereto from time to time.]</w:t>
      </w:r>
      <w:r>
        <w:rPr>
          <w:rFonts w:ascii="Times New Roman;sans-serif" w:hAnsi="Times New Roman;sans-serif"/>
          <w:b w:val="false"/>
          <w:color w:val="000000"/>
          <w:sz w:val="16"/>
        </w:rPr>
        <w:t>41</w:t>
      </w:r>
      <w:r>
        <w:rPr>
          <w:rFonts w:ascii="Times New Roman;sans-serif" w:hAnsi="Times New Roman;sans-serif"/>
          <w:b w:val="false"/>
          <w:color w:val="000000"/>
          <w:sz w:val="24"/>
        </w:rPr>
        <w:t>[Citibank, N.A., as administrative agent for the Revolving Facility (in such capacity, the “</w:t>
      </w:r>
      <w:r>
        <w:rPr>
          <w:rFonts w:ascii="Times New Roman;sans-serif" w:hAnsi="Times New Roman;sans-serif"/>
          <w:b w:val="false"/>
          <w:color w:val="000000"/>
          <w:sz w:val="24"/>
          <w:u w:val="single"/>
        </w:rPr>
        <w:t>Revolving Facility</w:t>
      </w:r>
      <w:r>
        <w:rPr>
          <w:color w:val="000000"/>
        </w:rPr>
        <w:t xml:space="preserve"> </w:t>
      </w:r>
      <w:r>
        <w:rPr>
          <w:rFonts w:ascii="Times New Roman;sans-serif" w:hAnsi="Times New Roman;sans-serif"/>
          <w:b w:val="false"/>
          <w:color w:val="000000"/>
          <w:sz w:val="24"/>
          <w:u w:val="single"/>
        </w:rPr>
        <w:t>Administrative Agent</w:t>
      </w:r>
      <w:r>
        <w:rPr>
          <w:color w:val="000000"/>
        </w:rPr>
        <w:t>”</w:t>
      </w:r>
      <w:r>
        <w:rPr>
          <w:rFonts w:ascii="Times New Roman;sans-serif" w:hAnsi="Times New Roman;sans-serif"/>
          <w:b w:val="false"/>
          <w:color w:val="000000"/>
          <w:sz w:val="24"/>
        </w:rPr>
        <w:t>) under that certain Credit Agreement dated as of February 6, 2024 (as the same may be amended, supplemented, restated, amended and restated, or otherwise modified from time to time, the “</w:t>
      </w:r>
      <w:r>
        <w:rPr>
          <w:rFonts w:ascii="Times New Roman;sans-serif" w:hAnsi="Times New Roman;sans-serif"/>
          <w:b w:val="false"/>
          <w:color w:val="000000"/>
          <w:sz w:val="24"/>
          <w:u w:val="single"/>
        </w:rPr>
        <w:t>Credit Agreement</w:t>
      </w:r>
      <w:r>
        <w:rPr>
          <w:color w:val="000000"/>
        </w:rPr>
        <w:t>”</w:t>
      </w:r>
      <w:r>
        <w:rPr>
          <w:rFonts w:ascii="Times New Roman;sans-serif" w:hAnsi="Times New Roman;sans-serif"/>
          <w:b w:val="false"/>
          <w:color w:val="000000"/>
          <w:sz w:val="24"/>
        </w:rPr>
        <w:t>), by and among Magnite, Inc., a Delaware corporation (the “</w:t>
      </w:r>
      <w:r>
        <w:rPr>
          <w:rFonts w:ascii="Times New Roman;sans-serif" w:hAnsi="Times New Roman;sans-serif"/>
          <w:b w:val="false"/>
          <w:color w:val="000000"/>
          <w:sz w:val="24"/>
          <w:u w:val="single"/>
        </w:rPr>
        <w:t>Borrower</w:t>
      </w:r>
      <w:r>
        <w:rPr>
          <w:color w:val="000000"/>
        </w:rPr>
        <w:t>”</w:t>
      </w:r>
      <w:r>
        <w:rPr>
          <w:rFonts w:ascii="Times New Roman;sans-serif" w:hAnsi="Times New Roman;sans-serif"/>
          <w:b w:val="false"/>
          <w:color w:val="000000"/>
          <w:sz w:val="24"/>
        </w:rPr>
        <w:t>), Morgan Stanley Senior Funding, Inc., as Term Facility Administrative Agent, Citibank, N.A., as Revolving Facility Administrative Agent, Collateral Agent and Swingline Lender, and each Issuing Bank and Lender party thereto from time to time.]</w:t>
      </w:r>
      <w:r>
        <w:rPr>
          <w:rFonts w:ascii="Times New Roman;sans-serif" w:hAnsi="Times New Roman;sans-serif"/>
          <w:b w:val="false"/>
          <w:color w:val="000000"/>
          <w:sz w:val="16"/>
        </w:rPr>
        <w:t>42</w:t>
      </w:r>
    </w:p>
    <w:p>
      <w:pPr>
        <w:pStyle w:val="TextBody"/>
        <w:bidi w:val="0"/>
        <w:spacing w:lineRule="auto" w:line="240" w:before="241" w:after="283"/>
        <w:jc w:val="both"/>
        <w:rPr>
          <w:rFonts w:ascii="Times New Roman;sans-serif" w:hAnsi="Times New Roman;sans-serif"/>
          <w:b w:val="false"/>
          <w:color w:val="000000"/>
          <w:sz w:val="24"/>
        </w:rPr>
      </w:pPr>
      <w:r>
        <w:rPr>
          <w:rFonts w:ascii="Times New Roman;sans-serif" w:hAnsi="Times New Roman;sans-serif"/>
          <w:b w:val="false"/>
          <w:color w:val="000000"/>
          <w:sz w:val="24"/>
        </w:rPr>
        <w:t>Ladies and Gentlemen:</w:t>
      </w:r>
    </w:p>
    <w:p>
      <w:pPr>
        <w:pStyle w:val="TextBody"/>
        <w:bidi w:val="0"/>
        <w:spacing w:lineRule="auto" w:line="240"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Reference is made to the above-described Credit Agreement. Terms defined in the Credit Agreement, wherever used herein, unless otherwise defined herein, shall have the same meanings herein as are prescribed by the Credit Agreement. This notice constitutes an Interest Election Request and the undersigned Borrower hereby makes an election with respect to Loans under the Credit Agreement, and in that connection the Borrower specifies the following information with respect to such election:</w:t>
      </w:r>
    </w:p>
    <w:p>
      <w:pPr>
        <w:pStyle w:val="TextBody"/>
        <w:bidi w:val="0"/>
        <w:spacing w:lineRule="auto" w:line="240" w:before="238" w:after="283"/>
        <w:ind w:left="0" w:right="0" w:hanging="720"/>
        <w:jc w:val="left"/>
        <w:rPr/>
      </w:pPr>
      <w:r>
        <w:rPr>
          <w:rFonts w:ascii="Times New Roman;sans-serif" w:hAnsi="Times New Roman;sans-serif"/>
          <w:b w:val="false"/>
          <w:color w:val="000000"/>
          <w:sz w:val="24"/>
        </w:rPr>
        <w:t>1.Borrowing to which this request applies (including Facility, Class, principal amount and Type of Loans subject to election):</w:t>
      </w:r>
      <w:r>
        <w:rPr>
          <w:color w:val="000000"/>
          <w:u w:val="single"/>
        </w:rPr>
        <w:t>    </w:t>
      </w:r>
      <w:r>
        <w:rPr>
          <w:rFonts w:ascii="Times New Roman;sans-serif" w:hAnsi="Times New Roman;sans-serif"/>
          <w:b w:val="false"/>
          <w:color w:val="000000"/>
          <w:sz w:val="24"/>
        </w:rPr>
        <w:t>.</w:t>
      </w:r>
      <w:r>
        <w:rPr>
          <w:rFonts w:ascii="Times New Roman;sans-serif" w:hAnsi="Times New Roman;sans-serif"/>
          <w:b w:val="false"/>
          <w:color w:val="000000"/>
          <w:sz w:val="16"/>
        </w:rPr>
        <w:t>43</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149" w:after="283"/>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w:t>
      </w:r>
    </w:p>
    <w:p>
      <w:pPr>
        <w:pStyle w:val="TextBody"/>
        <w:bidi w:val="0"/>
        <w:spacing w:lineRule="auto" w:line="240" w:before="222" w:after="283"/>
        <w:jc w:val="both"/>
        <w:rPr/>
      </w:pPr>
      <w:r>
        <w:rPr>
          <w:rFonts w:ascii="Times New Roman;sans-serif" w:hAnsi="Times New Roman;sans-serif"/>
          <w:b w:val="false"/>
          <w:color w:val="000000"/>
          <w:sz w:val="13"/>
        </w:rPr>
        <w:t>40</w:t>
      </w:r>
      <w:r>
        <w:rPr>
          <w:color w:val="000000"/>
        </w:rPr>
        <w:t xml:space="preserve"> </w:t>
      </w:r>
      <w:r>
        <w:rPr>
          <w:rFonts w:ascii="Times New Roman;sans-serif" w:hAnsi="Times New Roman;sans-serif"/>
          <w:b w:val="false"/>
          <w:color w:val="000000"/>
          <w:sz w:val="20"/>
        </w:rPr>
        <w:t xml:space="preserve">The Borrower must notify the Administrative Agent of such election (by telephone or irrevocable written notice) by the time that a Borrowing Request would be required under </w:t>
      </w:r>
      <w:r>
        <w:rPr>
          <w:rFonts w:ascii="Times New Roman;sans-serif" w:hAnsi="Times New Roman;sans-serif"/>
          <w:b w:val="false"/>
          <w:color w:val="000000"/>
          <w:sz w:val="20"/>
          <w:u w:val="single"/>
        </w:rPr>
        <w:t>Section 2.03</w:t>
      </w:r>
      <w:r>
        <w:rPr>
          <w:color w:val="000000"/>
        </w:rPr>
        <w:t xml:space="preserve"> </w:t>
      </w:r>
      <w:r>
        <w:rPr>
          <w:rFonts w:ascii="Times New Roman;sans-serif" w:hAnsi="Times New Roman;sans-serif"/>
          <w:b w:val="false"/>
          <w:color w:val="000000"/>
          <w:sz w:val="20"/>
        </w:rPr>
        <w:t>if such Borrower were requesting a Borrowing of the Type and Class resulting from such election to be made on the effective date of such election. Each telephonic Interest Election Request will be irrevocable and must be confirmed promptly by hand delivery or electronic means of this form, signed by the Borrower, to the Administrative Agent.</w:t>
      </w:r>
    </w:p>
    <w:p>
      <w:pPr>
        <w:pStyle w:val="TextBody"/>
        <w:bidi w:val="0"/>
        <w:spacing w:lineRule="auto" w:line="240" w:before="120" w:after="283"/>
        <w:jc w:val="left"/>
        <w:rPr/>
      </w:pPr>
      <w:r>
        <w:rPr>
          <w:rFonts w:ascii="Times New Roman;sans-serif" w:hAnsi="Times New Roman;sans-serif"/>
          <w:b w:val="false"/>
          <w:color w:val="000000"/>
          <w:sz w:val="13"/>
        </w:rPr>
        <w:t>41</w:t>
      </w:r>
      <w:r>
        <w:rPr>
          <w:color w:val="000000"/>
        </w:rPr>
        <w:t xml:space="preserve"> </w:t>
      </w:r>
      <w:r>
        <w:rPr>
          <w:rFonts w:ascii="Times New Roman;sans-serif" w:hAnsi="Times New Roman;sans-serif"/>
          <w:b w:val="false"/>
          <w:color w:val="000000"/>
          <w:sz w:val="20"/>
        </w:rPr>
        <w:t>If requests is for Initial Term Loans or Other Term Loans.</w:t>
      </w:r>
    </w:p>
    <w:p>
      <w:pPr>
        <w:pStyle w:val="TextBody"/>
        <w:bidi w:val="0"/>
        <w:spacing w:lineRule="auto" w:line="240" w:before="120" w:after="283"/>
        <w:jc w:val="left"/>
        <w:rPr/>
      </w:pPr>
      <w:r>
        <w:rPr>
          <w:rFonts w:ascii="Times New Roman;sans-serif" w:hAnsi="Times New Roman;sans-serif"/>
          <w:b w:val="false"/>
          <w:color w:val="000000"/>
          <w:sz w:val="13"/>
        </w:rPr>
        <w:t>42</w:t>
      </w:r>
      <w:r>
        <w:rPr>
          <w:color w:val="000000"/>
        </w:rPr>
        <w:t xml:space="preserve"> </w:t>
      </w:r>
      <w:r>
        <w:rPr>
          <w:rFonts w:ascii="Times New Roman;sans-serif" w:hAnsi="Times New Roman;sans-serif"/>
          <w:b w:val="false"/>
          <w:color w:val="000000"/>
          <w:sz w:val="20"/>
        </w:rPr>
        <w:t>If request is for Revolving Facility Loans.</w:t>
      </w:r>
    </w:p>
    <w:p>
      <w:pPr>
        <w:pStyle w:val="TextBody"/>
        <w:bidi w:val="0"/>
        <w:spacing w:lineRule="auto" w:line="240" w:before="121" w:after="283"/>
        <w:jc w:val="both"/>
        <w:rPr/>
      </w:pPr>
      <w:r>
        <w:rPr>
          <w:rFonts w:ascii="Times New Roman;sans-serif" w:hAnsi="Times New Roman;sans-serif"/>
          <w:b w:val="false"/>
          <w:color w:val="000000"/>
          <w:sz w:val="13"/>
        </w:rPr>
        <w:t>43</w:t>
      </w:r>
      <w:r>
        <w:rPr>
          <w:color w:val="000000"/>
        </w:rPr>
        <w:t xml:space="preserve"> </w:t>
      </w:r>
      <w:r>
        <w:rPr>
          <w:rFonts w:ascii="Times New Roman;sans-serif" w:hAnsi="Times New Roman;sans-serif"/>
          <w:b w:val="false"/>
          <w:color w:val="000000"/>
          <w:sz w:val="20"/>
        </w:rPr>
        <w:t>If different options are being elected with respect to different portions of the Borrowing, the portions thereof must be allocated to each resulting Borrowing (in which case the information to be specified pursuant to Paragraphs 3 and 4 shall be specified for each resulting Borrowing).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6480175" cy="781050"/>
                <wp:effectExtent l="0" t="0" r="0" b="0"/>
                <wp:wrapNone/>
                <wp:docPr id="461" name="Frame460"/>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259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259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60" w:after="283"/>
        <w:ind w:left="0" w:right="0" w:hanging="719"/>
        <w:jc w:val="left"/>
        <w:rPr/>
      </w:pPr>
      <w:r>
        <w:rPr>
          <w:rFonts w:ascii="Times New Roman;sans-serif" w:hAnsi="Times New Roman;sans-serif"/>
          <w:b w:val="false"/>
          <w:color w:val="000000"/>
          <w:sz w:val="24"/>
        </w:rPr>
        <w:t>2.Effective date of election (which shall be a Business Day):</w:t>
      </w:r>
      <w:r>
        <w:rPr>
          <w:color w:val="000000"/>
          <w:u w:val="single"/>
        </w:rPr>
        <w:t>    </w:t>
      </w:r>
      <w:r>
        <w:rPr>
          <w:rFonts w:ascii="Times New Roman;sans-serif" w:hAnsi="Times New Roman;sans-serif"/>
          <w:b w:val="false"/>
          <w:color w:val="000000"/>
          <w:sz w:val="24"/>
        </w:rPr>
        <w:t>.</w:t>
      </w:r>
    </w:p>
    <w:p>
      <w:pPr>
        <w:pStyle w:val="TextBody"/>
        <w:bidi w:val="0"/>
        <w:spacing w:lineRule="auto" w:line="240" w:before="240" w:after="283"/>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3.The Borrowing is to be [converted into][continued as] [an ABR Borrowing][a Term SOFR Borrowing].</w:t>
      </w:r>
    </w:p>
    <w:p>
      <w:pPr>
        <w:pStyle w:val="TextBody"/>
        <w:bidi w:val="0"/>
        <w:spacing w:lineRule="auto" w:line="240" w:before="240" w:after="283"/>
        <w:ind w:left="0" w:right="0" w:hanging="720"/>
        <w:jc w:val="left"/>
        <w:rPr/>
      </w:pPr>
      <w:r>
        <w:rPr>
          <w:rFonts w:ascii="Times New Roman;sans-serif" w:hAnsi="Times New Roman;sans-serif"/>
          <w:b w:val="false"/>
          <w:color w:val="000000"/>
          <w:sz w:val="24"/>
        </w:rPr>
        <w:t>4.[The duration of the Interest Period for the Term SOFR Borrowing, if any, included in the election shall be</w:t>
      </w:r>
      <w:r>
        <w:rPr>
          <w:color w:val="000000"/>
          <w:u w:val="single"/>
        </w:rPr>
        <w:t xml:space="preserve"> </w:t>
      </w:r>
      <w:r>
        <w:rPr>
          <w:rFonts w:ascii="Times New Roman;sans-serif" w:hAnsi="Times New Roman;sans-serif"/>
          <w:b w:val="false"/>
          <w:color w:val="000000"/>
          <w:sz w:val="24"/>
        </w:rPr>
        <w:t>months.</w:t>
      </w:r>
      <w:r>
        <w:rPr>
          <w:rFonts w:ascii="Times New Roman;sans-serif" w:hAnsi="Times New Roman;sans-serif"/>
          <w:b w:val="false"/>
          <w:color w:val="000000"/>
          <w:sz w:val="16"/>
        </w:rPr>
        <w:t>44</w:t>
      </w:r>
      <w:r>
        <w:rPr>
          <w:rFonts w:ascii="Times New Roman;sans-serif" w:hAnsi="Times New Roman;sans-serif"/>
          <w:b w:val="false"/>
          <w:color w:val="000000"/>
          <w:sz w:val="24"/>
        </w:rPr>
        <w:t>]</w:t>
      </w:r>
      <w:r>
        <w:rPr>
          <w:rFonts w:ascii="Times New Roman;sans-serif" w:hAnsi="Times New Roman;sans-serif"/>
          <w:b w:val="false"/>
          <w:color w:val="000000"/>
          <w:sz w:val="16"/>
        </w:rPr>
        <w:t>45</w:t>
      </w:r>
    </w:p>
    <w:p>
      <w:pPr>
        <w:pStyle w:val="TextBody"/>
        <w:bidi w:val="0"/>
        <w:spacing w:lineRule="auto" w:line="240" w:before="240" w:after="283"/>
        <w:jc w:val="center"/>
        <w:rPr>
          <w:rFonts w:ascii="Times New Roman;sans-serif" w:hAnsi="Times New Roman;sans-serif"/>
          <w:b w:val="false"/>
          <w:i/>
          <w:color w:val="000000"/>
          <w:sz w:val="24"/>
        </w:rPr>
      </w:pPr>
      <w:r>
        <w:rPr>
          <w:rFonts w:ascii="Times New Roman;sans-serif" w:hAnsi="Times New Roman;sans-serif"/>
          <w:b w:val="false"/>
          <w:i/>
          <w:color w:val="000000"/>
          <w:sz w:val="24"/>
        </w:rPr>
        <w:t>[Remainder of Page Intentionally Left Blank]</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w:t>
      </w:r>
    </w:p>
    <w:p>
      <w:pPr>
        <w:pStyle w:val="TextBody"/>
        <w:bidi w:val="0"/>
        <w:spacing w:before="87" w:after="283"/>
        <w:jc w:val="left"/>
        <w:rPr/>
      </w:pPr>
      <w:r>
        <w:rPr/>
      </w:r>
    </w:p>
    <w:p>
      <w:pPr>
        <w:pStyle w:val="TextBody"/>
        <w:bidi w:val="0"/>
        <w:spacing w:lineRule="auto" w:line="240" w:before="221" w:after="283"/>
        <w:jc w:val="left"/>
        <w:rPr/>
      </w:pPr>
      <w:r>
        <w:rPr>
          <w:rFonts w:ascii="Times New Roman;sans-serif" w:hAnsi="Times New Roman;sans-serif"/>
          <w:b w:val="false"/>
          <w:color w:val="000000"/>
          <w:sz w:val="13"/>
        </w:rPr>
        <w:t>44</w:t>
      </w:r>
      <w:r>
        <w:rPr>
          <w:color w:val="000000"/>
        </w:rPr>
        <w:t>    </w:t>
      </w:r>
      <w:r>
        <w:rPr>
          <w:rFonts w:ascii="Times New Roman;sans-serif" w:hAnsi="Times New Roman;sans-serif"/>
          <w:b w:val="false"/>
          <w:color w:val="000000"/>
          <w:sz w:val="20"/>
        </w:rPr>
        <w:t>1, 3 or 6 months (or such other period that is requested by the Borrower, if agreed to by all relevant Lenders).</w:t>
      </w:r>
    </w:p>
    <w:p>
      <w:pPr>
        <w:pStyle w:val="TextBody"/>
        <w:bidi w:val="0"/>
        <w:spacing w:lineRule="auto" w:line="240" w:before="120" w:after="283"/>
        <w:jc w:val="left"/>
        <w:rPr/>
      </w:pPr>
      <w:r>
        <w:rPr>
          <w:rFonts w:ascii="Times New Roman;sans-serif" w:hAnsi="Times New Roman;sans-serif"/>
          <w:b w:val="false"/>
          <w:color w:val="000000"/>
          <w:sz w:val="13"/>
        </w:rPr>
        <w:t>45</w:t>
      </w:r>
      <w:r>
        <w:rPr>
          <w:color w:val="000000"/>
        </w:rPr>
        <w:t>    </w:t>
      </w:r>
      <w:r>
        <w:rPr>
          <w:rFonts w:ascii="Times New Roman;sans-serif" w:hAnsi="Times New Roman;sans-serif"/>
          <w:b w:val="false"/>
          <w:color w:val="000000"/>
          <w:sz w:val="20"/>
        </w:rPr>
        <w:t>To be included if the interest election results in a Term SOFR Borrowing.</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6480175" cy="781050"/>
                <wp:effectExtent l="0" t="0" r="0" b="0"/>
                <wp:wrapNone/>
                <wp:docPr id="462" name="Frame461"/>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260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260</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6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This Interest Election Request is issued pursuant to and is subject to the Credit Agreement, executed as of the date first written above.</w:t>
      </w:r>
    </w:p>
    <w:p>
      <w:pPr>
        <w:pStyle w:val="TextBody"/>
        <w:bidi w:val="0"/>
        <w:spacing w:lineRule="auto" w:line="240" w:before="24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MAGNITE, INC.</w:t>
      </w:r>
    </w:p>
    <w:p>
      <w:pPr>
        <w:pStyle w:val="TextBody"/>
        <w:bidi w:val="0"/>
        <w:spacing w:before="204" w:after="283"/>
        <w:jc w:val="left"/>
        <w:rPr/>
      </w:pPr>
      <w:r>
        <w:rPr/>
      </w:r>
    </w:p>
    <w:p>
      <w:pPr>
        <w:pStyle w:val="TextBody"/>
        <w:bidi w:val="0"/>
        <w:spacing w:lineRule="auto" w:line="285" w:before="0" w:after="0"/>
        <w:ind w:left="0" w:right="0" w:hanging="813"/>
        <w:jc w:val="left"/>
        <w:rPr/>
      </w:pPr>
      <w:r>
        <w:rPr>
          <w:rFonts w:ascii="Times New Roman;sans-serif" w:hAnsi="Times New Roman;sans-serif"/>
          <w:b w:val="false"/>
          <w:color w:val="000000"/>
          <w:sz w:val="24"/>
        </w:rPr>
        <w:t>By:    </w:t>
      </w:r>
      <w:r>
        <w:rPr>
          <w:color w:val="000000"/>
          <w:u w:val="single"/>
        </w:rPr>
        <w:t>        </w:t>
      </w:r>
      <w:r>
        <w:rPr>
          <w:color w:val="000000"/>
        </w:rPr>
        <w:t xml:space="preserve"> </w:t>
      </w:r>
      <w:r>
        <w:rPr>
          <w:rFonts w:ascii="Times New Roman;sans-serif" w:hAnsi="Times New Roman;sans-serif"/>
          <w:b w:val="false"/>
          <w:color w:val="000000"/>
          <w:sz w:val="24"/>
        </w:rPr>
        <w:t>Name:</w:t>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Title: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1" w:after="283"/>
        <w:jc w:val="left"/>
        <w:rPr/>
      </w:pPr>
      <w:r>
        <w:rPr/>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to Interest Election Request]</w:t>
      </w:r>
    </w:p>
    <w:p>
      <w:pPr>
        <w:pStyle w:val="TextBody"/>
        <w:bidi w:val="0"/>
        <w:spacing w:before="0" w:after="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64">
                <wp:simplePos x="0" y="0"/>
                <wp:positionH relativeFrom="character">
                  <wp:align>left</wp:align>
                </wp:positionH>
                <wp:positionV relativeFrom="line">
                  <wp:posOffset>635</wp:posOffset>
                </wp:positionV>
                <wp:extent cx="6480175" cy="781050"/>
                <wp:effectExtent l="0" t="0" r="0" b="0"/>
                <wp:wrapNone/>
                <wp:docPr id="463" name="Frame462"/>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261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261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40" w:before="60" w:after="283"/>
        <w:jc w:val="right"/>
        <w:rPr>
          <w:rFonts w:ascii="Times New Roman;sans-serif" w:hAnsi="Times New Roman;sans-serif"/>
          <w:b/>
          <w:color w:val="000000"/>
          <w:sz w:val="24"/>
        </w:rPr>
      </w:pPr>
      <w:r>
        <w:rPr>
          <w:rFonts w:ascii="Times New Roman;sans-serif" w:hAnsi="Times New Roman;sans-serif"/>
          <w:b/>
          <w:color w:val="000000"/>
          <w:sz w:val="24"/>
        </w:rPr>
        <w:t>EXHIBIT F</w:t>
      </w:r>
    </w:p>
    <w:p>
      <w:pPr>
        <w:pStyle w:val="TextBody"/>
        <w:bidi w:val="0"/>
        <w:spacing w:lineRule="auto" w:line="240" w:before="240" w:after="283"/>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AUCTION PROCEDURES</w:t>
      </w:r>
    </w:p>
    <w:p>
      <w:pPr>
        <w:pStyle w:val="TextBody"/>
        <w:bidi w:val="0"/>
        <w:spacing w:lineRule="auto" w:line="240" w:before="240" w:after="283"/>
        <w:jc w:val="both"/>
        <w:rPr/>
      </w:pPr>
      <w:r>
        <w:rPr>
          <w:rFonts w:ascii="Times New Roman;sans-serif" w:hAnsi="Times New Roman;sans-serif"/>
          <w:b w:val="false"/>
          <w:i/>
          <w:color w:val="000000"/>
          <w:sz w:val="24"/>
        </w:rPr>
        <w:t xml:space="preserve">This </w:t>
      </w:r>
      <w:r>
        <w:rPr>
          <w:rFonts w:ascii="Times New Roman;sans-serif" w:hAnsi="Times New Roman;sans-serif"/>
          <w:b w:val="false"/>
          <w:i/>
          <w:color w:val="000000"/>
          <w:sz w:val="24"/>
          <w:u w:val="single"/>
        </w:rPr>
        <w:t>Exhibit F</w:t>
      </w:r>
      <w:r>
        <w:rPr>
          <w:color w:val="000000"/>
        </w:rPr>
        <w:t xml:space="preserve"> </w:t>
      </w:r>
      <w:r>
        <w:rPr>
          <w:rFonts w:ascii="Times New Roman;sans-serif" w:hAnsi="Times New Roman;sans-serif"/>
          <w:b w:val="false"/>
          <w:i/>
          <w:color w:val="000000"/>
          <w:sz w:val="24"/>
        </w:rPr>
        <w:t>is intended to summarize certain basic terms of the modified Dutch auction (an “</w:t>
      </w:r>
      <w:r>
        <w:rPr>
          <w:rFonts w:ascii="Times New Roman;sans-serif" w:hAnsi="Times New Roman;sans-serif"/>
          <w:b w:val="false"/>
          <w:i/>
          <w:color w:val="000000"/>
          <w:sz w:val="24"/>
          <w:u w:val="single"/>
        </w:rPr>
        <w:t>Auction</w:t>
      </w:r>
      <w:r>
        <w:rPr>
          <w:color w:val="000000"/>
        </w:rPr>
        <w:t>”</w:t>
      </w:r>
      <w:r>
        <w:rPr>
          <w:rFonts w:ascii="Times New Roman;sans-serif" w:hAnsi="Times New Roman;sans-serif"/>
          <w:b w:val="false"/>
          <w:i/>
          <w:color w:val="000000"/>
          <w:sz w:val="24"/>
        </w:rPr>
        <w:t xml:space="preserve">) procedures pursuant to and in accordance with the terms and conditions of </w:t>
      </w:r>
      <w:r>
        <w:rPr>
          <w:rFonts w:ascii="Times New Roman;sans-serif" w:hAnsi="Times New Roman;sans-serif"/>
          <w:b w:val="false"/>
          <w:i/>
          <w:color w:val="000000"/>
          <w:sz w:val="24"/>
          <w:u w:val="single"/>
        </w:rPr>
        <w:t>Section</w:t>
      </w:r>
    </w:p>
    <w:p>
      <w:pPr>
        <w:pStyle w:val="TextBody"/>
        <w:bidi w:val="0"/>
        <w:spacing w:lineRule="auto" w:line="240" w:before="0" w:after="0"/>
        <w:jc w:val="both"/>
        <w:rPr/>
      </w:pPr>
      <w:r>
        <w:rPr>
          <w:rFonts w:ascii="Times New Roman;sans-serif" w:hAnsi="Times New Roman;sans-serif"/>
          <w:b w:val="false"/>
          <w:i/>
          <w:color w:val="000000"/>
          <w:sz w:val="24"/>
          <w:u w:val="single"/>
        </w:rPr>
        <w:t>2.25</w:t>
      </w:r>
      <w:r>
        <w:rPr>
          <w:color w:val="000000"/>
        </w:rPr>
        <w:t xml:space="preserve"> </w:t>
      </w:r>
      <w:r>
        <w:rPr>
          <w:rFonts w:ascii="Times New Roman;sans-serif" w:hAnsi="Times New Roman;sans-serif"/>
          <w:b w:val="false"/>
          <w:i/>
          <w:color w:val="000000"/>
          <w:sz w:val="24"/>
        </w:rPr>
        <w:t xml:space="preserve">of that certain Agreement of which this </w:t>
      </w:r>
      <w:r>
        <w:rPr>
          <w:rFonts w:ascii="Times New Roman;sans-serif" w:hAnsi="Times New Roman;sans-serif"/>
          <w:b w:val="false"/>
          <w:i/>
          <w:color w:val="000000"/>
          <w:sz w:val="24"/>
          <w:u w:val="single"/>
        </w:rPr>
        <w:t>Exhibit F</w:t>
      </w:r>
      <w:r>
        <w:rPr>
          <w:color w:val="000000"/>
        </w:rPr>
        <w:t xml:space="preserve"> </w:t>
      </w:r>
      <w:r>
        <w:rPr>
          <w:rFonts w:ascii="Times New Roman;sans-serif" w:hAnsi="Times New Roman;sans-serif"/>
          <w:b w:val="false"/>
          <w:i/>
          <w:color w:val="000000"/>
          <w:sz w:val="24"/>
        </w:rPr>
        <w:t>is a part (as amended, supplemented, restated, amended and restated, or otherwise modified from time to time, the “</w:t>
      </w:r>
      <w:r>
        <w:rPr>
          <w:rFonts w:ascii="Times New Roman;sans-serif" w:hAnsi="Times New Roman;sans-serif"/>
          <w:b w:val="false"/>
          <w:i/>
          <w:color w:val="000000"/>
          <w:sz w:val="24"/>
          <w:u w:val="single"/>
        </w:rPr>
        <w:t>Credit Agreement</w:t>
      </w:r>
      <w:r>
        <w:rPr>
          <w:color w:val="000000"/>
        </w:rPr>
        <w:t>”</w:t>
      </w:r>
      <w:r>
        <w:rPr>
          <w:rFonts w:ascii="Times New Roman;sans-serif" w:hAnsi="Times New Roman;sans-serif"/>
          <w:b w:val="false"/>
          <w:i/>
          <w:color w:val="000000"/>
          <w:sz w:val="24"/>
        </w:rPr>
        <w:t>). It is not intended to be a definitive statement of all of the terms and conditions of an Auction, the definitive terms and conditions for which shall be set forth in the applicable offering document. None of the Term Facility Administrative Agent, the Auction Manager or any of their respective affiliates or any officers, directors, employees, agents or attorneys-in-fact of such Persons (together with the Term Facility Administrative Agent and its affiliates, the “</w:t>
      </w:r>
      <w:r>
        <w:rPr>
          <w:rFonts w:ascii="Times New Roman;sans-serif" w:hAnsi="Times New Roman;sans-serif"/>
          <w:b w:val="false"/>
          <w:i/>
          <w:color w:val="000000"/>
          <w:sz w:val="24"/>
          <w:u w:val="single"/>
        </w:rPr>
        <w:t>Agent-Related</w:t>
      </w:r>
      <w:r>
        <w:rPr>
          <w:color w:val="000000"/>
        </w:rPr>
        <w:t xml:space="preserve"> </w:t>
      </w:r>
      <w:r>
        <w:rPr>
          <w:rFonts w:ascii="Times New Roman;sans-serif" w:hAnsi="Times New Roman;sans-serif"/>
          <w:b w:val="false"/>
          <w:i/>
          <w:color w:val="000000"/>
          <w:sz w:val="24"/>
          <w:u w:val="single"/>
        </w:rPr>
        <w:t>Person</w:t>
      </w:r>
      <w:r>
        <w:rPr>
          <w:color w:val="000000"/>
        </w:rPr>
        <w:t>”</w:t>
      </w:r>
      <w:r>
        <w:rPr>
          <w:rFonts w:ascii="Times New Roman;sans-serif" w:hAnsi="Times New Roman;sans-serif"/>
          <w:b w:val="false"/>
          <w:i/>
          <w:color w:val="000000"/>
          <w:sz w:val="24"/>
        </w:rPr>
        <w:t xml:space="preserve">) makes any recommendation pursuant to any offering document as to whether or not any Lender should sell its Term Loans to the Borrower pursuant to any offering documents, nor shall the decision by the Term Facility Administrative Agent, the Auction Manager or any other Agent- Related Person (or any of their affiliates) in its respective capacity as a Lender to sell its Term Loans to the Borrower be deemed to constitute such a recommendation. Each Lender should make its own decision on whether to sell any of its Term Loans and, if it decides to do so, the principal amount of and price to be sought for such Term Loans. In addition, each Lender should consult its own attorney, business advisor or tax advisor as to legal, business, tax and related matters concerning each Auction and the relevant offering documents. Capitalized terms not otherwise defined in this </w:t>
      </w:r>
      <w:r>
        <w:rPr>
          <w:rFonts w:ascii="Times New Roman;sans-serif" w:hAnsi="Times New Roman;sans-serif"/>
          <w:b w:val="false"/>
          <w:i/>
          <w:color w:val="000000"/>
          <w:sz w:val="24"/>
          <w:u w:val="single"/>
        </w:rPr>
        <w:t>Exhibit F</w:t>
      </w:r>
      <w:r>
        <w:rPr>
          <w:color w:val="000000"/>
        </w:rPr>
        <w:t xml:space="preserve"> </w:t>
      </w:r>
      <w:r>
        <w:rPr>
          <w:rFonts w:ascii="Times New Roman;sans-serif" w:hAnsi="Times New Roman;sans-serif"/>
          <w:b w:val="false"/>
          <w:i/>
          <w:color w:val="000000"/>
          <w:sz w:val="24"/>
        </w:rPr>
        <w:t>have the meanings assigned to them in the Credit Agreement.</w:t>
      </w:r>
    </w:p>
    <w:p>
      <w:pPr>
        <w:pStyle w:val="TextBody"/>
        <w:bidi w:val="0"/>
        <w:spacing w:lineRule="auto" w:line="240" w:before="241" w:after="283"/>
        <w:ind w:left="0" w:right="0" w:firstLine="720"/>
        <w:jc w:val="both"/>
        <w:rPr/>
      </w:pPr>
      <w:r>
        <w:rPr>
          <w:rFonts w:ascii="Times New Roman;sans-serif" w:hAnsi="Times New Roman;sans-serif"/>
          <w:b w:val="false"/>
          <w:color w:val="000000"/>
          <w:sz w:val="24"/>
        </w:rPr>
        <w:t>1.</w:t>
      </w:r>
      <w:r>
        <w:rPr>
          <w:rFonts w:ascii="Times New Roman;sans-serif" w:hAnsi="Times New Roman;sans-serif"/>
          <w:b w:val="false"/>
          <w:color w:val="000000"/>
          <w:sz w:val="24"/>
          <w:u w:val="single"/>
        </w:rPr>
        <w:t>Notice Procedures</w:t>
      </w:r>
      <w:r>
        <w:rPr>
          <w:rFonts w:ascii="Times New Roman;sans-serif" w:hAnsi="Times New Roman;sans-serif"/>
          <w:b w:val="false"/>
          <w:color w:val="000000"/>
          <w:sz w:val="24"/>
        </w:rPr>
        <w:t>. In connection with each Auction, the Borrower will provide notification to the Auction Manager (for distribution to the Term Lenders of the applicable Class of Term Loans (each, an “</w:t>
      </w:r>
      <w:r>
        <w:rPr>
          <w:rFonts w:ascii="Times New Roman;sans-serif" w:hAnsi="Times New Roman;sans-serif"/>
          <w:b w:val="false"/>
          <w:color w:val="000000"/>
          <w:sz w:val="24"/>
          <w:u w:val="single"/>
        </w:rPr>
        <w:t>Auction Notice</w:t>
      </w:r>
      <w:r>
        <w:rPr>
          <w:color w:val="000000"/>
        </w:rPr>
        <w:t>”</w:t>
      </w:r>
      <w:r>
        <w:rPr>
          <w:rFonts w:ascii="Times New Roman;sans-serif" w:hAnsi="Times New Roman;sans-serif"/>
          <w:b w:val="false"/>
          <w:color w:val="000000"/>
          <w:sz w:val="24"/>
        </w:rPr>
        <w:t>). Each Auction Notice shall contain (i) the maximum principal amount (calculated on the face amount thereof) of Term Loans of each applicable Class that the Borrower offers to purchase in such Auction (the “</w:t>
      </w:r>
      <w:r>
        <w:rPr>
          <w:rFonts w:ascii="Times New Roman;sans-serif" w:hAnsi="Times New Roman;sans-serif"/>
          <w:b w:val="false"/>
          <w:color w:val="000000"/>
          <w:sz w:val="24"/>
          <w:u w:val="single"/>
        </w:rPr>
        <w:t>Auction Amount</w:t>
      </w:r>
      <w:r>
        <w:rPr>
          <w:color w:val="000000"/>
        </w:rPr>
        <w:t>”</w:t>
      </w:r>
      <w:r>
        <w:rPr>
          <w:rFonts w:ascii="Times New Roman;sans-serif" w:hAnsi="Times New Roman;sans-serif"/>
          <w:b w:val="false"/>
          <w:color w:val="000000"/>
          <w:sz w:val="24"/>
        </w:rPr>
        <w:t>) which shall be no less than $10,000,000 (unless another amount is agreed to by the Term Facility Administrative Agent); (ii) the range of discounts to par (the “</w:t>
      </w:r>
      <w:r>
        <w:rPr>
          <w:rFonts w:ascii="Times New Roman;sans-serif" w:hAnsi="Times New Roman;sans-serif"/>
          <w:b w:val="false"/>
          <w:color w:val="000000"/>
          <w:sz w:val="24"/>
          <w:u w:val="single"/>
        </w:rPr>
        <w:t>Discount Range</w:t>
      </w:r>
      <w:r>
        <w:rPr>
          <w:color w:val="000000"/>
        </w:rPr>
        <w:t>”</w:t>
      </w:r>
      <w:r>
        <w:rPr>
          <w:rFonts w:ascii="Times New Roman;sans-serif" w:hAnsi="Times New Roman;sans-serif"/>
          <w:b w:val="false"/>
          <w:color w:val="000000"/>
          <w:sz w:val="24"/>
        </w:rPr>
        <w:t>) expressed as a range of prices per</w:t>
      </w:r>
    </w:p>
    <w:p>
      <w:pPr>
        <w:pStyle w:val="TextBody"/>
        <w:bidi w:val="0"/>
        <w:spacing w:lineRule="auto" w:line="240" w:before="0" w:after="0"/>
        <w:jc w:val="both"/>
        <w:rPr/>
      </w:pPr>
      <w:r>
        <w:rPr>
          <w:rFonts w:ascii="Times New Roman;sans-serif" w:hAnsi="Times New Roman;sans-serif"/>
          <w:b w:val="false"/>
          <w:color w:val="000000"/>
          <w:sz w:val="24"/>
        </w:rPr>
        <w:t>$1,000 (in increments of $5), at which the Borrower would be willing to purchase Term Loans of each applicable Class in such Auction; and (iii) the date on which such Auction will conclude, on which date Return Bids (as defined below) will be due by 1:00 p.m. (New York time) (as such date and time may be extended by the Auction Manager, such time the “</w:t>
      </w:r>
      <w:r>
        <w:rPr>
          <w:rFonts w:ascii="Times New Roman;sans-serif" w:hAnsi="Times New Roman;sans-serif"/>
          <w:b w:val="false"/>
          <w:color w:val="000000"/>
          <w:sz w:val="24"/>
          <w:u w:val="single"/>
        </w:rPr>
        <w:t>Expiration Time</w:t>
      </w:r>
      <w:r>
        <w:rPr>
          <w:color w:val="000000"/>
        </w:rPr>
        <w:t>”</w:t>
      </w:r>
      <w:r>
        <w:rPr>
          <w:rFonts w:ascii="Times New Roman;sans-serif" w:hAnsi="Times New Roman;sans-serif"/>
          <w:b w:val="false"/>
          <w:color w:val="000000"/>
          <w:sz w:val="24"/>
        </w:rPr>
        <w:t xml:space="preserve">). Such Expiration Time may be extended for a period not exceeding three (3) Business Days upon notice by the Borrower to the Auction Manager received not less than 24 hours before the original Expiration Time;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only one extension per offer shall be permitted. An Auction shall be regarded as a “failed auction” in the event that either (x) the Borrower withdraws such Auction in accordance with the terms hereof or (y) the Expiration Time occurs with no Qualifying Bids (as defined below) having been received. In the event of a failed auction, the Borrower shall not be permitted to deliver a new Auction Notice prior to the date occurring three (3) Business Days after such withdrawal or Expiration Time, as the case may be. Notwithstanding anything to the contrary contained herein, the Borrower shall not initiate any Auction by delivering an Auction Notice to the Auction Manager until after the conclusion (whether successful or failed) of the previous Auction (if any), whether such conclusion occurs by withdrawal of such previous Auction or the occurrence of the Expiration Time of such previous Auction.</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65">
                <wp:simplePos x="0" y="0"/>
                <wp:positionH relativeFrom="character">
                  <wp:align>left</wp:align>
                </wp:positionH>
                <wp:positionV relativeFrom="line">
                  <wp:posOffset>635</wp:posOffset>
                </wp:positionV>
                <wp:extent cx="6480175" cy="781050"/>
                <wp:effectExtent l="0" t="0" r="0" b="0"/>
                <wp:wrapNone/>
                <wp:docPr id="464" name="Frame463"/>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262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262</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ind w:left="0" w:right="0" w:firstLine="720"/>
        <w:jc w:val="both"/>
        <w:rPr/>
      </w:pPr>
      <w:r>
        <w:rPr>
          <w:rFonts w:ascii="Times New Roman;sans-serif" w:hAnsi="Times New Roman;sans-serif"/>
          <w:b w:val="false"/>
          <w:color w:val="000000"/>
          <w:sz w:val="24"/>
        </w:rPr>
        <w:t>2.</w:t>
      </w:r>
      <w:r>
        <w:rPr>
          <w:rFonts w:ascii="Times New Roman;sans-serif" w:hAnsi="Times New Roman;sans-serif"/>
          <w:b w:val="false"/>
          <w:color w:val="000000"/>
          <w:sz w:val="24"/>
          <w:u w:val="single"/>
        </w:rPr>
        <w:t>Reply Procedures</w:t>
      </w:r>
      <w:r>
        <w:rPr>
          <w:rFonts w:ascii="Times New Roman;sans-serif" w:hAnsi="Times New Roman;sans-serif"/>
          <w:b w:val="false"/>
          <w:color w:val="000000"/>
          <w:sz w:val="24"/>
        </w:rPr>
        <w:t>. In connection with any Auction, each Term Lender of each applicable Class wishing to participate in such Auction shall, prior to the Expiration Time, provide the Auction Manager with a notice of participation, in the form included in the respective offering document (each, a “</w:t>
      </w:r>
      <w:r>
        <w:rPr>
          <w:rFonts w:ascii="Times New Roman;sans-serif" w:hAnsi="Times New Roman;sans-serif"/>
          <w:b w:val="false"/>
          <w:color w:val="000000"/>
          <w:sz w:val="24"/>
          <w:u w:val="single"/>
        </w:rPr>
        <w:t>Return Bid</w:t>
      </w:r>
      <w:r>
        <w:rPr>
          <w:color w:val="000000"/>
        </w:rPr>
        <w:t>”</w:t>
      </w:r>
      <w:r>
        <w:rPr>
          <w:rFonts w:ascii="Times New Roman;sans-serif" w:hAnsi="Times New Roman;sans-serif"/>
          <w:b w:val="false"/>
          <w:color w:val="000000"/>
          <w:sz w:val="24"/>
        </w:rPr>
        <w:t>) which shall specify (i) a discount to par that must be expressed as a price per $1,000 (in increments of $5) in principal amount of Term Loans of each applicable Class (the “</w:t>
      </w:r>
      <w:r>
        <w:rPr>
          <w:rFonts w:ascii="Times New Roman;sans-serif" w:hAnsi="Times New Roman;sans-serif"/>
          <w:b w:val="false"/>
          <w:color w:val="000000"/>
          <w:sz w:val="24"/>
          <w:u w:val="single"/>
        </w:rPr>
        <w:t>Reply Price</w:t>
      </w:r>
      <w:r>
        <w:rPr>
          <w:color w:val="000000"/>
        </w:rPr>
        <w:t>”</w:t>
      </w:r>
      <w:r>
        <w:rPr>
          <w:rFonts w:ascii="Times New Roman;sans-serif" w:hAnsi="Times New Roman;sans-serif"/>
          <w:b w:val="false"/>
          <w:color w:val="000000"/>
          <w:sz w:val="24"/>
        </w:rPr>
        <w:t>) within the Discount Range and (ii) the principal amount of Term Loans of each applicable Class, in an amount not less than $1,000,000 or an integral multiple of $1,000 in excess thereof, that such Lender offers for sale at its Reply Price (the “</w:t>
      </w:r>
      <w:r>
        <w:rPr>
          <w:rFonts w:ascii="Times New Roman;sans-serif" w:hAnsi="Times New Roman;sans-serif"/>
          <w:b w:val="false"/>
          <w:color w:val="000000"/>
          <w:sz w:val="24"/>
          <w:u w:val="single"/>
        </w:rPr>
        <w:t>Reply Amount</w:t>
      </w:r>
      <w:r>
        <w:rPr>
          <w:color w:val="000000"/>
        </w:rPr>
        <w:t>”</w:t>
      </w:r>
      <w:r>
        <w:rPr>
          <w:rFonts w:ascii="Times New Roman;sans-serif" w:hAnsi="Times New Roman;sans-serif"/>
          <w:b w:val="false"/>
          <w:color w:val="000000"/>
          <w:sz w:val="24"/>
        </w:rPr>
        <w:t>). A Term Lender may submit a Reply Amount that is less than the minimum amount and incremental amount requirements described above only if the Reply Amount comprises the entire amount of the Term Loans of each applicable Class held by such Term Lender. Term Lenders may only submit one Return Bid per Auction but each Return Bid may contain up to three (3) component bids, each of which may result in a separate Qualifying Bid and each of which will not be contingent on any other component bid submitted by such Term Lender resulting in a Qualifying Bid. In addition to the Return Bid, the participating Term Lender must execute and deliver, to be held by the Auction Manager, an assignment and acceptance in the form included in the offering document (each, an “</w:t>
      </w:r>
      <w:r>
        <w:rPr>
          <w:rFonts w:ascii="Times New Roman;sans-serif" w:hAnsi="Times New Roman;sans-serif"/>
          <w:b w:val="false"/>
          <w:color w:val="000000"/>
          <w:sz w:val="24"/>
          <w:u w:val="single"/>
        </w:rPr>
        <w:t>Auction Assignment and Assumption</w:t>
      </w:r>
      <w:r>
        <w:rPr>
          <w:color w:val="000000"/>
        </w:rPr>
        <w:t>”</w:t>
      </w:r>
      <w:r>
        <w:rPr>
          <w:rFonts w:ascii="Times New Roman;sans-serif" w:hAnsi="Times New Roman;sans-serif"/>
          <w:b w:val="false"/>
          <w:color w:val="000000"/>
          <w:sz w:val="24"/>
        </w:rPr>
        <w:t>). The Borrower will not purchase any Term Loans of any applicable Class at a price that is outside of the applicable Discount Range, nor will any Return Bids (including any component bids specified therein) submitted at a price that is outside such applicable Discount Range be considered in any calculation of the Applicable Threshold Price (as defined below).</w:t>
      </w:r>
    </w:p>
    <w:p>
      <w:pPr>
        <w:pStyle w:val="TextBody"/>
        <w:bidi w:val="0"/>
        <w:spacing w:lineRule="auto" w:line="240" w:before="241" w:after="283"/>
        <w:ind w:left="0" w:right="0" w:firstLine="720"/>
        <w:jc w:val="both"/>
        <w:rPr/>
      </w:pPr>
      <w:r>
        <w:rPr>
          <w:rFonts w:ascii="Times New Roman;sans-serif" w:hAnsi="Times New Roman;sans-serif"/>
          <w:b w:val="false"/>
          <w:color w:val="000000"/>
          <w:sz w:val="24"/>
        </w:rPr>
        <w:t>3.</w:t>
      </w:r>
      <w:r>
        <w:rPr>
          <w:rFonts w:ascii="Times New Roman;sans-serif" w:hAnsi="Times New Roman;sans-serif"/>
          <w:b w:val="false"/>
          <w:color w:val="000000"/>
          <w:sz w:val="24"/>
          <w:u w:val="single"/>
        </w:rPr>
        <w:t>Acceptance Procedures</w:t>
      </w:r>
      <w:r>
        <w:rPr>
          <w:rFonts w:ascii="Times New Roman;sans-serif" w:hAnsi="Times New Roman;sans-serif"/>
          <w:b w:val="false"/>
          <w:color w:val="000000"/>
          <w:sz w:val="24"/>
        </w:rPr>
        <w:t>. Based on the Reply Prices and Reply Amounts received by the Auction Manager, the Auction Manager, in consultation with the Borrower, will calculate the lowest purchase price (the “</w:t>
      </w:r>
      <w:r>
        <w:rPr>
          <w:rFonts w:ascii="Times New Roman;sans-serif" w:hAnsi="Times New Roman;sans-serif"/>
          <w:b w:val="false"/>
          <w:color w:val="000000"/>
          <w:sz w:val="24"/>
          <w:u w:val="single"/>
        </w:rPr>
        <w:t>Applicable Threshold Price</w:t>
      </w:r>
      <w:r>
        <w:rPr>
          <w:color w:val="000000"/>
        </w:rPr>
        <w:t>”</w:t>
      </w:r>
      <w:r>
        <w:rPr>
          <w:rFonts w:ascii="Times New Roman;sans-serif" w:hAnsi="Times New Roman;sans-serif"/>
          <w:b w:val="false"/>
          <w:color w:val="000000"/>
          <w:sz w:val="24"/>
        </w:rPr>
        <w:t>) for such Auction within the Discount Range for such Auction that will allow the Borrower to complete the Auction by purchasing the full Auction Amount (or such lesser amount of Term Loans for which the Borrower has received Qualifying Bids). The Borrower shall purchase Term Loans of each applicable Class from each Term Lender whose Return Bid is within the Discount Range and contains a Reply Price that is equal to or less than the Applicable Threshold Price (each, a “</w:t>
      </w:r>
      <w:r>
        <w:rPr>
          <w:rFonts w:ascii="Times New Roman;sans-serif" w:hAnsi="Times New Roman;sans-serif"/>
          <w:b w:val="false"/>
          <w:color w:val="000000"/>
          <w:sz w:val="24"/>
          <w:u w:val="single"/>
        </w:rPr>
        <w:t>Qualifying Bid</w:t>
      </w:r>
      <w:r>
        <w:rPr>
          <w:color w:val="000000"/>
        </w:rPr>
        <w:t>”</w:t>
      </w:r>
      <w:r>
        <w:rPr>
          <w:rFonts w:ascii="Times New Roman;sans-serif" w:hAnsi="Times New Roman;sans-serif"/>
          <w:b w:val="false"/>
          <w:color w:val="000000"/>
          <w:sz w:val="24"/>
        </w:rPr>
        <w:t>). All Term Loans included in Qualifying Bids (including multiple component Qualifying Bids contained in a single Return Bid) received at a Reply Price lower than the Applicable Threshold Price will be purchased at such applicable Reply Prices and shall not be subject to proration.</w:t>
      </w:r>
    </w:p>
    <w:p>
      <w:pPr>
        <w:pStyle w:val="TextBody"/>
        <w:bidi w:val="0"/>
        <w:spacing w:lineRule="auto" w:line="240" w:before="239" w:after="283"/>
        <w:ind w:left="0" w:right="0" w:firstLine="720"/>
        <w:jc w:val="both"/>
        <w:rPr/>
      </w:pPr>
      <w:r>
        <w:rPr>
          <w:rFonts w:ascii="Times New Roman;sans-serif" w:hAnsi="Times New Roman;sans-serif"/>
          <w:b w:val="false"/>
          <w:color w:val="000000"/>
          <w:sz w:val="24"/>
        </w:rPr>
        <w:t>4.</w:t>
      </w:r>
      <w:r>
        <w:rPr>
          <w:rFonts w:ascii="Times New Roman;sans-serif" w:hAnsi="Times New Roman;sans-serif"/>
          <w:b w:val="false"/>
          <w:color w:val="000000"/>
          <w:sz w:val="24"/>
          <w:u w:val="single"/>
        </w:rPr>
        <w:t>Proration Procedures</w:t>
      </w:r>
      <w:r>
        <w:rPr>
          <w:rFonts w:ascii="Times New Roman;sans-serif" w:hAnsi="Times New Roman;sans-serif"/>
          <w:b w:val="false"/>
          <w:color w:val="000000"/>
          <w:sz w:val="24"/>
        </w:rPr>
        <w:t xml:space="preserve">. All Term Loans of each applicable Class offered in Return Bids (or, if applicable, any component thereof) constituting Qualifying Bids at the Applicable Threshold Price will be purchased at the Applicable Threshold Price;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that if the aggregate principal amount (calculated on the face amount thereof) of all Term Loans of any applicable Class for which Qualifying Bids have been submitted in any given Auction at the Applicable Threshold Price would exceed the remaining portion of the Auction Amount (after deducting all Term Loans of such Class to be purchased at prices below the Applicable Threshold Price), the Borrower shall purchase the Term Loans of such Class for which the Qualifying Bids submitted were at the Applicable Threshold Price ratably based on the respective principal amounts offered and in an aggregate amount equal to the amount necessary to complete the purchase of the Auction Amount. No Return Bids or any component thereof will be accepted above the Applicable Threshold Price.</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66">
                <wp:simplePos x="0" y="0"/>
                <wp:positionH relativeFrom="character">
                  <wp:align>left</wp:align>
                </wp:positionH>
                <wp:positionV relativeFrom="line">
                  <wp:posOffset>635</wp:posOffset>
                </wp:positionV>
                <wp:extent cx="6480175" cy="781050"/>
                <wp:effectExtent l="0" t="0" r="0" b="0"/>
                <wp:wrapNone/>
                <wp:docPr id="465" name="Frame464"/>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263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263</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ind w:left="0" w:right="0" w:firstLine="720"/>
        <w:jc w:val="both"/>
        <w:rPr/>
      </w:pPr>
      <w:r>
        <w:rPr>
          <w:rFonts w:ascii="Times New Roman;sans-serif" w:hAnsi="Times New Roman;sans-serif"/>
          <w:b w:val="false"/>
          <w:color w:val="000000"/>
          <w:sz w:val="24"/>
        </w:rPr>
        <w:t>5.</w:t>
      </w:r>
      <w:r>
        <w:rPr>
          <w:rFonts w:ascii="Times New Roman;sans-serif" w:hAnsi="Times New Roman;sans-serif"/>
          <w:b w:val="false"/>
          <w:color w:val="000000"/>
          <w:sz w:val="24"/>
          <w:u w:val="single"/>
        </w:rPr>
        <w:t>Notification Procedures</w:t>
      </w:r>
      <w:r>
        <w:rPr>
          <w:rFonts w:ascii="Times New Roman;sans-serif" w:hAnsi="Times New Roman;sans-serif"/>
          <w:b w:val="false"/>
          <w:color w:val="000000"/>
          <w:sz w:val="24"/>
        </w:rPr>
        <w:t xml:space="preserve">. The Auction Manager will calculate the Applicable Threshold Price and post the Applicable Threshold Price and proration factor onto an internet or intranet site (including an IntraLinks, SyndTrak or other electronic workspace) in accordance with the Auction Manager’s standard dissemination practices by 4:00 p.m. New York time on the same Business Day as the date the Return Bids were due (as such due date may be extended in accordance with this </w:t>
      </w:r>
      <w:r>
        <w:rPr>
          <w:rFonts w:ascii="Times New Roman;sans-serif" w:hAnsi="Times New Roman;sans-serif"/>
          <w:b w:val="false"/>
          <w:color w:val="000000"/>
          <w:sz w:val="24"/>
          <w:u w:val="single"/>
        </w:rPr>
        <w:t>Exhibit F</w:t>
      </w:r>
      <w:r>
        <w:rPr>
          <w:rFonts w:ascii="Times New Roman;sans-serif" w:hAnsi="Times New Roman;sans-serif"/>
          <w:b w:val="false"/>
          <w:color w:val="000000"/>
          <w:sz w:val="24"/>
        </w:rPr>
        <w:t>). The Auction Manager will insert the principal amount of Term Loans of each applicable Class to be assigned and the applicable settlement date into each applicable Auction Assignment and Assumption received in connection with a Qualifying Bid. Upon the request of the submitting Lender, the Auction Manager will promptly return any Auction Assignment and Assumption received in connection with a Return Bid that is not a Qualifying Bid.</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6.</w:t>
      </w:r>
      <w:r>
        <w:rPr>
          <w:rFonts w:ascii="Times New Roman;sans-serif" w:hAnsi="Times New Roman;sans-serif"/>
          <w:b w:val="false"/>
          <w:color w:val="000000"/>
          <w:sz w:val="24"/>
          <w:u w:val="single"/>
        </w:rPr>
        <w:t>Auction Assignment and Assumption</w:t>
      </w:r>
      <w:r>
        <w:rPr>
          <w:rFonts w:ascii="Times New Roman;sans-serif" w:hAnsi="Times New Roman;sans-serif"/>
          <w:b w:val="false"/>
          <w:color w:val="000000"/>
          <w:sz w:val="24"/>
        </w:rPr>
        <w:t>. Each Auction Notice and Auction Assignment and Assumption shall contain the following representations, warranties and covenants by the Borrower:</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 xml:space="preserve">(a)The conditions set forth in </w:t>
      </w:r>
      <w:r>
        <w:rPr>
          <w:rFonts w:ascii="Times New Roman;sans-serif" w:hAnsi="Times New Roman;sans-serif"/>
          <w:b w:val="false"/>
          <w:color w:val="000000"/>
          <w:sz w:val="24"/>
          <w:u w:val="single"/>
        </w:rPr>
        <w:t>Section 2.25</w:t>
      </w:r>
      <w:r>
        <w:rPr>
          <w:color w:val="000000"/>
        </w:rPr>
        <w:t xml:space="preserve"> </w:t>
      </w:r>
      <w:r>
        <w:rPr>
          <w:rFonts w:ascii="Times New Roman;sans-serif" w:hAnsi="Times New Roman;sans-serif"/>
          <w:b w:val="false"/>
          <w:color w:val="000000"/>
          <w:sz w:val="24"/>
        </w:rPr>
        <w:t>of the Credit Agreement have each been satisfied on and as of the date hereof, except to the extent that such conditions refer to conditions that must be satisfied as of a future date, in which case the Borrower must terminate any Auction if it fails to satisfy one of more of the conditions which are required to be met at the time which otherwise would have been the time of purchase of Term Loans of any applicable Class pursuant to an Auction.</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 xml:space="preserve">(b)The representations and warranties of each Loan Party contained in </w:t>
      </w:r>
      <w:r>
        <w:rPr>
          <w:rFonts w:ascii="Times New Roman;sans-serif" w:hAnsi="Times New Roman;sans-serif"/>
          <w:b w:val="false"/>
          <w:color w:val="000000"/>
          <w:sz w:val="24"/>
          <w:u w:val="single"/>
        </w:rPr>
        <w:t>Article III</w:t>
      </w:r>
      <w:r>
        <w:rPr>
          <w:color w:val="000000"/>
        </w:rPr>
        <w:t xml:space="preserve"> </w:t>
      </w:r>
      <w:r>
        <w:rPr>
          <w:rFonts w:ascii="Times New Roman;sans-serif" w:hAnsi="Times New Roman;sans-serif"/>
          <w:b w:val="false"/>
          <w:color w:val="000000"/>
          <w:sz w:val="24"/>
        </w:rPr>
        <w:t xml:space="preserve">of the Credit Agreement or any other Loan Document, or which are contained in any document furnished at any time under or in connection herewith or therewith, shall be true and correct in all material respects on and as of the date hereof, except to the extent that such representations and warranties specifically refer to an earlier date, in which case they shall be true and correct in all material respects as of such earlier date, and except that for purposes hereof, the representations and warranties contained in </w:t>
      </w:r>
      <w:r>
        <w:rPr>
          <w:rFonts w:ascii="Times New Roman;sans-serif" w:hAnsi="Times New Roman;sans-serif"/>
          <w:b w:val="false"/>
          <w:color w:val="000000"/>
          <w:sz w:val="24"/>
          <w:u w:val="single"/>
        </w:rPr>
        <w:t>Section 3.05</w:t>
      </w:r>
      <w:r>
        <w:rPr>
          <w:color w:val="000000"/>
        </w:rPr>
        <w:t xml:space="preserve"> </w:t>
      </w:r>
      <w:r>
        <w:rPr>
          <w:rFonts w:ascii="Times New Roman;sans-serif" w:hAnsi="Times New Roman;sans-serif"/>
          <w:b w:val="false"/>
          <w:color w:val="000000"/>
          <w:sz w:val="24"/>
        </w:rPr>
        <w:t xml:space="preserve">of the Credit Agreement shall be deemed to refer to the most recent statements furnished pursuant to </w:t>
      </w:r>
      <w:r>
        <w:rPr>
          <w:rFonts w:ascii="Times New Roman;sans-serif" w:hAnsi="Times New Roman;sans-serif"/>
          <w:b w:val="false"/>
          <w:color w:val="000000"/>
          <w:sz w:val="24"/>
          <w:u w:val="single"/>
        </w:rPr>
        <w:t>Section 4.01(i)</w:t>
      </w:r>
      <w:r>
        <w:rPr>
          <w:color w:val="000000"/>
        </w:rPr>
        <w:t xml:space="preserve"> </w:t>
      </w:r>
      <w:r>
        <w:rPr>
          <w:rFonts w:ascii="Times New Roman;sans-serif" w:hAnsi="Times New Roman;sans-serif"/>
          <w:b w:val="false"/>
          <w:color w:val="000000"/>
          <w:sz w:val="24"/>
        </w:rPr>
        <w:t xml:space="preserve">or clauses (a) and (b) of </w:t>
      </w:r>
      <w:r>
        <w:rPr>
          <w:rFonts w:ascii="Times New Roman;sans-serif" w:hAnsi="Times New Roman;sans-serif"/>
          <w:b w:val="false"/>
          <w:color w:val="000000"/>
          <w:sz w:val="24"/>
          <w:u w:val="single"/>
        </w:rPr>
        <w:t>Section 5.04</w:t>
      </w:r>
      <w:r>
        <w:rPr>
          <w:color w:val="000000"/>
        </w:rPr>
        <w:t xml:space="preserve"> </w:t>
      </w:r>
      <w:r>
        <w:rPr>
          <w:rFonts w:ascii="Times New Roman;sans-serif" w:hAnsi="Times New Roman;sans-serif"/>
          <w:b w:val="false"/>
          <w:color w:val="000000"/>
          <w:sz w:val="24"/>
        </w:rPr>
        <w:t>of the Credit Agreement.</w:t>
      </w:r>
    </w:p>
    <w:p>
      <w:pPr>
        <w:pStyle w:val="TextBody"/>
        <w:bidi w:val="0"/>
        <w:spacing w:lineRule="auto" w:line="240" w:before="239" w:after="283"/>
        <w:ind w:left="0" w:right="0" w:firstLine="720"/>
        <w:jc w:val="both"/>
        <w:rPr/>
      </w:pPr>
      <w:r>
        <w:rPr>
          <w:rFonts w:ascii="Times New Roman;sans-serif" w:hAnsi="Times New Roman;sans-serif"/>
          <w:b w:val="false"/>
          <w:color w:val="000000"/>
          <w:sz w:val="24"/>
        </w:rPr>
        <w:t>7.</w:t>
      </w:r>
      <w:r>
        <w:rPr>
          <w:rFonts w:ascii="Times New Roman;sans-serif" w:hAnsi="Times New Roman;sans-serif"/>
          <w:b w:val="false"/>
          <w:color w:val="000000"/>
          <w:sz w:val="24"/>
          <w:u w:val="single"/>
        </w:rPr>
        <w:t>Additional Procedures</w:t>
      </w:r>
      <w:r>
        <w:rPr>
          <w:rFonts w:ascii="Times New Roman;sans-serif" w:hAnsi="Times New Roman;sans-serif"/>
          <w:b w:val="false"/>
          <w:color w:val="000000"/>
          <w:sz w:val="24"/>
        </w:rPr>
        <w:t xml:space="preserve">. Once initiated by an Auction Notice, the Borrower may withdraw an Auction only in the event that, (i) as of such time, no Qualifying Bid has been received by the Auction Manager or (ii) the Borrower has failed to meet a condition set forth in </w:t>
      </w:r>
      <w:r>
        <w:rPr>
          <w:rFonts w:ascii="Times New Roman;sans-serif" w:hAnsi="Times New Roman;sans-serif"/>
          <w:b w:val="false"/>
          <w:color w:val="000000"/>
          <w:sz w:val="24"/>
          <w:u w:val="single"/>
        </w:rPr>
        <w:t>Section</w:t>
      </w:r>
    </w:p>
    <w:p>
      <w:pPr>
        <w:pStyle w:val="TextBody"/>
        <w:bidi w:val="0"/>
        <w:spacing w:lineRule="auto" w:line="240" w:before="1" w:after="283"/>
        <w:jc w:val="both"/>
        <w:rPr/>
      </w:pPr>
      <w:r>
        <w:rPr>
          <w:rFonts w:ascii="Times New Roman;sans-serif" w:hAnsi="Times New Roman;sans-serif"/>
          <w:b w:val="false"/>
          <w:color w:val="000000"/>
          <w:sz w:val="24"/>
          <w:u w:val="single"/>
        </w:rPr>
        <w:t>2.25</w:t>
      </w:r>
      <w:r>
        <w:rPr>
          <w:color w:val="000000"/>
        </w:rPr>
        <w:t xml:space="preserve"> </w:t>
      </w:r>
      <w:r>
        <w:rPr>
          <w:rFonts w:ascii="Times New Roman;sans-serif" w:hAnsi="Times New Roman;sans-serif"/>
          <w:b w:val="false"/>
          <w:color w:val="000000"/>
          <w:sz w:val="24"/>
        </w:rPr>
        <w:t xml:space="preserve">of the Credit Agreement. Furthermore, in connection with any Auction, upon submission by a Lender of a Return Bid, such Lender will not have any withdrawal rights. Any Return Bid (including any component bid thereof) delivered to the Auction Manager may not be modified, revoked, terminated or cancelled by a Lender. However, an Auction may become void if the conditions to the purchase of Term Loans of any applicable Class by the Borrower required by the terms and conditions of </w:t>
      </w:r>
      <w:r>
        <w:rPr>
          <w:rFonts w:ascii="Times New Roman;sans-serif" w:hAnsi="Times New Roman;sans-serif"/>
          <w:b w:val="false"/>
          <w:color w:val="000000"/>
          <w:sz w:val="24"/>
          <w:u w:val="single"/>
        </w:rPr>
        <w:t>Section 2.25</w:t>
      </w:r>
      <w:r>
        <w:rPr>
          <w:color w:val="000000"/>
        </w:rPr>
        <w:t xml:space="preserve"> </w:t>
      </w:r>
      <w:r>
        <w:rPr>
          <w:rFonts w:ascii="Times New Roman;sans-serif" w:hAnsi="Times New Roman;sans-serif"/>
          <w:b w:val="false"/>
          <w:color w:val="000000"/>
          <w:sz w:val="24"/>
        </w:rPr>
        <w:t>of the Credit Agreement are not met. The purchase price in respect of each Qualifying Bid for which purchase by the Borrower is required in accordance with the foregoing provisions shall be paid directly by the Borrower to the respective assigning Lender on a settlement date as determined jointly by the Borrower and the Auction Manager (which shall be not later than ten (10) Business Days after the date Return Bids are due). The Borrower shall execute each applicable Auction Assignment and Assumption received in connection with a Qualifying Bid. All questions as to the form of documents and validity and eligibility of Term</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67">
                <wp:simplePos x="0" y="0"/>
                <wp:positionH relativeFrom="character">
                  <wp:align>left</wp:align>
                </wp:positionH>
                <wp:positionV relativeFrom="line">
                  <wp:posOffset>635</wp:posOffset>
                </wp:positionV>
                <wp:extent cx="6480175" cy="781050"/>
                <wp:effectExtent l="0" t="0" r="0" b="0"/>
                <wp:wrapNone/>
                <wp:docPr id="466" name="Frame465"/>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264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264</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jc w:val="both"/>
        <w:rPr/>
      </w:pPr>
      <w:r>
        <w:rPr>
          <w:rFonts w:ascii="Times New Roman;sans-serif" w:hAnsi="Times New Roman;sans-serif"/>
          <w:b w:val="false"/>
          <w:color w:val="000000"/>
          <w:sz w:val="24"/>
        </w:rPr>
        <w:t xml:space="preserve">Loans of each applicable Class that are the subject of an Auction will be determined by the Auction Manager, in consultation with the Borrower, and their determination will be final and binding so long as such determination is not inconsistent with the terms of </w:t>
      </w:r>
      <w:r>
        <w:rPr>
          <w:rFonts w:ascii="Times New Roman;sans-serif" w:hAnsi="Times New Roman;sans-serif"/>
          <w:b w:val="false"/>
          <w:color w:val="000000"/>
          <w:sz w:val="24"/>
          <w:u w:val="single"/>
        </w:rPr>
        <w:t>Section 2.25</w:t>
      </w:r>
      <w:r>
        <w:rPr>
          <w:color w:val="000000"/>
        </w:rPr>
        <w:t xml:space="preserve"> </w:t>
      </w:r>
      <w:r>
        <w:rPr>
          <w:rFonts w:ascii="Times New Roman;sans-serif" w:hAnsi="Times New Roman;sans-serif"/>
          <w:b w:val="false"/>
          <w:color w:val="000000"/>
          <w:sz w:val="24"/>
        </w:rPr>
        <w:t xml:space="preserve">of the Credit Agreement or this </w:t>
      </w:r>
      <w:r>
        <w:rPr>
          <w:rFonts w:ascii="Times New Roman;sans-serif" w:hAnsi="Times New Roman;sans-serif"/>
          <w:b w:val="false"/>
          <w:color w:val="000000"/>
          <w:sz w:val="24"/>
          <w:u w:val="single"/>
        </w:rPr>
        <w:t>Exhibit F</w:t>
      </w:r>
      <w:r>
        <w:rPr>
          <w:rFonts w:ascii="Times New Roman;sans-serif" w:hAnsi="Times New Roman;sans-serif"/>
          <w:b w:val="false"/>
          <w:color w:val="000000"/>
          <w:sz w:val="24"/>
        </w:rPr>
        <w:t>. The Auction Manager’s interpretation of the terms and conditions of the offering document, in consultation with the Borrower, will be final and binding so long as such interpretation is not inconsistent with the terms of</w:t>
      </w:r>
      <w:r>
        <w:rPr>
          <w:color w:val="000000"/>
          <w:u w:val="single"/>
        </w:rPr>
        <w:t xml:space="preserve"> </w:t>
      </w:r>
      <w:r>
        <w:rPr>
          <w:rFonts w:ascii="Times New Roman;sans-serif" w:hAnsi="Times New Roman;sans-serif"/>
          <w:b w:val="false"/>
          <w:color w:val="000000"/>
          <w:sz w:val="24"/>
          <w:u w:val="single"/>
        </w:rPr>
        <w:t>Section 2.25</w:t>
      </w:r>
      <w:r>
        <w:rPr>
          <w:color w:val="000000"/>
        </w:rPr>
        <w:t xml:space="preserve"> </w:t>
      </w:r>
      <w:r>
        <w:rPr>
          <w:rFonts w:ascii="Times New Roman;sans-serif" w:hAnsi="Times New Roman;sans-serif"/>
          <w:b w:val="false"/>
          <w:color w:val="000000"/>
          <w:sz w:val="24"/>
        </w:rPr>
        <w:t xml:space="preserve">of the Credit Agreement or this </w:t>
      </w:r>
      <w:r>
        <w:rPr>
          <w:rFonts w:ascii="Times New Roman;sans-serif" w:hAnsi="Times New Roman;sans-serif"/>
          <w:b w:val="false"/>
          <w:color w:val="000000"/>
          <w:sz w:val="24"/>
          <w:u w:val="single"/>
        </w:rPr>
        <w:t>Exhibit F</w:t>
      </w:r>
      <w:r>
        <w:rPr>
          <w:rFonts w:ascii="Times New Roman;sans-serif" w:hAnsi="Times New Roman;sans-serif"/>
          <w:b w:val="false"/>
          <w:color w:val="000000"/>
          <w:sz w:val="24"/>
        </w:rPr>
        <w:t xml:space="preserve">. None of the Term Facility Administrative Agent, the Auction Manager, any of their respective affiliates or any Agent-Related Person assumes any responsibility for the accuracy or completeness of the information concerning the Borrower, the Loan Parties or any of their respective affiliates (whether contained in an offering document or otherwise) or for any failure to disclose events that may have occurred and may affect the significance or accuracy of such information. This </w:t>
      </w:r>
      <w:r>
        <w:rPr>
          <w:rFonts w:ascii="Times New Roman;sans-serif" w:hAnsi="Times New Roman;sans-serif"/>
          <w:b w:val="false"/>
          <w:color w:val="000000"/>
          <w:sz w:val="24"/>
          <w:u w:val="single"/>
        </w:rPr>
        <w:t>Exhibit F</w:t>
      </w:r>
      <w:r>
        <w:rPr>
          <w:color w:val="000000"/>
        </w:rPr>
        <w:t xml:space="preserve"> </w:t>
      </w:r>
      <w:r>
        <w:rPr>
          <w:rFonts w:ascii="Times New Roman;sans-serif" w:hAnsi="Times New Roman;sans-serif"/>
          <w:b w:val="false"/>
          <w:color w:val="000000"/>
          <w:sz w:val="24"/>
        </w:rPr>
        <w:t>shall not require the Borrower to initiate any Auction.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68">
                <wp:simplePos x="0" y="0"/>
                <wp:positionH relativeFrom="character">
                  <wp:align>left</wp:align>
                </wp:positionH>
                <wp:positionV relativeFrom="line">
                  <wp:posOffset>635</wp:posOffset>
                </wp:positionV>
                <wp:extent cx="6480175" cy="781050"/>
                <wp:effectExtent l="0" t="0" r="0" b="0"/>
                <wp:wrapNone/>
                <wp:docPr id="467" name="Frame466"/>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265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265</w:t>
                            </w:r>
                          </w:p>
                        </w:tc>
                      </w:tr>
                    </w:tbl>
                    <w:p>
                      <w:pPr>
                        <w:pStyle w:val="TextBody"/>
                        <w:bidi w:val="0"/>
                        <w:spacing w:before="0" w:after="283"/>
                        <w:jc w:val="left"/>
                        <w:rPr/>
                      </w:pPr>
                      <w:r>
                        <w:rPr/>
                      </w:r>
                    </w:p>
                  </w:txbxContent>
                </v:textbox>
                <w10:wrap type="none"/>
              </v:rect>
            </w:pict>
          </mc:Fallback>
        </mc:AlternateContent>
      </w:r>
    </w:p>
    <w:p>
      <w:pPr>
        <w:pStyle w:val="TextBody"/>
        <w:bidi w:val="0"/>
        <w:spacing w:before="204" w:after="283"/>
        <w:jc w:val="left"/>
        <w:rPr/>
      </w:pPr>
      <w:r>
        <w:rPr/>
      </w:r>
    </w:p>
    <w:p>
      <w:pPr>
        <w:pStyle w:val="TextBody"/>
        <w:bidi w:val="0"/>
        <w:spacing w:before="0" w:after="0"/>
        <w:ind w:left="0" w:right="0" w:firstLine="1440"/>
        <w:jc w:val="both"/>
        <w:rPr/>
      </w:pPr>
      <w:r>
        <w:rPr/>
      </w:r>
    </w:p>
    <w:p>
      <w:pPr>
        <w:pStyle w:val="TextBody"/>
        <w:bidi w:val="0"/>
        <w:spacing w:lineRule="auto" w:line="240" w:before="0" w:after="0"/>
        <w:ind w:left="0" w:right="0" w:firstLine="720"/>
        <w:jc w:val="both"/>
        <w:rPr>
          <w:rFonts w:ascii="Times New Roman;sans-serif" w:hAnsi="Times New Roman;sans-serif"/>
          <w:b/>
          <w:color w:val="000000"/>
          <w:sz w:val="24"/>
        </w:rPr>
      </w:pPr>
      <w:r>
        <w:rPr>
          <w:rFonts w:ascii="Times New Roman;sans-serif" w:hAnsi="Times New Roman;sans-serif"/>
          <w:b/>
          <w:color w:val="000000"/>
          <w:sz w:val="24"/>
        </w:rPr>
        <w:t>EXHIBIT G</w:t>
      </w:r>
    </w:p>
    <w:p>
      <w:pPr>
        <w:pStyle w:val="TextBody"/>
        <w:bidi w:val="0"/>
        <w:spacing w:lineRule="auto" w:line="240" w:before="0" w:after="0"/>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FORM OF INTERCOMPANY NOTE</w:t>
      </w:r>
    </w:p>
    <w:p>
      <w:pPr>
        <w:pStyle w:val="TextBody"/>
        <w:bidi w:val="0"/>
        <w:spacing w:before="0" w:after="240"/>
        <w:jc w:val="center"/>
        <w:rPr/>
      </w:pPr>
      <w:r>
        <w:rPr/>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INTERCOMPANY NOTE</w:t>
      </w:r>
    </w:p>
    <w:p>
      <w:pPr>
        <w:pStyle w:val="TextBody"/>
        <w:bidi w:val="0"/>
        <w:spacing w:before="0" w:after="0"/>
        <w:ind w:left="0" w:right="0" w:firstLine="720"/>
        <w:jc w:val="left"/>
        <w:rPr/>
      </w:pPr>
      <w:r>
        <w:rPr/>
      </w:r>
    </w:p>
    <w:p>
      <w:pPr>
        <w:pStyle w:val="TextBody"/>
        <w:bidi w:val="0"/>
        <w:spacing w:lineRule="auto" w:line="240"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New York, New York</w:t>
      </w:r>
    </w:p>
    <w:p>
      <w:pPr>
        <w:pStyle w:val="TextBody"/>
        <w:bidi w:val="0"/>
        <w:spacing w:lineRule="auto" w:line="240"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[Date]</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ind w:left="0" w:right="0" w:firstLine="1440"/>
        <w:jc w:val="both"/>
        <w:rPr/>
      </w:pPr>
      <w:r>
        <w:rPr>
          <w:rFonts w:ascii="Times New Roman;sans-serif" w:hAnsi="Times New Roman;sans-serif"/>
          <w:b w:val="false"/>
          <w:color w:val="000000"/>
          <w:sz w:val="24"/>
        </w:rPr>
        <w:t>FOR VALUE RECEIVED, each of the undersigned, to the extent a borrower from time to time from any other entity listed on the signature page hereto (each, in such capacity, a “</w:t>
      </w:r>
      <w:r>
        <w:rPr>
          <w:rFonts w:ascii="Times New Roman;sans-serif" w:hAnsi="Times New Roman;sans-serif"/>
          <w:b/>
          <w:color w:val="000000"/>
          <w:sz w:val="24"/>
        </w:rPr>
        <w:t>Payor</w:t>
      </w:r>
      <w:r>
        <w:rPr>
          <w:color w:val="000000"/>
        </w:rPr>
        <w:t>”</w:t>
      </w:r>
      <w:r>
        <w:rPr>
          <w:rFonts w:ascii="Times New Roman;sans-serif" w:hAnsi="Times New Roman;sans-serif"/>
          <w:b w:val="false"/>
          <w:color w:val="000000"/>
          <w:sz w:val="24"/>
        </w:rPr>
        <w:t>), hereby promises to pay on demand to such other entity listed below (each, in such capacity, a “</w:t>
      </w:r>
      <w:r>
        <w:rPr>
          <w:rFonts w:ascii="Times New Roman;sans-serif" w:hAnsi="Times New Roman;sans-serif"/>
          <w:b/>
          <w:color w:val="000000"/>
          <w:sz w:val="24"/>
        </w:rPr>
        <w:t>Payee</w:t>
      </w:r>
      <w:r>
        <w:rPr>
          <w:color w:val="000000"/>
        </w:rPr>
        <w:t>”</w:t>
      </w:r>
      <w:r>
        <w:rPr>
          <w:rFonts w:ascii="Times New Roman;sans-serif" w:hAnsi="Times New Roman;sans-serif"/>
          <w:b w:val="false"/>
          <w:color w:val="000000"/>
          <w:sz w:val="24"/>
        </w:rPr>
        <w:t>), in lawful money of the United States of America, or in such other currency as agreed upon from time to time by such Payor and such Payee, in immediately available funds, at such location in such country as such Payee shall from time to time designate, the unpaid principal amount of all loans and advances (including trade payables) made by such Payee to such Payor. Each Payor promises also to pay interest on the unpaid principal amount of all such loans and advances in like money at said location from the date of such loans and advances until paid at such rate per annum as shall be agreed upon from time to time by such Payor and such Payee.</w:t>
      </w:r>
    </w:p>
    <w:p>
      <w:pPr>
        <w:pStyle w:val="TextBody"/>
        <w:bidi w:val="0"/>
        <w:spacing w:lineRule="auto" w:line="240" w:before="240" w:after="283"/>
        <w:ind w:left="0" w:right="0" w:firstLine="1440"/>
        <w:jc w:val="both"/>
        <w:rPr/>
      </w:pPr>
      <w:r>
        <w:rPr>
          <w:rFonts w:ascii="Times New Roman;sans-serif" w:hAnsi="Times New Roman;sans-serif"/>
          <w:b w:val="false"/>
          <w:color w:val="000000"/>
          <w:sz w:val="24"/>
        </w:rPr>
        <w:t>Reference is made to the Credit Agreement dated as of February 6, 2024 (as amended, supplemented, restated, amended and restated or otherwise modified from time to time, the “</w:t>
      </w:r>
      <w:r>
        <w:rPr>
          <w:rFonts w:ascii="Times New Roman;sans-serif" w:hAnsi="Times New Roman;sans-serif"/>
          <w:b/>
          <w:color w:val="000000"/>
          <w:sz w:val="24"/>
        </w:rPr>
        <w:t>Credit Agreement</w:t>
      </w:r>
      <w:r>
        <w:rPr>
          <w:color w:val="000000"/>
        </w:rPr>
        <w:t>”</w:t>
      </w:r>
      <w:r>
        <w:rPr>
          <w:rFonts w:ascii="Times New Roman;sans-serif" w:hAnsi="Times New Roman;sans-serif"/>
          <w:b w:val="false"/>
          <w:color w:val="000000"/>
          <w:sz w:val="24"/>
        </w:rPr>
        <w:t>), by and among Magnite, Inc., a Delaware corporation (the “</w:t>
      </w:r>
      <w:r>
        <w:rPr>
          <w:rFonts w:ascii="Times New Roman;sans-serif" w:hAnsi="Times New Roman;sans-serif"/>
          <w:b/>
          <w:color w:val="000000"/>
          <w:sz w:val="24"/>
        </w:rPr>
        <w:t>Borrower</w:t>
      </w:r>
      <w:r>
        <w:rPr>
          <w:color w:val="000000"/>
        </w:rPr>
        <w:t>”</w:t>
      </w:r>
      <w:r>
        <w:rPr>
          <w:rFonts w:ascii="Times New Roman;sans-serif" w:hAnsi="Times New Roman;sans-serif"/>
          <w:b w:val="false"/>
          <w:color w:val="000000"/>
          <w:sz w:val="24"/>
        </w:rPr>
        <w:t>), Morgan Stanley Senior Funding, Inc., as administrative agent for the Term Facility (in such capacity, the “</w:t>
      </w:r>
      <w:r>
        <w:rPr>
          <w:rFonts w:ascii="Times New Roman;sans-serif" w:hAnsi="Times New Roman;sans-serif"/>
          <w:b/>
          <w:color w:val="000000"/>
          <w:sz w:val="24"/>
        </w:rPr>
        <w:t>Term Facility Administrative Agent</w:t>
      </w:r>
      <w:r>
        <w:rPr>
          <w:color w:val="000000"/>
        </w:rPr>
        <w:t>”</w:t>
      </w:r>
      <w:r>
        <w:rPr>
          <w:rFonts w:ascii="Times New Roman;sans-serif" w:hAnsi="Times New Roman;sans-serif"/>
          <w:b w:val="false"/>
          <w:color w:val="000000"/>
          <w:sz w:val="24"/>
        </w:rPr>
        <w:t>), Citibank, N.A., as administrative agent for the Revolving Facility (in such capacity, the “</w:t>
      </w:r>
      <w:r>
        <w:rPr>
          <w:rFonts w:ascii="Times New Roman;sans-serif" w:hAnsi="Times New Roman;sans-serif"/>
          <w:b/>
          <w:color w:val="000000"/>
          <w:sz w:val="24"/>
        </w:rPr>
        <w:t>Revolving Facility Administrative Agent</w:t>
      </w:r>
      <w:r>
        <w:rPr>
          <w:color w:val="000000"/>
        </w:rPr>
        <w:t xml:space="preserve">” </w:t>
      </w:r>
      <w:r>
        <w:rPr>
          <w:rFonts w:ascii="Times New Roman;sans-serif" w:hAnsi="Times New Roman;sans-serif"/>
          <w:b w:val="false"/>
          <w:color w:val="000000"/>
          <w:sz w:val="24"/>
        </w:rPr>
        <w:t>and, together with the Term Facility Administrative Agent, the “</w:t>
      </w:r>
      <w:r>
        <w:rPr>
          <w:rFonts w:ascii="Times New Roman;sans-serif" w:hAnsi="Times New Roman;sans-serif"/>
          <w:b/>
          <w:color w:val="000000"/>
          <w:sz w:val="24"/>
        </w:rPr>
        <w:t>Administrative Agents</w:t>
      </w:r>
      <w:r>
        <w:rPr>
          <w:color w:val="000000"/>
        </w:rPr>
        <w:t>”</w:t>
      </w:r>
      <w:r>
        <w:rPr>
          <w:rFonts w:ascii="Times New Roman;sans-serif" w:hAnsi="Times New Roman;sans-serif"/>
          <w:b w:val="false"/>
          <w:color w:val="000000"/>
          <w:sz w:val="24"/>
        </w:rPr>
        <w:t>), collateral agent (in such capacity, the “</w:t>
      </w:r>
      <w:r>
        <w:rPr>
          <w:rFonts w:ascii="Times New Roman;sans-serif" w:hAnsi="Times New Roman;sans-serif"/>
          <w:b/>
          <w:color w:val="000000"/>
          <w:sz w:val="24"/>
        </w:rPr>
        <w:t>Collateral Agent</w:t>
      </w:r>
      <w:r>
        <w:rPr>
          <w:color w:val="000000"/>
        </w:rPr>
        <w:t>”</w:t>
      </w:r>
      <w:r>
        <w:rPr>
          <w:rFonts w:ascii="Times New Roman;sans-serif" w:hAnsi="Times New Roman;sans-serif"/>
          <w:b w:val="false"/>
          <w:color w:val="000000"/>
          <w:sz w:val="24"/>
        </w:rPr>
        <w:t>) and Swingline Lender, and each Issuing Bank and Lender party thereto from time to time. Terms used herein which are defined in the Credit Agreement shall have such defined meanings in the Credit Agreement unless otherwise defined herein.</w:t>
      </w:r>
    </w:p>
    <w:p>
      <w:pPr>
        <w:pStyle w:val="TextBody"/>
        <w:bidi w:val="0"/>
        <w:spacing w:lineRule="auto" w:line="240" w:before="240" w:after="283"/>
        <w:ind w:left="0" w:right="0" w:firstLine="1440"/>
        <w:jc w:val="both"/>
        <w:rPr/>
      </w:pPr>
      <w:r>
        <w:rPr>
          <w:rFonts w:ascii="Times New Roman;sans-serif" w:hAnsi="Times New Roman;sans-serif"/>
          <w:b w:val="false"/>
          <w:color w:val="000000"/>
          <w:sz w:val="24"/>
        </w:rPr>
        <w:t>This Intercompany Note (this “</w:t>
      </w:r>
      <w:r>
        <w:rPr>
          <w:rFonts w:ascii="Times New Roman;sans-serif" w:hAnsi="Times New Roman;sans-serif"/>
          <w:b/>
          <w:color w:val="000000"/>
          <w:sz w:val="24"/>
        </w:rPr>
        <w:t>Note</w:t>
      </w:r>
      <w:r>
        <w:rPr>
          <w:color w:val="000000"/>
        </w:rPr>
        <w:t>”</w:t>
      </w:r>
      <w:r>
        <w:rPr>
          <w:rFonts w:ascii="Times New Roman;sans-serif" w:hAnsi="Times New Roman;sans-serif"/>
          <w:b w:val="false"/>
          <w:color w:val="000000"/>
          <w:sz w:val="24"/>
        </w:rPr>
        <w:t>) contains the subordination provisions referred to in the Credit Agreement and has been pledged by each Payee that is a Loan Party to the Collateral Agent to the extent required pursuant to the terms of the Credit Agreement.</w:t>
      </w:r>
    </w:p>
    <w:p>
      <w:pPr>
        <w:pStyle w:val="TextBody"/>
        <w:bidi w:val="0"/>
        <w:spacing w:lineRule="auto" w:line="240" w:before="240"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Each Payee hereby acknowledges and agrees that, subject in all respects to the terms of any applicable Intercreditor Agreement then in effect, upon the occurrence and during the continuance of an Event of Default, the Administrative Agents may exercise all rights with respect to this Note in accordance with the Security Documents. Each Payor also hereby acknowledges and agrees that this Note constitutes notice of assignment, pursuant to the relevant Security Documents, in respect of loans, advances and any other amounts evidenced by this Note owed to any Payee that is a Loan Party and further acknowledges the receipt of such notice of assignment.</w:t>
      </w:r>
    </w:p>
    <w:p>
      <w:pPr>
        <w:pStyle w:val="TextBody"/>
        <w:bidi w:val="0"/>
        <w:spacing w:lineRule="auto" w:line="240" w:before="240"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The loans and advances evidenced by this Note owed (x) by any Payor that is a Loan Party to any Payee that is not a Loan Party and (y) by any Guarantor to the Borrower shall be subordinated and junior in right of payment, to the extent and in the manner hereinafter set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69">
                <wp:simplePos x="0" y="0"/>
                <wp:positionH relativeFrom="character">
                  <wp:align>left</wp:align>
                </wp:positionH>
                <wp:positionV relativeFrom="line">
                  <wp:posOffset>635</wp:posOffset>
                </wp:positionV>
                <wp:extent cx="6480175" cy="781050"/>
                <wp:effectExtent l="0" t="0" r="0" b="0"/>
                <wp:wrapNone/>
                <wp:docPr id="468" name="Frame467"/>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266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266</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60" w:after="283"/>
        <w:jc w:val="both"/>
        <w:rPr/>
      </w:pPr>
      <w:r>
        <w:rPr>
          <w:rFonts w:ascii="Times New Roman;sans-serif" w:hAnsi="Times New Roman;sans-serif"/>
          <w:b w:val="false"/>
          <w:color w:val="000000"/>
          <w:sz w:val="24"/>
        </w:rPr>
        <w:t>forth, to all Obligations (the Obligations, and other indebtedness and obligations in connection with any renewal, refunding, restructuring, or refinancing thereof, including interest, fees and expenses accruing after the commencement of any proceeding referred to in clause (i) below, “</w:t>
      </w:r>
      <w:r>
        <w:rPr>
          <w:rFonts w:ascii="Times New Roman;sans-serif" w:hAnsi="Times New Roman;sans-serif"/>
          <w:b/>
          <w:color w:val="000000"/>
          <w:sz w:val="24"/>
        </w:rPr>
        <w:t>Senior Indebtedness</w:t>
      </w:r>
      <w:r>
        <w:rPr>
          <w:color w:val="000000"/>
        </w:rPr>
        <w:t>”</w:t>
      </w:r>
      <w:r>
        <w:rPr>
          <w:rFonts w:ascii="Times New Roman;sans-serif" w:hAnsi="Times New Roman;sans-serif"/>
          <w:b w:val="false"/>
          <w:color w:val="000000"/>
          <w:sz w:val="24"/>
        </w:rPr>
        <w:t>) as follows:</w:t>
      </w:r>
    </w:p>
    <w:p>
      <w:pPr>
        <w:pStyle w:val="TextBody"/>
        <w:bidi w:val="0"/>
        <w:spacing w:lineRule="auto" w:line="240" w:before="240" w:after="283"/>
        <w:ind w:left="0" w:right="0" w:firstLine="1440"/>
        <w:jc w:val="both"/>
        <w:rPr/>
      </w:pPr>
      <w:r>
        <w:rPr>
          <w:rFonts w:ascii="Times New Roman;sans-serif" w:hAnsi="Times New Roman;sans-serif"/>
          <w:b w:val="false"/>
          <w:color w:val="000000"/>
          <w:sz w:val="24"/>
        </w:rPr>
        <w:t>(i)in the event of any insolvency or bankruptcy proceedings, and any receivership, liquidation, reorganization or other similar proceedings in connection therewith, of any Payor that is a Loan Party, or to its property, and in the event of any proceedings for voluntary liquidation, dissolution or other winding up of such Payor in connection with an insolvency or bankruptcy event referred to above, then (x) the holders of Senior Indebtedness shall be paid in full in cash in respect of all amounts constituting Senior Indebtedness before any such Payee is entitled to receive (whether directly or indirectly), or make any demands for, any payment or distribution on account of this Note and (y) until the holders of Senior Indebtedness are paid in full in cash in respect of all amounts constituting Senior Indebtedness, any payment or distribution to which such Payee would otherwise be entitled (other than debt securities of such Payor that are subordinated, to at least the same extent as this Note, to the payment of all Senior Indebtedness then outstanding (such securities being hereinafter referred to as “</w:t>
      </w:r>
      <w:r>
        <w:rPr>
          <w:rFonts w:ascii="Times New Roman;sans-serif" w:hAnsi="Times New Roman;sans-serif"/>
          <w:b/>
          <w:color w:val="000000"/>
          <w:sz w:val="24"/>
        </w:rPr>
        <w:t>Restructured Debt Securities</w:t>
      </w:r>
      <w:r>
        <w:rPr>
          <w:color w:val="000000"/>
        </w:rPr>
        <w:t>”</w:t>
      </w:r>
      <w:r>
        <w:rPr>
          <w:rFonts w:ascii="Times New Roman;sans-serif" w:hAnsi="Times New Roman;sans-serif"/>
          <w:b w:val="false"/>
          <w:color w:val="000000"/>
          <w:sz w:val="24"/>
        </w:rPr>
        <w:t>)) shall be made to the holders of Senior Indebtedness;</w:t>
      </w:r>
    </w:p>
    <w:p>
      <w:pPr>
        <w:pStyle w:val="TextBody"/>
        <w:bidi w:val="0"/>
        <w:spacing w:lineRule="auto" w:line="240" w:before="240" w:after="283"/>
        <w:ind w:left="0" w:right="0" w:firstLine="1440"/>
        <w:jc w:val="both"/>
        <w:rPr/>
      </w:pPr>
      <w:r>
        <w:rPr>
          <w:rFonts w:ascii="Times New Roman;sans-serif" w:hAnsi="Times New Roman;sans-serif"/>
          <w:b w:val="false"/>
          <w:color w:val="000000"/>
          <w:sz w:val="24"/>
        </w:rPr>
        <w:t>(ii)if any Event of Default occurs and is continuing and either (x) any Administrative Agent has given written notice to the Borrower that such Administrative Agent is thereby exercising its rights pursuant to this clause (ii)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no such notice shall be required in the case of an Event of Default arising under Section 7.01(h) or 7.01(i) of the Credit Agreement) or (y) the Obligations under the Credit Agreement have been accelerated, then in either case, no payment or distribution of any kind or character shall be made by such Payor to such Payee with respect to this Note; and</w:t>
      </w:r>
    </w:p>
    <w:p>
      <w:pPr>
        <w:pStyle w:val="TextBody"/>
        <w:bidi w:val="0"/>
        <w:spacing w:lineRule="auto" w:line="240" w:before="241"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(iii)if any Event of Default occurs and is continuing and any payment or distribution of any character, whether in cash, securities or other property (other than Restructured Debt Securities), in respect of this Note shall (despite these subordination provisions) be received by any Payee in violation of clause (i) or (ii) above before all Senior Indebtedness shall have been paid in full in cash, such payment or distribution shall be held in trust for the benefit of, and shall be paid over or delivered to, the Administrative Agents on behalf of the holders of Senior Indebtedness (or their representatives), ratably according to the respective aggregate amount remaining unpaid thereon, to the extent necessary to pay all Senior Indebtedness in full in cash.</w:t>
      </w:r>
    </w:p>
    <w:p>
      <w:pPr>
        <w:pStyle w:val="TextBody"/>
        <w:bidi w:val="0"/>
        <w:spacing w:lineRule="auto" w:line="240" w:before="239"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It is understood that the indebtedness evidenced by this Note by any Payor to a Loan Party (other than the Borrower) shall not be subject to the subordination provisions set forth herein.</w:t>
      </w:r>
    </w:p>
    <w:p>
      <w:pPr>
        <w:pStyle w:val="TextBody"/>
        <w:bidi w:val="0"/>
        <w:spacing w:lineRule="auto" w:line="240" w:before="240"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If any Payee that is not a Loan Party shall acquire by indemnification, subrogation or otherwise, any Lien, estate, right or other interest in any of the assets or properties of any Payor that is a Loan Party, such Lien, estate, right or other interest shall be subordinate in right of payment and all other respects to the Senior Indebtedness and the Lien of the Senior Indebtedness as provided herein, and each such Payee hereby waives any and all such rights it may acquire by subrogation or otherwise to any Lien of the Senior Indebtedness or any portion thereof until such time as all Senior Indebtedness has been repaid in full in cash.</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70">
                <wp:simplePos x="0" y="0"/>
                <wp:positionH relativeFrom="character">
                  <wp:align>left</wp:align>
                </wp:positionH>
                <wp:positionV relativeFrom="line">
                  <wp:posOffset>635</wp:posOffset>
                </wp:positionV>
                <wp:extent cx="6480175" cy="781050"/>
                <wp:effectExtent l="0" t="0" r="0" b="0"/>
                <wp:wrapNone/>
                <wp:docPr id="469" name="Frame468"/>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267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267</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If, at any time, all or part of any payment with respect to Senior Indebtedness theretofore made (whether by any other Loan Party or any other Person or enforcement of any right of setoff or otherwise) is rescinded, avoided or must otherwise be returned by the holders of Senior Indebtedness for any reason whatsoever (including, without limitation, in connection with the insolvency, bankruptcy or reorganization of any other Loan Party or such other Persons), the subordination provisions set forth herein shall continue to be effective or be reinstated, as the case may be, all as though such payment had not been made.</w:t>
      </w:r>
    </w:p>
    <w:p>
      <w:pPr>
        <w:pStyle w:val="TextBody"/>
        <w:bidi w:val="0"/>
        <w:spacing w:lineRule="auto" w:line="240" w:before="240"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To the fullest extent permitted by law, no present or future holder of Senior Indebtedness shall be prejudiced in its right to enforce the subordination of this Note by any act or failure to act on the part of any Payee that is not a Loan Party or by any act or failure to act on the part of such holder or any trustee or agent for such holder. Each Payee that is not a Loan Party and each Payor that is a Loan Party hereby agrees that the subordination of this Note is for the benefit of the Secured Parties and constitutes a “subordination agreement” within the meaning of Section 510(a) of the Bankruptcy Code or any similar provision of any other applicable Debtor Relief Law, and that the Administrative Agents may, on behalf of themselves and the other Secured Parties, proceed to enforce the subordination provisions herein. If for any reason the Payees fail to file a proof of claim on account of the obligations evidenced by this Note at least ten (10) Business Days prior to the last date on which such proof of claim should, or is required to, be filed in order to be deemed timely filed in any insolvency or bankruptcy proceeding referred to above, the Payees hereby agree that the Administrative Agents shall be authorized (but not obligated) to file such proof of claim in the Payees’ name.</w:t>
      </w:r>
    </w:p>
    <w:p>
      <w:pPr>
        <w:pStyle w:val="TextBody"/>
        <w:bidi w:val="0"/>
        <w:spacing w:lineRule="auto" w:line="240" w:before="241"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Nothing contained in the subordination provisions set forth above is intended to or will impair, as between each Payor and each Payee, the obligations of such Payor, which are absolute and unconditional, to pay to such Payee the principal of and interest on this Note as and when due and payable in accordance with its terms, or is intended to or will affect the relative rights of such Payee and other creditors of such Payor other than the holders of Senior Indebtedness.</w:t>
      </w:r>
    </w:p>
    <w:p>
      <w:pPr>
        <w:pStyle w:val="TextBody"/>
        <w:bidi w:val="0"/>
        <w:spacing w:lineRule="auto" w:line="240" w:before="238" w:after="283"/>
        <w:ind w:left="0" w:right="0" w:firstLine="1440"/>
        <w:jc w:val="both"/>
        <w:rPr/>
      </w:pPr>
      <w:r>
        <w:rPr>
          <w:rFonts w:ascii="Times New Roman;sans-serif" w:hAnsi="Times New Roman;sans-serif"/>
          <w:b w:val="false"/>
          <w:color w:val="000000"/>
          <w:sz w:val="24"/>
        </w:rPr>
        <w:t xml:space="preserve">Each Payee is hereby authorized to record all loans and advances made by it to any Payor (all of which shall be evidenced by this Note), and all repayments or prepayments thereof, in its books and records, such books and records constituting prima facie evidence of the accuracy of the information contained therein;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the failure of any Payee to record such information shall not affect any Payor’s obligations.</w:t>
      </w:r>
    </w:p>
    <w:p>
      <w:pPr>
        <w:pStyle w:val="TextBody"/>
        <w:bidi w:val="0"/>
        <w:spacing w:lineRule="auto" w:line="240" w:before="241"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Each Payor hereby waives diligence, presentment, demand, protest or notice of any kind in connection with this Note. All payments under this Note shall be made without offset, counterclaim or deduction of any kind. Each Payor hereby acknowledges and agrees that upon the occurrence and during the continuance of an Event of Default, no amount owing by any Payor to any Payee shall be reduced in any way by any outstanding obligations of such Payee to such Payor, whether such obligations are monetary or otherwise.</w:t>
      </w:r>
    </w:p>
    <w:p>
      <w:pPr>
        <w:pStyle w:val="TextBody"/>
        <w:bidi w:val="0"/>
        <w:spacing w:lineRule="auto" w:line="240" w:before="240"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This Note shall be binding upon each Payor and its successors and assigns, and the terms and provisions of this Note shall inure to the benefit of each Payee and its successors and assigns, including subsequent holders hereof. Notwithstanding anything to the contrary contained herein, in any other Loan Document or in any other promissory note or other instrument, this Note</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71">
                <wp:simplePos x="0" y="0"/>
                <wp:positionH relativeFrom="character">
                  <wp:align>left</wp:align>
                </wp:positionH>
                <wp:positionV relativeFrom="line">
                  <wp:posOffset>635</wp:posOffset>
                </wp:positionV>
                <wp:extent cx="6480175" cy="781050"/>
                <wp:effectExtent l="0" t="0" r="0" b="0"/>
                <wp:wrapNone/>
                <wp:docPr id="470" name="Frame469"/>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268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268</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jc w:val="both"/>
        <w:rPr/>
      </w:pPr>
      <w:r>
        <w:rPr>
          <w:rFonts w:ascii="Times New Roman;sans-serif" w:hAnsi="Times New Roman;sans-serif"/>
          <w:b w:val="false"/>
          <w:color w:val="000000"/>
          <w:sz w:val="24"/>
        </w:rPr>
        <w:t xml:space="preserve">replaces and supersedes any and all promissory notes or other instruments heretofore outstanding which create or evidence any loans or advances made on, before or after the date hereof by any Payee to any Payor, except for the notes set forth on </w:t>
      </w:r>
      <w:r>
        <w:rPr>
          <w:rFonts w:ascii="Times New Roman;sans-serif" w:hAnsi="Times New Roman;sans-serif"/>
          <w:b w:val="false"/>
          <w:color w:val="000000"/>
          <w:sz w:val="24"/>
          <w:u w:val="single"/>
        </w:rPr>
        <w:t>Schedule I</w:t>
      </w:r>
      <w:r>
        <w:rPr>
          <w:color w:val="000000"/>
        </w:rPr>
        <w:t xml:space="preserve"> </w:t>
      </w:r>
      <w:r>
        <w:rPr>
          <w:rFonts w:ascii="Times New Roman;sans-serif" w:hAnsi="Times New Roman;sans-serif"/>
          <w:b w:val="false"/>
          <w:color w:val="000000"/>
          <w:sz w:val="24"/>
        </w:rPr>
        <w:t>attached hereto, which such schedule may be amended from time to time by written notice to the Administrative Agents.</w:t>
      </w:r>
    </w:p>
    <w:p>
      <w:pPr>
        <w:pStyle w:val="TextBody"/>
        <w:bidi w:val="0"/>
        <w:spacing w:lineRule="auto" w:line="240" w:before="240" w:after="283"/>
        <w:ind w:left="0" w:right="0" w:firstLine="1440"/>
        <w:jc w:val="both"/>
        <w:rPr/>
      </w:pPr>
      <w:r>
        <w:rPr>
          <w:rFonts w:ascii="Times New Roman;sans-serif" w:hAnsi="Times New Roman;sans-serif"/>
          <w:b w:val="false"/>
          <w:color w:val="000000"/>
          <w:sz w:val="24"/>
        </w:rPr>
        <w:t xml:space="preserve">From time to time after the date hereof, additional Subsidiaries of the Borrower may become parties hereto as Payor and as Payee, in each case by executing an Intercompany Note Joinder substantially in the form attached hereto as </w:t>
      </w:r>
      <w:r>
        <w:rPr>
          <w:rFonts w:ascii="Times New Roman;sans-serif" w:hAnsi="Times New Roman;sans-serif"/>
          <w:b w:val="false"/>
          <w:color w:val="000000"/>
          <w:sz w:val="24"/>
          <w:u w:val="single"/>
        </w:rPr>
        <w:t>Exhibit A</w:t>
      </w:r>
      <w:r>
        <w:rPr>
          <w:color w:val="000000"/>
        </w:rPr>
        <w:t xml:space="preserve"> </w:t>
      </w:r>
      <w:r>
        <w:rPr>
          <w:rFonts w:ascii="Times New Roman;sans-serif" w:hAnsi="Times New Roman;sans-serif"/>
          <w:b w:val="false"/>
          <w:color w:val="000000"/>
          <w:sz w:val="24"/>
        </w:rPr>
        <w:t>(each additional Subsidiary, a “</w:t>
      </w:r>
      <w:r>
        <w:rPr>
          <w:rFonts w:ascii="Times New Roman;sans-serif" w:hAnsi="Times New Roman;sans-serif"/>
          <w:b/>
          <w:color w:val="000000"/>
          <w:sz w:val="24"/>
        </w:rPr>
        <w:t>New Note Party</w:t>
      </w:r>
      <w:r>
        <w:rPr>
          <w:color w:val="000000"/>
        </w:rPr>
        <w:t>”</w:t>
      </w:r>
      <w:r>
        <w:rPr>
          <w:rFonts w:ascii="Times New Roman;sans-serif" w:hAnsi="Times New Roman;sans-serif"/>
          <w:b w:val="false"/>
          <w:color w:val="000000"/>
          <w:sz w:val="24"/>
        </w:rPr>
        <w:t>). Upon execution of such Intercompany Note Joinder by such subsidiary, notice of which is hereby waived by the other Payors, each New Note Party shall be a Payor and/or a Payee, as the case may be, and shall be a party hereto as if such New Note Party were an original signatory hereof. Each Payor expressly agrees that its obligations arising hereunder shall not be affected or diminished by the addition or release of any other Payor or Payee hereunder. This Note shall be fully effective as to any Payor or Payee that is or becomes a party hereto regardless of whether any other Person becomes or fails to become or ceases to be a Payor or Payee hereunder.</w:t>
      </w:r>
    </w:p>
    <w:p>
      <w:pPr>
        <w:pStyle w:val="TextBody"/>
        <w:bidi w:val="0"/>
        <w:spacing w:lineRule="auto" w:line="240" w:before="240" w:after="283"/>
        <w:ind w:left="0" w:right="0" w:firstLine="1440"/>
        <w:jc w:val="both"/>
        <w:rPr/>
      </w:pPr>
      <w:r>
        <w:rPr>
          <w:rFonts w:ascii="Times New Roman;sans-serif" w:hAnsi="Times New Roman;sans-serif"/>
          <w:b w:val="false"/>
          <w:color w:val="000000"/>
          <w:sz w:val="24"/>
        </w:rPr>
        <w:t xml:space="preserve">No amendment, modification or waiver of, or consent with respect to, any provisions of this Note shall be effective unless the same shall be in writing and signed and delivered by each Payor and Payee whose rights or obligations shall be affected thereby;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until such time as the Termination Date has occurred under the Credit Agreement, the Administrative Agents shall have provided its prior written consent (such consent not to be unreasonably withheld, delayed or conditioned) to such amendment, modification, waiver or consent to the extent such amendment, modification, waiver or consent is adverse to the interests of the Lenders in any material respect.</w:t>
      </w:r>
    </w:p>
    <w:p>
      <w:pPr>
        <w:pStyle w:val="TextBody"/>
        <w:bidi w:val="0"/>
        <w:spacing w:lineRule="auto" w:line="240" w:before="241"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PAGES FOLLOWS]</w:t>
      </w:r>
    </w:p>
    <w:p>
      <w:pPr>
        <w:pStyle w:val="TextBody"/>
        <w:bidi w:val="0"/>
        <w:spacing w:before="0" w:after="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72">
                <wp:simplePos x="0" y="0"/>
                <wp:positionH relativeFrom="character">
                  <wp:align>left</wp:align>
                </wp:positionH>
                <wp:positionV relativeFrom="line">
                  <wp:posOffset>635</wp:posOffset>
                </wp:positionV>
                <wp:extent cx="6480175" cy="781050"/>
                <wp:effectExtent l="0" t="0" r="0" b="0"/>
                <wp:wrapNone/>
                <wp:docPr id="471" name="Frame470"/>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269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269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40" w:before="6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THIS NOTE SHALL BE GOVERNED BY, AND CONSTRUED IN ACCORDANCE WITH, THE LAWS OF THE STATE OF NEW YORK, WITHOUT REGARD TO THE PRINCIPLES OF CONFLICTS OF LAWS THEREOF.</w:t>
      </w:r>
    </w:p>
    <w:p>
      <w:pPr>
        <w:pStyle w:val="TextBody"/>
        <w:bidi w:val="0"/>
        <w:spacing w:lineRule="auto" w:line="240" w:before="24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as payor and payee</w:t>
      </w:r>
    </w:p>
    <w:p>
      <w:pPr>
        <w:pStyle w:val="TextBody"/>
        <w:bidi w:val="0"/>
        <w:spacing w:before="204" w:after="283"/>
        <w:jc w:val="left"/>
        <w:rPr/>
      </w:pPr>
      <w:r>
        <w:rPr/>
      </w:r>
    </w:p>
    <w:p>
      <w:pPr>
        <w:pStyle w:val="TextBody"/>
        <w:bidi w:val="0"/>
        <w:spacing w:lineRule="auto" w:line="285" w:before="0" w:after="0"/>
        <w:ind w:left="0" w:right="0" w:hanging="813"/>
        <w:jc w:val="left"/>
        <w:rPr/>
      </w:pPr>
      <w:r>
        <w:rPr>
          <w:rFonts w:ascii="Times New Roman;sans-serif" w:hAnsi="Times New Roman;sans-serif"/>
          <w:b w:val="false"/>
          <w:color w:val="000000"/>
          <w:sz w:val="24"/>
        </w:rPr>
        <w:t>By:    </w:t>
      </w:r>
      <w:r>
        <w:rPr>
          <w:color w:val="000000"/>
          <w:u w:val="single"/>
        </w:rPr>
        <w:t>        </w:t>
      </w:r>
      <w:r>
        <w:rPr>
          <w:color w:val="000000"/>
        </w:rPr>
        <w:t xml:space="preserve"> </w:t>
      </w:r>
      <w:r>
        <w:rPr>
          <w:rFonts w:ascii="Times New Roman;sans-serif" w:hAnsi="Times New Roman;sans-serif"/>
          <w:b w:val="false"/>
          <w:color w:val="000000"/>
          <w:sz w:val="24"/>
        </w:rPr>
        <w:t>Name:</w:t>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Title: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217" w:after="283"/>
        <w:jc w:val="left"/>
        <w:rPr/>
      </w:pPr>
      <w:r>
        <w:rPr/>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TO INTERCOMPANY NOTE]</w:t>
      </w:r>
    </w:p>
    <w:p>
      <w:pPr>
        <w:pStyle w:val="TextBody"/>
        <w:bidi w:val="0"/>
        <w:spacing w:before="0" w:after="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73">
                <wp:simplePos x="0" y="0"/>
                <wp:positionH relativeFrom="character">
                  <wp:align>left</wp:align>
                </wp:positionH>
                <wp:positionV relativeFrom="line">
                  <wp:posOffset>635</wp:posOffset>
                </wp:positionV>
                <wp:extent cx="6480175" cy="781050"/>
                <wp:effectExtent l="0" t="0" r="0" b="0"/>
                <wp:wrapNone/>
                <wp:docPr id="472" name="Frame471"/>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270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270</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40" w:before="60" w:after="283"/>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SCHEDULE I</w:t>
      </w:r>
    </w:p>
    <w:p>
      <w:pPr>
        <w:pStyle w:val="TextBody"/>
        <w:bidi w:val="0"/>
        <w:spacing w:before="0" w:after="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74">
                <wp:simplePos x="0" y="0"/>
                <wp:positionH relativeFrom="character">
                  <wp:align>left</wp:align>
                </wp:positionH>
                <wp:positionV relativeFrom="line">
                  <wp:posOffset>635</wp:posOffset>
                </wp:positionV>
                <wp:extent cx="6480175" cy="781050"/>
                <wp:effectExtent l="0" t="0" r="0" b="0"/>
                <wp:wrapNone/>
                <wp:docPr id="473" name="Frame472"/>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271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271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40" w:before="60" w:after="283"/>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EXHIBIT A</w:t>
      </w:r>
    </w:p>
    <w:p>
      <w:pPr>
        <w:pStyle w:val="TextBody"/>
        <w:bidi w:val="0"/>
        <w:spacing w:before="204" w:after="283"/>
        <w:jc w:val="left"/>
        <w:rPr/>
      </w:pPr>
      <w:r>
        <w:rPr/>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[FORM OF] INTERCOMPANY NOTE JOINDER</w:t>
      </w:r>
    </w:p>
    <w:p>
      <w:pPr>
        <w:pStyle w:val="TextBody"/>
        <w:bidi w:val="0"/>
        <w:spacing w:before="204"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00000"/>
          <w:sz w:val="24"/>
        </w:rPr>
        <w:t>This JOINDER dated as of [●] (this “</w:t>
      </w:r>
      <w:r>
        <w:rPr>
          <w:rFonts w:ascii="Times New Roman;sans-serif" w:hAnsi="Times New Roman;sans-serif"/>
          <w:b/>
          <w:color w:val="000000"/>
          <w:sz w:val="24"/>
        </w:rPr>
        <w:t>Joinder</w:t>
      </w:r>
      <w:r>
        <w:rPr>
          <w:color w:val="000000"/>
        </w:rPr>
        <w:t>”</w:t>
      </w:r>
      <w:r>
        <w:rPr>
          <w:rFonts w:ascii="Times New Roman;sans-serif" w:hAnsi="Times New Roman;sans-serif"/>
          <w:b w:val="false"/>
          <w:color w:val="000000"/>
          <w:sz w:val="24"/>
        </w:rPr>
        <w:t>), to that certain Intercompany Note dated [ ] (as amended, supplemented, restated, amended and restated, or otherwise modified from time to time, the “</w:t>
      </w:r>
      <w:r>
        <w:rPr>
          <w:rFonts w:ascii="Times New Roman;sans-serif" w:hAnsi="Times New Roman;sans-serif"/>
          <w:b/>
          <w:color w:val="000000"/>
          <w:sz w:val="24"/>
        </w:rPr>
        <w:t>Note</w:t>
      </w:r>
      <w:r>
        <w:rPr>
          <w:color w:val="000000"/>
        </w:rPr>
        <w:t>”</w:t>
      </w:r>
      <w:r>
        <w:rPr>
          <w:rFonts w:ascii="Times New Roman;sans-serif" w:hAnsi="Times New Roman;sans-serif"/>
          <w:b w:val="false"/>
          <w:color w:val="000000"/>
          <w:sz w:val="24"/>
        </w:rPr>
        <w:t>), by and among the entities listed on the signature pages thereto from time to time.</w:t>
      </w:r>
    </w:p>
    <w:p>
      <w:pPr>
        <w:pStyle w:val="TextBody"/>
        <w:bidi w:val="0"/>
        <w:spacing w:lineRule="auto" w:line="240" w:before="240" w:after="283"/>
        <w:ind w:left="0" w:right="0" w:firstLine="1440"/>
        <w:jc w:val="both"/>
        <w:rPr/>
      </w:pPr>
      <w:r>
        <w:rPr>
          <w:rFonts w:ascii="Times New Roman;sans-serif" w:hAnsi="Times New Roman;sans-serif"/>
          <w:b w:val="false"/>
          <w:color w:val="000000"/>
          <w:sz w:val="24"/>
        </w:rPr>
        <w:t>Reference is made to the Credit Agreement dated as of February 6, 2024 (as amended, supplemented, restated, amended and restated, or otherwise modified from time to time, the “</w:t>
      </w:r>
      <w:r>
        <w:rPr>
          <w:rFonts w:ascii="Times New Roman;sans-serif" w:hAnsi="Times New Roman;sans-serif"/>
          <w:b/>
          <w:color w:val="000000"/>
          <w:sz w:val="24"/>
        </w:rPr>
        <w:t>Credit Agreement</w:t>
      </w:r>
      <w:r>
        <w:rPr>
          <w:color w:val="000000"/>
        </w:rPr>
        <w:t>”</w:t>
      </w:r>
      <w:r>
        <w:rPr>
          <w:rFonts w:ascii="Times New Roman;sans-serif" w:hAnsi="Times New Roman;sans-serif"/>
          <w:b w:val="false"/>
          <w:color w:val="000000"/>
          <w:sz w:val="24"/>
        </w:rPr>
        <w:t>), by and among Magnite, Inc., a Delaware corporation (the “</w:t>
      </w:r>
      <w:r>
        <w:rPr>
          <w:rFonts w:ascii="Times New Roman;sans-serif" w:hAnsi="Times New Roman;sans-serif"/>
          <w:b/>
          <w:color w:val="000000"/>
          <w:sz w:val="24"/>
        </w:rPr>
        <w:t>Borrower</w:t>
      </w:r>
      <w:r>
        <w:rPr>
          <w:color w:val="000000"/>
        </w:rPr>
        <w:t>”</w:t>
      </w:r>
      <w:r>
        <w:rPr>
          <w:rFonts w:ascii="Times New Roman;sans-serif" w:hAnsi="Times New Roman;sans-serif"/>
          <w:b w:val="false"/>
          <w:color w:val="000000"/>
          <w:sz w:val="24"/>
        </w:rPr>
        <w:t>), Morgan Stanley Senior Funding, Inc., as administrative agent for the Term Facility (in such capacity, the “</w:t>
      </w:r>
      <w:r>
        <w:rPr>
          <w:rFonts w:ascii="Times New Roman;sans-serif" w:hAnsi="Times New Roman;sans-serif"/>
          <w:b/>
          <w:color w:val="000000"/>
          <w:sz w:val="24"/>
        </w:rPr>
        <w:t>Term Facility Administrative Agent</w:t>
      </w:r>
      <w:r>
        <w:rPr>
          <w:color w:val="000000"/>
        </w:rPr>
        <w:t>”</w:t>
      </w:r>
      <w:r>
        <w:rPr>
          <w:rFonts w:ascii="Times New Roman;sans-serif" w:hAnsi="Times New Roman;sans-serif"/>
          <w:b w:val="false"/>
          <w:color w:val="000000"/>
          <w:sz w:val="24"/>
        </w:rPr>
        <w:t>), Citibank, N.A., as administrative agent for the Revolving Facility (in such capacity, the “</w:t>
      </w:r>
      <w:r>
        <w:rPr>
          <w:rFonts w:ascii="Times New Roman;sans-serif" w:hAnsi="Times New Roman;sans-serif"/>
          <w:b/>
          <w:color w:val="000000"/>
          <w:sz w:val="24"/>
        </w:rPr>
        <w:t>Revolving Facility Administrative Agent</w:t>
      </w:r>
      <w:r>
        <w:rPr>
          <w:color w:val="000000"/>
        </w:rPr>
        <w:t xml:space="preserve">” </w:t>
      </w:r>
      <w:r>
        <w:rPr>
          <w:rFonts w:ascii="Times New Roman;sans-serif" w:hAnsi="Times New Roman;sans-serif"/>
          <w:b w:val="false"/>
          <w:color w:val="000000"/>
          <w:sz w:val="24"/>
        </w:rPr>
        <w:t xml:space="preserve">and, together with the Term Facility Administrative Agent, the </w:t>
      </w:r>
      <w:r>
        <w:rPr>
          <w:color w:val="000000"/>
        </w:rPr>
        <w:t>“</w:t>
      </w:r>
      <w:r>
        <w:rPr>
          <w:rFonts w:ascii="Times New Roman;sans-serif" w:hAnsi="Times New Roman;sans-serif"/>
          <w:b/>
          <w:color w:val="000000"/>
          <w:sz w:val="24"/>
        </w:rPr>
        <w:t>Administrative Agents”</w:t>
      </w:r>
      <w:r>
        <w:rPr>
          <w:rFonts w:ascii="Times New Roman;sans-serif" w:hAnsi="Times New Roman;sans-serif"/>
          <w:b w:val="false"/>
          <w:color w:val="000000"/>
          <w:sz w:val="24"/>
        </w:rPr>
        <w:t>), Collateral Agent and Swingline Lender, and each Issuing Bank and Lender party thereto from time to time. Terms used herein which are defined in the Credit Agreement shall have such defined meanings in the Credit Agreement unless otherwise defined herein.</w:t>
      </w:r>
    </w:p>
    <w:p>
      <w:pPr>
        <w:pStyle w:val="TextBody"/>
        <w:bidi w:val="0"/>
        <w:spacing w:lineRule="auto" w:line="240" w:before="240" w:after="283"/>
        <w:ind w:left="0" w:right="0" w:firstLine="1440"/>
        <w:jc w:val="both"/>
        <w:rPr/>
      </w:pPr>
      <w:r>
        <w:rPr>
          <w:rFonts w:ascii="Times New Roman;sans-serif" w:hAnsi="Times New Roman;sans-serif"/>
          <w:b w:val="false"/>
          <w:color w:val="000000"/>
          <w:sz w:val="24"/>
        </w:rPr>
        <w:t>The undersigned party (the “</w:t>
      </w:r>
      <w:r>
        <w:rPr>
          <w:rFonts w:ascii="Times New Roman;sans-serif" w:hAnsi="Times New Roman;sans-serif"/>
          <w:b/>
          <w:color w:val="000000"/>
          <w:sz w:val="24"/>
        </w:rPr>
        <w:t>New Note Party</w:t>
      </w:r>
      <w:r>
        <w:rPr>
          <w:color w:val="000000"/>
        </w:rPr>
        <w:t>”</w:t>
      </w:r>
      <w:r>
        <w:rPr>
          <w:rFonts w:ascii="Times New Roman;sans-serif" w:hAnsi="Times New Roman;sans-serif"/>
          <w:b w:val="false"/>
          <w:color w:val="000000"/>
          <w:sz w:val="24"/>
        </w:rPr>
        <w:t>) is executing this Joinder in accordance with the requirements of the Credit Agreement and subject to the terms thereof. Accordingly, the New Note Party agrees as follows:</w:t>
      </w:r>
    </w:p>
    <w:p>
      <w:pPr>
        <w:pStyle w:val="TextBody"/>
        <w:bidi w:val="0"/>
        <w:spacing w:lineRule="auto" w:line="240" w:before="241"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The New Note Party by its signature below becomes a Payor and a Payee, as applicable, under the Note with the same force and effect as if originally named therein as a Payor and a Payee, as applicable, and the New Note Party hereby agrees to all the terms and provisions of the Note applicable to it as a Payor and a Payee, as applicable, thereunder. All references to Payor and Payee, as applicable, in the Note shall be deemed to include the New Note Party. The Note is hereby incorporated herein by reference, including, for sake of clarification only and without limitation, the subordination provisions set forth therein. Except as expressly supplemented hereby, the Note shall remain in full force and effect.</w:t>
      </w:r>
    </w:p>
    <w:p>
      <w:pPr>
        <w:pStyle w:val="TextBody"/>
        <w:bidi w:val="0"/>
        <w:spacing w:lineRule="auto" w:line="240" w:before="239"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FOLLOWS]</w:t>
      </w:r>
    </w:p>
    <w:p>
      <w:pPr>
        <w:pStyle w:val="TextBody"/>
        <w:bidi w:val="0"/>
        <w:spacing w:before="0" w:after="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75">
                <wp:simplePos x="0" y="0"/>
                <wp:positionH relativeFrom="character">
                  <wp:align>left</wp:align>
                </wp:positionH>
                <wp:positionV relativeFrom="line">
                  <wp:posOffset>635</wp:posOffset>
                </wp:positionV>
                <wp:extent cx="6480175" cy="781050"/>
                <wp:effectExtent l="0" t="0" r="0" b="0"/>
                <wp:wrapNone/>
                <wp:docPr id="474" name="Frame473"/>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272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272</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40" w:before="6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IN WITNESS WHEREOF, the New Note Party has duly executed this Joinder as of the day and year first above written.</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NAME OF NEW NOTE PARTY</w:t>
      </w:r>
    </w:p>
    <w:p>
      <w:pPr>
        <w:pStyle w:val="TextBody"/>
        <w:bidi w:val="0"/>
        <w:spacing w:before="204" w:after="283"/>
        <w:jc w:val="left"/>
        <w:rPr/>
      </w:pPr>
      <w:r>
        <w:rPr/>
      </w:r>
    </w:p>
    <w:p>
      <w:pPr>
        <w:pStyle w:val="TextBody"/>
        <w:bidi w:val="0"/>
        <w:spacing w:lineRule="auto" w:line="285" w:before="0" w:after="0"/>
        <w:ind w:left="0" w:right="0" w:hanging="813"/>
        <w:jc w:val="left"/>
        <w:rPr/>
      </w:pPr>
      <w:r>
        <w:rPr>
          <w:rFonts w:ascii="Times New Roman;sans-serif" w:hAnsi="Times New Roman;sans-serif"/>
          <w:b w:val="false"/>
          <w:color w:val="000000"/>
          <w:sz w:val="24"/>
        </w:rPr>
        <w:t>By:    </w:t>
      </w:r>
      <w:r>
        <w:rPr>
          <w:color w:val="000000"/>
          <w:u w:val="single"/>
        </w:rPr>
        <w:t>        </w:t>
      </w:r>
      <w:r>
        <w:rPr>
          <w:color w:val="000000"/>
        </w:rPr>
        <w:t xml:space="preserve"> </w:t>
      </w:r>
      <w:r>
        <w:rPr>
          <w:rFonts w:ascii="Times New Roman;sans-serif" w:hAnsi="Times New Roman;sans-serif"/>
          <w:b w:val="false"/>
          <w:color w:val="000000"/>
          <w:sz w:val="24"/>
        </w:rPr>
        <w:t>Name:</w:t>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Title: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1" w:after="283"/>
        <w:jc w:val="left"/>
        <w:rPr/>
      </w:pPr>
      <w:r>
        <w:rPr/>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TO INTERCOMPANY NOTE JOINDER]</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76">
                <wp:simplePos x="0" y="0"/>
                <wp:positionH relativeFrom="character">
                  <wp:align>left</wp:align>
                </wp:positionH>
                <wp:positionV relativeFrom="line">
                  <wp:posOffset>635</wp:posOffset>
                </wp:positionV>
                <wp:extent cx="6480175" cy="781050"/>
                <wp:effectExtent l="0" t="0" r="0" b="0"/>
                <wp:wrapNone/>
                <wp:docPr id="475" name="Frame474"/>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273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273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ind w:left="0" w:right="0" w:firstLine="720"/>
        <w:jc w:val="left"/>
        <w:rPr>
          <w:rFonts w:ascii="Times New Roman;sans-serif" w:hAnsi="Times New Roman;sans-serif"/>
          <w:b/>
          <w:color w:val="000000"/>
          <w:sz w:val="24"/>
        </w:rPr>
      </w:pPr>
      <w:r>
        <w:rPr>
          <w:rFonts w:ascii="Times New Roman;sans-serif" w:hAnsi="Times New Roman;sans-serif"/>
          <w:b/>
          <w:color w:val="000000"/>
          <w:sz w:val="24"/>
        </w:rPr>
        <w:t>EXHIBIT H</w:t>
      </w:r>
    </w:p>
    <w:p>
      <w:pPr>
        <w:pStyle w:val="TextBody"/>
        <w:bidi w:val="0"/>
        <w:spacing w:lineRule="auto" w:line="240" w:before="0" w:after="240"/>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FORM OF PROMISSORY NOTE</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FOR VALUE RECEIVED</w:t>
      </w:r>
    </w:p>
    <w:p>
      <w:pPr>
        <w:pStyle w:val="TextBody"/>
        <w:bidi w:val="0"/>
        <w:spacing w:lineRule="auto" w:line="240" w:before="0" w:after="48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New York, New York</w:t>
        <w:br/>
        <w:t>            [Date]</w:t>
      </w:r>
    </w:p>
    <w:p>
      <w:pPr>
        <w:pStyle w:val="TextBody"/>
        <w:bidi w:val="0"/>
        <w:spacing w:lineRule="auto" w:line="240" w:before="0" w:after="0"/>
        <w:ind w:left="0" w:right="0" w:firstLine="720"/>
        <w:jc w:val="both"/>
        <w:rPr/>
      </w:pPr>
      <w:r>
        <w:rPr>
          <w:rFonts w:ascii="Times New Roman;sans-serif" w:hAnsi="Times New Roman;sans-serif"/>
          <w:b w:val="false"/>
          <w:color w:val="000000"/>
          <w:sz w:val="24"/>
        </w:rPr>
        <w:t>FOR VALUE RECEIVED, MAGNITE, INC. hereby promises to pay to [LENDER] or its registered assigns (the “</w:t>
      </w:r>
      <w:r>
        <w:rPr>
          <w:rFonts w:ascii="Times New Roman;sans-serif" w:hAnsi="Times New Roman;sans-serif"/>
          <w:b w:val="false"/>
          <w:color w:val="000000"/>
          <w:sz w:val="24"/>
          <w:u w:val="single"/>
        </w:rPr>
        <w:t>Lender</w:t>
      </w:r>
      <w:r>
        <w:rPr>
          <w:color w:val="000000"/>
        </w:rPr>
        <w:t>”</w:t>
      </w:r>
      <w:r>
        <w:rPr>
          <w:rFonts w:ascii="Times New Roman;sans-serif" w:hAnsi="Times New Roman;sans-serif"/>
          <w:b w:val="false"/>
          <w:color w:val="000000"/>
          <w:sz w:val="24"/>
        </w:rPr>
        <w:t>), in lawful money of the United States of America in immediately available funds, to the [Term Facility Administrative Agent’s payment office initially located at 1585 Broadway, New York, New York 10036][Revolving Facility Administrative Agent’s payment    office    initially    located    388    Greenwich    Street New York, NY 10013] on the [Term][Revolving] Facility Maturity Date (as defined in the Agreement) the value received or, if less, the unpaid principal amount of all [Term][Revolving Facility] Loans (as defined in the Agreement) made by the Lender pursuant to the Agreement, payable at such times and in such amounts as are specified in the Agreement.</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 xml:space="preserve">The Borrower also promises to pay interest on the unpaid principal amount of each [Term][Revolving Facility] Loan made by the Lender in like money at said office from the date hereof until paid at the rates and at the times provided in </w:t>
      </w:r>
      <w:r>
        <w:rPr>
          <w:rFonts w:ascii="Times New Roman;sans-serif" w:hAnsi="Times New Roman;sans-serif"/>
          <w:b w:val="false"/>
          <w:color w:val="000000"/>
          <w:sz w:val="24"/>
          <w:u w:val="single"/>
        </w:rPr>
        <w:t>Section 2.13</w:t>
      </w:r>
      <w:r>
        <w:rPr>
          <w:color w:val="000000"/>
        </w:rPr>
        <w:t xml:space="preserve"> </w:t>
      </w:r>
      <w:r>
        <w:rPr>
          <w:rFonts w:ascii="Times New Roman;sans-serif" w:hAnsi="Times New Roman;sans-serif"/>
          <w:b w:val="false"/>
          <w:color w:val="000000"/>
          <w:sz w:val="24"/>
        </w:rPr>
        <w:t>of the Agreement.</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This note (this “</w:t>
      </w:r>
      <w:r>
        <w:rPr>
          <w:rFonts w:ascii="Times New Roman;sans-serif" w:hAnsi="Times New Roman;sans-serif"/>
          <w:b w:val="false"/>
          <w:color w:val="000000"/>
          <w:sz w:val="24"/>
          <w:u w:val="single"/>
        </w:rPr>
        <w:t>Note</w:t>
      </w:r>
      <w:r>
        <w:rPr>
          <w:color w:val="000000"/>
        </w:rPr>
        <w:t>”</w:t>
      </w:r>
      <w:r>
        <w:rPr>
          <w:rFonts w:ascii="Times New Roman;sans-serif" w:hAnsi="Times New Roman;sans-serif"/>
          <w:b w:val="false"/>
          <w:color w:val="000000"/>
          <w:sz w:val="24"/>
        </w:rPr>
        <w:t xml:space="preserve">) is one of the “Notes” referred to in </w:t>
      </w:r>
      <w:r>
        <w:rPr>
          <w:rFonts w:ascii="Times New Roman;sans-serif" w:hAnsi="Times New Roman;sans-serif"/>
          <w:b w:val="false"/>
          <w:color w:val="000000"/>
          <w:sz w:val="24"/>
          <w:u w:val="single"/>
        </w:rPr>
        <w:t>Section 2.09(e)</w:t>
      </w:r>
      <w:r>
        <w:rPr>
          <w:color w:val="000000"/>
        </w:rPr>
        <w:t xml:space="preserve"> </w:t>
      </w:r>
      <w:r>
        <w:rPr>
          <w:rFonts w:ascii="Times New Roman;sans-serif" w:hAnsi="Times New Roman;sans-serif"/>
          <w:b w:val="false"/>
          <w:color w:val="000000"/>
          <w:sz w:val="24"/>
        </w:rPr>
        <w:t>of the Credit Agreement, dated as of February 6, 2024 by and among Magnite, Inc., a Delaware corporation (the “</w:t>
      </w:r>
      <w:r>
        <w:rPr>
          <w:rFonts w:ascii="Times New Roman;sans-serif" w:hAnsi="Times New Roman;sans-serif"/>
          <w:b w:val="false"/>
          <w:color w:val="000000"/>
          <w:sz w:val="24"/>
          <w:u w:val="single"/>
        </w:rPr>
        <w:t>Borrower</w:t>
      </w:r>
      <w:r>
        <w:rPr>
          <w:color w:val="000000"/>
        </w:rPr>
        <w:t>”</w:t>
      </w:r>
      <w:r>
        <w:rPr>
          <w:rFonts w:ascii="Times New Roman;sans-serif" w:hAnsi="Times New Roman;sans-serif"/>
          <w:b w:val="false"/>
          <w:color w:val="000000"/>
          <w:sz w:val="24"/>
        </w:rPr>
        <w:t>), Morgan Stanley Senior Funding, Inc., as Term Facility Administrative Agent, Citibank, N.A., as Revolving Facility Administrative Agent, Collateral Agent and Swingline Lender, and each Issuing Bank and Lender party thereto from time to time (as amended, supplemented, restated, amended and restated, or otherwise modified from time to time, the “</w:t>
      </w:r>
      <w:r>
        <w:rPr>
          <w:rFonts w:ascii="Times New Roman;sans-serif" w:hAnsi="Times New Roman;sans-serif"/>
          <w:b w:val="false"/>
          <w:color w:val="000000"/>
          <w:sz w:val="24"/>
          <w:u w:val="single"/>
        </w:rPr>
        <w:t>Agreement</w:t>
      </w:r>
      <w:r>
        <w:rPr>
          <w:color w:val="000000"/>
        </w:rPr>
        <w:t>”</w:t>
      </w:r>
      <w:r>
        <w:rPr>
          <w:rFonts w:ascii="Times New Roman;sans-serif" w:hAnsi="Times New Roman;sans-serif"/>
          <w:b w:val="false"/>
          <w:color w:val="000000"/>
          <w:sz w:val="24"/>
        </w:rPr>
        <w:t>) and is entitled to the benefits thereof and of the other Loan Documents (as defined in the Agreement). This Note is secured in accordance with the Security Documents (as defined in the Agreement) and is entitled to the benefits of the Guarantees (as defined in the Agreement) provided by the Guarantors pursuant to the Loan Documents (as each such term is defined in the Agreement). As provided in the Agreement, this Note is subject to voluntary prepayment and mandatory repayment prior to the [Term][Revolving] Facility Maturity Date, in whole or in part, and [Term][Revolving Facility] Loans may be converted from one Type (as defined in the Agreement) into another Type to the extent provided in the Agreement.</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case an Event of Default (as defined in the Agreement) shall occur and be continuing, the principal of and accrued interest on this Note may be declared to be due and payable in the manner and with the effect provided in the Agreement.</w:t>
      </w:r>
    </w:p>
    <w:p>
      <w:pPr>
        <w:pStyle w:val="TextBody"/>
        <w:bidi w:val="0"/>
        <w:spacing w:lineRule="auto" w:line="240"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The Borrower hereby waives presentment, demand, protest or notice of any kind in connection with this Note.</w:t>
      </w:r>
    </w:p>
    <w:p>
      <w:pPr>
        <w:pStyle w:val="TextBody"/>
        <w:bidi w:val="0"/>
        <w:spacing w:lineRule="auto" w:line="240" w:before="240" w:after="283"/>
        <w:ind w:left="0" w:right="0" w:firstLine="720"/>
        <w:jc w:val="left"/>
        <w:rPr>
          <w:rFonts w:ascii="Times New Roman;sans-serif" w:hAnsi="Times New Roman;sans-serif"/>
          <w:b/>
          <w:color w:val="000000"/>
          <w:sz w:val="24"/>
        </w:rPr>
      </w:pPr>
      <w:r>
        <w:rPr>
          <w:rFonts w:ascii="Times New Roman;sans-serif" w:hAnsi="Times New Roman;sans-serif"/>
          <w:b/>
          <w:color w:val="000000"/>
          <w:sz w:val="24"/>
        </w:rPr>
        <w:t>THIS NOTE MAY NOT BE TRANSFERRED EXCEPT IN COMPLIANCE WITH THE TERMS OF THE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77">
                <wp:simplePos x="0" y="0"/>
                <wp:positionH relativeFrom="character">
                  <wp:align>left</wp:align>
                </wp:positionH>
                <wp:positionV relativeFrom="line">
                  <wp:posOffset>635</wp:posOffset>
                </wp:positionV>
                <wp:extent cx="6480175" cy="781050"/>
                <wp:effectExtent l="0" t="0" r="0" b="0"/>
                <wp:wrapNone/>
                <wp:docPr id="476" name="Frame475"/>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274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274</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60" w:after="283"/>
        <w:ind w:left="0" w:right="0" w:firstLine="720"/>
        <w:jc w:val="both"/>
        <w:rPr>
          <w:rFonts w:ascii="Times New Roman;sans-serif" w:hAnsi="Times New Roman;sans-serif"/>
          <w:b/>
          <w:color w:val="000000"/>
          <w:sz w:val="24"/>
        </w:rPr>
      </w:pPr>
      <w:r>
        <w:rPr>
          <w:rFonts w:ascii="Times New Roman;sans-serif" w:hAnsi="Times New Roman;sans-serif"/>
          <w:b/>
          <w:color w:val="000000"/>
          <w:sz w:val="24"/>
        </w:rPr>
        <w:t>THIS NOTE AND ANY CLAIMS, CONTROVERSY, DISPUTE OR CAUSES OF ACTION (WHETHER IN CONTRACT OR TORT OR OTHERWISE) BASED UPON, ARISING OUT OF OR RELATING TO THIS NOTE SHALL BE CONSTRUED IN ACCORDANCE WITH AND GOVERNED BY THE LAWS OF THE STATE OF NEW YORK.</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78">
                <wp:simplePos x="0" y="0"/>
                <wp:positionH relativeFrom="character">
                  <wp:align>left</wp:align>
                </wp:positionH>
                <wp:positionV relativeFrom="line">
                  <wp:posOffset>635</wp:posOffset>
                </wp:positionV>
                <wp:extent cx="6480175" cy="781050"/>
                <wp:effectExtent l="0" t="0" r="0" b="0"/>
                <wp:wrapNone/>
                <wp:docPr id="477" name="Frame476"/>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275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275</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jc w:val="right"/>
        <w:rPr>
          <w:rFonts w:ascii="Times New Roman;sans-serif" w:hAnsi="Times New Roman;sans-serif"/>
          <w:b/>
          <w:color w:val="000000"/>
          <w:sz w:val="24"/>
        </w:rPr>
      </w:pPr>
      <w:r>
        <w:rPr>
          <w:rFonts w:ascii="Times New Roman;sans-serif" w:hAnsi="Times New Roman;sans-serif"/>
          <w:b/>
          <w:color w:val="000000"/>
          <w:sz w:val="24"/>
        </w:rPr>
        <w:t>EXHIBIT I</w:t>
      </w:r>
    </w:p>
    <w:p>
      <w:pPr>
        <w:pStyle w:val="TextBody"/>
        <w:bidi w:val="0"/>
        <w:spacing w:lineRule="auto" w:line="240" w:before="240" w:after="283"/>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FORM OF PERFECTION CERTIFICATE</w:t>
      </w:r>
    </w:p>
    <w:p>
      <w:pPr>
        <w:pStyle w:val="TextBody"/>
        <w:bidi w:val="0"/>
        <w:spacing w:lineRule="auto" w:line="240" w:before="24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[See Attached]</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79">
                <wp:simplePos x="0" y="0"/>
                <wp:positionH relativeFrom="character">
                  <wp:align>left</wp:align>
                </wp:positionH>
                <wp:positionV relativeFrom="line">
                  <wp:posOffset>635</wp:posOffset>
                </wp:positionV>
                <wp:extent cx="6480175" cy="781050"/>
                <wp:effectExtent l="0" t="0" r="0" b="0"/>
                <wp:wrapNone/>
                <wp:docPr id="478" name="Frame477"/>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276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276</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ind w:left="0" w:right="0" w:firstLine="720"/>
        <w:jc w:val="right"/>
        <w:rPr>
          <w:rFonts w:ascii="Times New Roman;sans-serif" w:hAnsi="Times New Roman;sans-serif"/>
          <w:b/>
          <w:color w:val="000000"/>
          <w:sz w:val="24"/>
        </w:rPr>
      </w:pPr>
      <w:r>
        <w:rPr>
          <w:rFonts w:ascii="Times New Roman;sans-serif" w:hAnsi="Times New Roman;sans-serif"/>
          <w:b/>
          <w:color w:val="000000"/>
          <w:sz w:val="24"/>
        </w:rPr>
        <w:t>EXHIBIT I</w:t>
      </w:r>
    </w:p>
    <w:p>
      <w:pPr>
        <w:pStyle w:val="TextBody"/>
        <w:bidi w:val="0"/>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PERFECTION CERTIFICATE</w:t>
      </w:r>
    </w:p>
    <w:p>
      <w:pPr>
        <w:pStyle w:val="TextBody"/>
        <w:bidi w:val="0"/>
        <w:spacing w:lineRule="auto" w:line="240" w:before="0" w:after="240"/>
        <w:ind w:left="0" w:right="0" w:firstLine="720"/>
        <w:jc w:val="right"/>
        <w:rPr>
          <w:rFonts w:ascii="Times New Roman;sans-serif" w:hAnsi="Times New Roman;sans-serif"/>
          <w:b w:val="false"/>
          <w:color w:val="000000"/>
          <w:sz w:val="24"/>
        </w:rPr>
      </w:pPr>
      <w:r>
        <w:rPr>
          <w:rFonts w:ascii="Times New Roman;sans-serif" w:hAnsi="Times New Roman;sans-serif"/>
          <w:b w:val="false"/>
          <w:color w:val="000000"/>
          <w:sz w:val="24"/>
        </w:rPr>
        <w:t>February 6, 2024</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4"/>
        </w:rPr>
        <w:t>Reference is made to the Credit Agreement dated as of February 6, 2024 (as amended, restated, amended and restated, supplemented or otherwise modified from time to time, the “</w:t>
      </w:r>
      <w:r>
        <w:rPr>
          <w:rFonts w:ascii="Times New Roman;sans-serif" w:hAnsi="Times New Roman;sans-serif"/>
          <w:b w:val="false"/>
          <w:color w:val="000000"/>
          <w:sz w:val="24"/>
          <w:u w:val="single"/>
        </w:rPr>
        <w:t>Credit</w:t>
      </w:r>
      <w:r>
        <w:rPr>
          <w:color w:val="000000"/>
        </w:rPr>
        <w:t xml:space="preserve"> </w:t>
      </w:r>
      <w:r>
        <w:rPr>
          <w:rFonts w:ascii="Times New Roman;sans-serif" w:hAnsi="Times New Roman;sans-serif"/>
          <w:b w:val="false"/>
          <w:color w:val="000000"/>
          <w:sz w:val="24"/>
          <w:u w:val="single"/>
        </w:rPr>
        <w:t>Agreement</w:t>
      </w:r>
      <w:r>
        <w:rPr>
          <w:color w:val="000000"/>
        </w:rPr>
        <w:t>”</w:t>
      </w:r>
      <w:r>
        <w:rPr>
          <w:rFonts w:ascii="Times New Roman;sans-serif" w:hAnsi="Times New Roman;sans-serif"/>
          <w:b w:val="false"/>
          <w:color w:val="000000"/>
          <w:sz w:val="24"/>
        </w:rPr>
        <w:t>), among Magnite, Inc., a Delaware corporation (the “</w:t>
      </w:r>
      <w:r>
        <w:rPr>
          <w:rFonts w:ascii="Times New Roman;sans-serif" w:hAnsi="Times New Roman;sans-serif"/>
          <w:b w:val="false"/>
          <w:color w:val="000000"/>
          <w:sz w:val="24"/>
          <w:u w:val="single"/>
        </w:rPr>
        <w:t>Borrower</w:t>
      </w:r>
      <w:r>
        <w:rPr>
          <w:color w:val="000000"/>
        </w:rPr>
        <w:t>”</w:t>
      </w:r>
      <w:r>
        <w:rPr>
          <w:rFonts w:ascii="Times New Roman;sans-serif" w:hAnsi="Times New Roman;sans-serif"/>
          <w:b w:val="false"/>
          <w:color w:val="000000"/>
          <w:sz w:val="24"/>
        </w:rPr>
        <w:t>), Morgan Stanley Senior Funding, Inc., as term facility administrative agent for the Lenders, Citibank, N.A., as revolving facility administrative agent for the Lenders and collateral agent (in such capacity, the “</w:t>
      </w:r>
      <w:r>
        <w:rPr>
          <w:rFonts w:ascii="Times New Roman;sans-serif" w:hAnsi="Times New Roman;sans-serif"/>
          <w:b w:val="false"/>
          <w:color w:val="000000"/>
          <w:sz w:val="24"/>
          <w:u w:val="single"/>
        </w:rPr>
        <w:t>Collateral Agent</w:t>
      </w:r>
      <w:r>
        <w:rPr>
          <w:color w:val="000000"/>
        </w:rPr>
        <w:t>”</w:t>
      </w:r>
      <w:r>
        <w:rPr>
          <w:rFonts w:ascii="Times New Roman;sans-serif" w:hAnsi="Times New Roman;sans-serif"/>
          <w:b w:val="false"/>
          <w:color w:val="000000"/>
          <w:sz w:val="24"/>
        </w:rPr>
        <w:t>), and each Issuing Bank and Lender party thereto from time to time. Capitalized terms used but not defined herein have the meanings assigned thereto in the Credit Agreement or the Collateral Agreement referred to therein, as applicable.</w:t>
      </w:r>
    </w:p>
    <w:p>
      <w:pPr>
        <w:pStyle w:val="TextBody"/>
        <w:bidi w:val="0"/>
        <w:spacing w:lineRule="auto" w:line="240" w:before="24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The undersigned, a Responsible Officer, of the Borrower, hereby certifies to the Collateral Agent as follows:</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1.</w:t>
      </w:r>
      <w:r>
        <w:rPr>
          <w:rFonts w:ascii="Times New Roman;sans-serif" w:hAnsi="Times New Roman;sans-serif"/>
          <w:b w:val="false"/>
          <w:color w:val="000000"/>
          <w:sz w:val="24"/>
          <w:u w:val="single"/>
        </w:rPr>
        <w:t>Names.</w:t>
      </w:r>
      <w:r>
        <w:rPr>
          <w:color w:val="000000"/>
        </w:rPr>
        <w:t xml:space="preserve"> </w:t>
      </w:r>
      <w:r>
        <w:rPr>
          <w:rFonts w:ascii="Times New Roman;sans-serif" w:hAnsi="Times New Roman;sans-serif"/>
          <w:b w:val="false"/>
          <w:color w:val="000000"/>
          <w:sz w:val="24"/>
        </w:rPr>
        <w:t xml:space="preserve">(a) Set forth on </w:t>
      </w:r>
      <w:r>
        <w:rPr>
          <w:rFonts w:ascii="Times New Roman;sans-serif" w:hAnsi="Times New Roman;sans-serif"/>
          <w:b w:val="false"/>
          <w:color w:val="000000"/>
          <w:sz w:val="24"/>
          <w:u w:val="single"/>
        </w:rPr>
        <w:t>Schedule 1(a)</w:t>
      </w:r>
      <w:r>
        <w:rPr>
          <w:rFonts w:ascii="Times New Roman;sans-serif" w:hAnsi="Times New Roman;sans-serif"/>
          <w:b w:val="false"/>
          <w:color w:val="000000"/>
          <w:sz w:val="24"/>
        </w:rPr>
        <w:t>, with respect to each Pledgor, is (i) the exact legal name of such Pledgor, as such name appears in its certificate of formation or organization,</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(ii) each other legal name such Pledgor has had in the past five years, together with the date of the relevant change, and (iii) each other name (including trade names or similar appellations) used by such Pledgor or any of its divisions or other business units in connection with the conduct of its business, the ownership of its properties or in any Federal or state tax filings at any time during the past five years.</w:t>
      </w:r>
    </w:p>
    <w:p>
      <w:pPr>
        <w:pStyle w:val="TextBody"/>
        <w:bidi w:val="0"/>
        <w:spacing w:lineRule="auto" w:line="240" w:before="241" w:after="283"/>
        <w:ind w:left="0" w:right="0" w:firstLine="720"/>
        <w:jc w:val="both"/>
        <w:rPr/>
      </w:pPr>
      <w:r>
        <w:rPr>
          <w:rFonts w:ascii="Times New Roman;sans-serif" w:hAnsi="Times New Roman;sans-serif"/>
          <w:b w:val="false"/>
          <w:color w:val="000000"/>
          <w:sz w:val="24"/>
        </w:rPr>
        <w:t xml:space="preserve">(b) Except as set forth on </w:t>
      </w:r>
      <w:r>
        <w:rPr>
          <w:rFonts w:ascii="Times New Roman;sans-serif" w:hAnsi="Times New Roman;sans-serif"/>
          <w:b w:val="false"/>
          <w:color w:val="000000"/>
          <w:sz w:val="24"/>
          <w:u w:val="single"/>
        </w:rPr>
        <w:t>Schedule 1(b)</w:t>
      </w:r>
      <w:r>
        <w:rPr>
          <w:rFonts w:ascii="Times New Roman;sans-serif" w:hAnsi="Times New Roman;sans-serif"/>
          <w:b w:val="false"/>
          <w:color w:val="000000"/>
          <w:sz w:val="24"/>
        </w:rPr>
        <w:t xml:space="preserve">, no Pledgor has changed its legal identity or corporate structure in any way within the past five years. Changes in legal identity or corporate structure would include mergers, consolidations and acquisitions of all or substantially all of the assets of (or all or substantially all of the assets constituting a business unit, division, product line or line of business of) another Person or other acquisitions of material assets outside the ordinary course of business, as well as any change in the form or jurisdiction of organization or formation. With respect to any such change that has occurred within the past five years, set forth on </w:t>
      </w:r>
      <w:r>
        <w:rPr>
          <w:rFonts w:ascii="Times New Roman;sans-serif" w:hAnsi="Times New Roman;sans-serif"/>
          <w:b w:val="false"/>
          <w:color w:val="000000"/>
          <w:sz w:val="24"/>
          <w:u w:val="single"/>
        </w:rPr>
        <w:t>Schedule</w:t>
      </w:r>
      <w:r>
        <w:rPr>
          <w:color w:val="000000"/>
        </w:rPr>
        <w:t xml:space="preserve"> </w:t>
      </w:r>
      <w:r>
        <w:rPr>
          <w:rFonts w:ascii="Times New Roman;sans-serif" w:hAnsi="Times New Roman;sans-serif"/>
          <w:b w:val="false"/>
          <w:color w:val="000000"/>
          <w:sz w:val="24"/>
          <w:u w:val="single"/>
        </w:rPr>
        <w:t>1(b)</w:t>
      </w:r>
      <w:r>
        <w:rPr>
          <w:color w:val="000000"/>
        </w:rPr>
        <w:t xml:space="preserve"> </w:t>
      </w:r>
      <w:r>
        <w:rPr>
          <w:rFonts w:ascii="Times New Roman;sans-serif" w:hAnsi="Times New Roman;sans-serif"/>
          <w:b w:val="false"/>
          <w:color w:val="000000"/>
          <w:sz w:val="24"/>
        </w:rPr>
        <w:t>is the information required by clause (i) of Section 1(a) above as to each acquiree, constituent or seller party to such merger, consolidation or acquisition (each, a “</w:t>
      </w:r>
      <w:r>
        <w:rPr>
          <w:rFonts w:ascii="Times New Roman;sans-serif" w:hAnsi="Times New Roman;sans-serif"/>
          <w:b w:val="false"/>
          <w:color w:val="000000"/>
          <w:sz w:val="24"/>
          <w:u w:val="single"/>
        </w:rPr>
        <w:t>Predecessor Entity</w:t>
      </w:r>
      <w:r>
        <w:rPr>
          <w:color w:val="000000"/>
        </w:rPr>
        <w:t>”</w:t>
      </w:r>
      <w:r>
        <w:rPr>
          <w:rFonts w:ascii="Times New Roman;sans-serif" w:hAnsi="Times New Roman;sans-serif"/>
          <w:b w:val="false"/>
          <w:color w:val="000000"/>
          <w:sz w:val="24"/>
        </w:rPr>
        <w:t>).</w:t>
      </w:r>
    </w:p>
    <w:p>
      <w:pPr>
        <w:pStyle w:val="TextBody"/>
        <w:bidi w:val="0"/>
        <w:spacing w:lineRule="auto" w:line="240" w:before="239" w:after="283"/>
        <w:ind w:left="0" w:right="0" w:firstLine="720"/>
        <w:jc w:val="both"/>
        <w:rPr/>
      </w:pPr>
      <w:r>
        <w:rPr>
          <w:rFonts w:ascii="Times New Roman;sans-serif" w:hAnsi="Times New Roman;sans-serif"/>
          <w:b w:val="false"/>
          <w:color w:val="000000"/>
          <w:sz w:val="24"/>
        </w:rPr>
        <w:t>2.</w:t>
      </w:r>
      <w:r>
        <w:rPr>
          <w:rFonts w:ascii="Times New Roman;sans-serif" w:hAnsi="Times New Roman;sans-serif"/>
          <w:b w:val="false"/>
          <w:color w:val="000000"/>
          <w:sz w:val="24"/>
          <w:u w:val="single"/>
        </w:rPr>
        <w:t>Current Locations.</w:t>
      </w:r>
      <w:r>
        <w:rPr>
          <w:color w:val="000000"/>
        </w:rPr>
        <w:t xml:space="preserve"> </w:t>
      </w:r>
      <w:r>
        <w:rPr>
          <w:rFonts w:ascii="Times New Roman;sans-serif" w:hAnsi="Times New Roman;sans-serif"/>
          <w:b w:val="false"/>
          <w:color w:val="000000"/>
          <w:sz w:val="24"/>
        </w:rPr>
        <w:t xml:space="preserve">(a) Set forth on </w:t>
      </w:r>
      <w:r>
        <w:rPr>
          <w:rFonts w:ascii="Times New Roman;sans-serif" w:hAnsi="Times New Roman;sans-serif"/>
          <w:b w:val="false"/>
          <w:color w:val="000000"/>
          <w:sz w:val="24"/>
          <w:u w:val="single"/>
        </w:rPr>
        <w:t>Schedule 2(a)</w:t>
      </w:r>
      <w:r>
        <w:rPr>
          <w:color w:val="000000"/>
        </w:rPr>
        <w:t xml:space="preserve"> </w:t>
      </w:r>
      <w:r>
        <w:rPr>
          <w:rFonts w:ascii="Times New Roman;sans-serif" w:hAnsi="Times New Roman;sans-serif"/>
          <w:b w:val="false"/>
          <w:color w:val="000000"/>
          <w:sz w:val="24"/>
        </w:rPr>
        <w:t>opposite the name of each Pledgor (and, in the case of clauses (i) and (ii), each Predecessor Entity as of immediately prior to the relevant change in legal identity or corporate structure) is (i) the jurisdiction of formation or organization of such Person, (ii) the address of the chief executive office of such Person and (iii) each location where such Pledgor maintains any books or records relating to any Accounts.</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 xml:space="preserve">(b) Set forth on </w:t>
      </w:r>
      <w:r>
        <w:rPr>
          <w:rFonts w:ascii="Times New Roman;sans-serif" w:hAnsi="Times New Roman;sans-serif"/>
          <w:b w:val="false"/>
          <w:color w:val="000000"/>
          <w:sz w:val="24"/>
          <w:u w:val="single"/>
        </w:rPr>
        <w:t>Schedule 2(b)</w:t>
      </w:r>
      <w:r>
        <w:rPr>
          <w:color w:val="000000"/>
        </w:rPr>
        <w:t xml:space="preserve"> </w:t>
      </w:r>
      <w:r>
        <w:rPr>
          <w:rFonts w:ascii="Times New Roman;sans-serif" w:hAnsi="Times New Roman;sans-serif"/>
          <w:b w:val="false"/>
          <w:color w:val="000000"/>
          <w:sz w:val="24"/>
        </w:rPr>
        <w:t>opposite the name of each Pledgor are all other locations where such Pledgor maintains Equipment or other Collateral or otherwise maintains a place of business or other real property owned by such Pledgor not identified in Schedule 2(a).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80">
                <wp:simplePos x="0" y="0"/>
                <wp:positionH relativeFrom="character">
                  <wp:align>left</wp:align>
                </wp:positionH>
                <wp:positionV relativeFrom="line">
                  <wp:posOffset>635</wp:posOffset>
                </wp:positionV>
                <wp:extent cx="6480175" cy="781050"/>
                <wp:effectExtent l="0" t="0" r="0" b="0"/>
                <wp:wrapNone/>
                <wp:docPr id="479" name="Frame478"/>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277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277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60" w:after="283"/>
        <w:ind w:left="0" w:right="0" w:firstLine="720"/>
        <w:jc w:val="both"/>
        <w:rPr/>
      </w:pPr>
      <w:r>
        <w:rPr>
          <w:rFonts w:ascii="Times New Roman;sans-serif" w:hAnsi="Times New Roman;sans-serif"/>
          <w:b w:val="false"/>
          <w:color w:val="000000"/>
          <w:sz w:val="24"/>
        </w:rPr>
        <w:t>3.</w:t>
      </w:r>
      <w:r>
        <w:rPr>
          <w:rFonts w:ascii="Times New Roman;sans-serif" w:hAnsi="Times New Roman;sans-serif"/>
          <w:b w:val="false"/>
          <w:color w:val="000000"/>
          <w:sz w:val="24"/>
          <w:u w:val="single"/>
        </w:rPr>
        <w:t>UCC Filings.</w:t>
      </w:r>
      <w:r>
        <w:rPr>
          <w:color w:val="000000"/>
        </w:rPr>
        <w:t xml:space="preserve"> </w:t>
      </w:r>
      <w:r>
        <w:rPr>
          <w:rFonts w:ascii="Times New Roman;sans-serif" w:hAnsi="Times New Roman;sans-serif"/>
          <w:b w:val="false"/>
          <w:color w:val="000000"/>
          <w:sz w:val="24"/>
          <w:u w:val="single"/>
        </w:rPr>
        <w:t>Schedule 3</w:t>
      </w:r>
      <w:r>
        <w:rPr>
          <w:color w:val="000000"/>
        </w:rPr>
        <w:t xml:space="preserve"> </w:t>
      </w:r>
      <w:r>
        <w:rPr>
          <w:rFonts w:ascii="Times New Roman;sans-serif" w:hAnsi="Times New Roman;sans-serif"/>
          <w:b w:val="false"/>
          <w:color w:val="000000"/>
          <w:sz w:val="24"/>
        </w:rPr>
        <w:t>sets forth, with respect to each Pledgor, the appropriate UCC filing office or county recorder’s office in which a UCC filing is to be made to perfect the Collateral Agent’s security interest in the Collateral.</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4.</w:t>
      </w:r>
      <w:r>
        <w:rPr>
          <w:rFonts w:ascii="Times New Roman;sans-serif" w:hAnsi="Times New Roman;sans-serif"/>
          <w:b w:val="false"/>
          <w:color w:val="000000"/>
          <w:sz w:val="24"/>
          <w:u w:val="single"/>
        </w:rPr>
        <w:t>Stock Ownership and other Equity Interests.</w:t>
      </w:r>
      <w:r>
        <w:rPr>
          <w:color w:val="000000"/>
        </w:rPr>
        <w:t xml:space="preserve"> </w:t>
      </w:r>
      <w:r>
        <w:rPr>
          <w:rFonts w:ascii="Times New Roman;sans-serif" w:hAnsi="Times New Roman;sans-serif"/>
          <w:b w:val="false"/>
          <w:color w:val="000000"/>
          <w:sz w:val="24"/>
        </w:rPr>
        <w:t xml:space="preserve">Set forth on </w:t>
      </w:r>
      <w:r>
        <w:rPr>
          <w:rFonts w:ascii="Times New Roman;sans-serif" w:hAnsi="Times New Roman;sans-serif"/>
          <w:b w:val="false"/>
          <w:color w:val="000000"/>
          <w:sz w:val="24"/>
          <w:u w:val="single"/>
        </w:rPr>
        <w:t>Schedule 4</w:t>
      </w:r>
      <w:r>
        <w:rPr>
          <w:color w:val="000000"/>
        </w:rPr>
        <w:t xml:space="preserve"> </w:t>
      </w:r>
      <w:r>
        <w:rPr>
          <w:rFonts w:ascii="Times New Roman;sans-serif" w:hAnsi="Times New Roman;sans-serif"/>
          <w:b w:val="false"/>
          <w:color w:val="000000"/>
          <w:sz w:val="24"/>
        </w:rPr>
        <w:t>is a true and complete list, for each Pledgor, of all the stock, partnership interests, limited liability company membership interests or other Equity Interests owned by such Pledgor, specifying the issuer (including the jurisdiction of organization thereof) and certificate number of, and the number and percentage of ownership represented by, such Equity Interests.</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5.</w:t>
      </w:r>
      <w:r>
        <w:rPr>
          <w:rFonts w:ascii="Times New Roman;sans-serif" w:hAnsi="Times New Roman;sans-serif"/>
          <w:b w:val="false"/>
          <w:color w:val="000000"/>
          <w:sz w:val="24"/>
          <w:u w:val="single"/>
        </w:rPr>
        <w:t>Debt Instruments.</w:t>
      </w:r>
      <w:r>
        <w:rPr>
          <w:color w:val="000000"/>
        </w:rPr>
        <w:t xml:space="preserve"> </w:t>
      </w:r>
      <w:r>
        <w:rPr>
          <w:rFonts w:ascii="Times New Roman;sans-serif" w:hAnsi="Times New Roman;sans-serif"/>
          <w:b w:val="false"/>
          <w:color w:val="000000"/>
          <w:sz w:val="24"/>
        </w:rPr>
        <w:t xml:space="preserve">Set forth on </w:t>
      </w:r>
      <w:r>
        <w:rPr>
          <w:rFonts w:ascii="Times New Roman;sans-serif" w:hAnsi="Times New Roman;sans-serif"/>
          <w:b w:val="false"/>
          <w:color w:val="000000"/>
          <w:sz w:val="24"/>
          <w:u w:val="single"/>
        </w:rPr>
        <w:t>Schedule 5</w:t>
      </w:r>
      <w:r>
        <w:rPr>
          <w:color w:val="000000"/>
        </w:rPr>
        <w:t xml:space="preserve"> </w:t>
      </w:r>
      <w:r>
        <w:rPr>
          <w:rFonts w:ascii="Times New Roman;sans-serif" w:hAnsi="Times New Roman;sans-serif"/>
          <w:b w:val="false"/>
          <w:color w:val="000000"/>
          <w:sz w:val="24"/>
        </w:rPr>
        <w:t>is a true and complete list, for each Pledgor, of all promissory notes and other evidence of Indebtedness evidencing (a) Indebtedness of the Borrower and each Subsidiary owing to such Pledgor and (b) Indebtedness of any other Person in a principal amount of $1,000,000, in each case specifying the debtor thereunder and the type and outstanding principal amount thereof.</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6.</w:t>
      </w:r>
      <w:r>
        <w:rPr>
          <w:rFonts w:ascii="Times New Roman;sans-serif" w:hAnsi="Times New Roman;sans-serif"/>
          <w:b w:val="false"/>
          <w:color w:val="000000"/>
          <w:sz w:val="24"/>
          <w:u w:val="single"/>
        </w:rPr>
        <w:t>Mortgage Filings.</w:t>
      </w:r>
      <w:r>
        <w:rPr>
          <w:color w:val="000000"/>
        </w:rPr>
        <w:t xml:space="preserve"> </w:t>
      </w:r>
      <w:r>
        <w:rPr>
          <w:rFonts w:ascii="Times New Roman;sans-serif" w:hAnsi="Times New Roman;sans-serif"/>
          <w:b w:val="false"/>
          <w:color w:val="000000"/>
          <w:sz w:val="24"/>
        </w:rPr>
        <w:t xml:space="preserve">Set forth on </w:t>
      </w:r>
      <w:r>
        <w:rPr>
          <w:rFonts w:ascii="Times New Roman;sans-serif" w:hAnsi="Times New Roman;sans-serif"/>
          <w:b w:val="false"/>
          <w:color w:val="000000"/>
          <w:sz w:val="24"/>
          <w:u w:val="single"/>
        </w:rPr>
        <w:t>Schedule 6</w:t>
      </w:r>
      <w:r>
        <w:rPr>
          <w:color w:val="000000"/>
        </w:rPr>
        <w:t xml:space="preserve"> </w:t>
      </w:r>
      <w:r>
        <w:rPr>
          <w:rFonts w:ascii="Times New Roman;sans-serif" w:hAnsi="Times New Roman;sans-serif"/>
          <w:b w:val="false"/>
          <w:color w:val="000000"/>
          <w:sz w:val="24"/>
        </w:rPr>
        <w:t>is true and complete list, with respect to each Mortgaged Property, of (a) the exact legal name of the Person that owns such property as such name appears in its certificate of formation or organization, (b) if different from the name identified pursuant to clause (a), the exact legal name of the current record owner of such property reflected in the records of the filing office for such property identified pursuant to clause (c) below and (c) the filing office in which a Mortgage with respect to such property must be filed or recorded in order for the Collateral Agent to obtain a perfected security interest therein.</w:t>
      </w:r>
    </w:p>
    <w:p>
      <w:pPr>
        <w:pStyle w:val="TextBody"/>
        <w:bidi w:val="0"/>
        <w:spacing w:lineRule="auto" w:line="240" w:before="241" w:after="283"/>
        <w:ind w:left="0" w:right="0" w:firstLine="720"/>
        <w:jc w:val="both"/>
        <w:rPr/>
      </w:pPr>
      <w:r>
        <w:rPr>
          <w:rFonts w:ascii="Times New Roman;sans-serif" w:hAnsi="Times New Roman;sans-serif"/>
          <w:b w:val="false"/>
          <w:color w:val="000000"/>
          <w:sz w:val="24"/>
        </w:rPr>
        <w:t>7.</w:t>
      </w:r>
      <w:r>
        <w:rPr>
          <w:rFonts w:ascii="Times New Roman;sans-serif" w:hAnsi="Times New Roman;sans-serif"/>
          <w:b w:val="false"/>
          <w:color w:val="000000"/>
          <w:sz w:val="24"/>
          <w:u w:val="single"/>
        </w:rPr>
        <w:t>Intellectual Property.</w:t>
      </w:r>
      <w:r>
        <w:rPr>
          <w:color w:val="000000"/>
        </w:rPr>
        <w:t xml:space="preserve"> </w:t>
      </w:r>
      <w:r>
        <w:rPr>
          <w:rFonts w:ascii="Times New Roman;sans-serif" w:hAnsi="Times New Roman;sans-serif"/>
          <w:b w:val="false"/>
          <w:color w:val="000000"/>
          <w:sz w:val="24"/>
        </w:rPr>
        <w:t xml:space="preserve">(a) Set forth on </w:t>
      </w:r>
      <w:r>
        <w:rPr>
          <w:rFonts w:ascii="Times New Roman;sans-serif" w:hAnsi="Times New Roman;sans-serif"/>
          <w:b w:val="false"/>
          <w:color w:val="000000"/>
          <w:sz w:val="24"/>
          <w:u w:val="single"/>
        </w:rPr>
        <w:t>Schedule 7(a)</w:t>
      </w:r>
      <w:r>
        <w:rPr>
          <w:color w:val="000000"/>
        </w:rPr>
        <w:t xml:space="preserve"> </w:t>
      </w:r>
      <w:r>
        <w:rPr>
          <w:rFonts w:ascii="Times New Roman;sans-serif" w:hAnsi="Times New Roman;sans-serif"/>
          <w:b w:val="false"/>
          <w:color w:val="000000"/>
          <w:sz w:val="24"/>
        </w:rPr>
        <w:t>is a true and complete list, with respect to each Pledgor, of each Patent (including each Patent application) registered or filed with the United States Patent and Trademark Office (the “</w:t>
      </w:r>
      <w:r>
        <w:rPr>
          <w:rFonts w:ascii="Times New Roman;sans-serif" w:hAnsi="Times New Roman;sans-serif"/>
          <w:b w:val="false"/>
          <w:color w:val="000000"/>
          <w:sz w:val="24"/>
          <w:u w:val="single"/>
        </w:rPr>
        <w:t>USPTO</w:t>
      </w:r>
      <w:r>
        <w:rPr>
          <w:color w:val="000000"/>
        </w:rPr>
        <w:t>”</w:t>
      </w:r>
      <w:r>
        <w:rPr>
          <w:rFonts w:ascii="Times New Roman;sans-serif" w:hAnsi="Times New Roman;sans-serif"/>
          <w:b w:val="false"/>
          <w:color w:val="000000"/>
          <w:sz w:val="24"/>
        </w:rPr>
        <w:t>) and owned by such Pledgor, in each case specifying the name of the registered owner, type, registration or application number and the expiration date (if already registered) thereof.</w:t>
      </w:r>
    </w:p>
    <w:p>
      <w:pPr>
        <w:pStyle w:val="TextBody"/>
        <w:bidi w:val="0"/>
        <w:spacing w:lineRule="auto" w:line="240" w:before="238" w:after="283"/>
        <w:ind w:left="0" w:right="0" w:firstLine="720"/>
        <w:jc w:val="both"/>
        <w:rPr/>
      </w:pPr>
      <w:r>
        <w:rPr>
          <w:rFonts w:ascii="Times New Roman;sans-serif" w:hAnsi="Times New Roman;sans-serif"/>
          <w:b w:val="false"/>
          <w:color w:val="000000"/>
          <w:sz w:val="24"/>
        </w:rPr>
        <w:t xml:space="preserve">(b)Set forth on </w:t>
      </w:r>
      <w:r>
        <w:rPr>
          <w:rFonts w:ascii="Times New Roman;sans-serif" w:hAnsi="Times New Roman;sans-serif"/>
          <w:b w:val="false"/>
          <w:color w:val="000000"/>
          <w:sz w:val="24"/>
          <w:u w:val="single"/>
        </w:rPr>
        <w:t>Schedule 7(b)</w:t>
      </w:r>
      <w:r>
        <w:rPr>
          <w:rFonts w:ascii="Times New Roman;sans-serif" w:hAnsi="Times New Roman;sans-serif"/>
          <w:b w:val="false"/>
          <w:color w:val="000000"/>
          <w:sz w:val="24"/>
        </w:rPr>
        <w:t>, is a true and complete list, with respect to each Pledgor, of each Trademark (including each Trademark application) registered or filed with the USPTO and owned by such Pledgor, specifying the name of the registered owner, the registration or application number and the expiration date (if already registered) thereof.</w:t>
      </w:r>
    </w:p>
    <w:p>
      <w:pPr>
        <w:pStyle w:val="TextBody"/>
        <w:bidi w:val="0"/>
        <w:spacing w:lineRule="auto" w:line="240" w:before="241" w:after="283"/>
        <w:ind w:left="0" w:right="0" w:firstLine="720"/>
        <w:jc w:val="both"/>
        <w:rPr/>
      </w:pPr>
      <w:r>
        <w:rPr>
          <w:rFonts w:ascii="Times New Roman;sans-serif" w:hAnsi="Times New Roman;sans-serif"/>
          <w:b w:val="false"/>
          <w:color w:val="000000"/>
          <w:sz w:val="24"/>
        </w:rPr>
        <w:t xml:space="preserve">(c)Set forth on </w:t>
      </w:r>
      <w:r>
        <w:rPr>
          <w:rFonts w:ascii="Times New Roman;sans-serif" w:hAnsi="Times New Roman;sans-serif"/>
          <w:b w:val="false"/>
          <w:color w:val="000000"/>
          <w:sz w:val="24"/>
          <w:u w:val="single"/>
        </w:rPr>
        <w:t>Schedule 7(c)</w:t>
      </w:r>
      <w:r>
        <w:rPr>
          <w:rFonts w:ascii="Times New Roman;sans-serif" w:hAnsi="Times New Roman;sans-serif"/>
          <w:b w:val="false"/>
          <w:color w:val="000000"/>
          <w:sz w:val="24"/>
        </w:rPr>
        <w:t>, a true and complete list, with respect to each Pledgor, of (i) each Copyright (including each Copyright application) registered or filed with the United States Copyright Office and owned by such Pledgor, specifying the name of the registered owner, the title and the registration number (if already registered) thereof, and (ii) each exclusively in-bound United States Copyright License granted to such Pledgor (with such Pledgor as a licensee), including a brief description thereof and the licensee and licensor thereunder.</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8.</w:t>
      </w:r>
      <w:r>
        <w:rPr>
          <w:rFonts w:ascii="Times New Roman;sans-serif" w:hAnsi="Times New Roman;sans-serif"/>
          <w:b w:val="false"/>
          <w:color w:val="000000"/>
          <w:sz w:val="24"/>
          <w:u w:val="single"/>
        </w:rPr>
        <w:t>Commercial Tort Claims.</w:t>
      </w:r>
      <w:r>
        <w:rPr>
          <w:color w:val="000000"/>
        </w:rPr>
        <w:t xml:space="preserve"> </w:t>
      </w:r>
      <w:r>
        <w:rPr>
          <w:rFonts w:ascii="Times New Roman;sans-serif" w:hAnsi="Times New Roman;sans-serif"/>
          <w:b w:val="false"/>
          <w:color w:val="000000"/>
          <w:sz w:val="24"/>
        </w:rPr>
        <w:t xml:space="preserve">Set forth on </w:t>
      </w:r>
      <w:r>
        <w:rPr>
          <w:rFonts w:ascii="Times New Roman;sans-serif" w:hAnsi="Times New Roman;sans-serif"/>
          <w:b w:val="false"/>
          <w:color w:val="000000"/>
          <w:sz w:val="24"/>
          <w:u w:val="single"/>
        </w:rPr>
        <w:t>Schedule 8</w:t>
      </w:r>
      <w:r>
        <w:rPr>
          <w:color w:val="000000"/>
        </w:rPr>
        <w:t xml:space="preserve"> </w:t>
      </w:r>
      <w:r>
        <w:rPr>
          <w:rFonts w:ascii="Times New Roman;sans-serif" w:hAnsi="Times New Roman;sans-serif"/>
          <w:b w:val="false"/>
          <w:color w:val="000000"/>
          <w:sz w:val="24"/>
        </w:rPr>
        <w:t>is a true and complete list of commercial tort claims in excess of $20,000,000 held by any Pledgor, including a brief description thereof.</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81">
                <wp:simplePos x="0" y="0"/>
                <wp:positionH relativeFrom="character">
                  <wp:align>left</wp:align>
                </wp:positionH>
                <wp:positionV relativeFrom="line">
                  <wp:posOffset>635</wp:posOffset>
                </wp:positionV>
                <wp:extent cx="6480175" cy="781050"/>
                <wp:effectExtent l="0" t="0" r="0" b="0"/>
                <wp:wrapNone/>
                <wp:docPr id="480" name="Frame479"/>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278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278</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IN WITNESS WHEREOF, the undersigned has duly executed this certificate as of the date first set forth above.</w:t>
      </w:r>
    </w:p>
    <w:p>
      <w:pPr>
        <w:pStyle w:val="TextBody"/>
        <w:bidi w:val="0"/>
        <w:spacing w:before="0" w:after="0"/>
        <w:jc w:val="left"/>
        <w:rPr/>
      </w:pPr>
      <w:r>
        <w:rPr/>
      </w:r>
    </w:p>
    <w:p>
      <w:pPr>
        <w:pStyle w:val="TextBody"/>
        <w:bidi w:val="0"/>
        <w:spacing w:before="204" w:after="283"/>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MAGNITE, INC.</w:t>
      </w:r>
    </w:p>
    <w:p>
      <w:pPr>
        <w:pStyle w:val="TextBody"/>
        <w:bidi w:val="0"/>
        <w:spacing w:before="0" w:after="0"/>
        <w:jc w:val="left"/>
        <w:rPr/>
      </w:pPr>
      <w:r>
        <w:rPr/>
      </w:r>
    </w:p>
    <w:p>
      <w:pPr>
        <w:pStyle w:val="TextBody"/>
        <w:bidi w:val="0"/>
        <w:spacing w:before="0" w:after="0"/>
        <w:jc w:val="left"/>
        <w:rPr/>
      </w:pPr>
      <w:r>
        <w:rPr/>
      </w:r>
    </w:p>
    <w:p>
      <w:pPr>
        <w:pStyle w:val="TextBody"/>
        <w:bidi w:val="0"/>
        <w:spacing w:before="240" w:after="283"/>
        <w:jc w:val="left"/>
        <w:rPr/>
      </w:pPr>
      <w:r>
        <w:rPr/>
      </w:r>
    </w:p>
    <w:p>
      <w:pPr>
        <w:pStyle w:val="TextBody"/>
        <w:bidi w:val="0"/>
        <w:spacing w:lineRule="auto" w:line="240" w:before="0" w:after="0"/>
        <w:jc w:val="left"/>
        <w:rPr/>
      </w:pPr>
      <w:r>
        <w:rPr>
          <w:rFonts w:ascii="Times New Roman;sans-serif" w:hAnsi="Times New Roman;sans-serif"/>
          <w:b w:val="false"/>
          <w:color w:val="000000"/>
          <w:sz w:val="24"/>
        </w:rPr>
        <w:t xml:space="preserve">By: </w:t>
      </w:r>
      <w:r>
        <w:rPr>
          <w:color w:val="000000"/>
          <w:u w:val="single"/>
        </w:rPr>
        <w:t>    </w:t>
      </w:r>
      <w:r>
        <w:rPr>
          <w:color w:val="000000"/>
        </w:rPr>
        <w:t xml:space="preserve"> </w:t>
      </w:r>
      <w:r>
        <w:rPr>
          <w:rFonts w:ascii="Times New Roman;sans-serif" w:hAnsi="Times New Roman;sans-serif"/>
          <w:b w:val="false"/>
          <w:color w:val="000000"/>
          <w:sz w:val="24"/>
        </w:rPr>
        <w:t>Name:</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Title:</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82">
                <wp:simplePos x="0" y="0"/>
                <wp:positionH relativeFrom="character">
                  <wp:align>left</wp:align>
                </wp:positionH>
                <wp:positionV relativeFrom="line">
                  <wp:posOffset>635</wp:posOffset>
                </wp:positionV>
                <wp:extent cx="6480175" cy="781050"/>
                <wp:effectExtent l="0" t="0" r="0" b="0"/>
                <wp:wrapNone/>
                <wp:docPr id="481" name="Frame480"/>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279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279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6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SCHEDULE 1(a)</w:t>
      </w:r>
    </w:p>
    <w:p>
      <w:pPr>
        <w:pStyle w:val="TextBody"/>
        <w:bidi w:val="0"/>
        <w:spacing w:lineRule="auto" w:line="240" w:before="240" w:after="283"/>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Legal Names</w:t>
      </w:r>
    </w:p>
    <w:p>
      <w:pPr>
        <w:pStyle w:val="TextBody"/>
        <w:bidi w:val="0"/>
        <w:spacing w:before="0" w:after="0"/>
        <w:jc w:val="left"/>
        <w:rPr/>
      </w:pPr>
      <w:r>
        <w:rPr/>
      </w:r>
    </w:p>
    <w:p>
      <w:pPr>
        <w:pStyle w:val="TextBody"/>
        <w:bidi w:val="0"/>
        <w:spacing w:before="20" w:after="283"/>
        <w:jc w:val="left"/>
        <w:rPr/>
      </w:pPr>
      <w:r>
        <w:rPr/>
      </w:r>
    </w:p>
    <w:tbl>
      <w:tblPr>
        <w:tblW w:w="7298" w:type="dxa"/>
        <w:jc w:val="left"/>
        <w:tblInd w:w="0" w:type="dxa"/>
        <w:tblLayout w:type="fixed"/>
        <w:tblCellMar>
          <w:top w:w="28" w:type="dxa"/>
          <w:left w:w="28" w:type="dxa"/>
          <w:bottom w:w="28" w:type="dxa"/>
          <w:right w:w="28" w:type="dxa"/>
        </w:tblCellMar>
      </w:tblPr>
      <w:tblGrid>
        <w:gridCol w:w="613"/>
        <w:gridCol w:w="539"/>
        <w:gridCol w:w="542"/>
        <w:gridCol w:w="1447"/>
        <w:gridCol w:w="1447"/>
        <w:gridCol w:w="1450"/>
        <w:gridCol w:w="369"/>
        <w:gridCol w:w="369"/>
        <w:gridCol w:w="522"/>
      </w:tblGrid>
      <w:tr>
        <w:trPr/>
        <w:tc>
          <w:tcPr>
            <w:tcW w:w="613"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40" w:before="115" w:after="283"/>
              <w:jc w:val="left"/>
              <w:rPr>
                <w:rFonts w:ascii="Times New Roman;sans-serif" w:hAnsi="Times New Roman;sans-serif"/>
                <w:b/>
                <w:color w:val="000000"/>
                <w:sz w:val="20"/>
              </w:rPr>
            </w:pPr>
            <w:r>
              <w:rPr>
                <w:rFonts w:ascii="Times New Roman;sans-serif" w:hAnsi="Times New Roman;sans-serif"/>
                <w:b/>
                <w:color w:val="000000"/>
                <w:sz w:val="20"/>
              </w:rPr>
              <w:t>Exact Legal Name</w:t>
            </w:r>
          </w:p>
        </w:tc>
        <w:tc>
          <w:tcPr>
            <w:tcW w:w="4344"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319" w:before="0" w:after="0"/>
              <w:ind w:left="0" w:right="0" w:firstLine="204"/>
              <w:jc w:val="left"/>
              <w:rPr>
                <w:rFonts w:ascii="Times New Roman;sans-serif" w:hAnsi="Times New Roman;sans-serif"/>
                <w:b/>
                <w:color w:val="000000"/>
                <w:sz w:val="20"/>
              </w:rPr>
            </w:pPr>
            <w:r>
              <w:rPr>
                <w:rFonts w:ascii="Times New Roman;sans-serif" w:hAnsi="Times New Roman;sans-serif"/>
                <w:b/>
                <w:color w:val="000000"/>
                <w:sz w:val="20"/>
              </w:rPr>
              <w:t>Former Legal Names (including date of change)</w:t>
            </w:r>
          </w:p>
        </w:tc>
        <w:tc>
          <w:tcPr>
            <w:tcW w:w="1260" w:type="dxa"/>
            <w:gridSpan w:val="3"/>
            <w:tcBorders>
              <w:top w:val="single" w:sz="4" w:space="0" w:color="000000"/>
              <w:left w:val="single" w:sz="4" w:space="0" w:color="000000"/>
              <w:right w:val="single" w:sz="4" w:space="0" w:color="000000"/>
            </w:tcBorders>
            <w:shd w:fill="D9D9D9" w:val="clear"/>
            <w:tcMar>
              <w:top w:w="30" w:type="dxa"/>
              <w:bottom w:w="0" w:type="dxa"/>
            </w:tcMar>
            <w:vAlign w:val="center"/>
          </w:tcPr>
          <w:p>
            <w:pPr>
              <w:pStyle w:val="TableContents"/>
              <w:bidi w:val="0"/>
              <w:spacing w:lineRule="auto" w:line="240" w:before="115" w:after="283"/>
              <w:jc w:val="left"/>
              <w:rPr>
                <w:rFonts w:ascii="Times New Roman;sans-serif" w:hAnsi="Times New Roman;sans-serif"/>
                <w:b/>
                <w:color w:val="000000"/>
                <w:sz w:val="20"/>
              </w:rPr>
            </w:pPr>
            <w:r>
              <w:rPr>
                <w:rFonts w:ascii="Times New Roman;sans-serif" w:hAnsi="Times New Roman;sans-serif"/>
                <w:b/>
                <w:color w:val="000000"/>
                <w:sz w:val="20"/>
              </w:rPr>
              <w:t>Other Names</w:t>
            </w:r>
          </w:p>
        </w:tc>
      </w:tr>
      <w:tr>
        <w:trPr/>
        <w:tc>
          <w:tcPr>
            <w:tcW w:w="1694"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4344"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83">
                <wp:simplePos x="0" y="0"/>
                <wp:positionH relativeFrom="character">
                  <wp:align>left</wp:align>
                </wp:positionH>
                <wp:positionV relativeFrom="line">
                  <wp:posOffset>635</wp:posOffset>
                </wp:positionV>
                <wp:extent cx="6480175" cy="781050"/>
                <wp:effectExtent l="0" t="0" r="0" b="0"/>
                <wp:wrapNone/>
                <wp:docPr id="482" name="Frame481"/>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280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280</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6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SCHEDULE 1(b)</w:t>
      </w:r>
    </w:p>
    <w:p>
      <w:pPr>
        <w:pStyle w:val="TextBody"/>
        <w:bidi w:val="0"/>
        <w:spacing w:lineRule="auto" w:line="240" w:before="240" w:after="283"/>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Changes in Legal Identity or Corporate Structure</w:t>
      </w:r>
    </w:p>
    <w:p>
      <w:pPr>
        <w:pStyle w:val="TextBody"/>
        <w:bidi w:val="0"/>
        <w:spacing w:before="0" w:after="0"/>
        <w:jc w:val="left"/>
        <w:rPr/>
      </w:pPr>
      <w:r>
        <w:rPr/>
      </w:r>
    </w:p>
    <w:p>
      <w:pPr>
        <w:pStyle w:val="TextBody"/>
        <w:bidi w:val="0"/>
        <w:spacing w:before="20" w:after="283"/>
        <w:jc w:val="left"/>
        <w:rPr/>
      </w:pPr>
      <w:r>
        <w:rPr/>
      </w:r>
    </w:p>
    <w:tbl>
      <w:tblPr>
        <w:tblW w:w="4214" w:type="dxa"/>
        <w:jc w:val="left"/>
        <w:tblInd w:w="0" w:type="dxa"/>
        <w:tblLayout w:type="fixed"/>
        <w:tblCellMar>
          <w:top w:w="28" w:type="dxa"/>
          <w:left w:w="28" w:type="dxa"/>
          <w:bottom w:w="28" w:type="dxa"/>
          <w:right w:w="28" w:type="dxa"/>
        </w:tblCellMar>
      </w:tblPr>
      <w:tblGrid>
        <w:gridCol w:w="288"/>
        <w:gridCol w:w="253"/>
        <w:gridCol w:w="255"/>
        <w:gridCol w:w="659"/>
        <w:gridCol w:w="659"/>
        <w:gridCol w:w="661"/>
        <w:gridCol w:w="421"/>
        <w:gridCol w:w="421"/>
        <w:gridCol w:w="597"/>
      </w:tblGrid>
      <w:tr>
        <w:trPr/>
        <w:tc>
          <w:tcPr>
            <w:tcW w:w="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op w:val="single" w:sz="4" w:space="0" w:color="000000"/>
              <w:left w:val="single" w:sz="4" w:space="0" w:color="000000"/>
            </w:tcBorders>
            <w:shd w:fill="D9D9D9" w:val="clear"/>
            <w:tcMar>
              <w:top w:w="30" w:type="dxa"/>
              <w:left w:w="617"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Pledgor</w:t>
            </w:r>
          </w:p>
        </w:tc>
        <w:tc>
          <w:tcPr>
            <w:tcW w:w="1979"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40" w:before="79" w:after="283"/>
              <w:jc w:val="left"/>
              <w:rPr>
                <w:rFonts w:ascii="Times New Roman;sans-serif" w:hAnsi="Times New Roman;sans-serif"/>
                <w:b/>
                <w:color w:val="000000"/>
                <w:sz w:val="20"/>
              </w:rPr>
            </w:pPr>
            <w:r>
              <w:rPr>
                <w:rFonts w:ascii="Times New Roman;sans-serif" w:hAnsi="Times New Roman;sans-serif"/>
                <w:b/>
                <w:color w:val="000000"/>
                <w:sz w:val="20"/>
              </w:rPr>
              <w:t>Description of Change</w:t>
            </w:r>
          </w:p>
        </w:tc>
        <w:tc>
          <w:tcPr>
            <w:tcW w:w="1439" w:type="dxa"/>
            <w:gridSpan w:val="3"/>
            <w:tcBorders>
              <w:top w:val="single" w:sz="4" w:space="0" w:color="000000"/>
              <w:left w:val="single" w:sz="4" w:space="0" w:color="000000"/>
              <w:right w:val="single" w:sz="4" w:space="0" w:color="000000"/>
            </w:tcBorders>
            <w:shd w:fill="D9D9D9" w:val="clear"/>
            <w:tcMar>
              <w:top w:w="30" w:type="dxa"/>
              <w:bottom w:w="0" w:type="dxa"/>
            </w:tcMar>
            <w:vAlign w:val="center"/>
          </w:tcPr>
          <w:p>
            <w:pPr>
              <w:pStyle w:val="TableContents"/>
              <w:bidi w:val="0"/>
              <w:spacing w:lineRule="auto" w:line="240" w:before="79" w:after="283"/>
              <w:jc w:val="left"/>
              <w:rPr>
                <w:rFonts w:ascii="Times New Roman;sans-serif" w:hAnsi="Times New Roman;sans-serif"/>
                <w:b/>
                <w:color w:val="000000"/>
                <w:sz w:val="20"/>
              </w:rPr>
            </w:pPr>
            <w:r>
              <w:rPr>
                <w:rFonts w:ascii="Times New Roman;sans-serif" w:hAnsi="Times New Roman;sans-serif"/>
                <w:b/>
                <w:color w:val="000000"/>
                <w:sz w:val="20"/>
              </w:rPr>
              <w:t>Date of Change</w:t>
            </w:r>
          </w:p>
        </w:tc>
      </w:tr>
      <w:tr>
        <w:trPr/>
        <w:tc>
          <w:tcPr>
            <w:tcW w:w="796"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84">
                <wp:simplePos x="0" y="0"/>
                <wp:positionH relativeFrom="character">
                  <wp:align>left</wp:align>
                </wp:positionH>
                <wp:positionV relativeFrom="line">
                  <wp:posOffset>635</wp:posOffset>
                </wp:positionV>
                <wp:extent cx="6480175" cy="781050"/>
                <wp:effectExtent l="0" t="0" r="0" b="0"/>
                <wp:wrapNone/>
                <wp:docPr id="483" name="Frame482"/>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281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281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6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SCHEDULE 2(a)</w:t>
      </w:r>
    </w:p>
    <w:p>
      <w:pPr>
        <w:pStyle w:val="TextBody"/>
        <w:bidi w:val="0"/>
        <w:spacing w:lineRule="auto" w:line="240" w:before="240" w:after="283"/>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Locations</w:t>
      </w:r>
    </w:p>
    <w:p>
      <w:pPr>
        <w:pStyle w:val="TextBody"/>
        <w:bidi w:val="0"/>
        <w:spacing w:before="0" w:after="0"/>
        <w:jc w:val="left"/>
        <w:rPr/>
      </w:pPr>
      <w:r>
        <w:rPr/>
      </w:r>
    </w:p>
    <w:p>
      <w:pPr>
        <w:pStyle w:val="TextBody"/>
        <w:bidi w:val="0"/>
        <w:spacing w:before="20" w:after="283"/>
        <w:jc w:val="left"/>
        <w:rPr/>
      </w:pPr>
      <w:r>
        <w:rPr/>
      </w:r>
    </w:p>
    <w:tbl>
      <w:tblPr>
        <w:tblW w:w="8728" w:type="dxa"/>
        <w:jc w:val="left"/>
        <w:tblInd w:w="0" w:type="dxa"/>
        <w:tblLayout w:type="fixed"/>
        <w:tblCellMar>
          <w:top w:w="28" w:type="dxa"/>
          <w:left w:w="28" w:type="dxa"/>
          <w:bottom w:w="28" w:type="dxa"/>
          <w:right w:w="28" w:type="dxa"/>
        </w:tblCellMar>
      </w:tblPr>
      <w:tblGrid>
        <w:gridCol w:w="882"/>
        <w:gridCol w:w="777"/>
        <w:gridCol w:w="786"/>
        <w:gridCol w:w="839"/>
        <w:gridCol w:w="839"/>
        <w:gridCol w:w="841"/>
        <w:gridCol w:w="664"/>
        <w:gridCol w:w="664"/>
        <w:gridCol w:w="666"/>
        <w:gridCol w:w="518"/>
        <w:gridCol w:w="518"/>
        <w:gridCol w:w="734"/>
      </w:tblGrid>
      <w:tr>
        <w:trPr/>
        <w:tc>
          <w:tcPr>
            <w:tcW w:w="882"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40" w:before="115" w:after="283"/>
              <w:ind w:left="0" w:right="0" w:hanging="606"/>
              <w:jc w:val="left"/>
              <w:rPr>
                <w:rFonts w:ascii="Times New Roman;sans-serif" w:hAnsi="Times New Roman;sans-serif"/>
                <w:b/>
                <w:color w:val="000000"/>
                <w:sz w:val="20"/>
              </w:rPr>
            </w:pPr>
            <w:r>
              <w:rPr>
                <w:rFonts w:ascii="Times New Roman;sans-serif" w:hAnsi="Times New Roman;sans-serif"/>
                <w:b/>
                <w:color w:val="000000"/>
                <w:sz w:val="20"/>
              </w:rPr>
              <w:t>Pledgor/Predecessor Entity</w:t>
            </w:r>
          </w:p>
        </w:tc>
        <w:tc>
          <w:tcPr>
            <w:tcW w:w="2519"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40" w:before="115" w:after="283"/>
              <w:ind w:left="0" w:right="0" w:hanging="54"/>
              <w:jc w:val="left"/>
              <w:rPr>
                <w:rFonts w:ascii="Times New Roman;sans-serif" w:hAnsi="Times New Roman;sans-serif"/>
                <w:b/>
                <w:color w:val="000000"/>
                <w:sz w:val="20"/>
              </w:rPr>
            </w:pPr>
            <w:r>
              <w:rPr>
                <w:rFonts w:ascii="Times New Roman;sans-serif" w:hAnsi="Times New Roman;sans-serif"/>
                <w:b/>
                <w:color w:val="000000"/>
                <w:sz w:val="20"/>
              </w:rPr>
              <w:t>Jurisdiction of Organization</w:t>
            </w:r>
          </w:p>
        </w:tc>
        <w:tc>
          <w:tcPr>
            <w:tcW w:w="1994"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before="0" w:after="0"/>
              <w:jc w:val="left"/>
              <w:rPr/>
            </w:pPr>
            <w:r>
              <w:rPr/>
            </w:r>
          </w:p>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Chief Executive Office</w:t>
            </w:r>
          </w:p>
        </w:tc>
        <w:tc>
          <w:tcPr>
            <w:tcW w:w="1770" w:type="dxa"/>
            <w:gridSpan w:val="3"/>
            <w:tcBorders>
              <w:top w:val="single" w:sz="4" w:space="0" w:color="000000"/>
              <w:left w:val="single" w:sz="4" w:space="0" w:color="000000"/>
              <w:right w:val="single" w:sz="4" w:space="0" w:color="000000"/>
            </w:tcBorders>
            <w:shd w:fill="D9D9D9" w:val="clear"/>
            <w:tcMar>
              <w:top w:w="30" w:type="dxa"/>
              <w:bottom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Location of</w:t>
            </w:r>
          </w:p>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Books and Records</w:t>
            </w:r>
          </w:p>
        </w:tc>
      </w:tr>
      <w:tr>
        <w:trPr/>
        <w:tc>
          <w:tcPr>
            <w:tcW w:w="2445"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85">
                <wp:simplePos x="0" y="0"/>
                <wp:positionH relativeFrom="character">
                  <wp:align>left</wp:align>
                </wp:positionH>
                <wp:positionV relativeFrom="line">
                  <wp:posOffset>635</wp:posOffset>
                </wp:positionV>
                <wp:extent cx="6480175" cy="781050"/>
                <wp:effectExtent l="0" t="0" r="0" b="0"/>
                <wp:wrapNone/>
                <wp:docPr id="484" name="Frame483"/>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282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282</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6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SCHEDULE 2(b)</w:t>
      </w:r>
    </w:p>
    <w:p>
      <w:pPr>
        <w:pStyle w:val="TextBody"/>
        <w:bidi w:val="0"/>
        <w:spacing w:lineRule="auto" w:line="240" w:before="240" w:after="283"/>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Other Locations</w:t>
      </w:r>
    </w:p>
    <w:p>
      <w:pPr>
        <w:pStyle w:val="TextBody"/>
        <w:bidi w:val="0"/>
        <w:spacing w:before="0" w:after="0"/>
        <w:jc w:val="left"/>
        <w:rPr/>
      </w:pPr>
      <w:r>
        <w:rPr/>
      </w:r>
    </w:p>
    <w:p>
      <w:pPr>
        <w:pStyle w:val="TextBody"/>
        <w:bidi w:val="0"/>
        <w:spacing w:before="20" w:after="283"/>
        <w:jc w:val="left"/>
        <w:rPr/>
      </w:pPr>
      <w:r>
        <w:rPr/>
      </w:r>
    </w:p>
    <w:tbl>
      <w:tblPr>
        <w:tblW w:w="1712" w:type="dxa"/>
        <w:jc w:val="left"/>
        <w:tblInd w:w="0" w:type="dxa"/>
        <w:tblLayout w:type="fixed"/>
        <w:tblCellMar>
          <w:top w:w="28" w:type="dxa"/>
          <w:left w:w="28" w:type="dxa"/>
          <w:bottom w:w="28" w:type="dxa"/>
          <w:right w:w="28" w:type="dxa"/>
        </w:tblCellMar>
      </w:tblPr>
      <w:tblGrid>
        <w:gridCol w:w="288"/>
        <w:gridCol w:w="253"/>
        <w:gridCol w:w="255"/>
        <w:gridCol w:w="268"/>
        <w:gridCol w:w="268"/>
        <w:gridCol w:w="380"/>
      </w:tblGrid>
      <w:tr>
        <w:trPr/>
        <w:tc>
          <w:tcPr>
            <w:tcW w:w="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op w:val="single" w:sz="4" w:space="0" w:color="000000"/>
              <w:left w:val="single" w:sz="4" w:space="0" w:color="000000"/>
            </w:tcBorders>
            <w:shd w:fill="BFBFBF" w:val="clear"/>
            <w:tcMar>
              <w:top w:w="30" w:type="dxa"/>
              <w:bottom w:w="0" w:type="dxa"/>
              <w:right w:w="0" w:type="dxa"/>
            </w:tcMar>
            <w:vAlign w:val="center"/>
          </w:tcPr>
          <w:p>
            <w:pPr>
              <w:pStyle w:val="TableContents"/>
              <w:bidi w:val="0"/>
              <w:spacing w:lineRule="auto" w:line="240" w:before="79" w:after="283"/>
              <w:jc w:val="center"/>
              <w:rPr>
                <w:rFonts w:ascii="Times New Roman;sans-serif" w:hAnsi="Times New Roman;sans-serif"/>
                <w:b/>
                <w:color w:val="000000"/>
                <w:sz w:val="20"/>
              </w:rPr>
            </w:pPr>
            <w:r>
              <w:rPr>
                <w:rFonts w:ascii="Times New Roman;sans-serif" w:hAnsi="Times New Roman;sans-serif"/>
                <w:b/>
                <w:color w:val="000000"/>
                <w:sz w:val="20"/>
              </w:rPr>
              <w:t>Pledgor</w:t>
            </w:r>
          </w:p>
        </w:tc>
        <w:tc>
          <w:tcPr>
            <w:tcW w:w="916" w:type="dxa"/>
            <w:gridSpan w:val="3"/>
            <w:tcBorders>
              <w:top w:val="single" w:sz="4" w:space="0" w:color="000000"/>
              <w:left w:val="single" w:sz="4" w:space="0" w:color="000000"/>
              <w:right w:val="single" w:sz="4" w:space="0" w:color="000000"/>
            </w:tcBorders>
            <w:shd w:fill="BFBFBF" w:val="clear"/>
            <w:tcMar>
              <w:top w:w="30" w:type="dxa"/>
              <w:bottom w:w="0" w:type="dxa"/>
            </w:tcMar>
            <w:vAlign w:val="center"/>
          </w:tcPr>
          <w:p>
            <w:pPr>
              <w:pStyle w:val="TableContents"/>
              <w:bidi w:val="0"/>
              <w:spacing w:lineRule="auto" w:line="240" w:before="79" w:after="283"/>
              <w:jc w:val="center"/>
              <w:rPr>
                <w:rFonts w:ascii="Times New Roman;sans-serif" w:hAnsi="Times New Roman;sans-serif"/>
                <w:b/>
                <w:color w:val="000000"/>
                <w:sz w:val="20"/>
              </w:rPr>
            </w:pPr>
            <w:r>
              <w:rPr>
                <w:rFonts w:ascii="Times New Roman;sans-serif" w:hAnsi="Times New Roman;sans-serif"/>
                <w:b/>
                <w:color w:val="000000"/>
                <w:sz w:val="20"/>
              </w:rPr>
              <w:t>Location</w:t>
            </w:r>
          </w:p>
        </w:tc>
      </w:tr>
      <w:tr>
        <w:trPr/>
        <w:tc>
          <w:tcPr>
            <w:tcW w:w="796"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86">
                <wp:simplePos x="0" y="0"/>
                <wp:positionH relativeFrom="character">
                  <wp:align>left</wp:align>
                </wp:positionH>
                <wp:positionV relativeFrom="line">
                  <wp:posOffset>635</wp:posOffset>
                </wp:positionV>
                <wp:extent cx="6480175" cy="781050"/>
                <wp:effectExtent l="0" t="0" r="0" b="0"/>
                <wp:wrapNone/>
                <wp:docPr id="485" name="Frame484"/>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283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283</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6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SCHEDULE 3</w:t>
      </w:r>
    </w:p>
    <w:p>
      <w:pPr>
        <w:pStyle w:val="TextBody"/>
        <w:bidi w:val="0"/>
        <w:spacing w:lineRule="auto" w:line="240" w:before="240" w:after="283"/>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UCC Filings</w:t>
      </w:r>
    </w:p>
    <w:p>
      <w:pPr>
        <w:pStyle w:val="TextBody"/>
        <w:bidi w:val="0"/>
        <w:spacing w:before="0" w:after="0"/>
        <w:jc w:val="left"/>
        <w:rPr/>
      </w:pPr>
      <w:r>
        <w:rPr/>
      </w:r>
    </w:p>
    <w:p>
      <w:pPr>
        <w:pStyle w:val="TextBody"/>
        <w:bidi w:val="0"/>
        <w:spacing w:before="0" w:after="0"/>
        <w:jc w:val="left"/>
        <w:rPr/>
      </w:pPr>
      <w:r>
        <w:rPr/>
      </w:r>
    </w:p>
    <w:p>
      <w:pPr>
        <w:pStyle w:val="TextBody"/>
        <w:bidi w:val="0"/>
        <w:spacing w:before="66" w:after="283"/>
        <w:jc w:val="left"/>
        <w:rPr/>
      </w:pPr>
      <w:r>
        <w:rPr/>
      </w:r>
    </w:p>
    <w:tbl>
      <w:tblPr>
        <w:tblW w:w="5251" w:type="dxa"/>
        <w:jc w:val="left"/>
        <w:tblInd w:w="0" w:type="dxa"/>
        <w:tblLayout w:type="fixed"/>
        <w:tblCellMar>
          <w:top w:w="28" w:type="dxa"/>
          <w:left w:w="28" w:type="dxa"/>
          <w:bottom w:w="28" w:type="dxa"/>
          <w:right w:w="28" w:type="dxa"/>
        </w:tblCellMar>
      </w:tblPr>
      <w:tblGrid>
        <w:gridCol w:w="288"/>
        <w:gridCol w:w="253"/>
        <w:gridCol w:w="255"/>
        <w:gridCol w:w="375"/>
        <w:gridCol w:w="375"/>
        <w:gridCol w:w="376"/>
        <w:gridCol w:w="974"/>
        <w:gridCol w:w="974"/>
        <w:gridCol w:w="1381"/>
      </w:tblGrid>
      <w:tr>
        <w:trPr/>
        <w:tc>
          <w:tcPr>
            <w:tcW w:w="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op w:val="single" w:sz="4" w:space="0" w:color="000000"/>
              <w:left w:val="single" w:sz="4" w:space="0" w:color="000000"/>
            </w:tcBorders>
            <w:shd w:fill="BFBFBF" w:val="clear"/>
            <w:tcMar>
              <w:top w:w="30" w:type="dxa"/>
              <w:left w:w="177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Pledgor</w:t>
            </w:r>
          </w:p>
        </w:tc>
        <w:tc>
          <w:tcPr>
            <w:tcW w:w="1126" w:type="dxa"/>
            <w:gridSpan w:val="3"/>
            <w:tcBorders>
              <w:top w:val="single" w:sz="4" w:space="0" w:color="000000"/>
              <w:left w:val="single" w:sz="4" w:space="0" w:color="000000"/>
            </w:tcBorders>
            <w:shd w:fill="BFBFBF" w:val="clear"/>
            <w:tcMar>
              <w:top w:w="30" w:type="dxa"/>
              <w:left w:w="912"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Jurisdiction</w:t>
            </w:r>
          </w:p>
        </w:tc>
        <w:tc>
          <w:tcPr>
            <w:tcW w:w="3329" w:type="dxa"/>
            <w:gridSpan w:val="3"/>
            <w:tcBorders>
              <w:top w:val="single" w:sz="4" w:space="0" w:color="000000"/>
              <w:left w:val="single" w:sz="4" w:space="0" w:color="000000"/>
              <w:right w:val="single" w:sz="4" w:space="0" w:color="000000"/>
            </w:tcBorders>
            <w:shd w:fill="BFBFBF" w:val="clear"/>
            <w:tcMar>
              <w:top w:w="30" w:type="dxa"/>
              <w:bottom w:w="0" w:type="dxa"/>
            </w:tcMar>
            <w:vAlign w:val="center"/>
          </w:tcPr>
          <w:p>
            <w:pPr>
              <w:pStyle w:val="TableContents"/>
              <w:bidi w:val="0"/>
              <w:spacing w:lineRule="auto" w:line="240" w:before="79" w:after="283"/>
              <w:jc w:val="left"/>
              <w:rPr>
                <w:rFonts w:ascii="Times New Roman;sans-serif" w:hAnsi="Times New Roman;sans-serif"/>
                <w:b/>
                <w:color w:val="000000"/>
                <w:sz w:val="20"/>
              </w:rPr>
            </w:pPr>
            <w:r>
              <w:rPr>
                <w:rFonts w:ascii="Times New Roman;sans-serif" w:hAnsi="Times New Roman;sans-serif"/>
                <w:b/>
                <w:color w:val="000000"/>
                <w:sz w:val="20"/>
              </w:rPr>
              <w:t>UCC Filing Office/Local Filing Office</w:t>
            </w:r>
          </w:p>
        </w:tc>
      </w:tr>
      <w:tr>
        <w:trPr/>
        <w:tc>
          <w:tcPr>
            <w:tcW w:w="796"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87">
                <wp:simplePos x="0" y="0"/>
                <wp:positionH relativeFrom="character">
                  <wp:align>left</wp:align>
                </wp:positionH>
                <wp:positionV relativeFrom="line">
                  <wp:posOffset>635</wp:posOffset>
                </wp:positionV>
                <wp:extent cx="6480175" cy="781050"/>
                <wp:effectExtent l="0" t="0" r="0" b="0"/>
                <wp:wrapNone/>
                <wp:docPr id="486" name="Frame485"/>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284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284</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60" w:after="283"/>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SCHEDULE 4</w:t>
      </w:r>
    </w:p>
    <w:p>
      <w:pPr>
        <w:pStyle w:val="TextBody"/>
        <w:bidi w:val="0"/>
        <w:spacing w:lineRule="auto" w:line="240" w:before="240" w:after="283"/>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Equity Interests</w:t>
      </w:r>
    </w:p>
    <w:p>
      <w:pPr>
        <w:pStyle w:val="TextBody"/>
        <w:bidi w:val="0"/>
        <w:spacing w:before="7" w:after="283"/>
        <w:jc w:val="left"/>
        <w:rPr/>
      </w:pPr>
      <w:r>
        <w:rPr/>
      </w:r>
    </w:p>
    <w:tbl>
      <w:tblPr>
        <w:tblW w:w="10205" w:type="dxa"/>
        <w:jc w:val="left"/>
        <w:tblInd w:w="0" w:type="dxa"/>
        <w:tblLayout w:type="fixed"/>
        <w:tblCellMar>
          <w:top w:w="28" w:type="dxa"/>
          <w:left w:w="28" w:type="dxa"/>
          <w:bottom w:w="28" w:type="dxa"/>
          <w:right w:w="28" w:type="dxa"/>
        </w:tblCellMar>
      </w:tblPr>
      <w:tblGrid>
        <w:gridCol w:w="288"/>
        <w:gridCol w:w="253"/>
        <w:gridCol w:w="255"/>
        <w:gridCol w:w="205"/>
        <w:gridCol w:w="205"/>
        <w:gridCol w:w="206"/>
        <w:gridCol w:w="624"/>
        <w:gridCol w:w="624"/>
        <w:gridCol w:w="626"/>
        <w:gridCol w:w="726"/>
        <w:gridCol w:w="726"/>
        <w:gridCol w:w="728"/>
        <w:gridCol w:w="464"/>
        <w:gridCol w:w="464"/>
        <w:gridCol w:w="467"/>
        <w:gridCol w:w="651"/>
        <w:gridCol w:w="651"/>
        <w:gridCol w:w="654"/>
        <w:gridCol w:w="404"/>
        <w:gridCol w:w="404"/>
        <w:gridCol w:w="580"/>
      </w:tblGrid>
      <w:tr>
        <w:trPr/>
        <w:tc>
          <w:tcPr>
            <w:tcW w:w="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before="114" w:after="283"/>
              <w:jc w:val="left"/>
              <w:rPr/>
            </w:pPr>
            <w:r>
              <w:rPr/>
            </w:r>
          </w:p>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Pledgor</w:t>
            </w:r>
          </w:p>
        </w:tc>
        <w:tc>
          <w:tcPr>
            <w:tcW w:w="616" w:type="dxa"/>
            <w:gridSpan w:val="3"/>
            <w:tcBorders>
              <w:top w:val="single" w:sz="4" w:space="0" w:color="000000"/>
              <w:left w:val="single" w:sz="6" w:space="0" w:color="000000"/>
            </w:tcBorders>
            <w:shd w:fill="D9D9D9" w:val="clear"/>
            <w:tcMar>
              <w:top w:w="30" w:type="dxa"/>
              <w:bottom w:w="0" w:type="dxa"/>
              <w:right w:w="0" w:type="dxa"/>
            </w:tcMar>
            <w:vAlign w:val="center"/>
          </w:tcPr>
          <w:p>
            <w:pPr>
              <w:pStyle w:val="TableContents"/>
              <w:bidi w:val="0"/>
              <w:spacing w:before="114" w:after="283"/>
              <w:jc w:val="left"/>
              <w:rPr/>
            </w:pPr>
            <w:r>
              <w:rPr/>
            </w:r>
          </w:p>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Issuer</w:t>
            </w:r>
          </w:p>
        </w:tc>
        <w:tc>
          <w:tcPr>
            <w:tcW w:w="1874" w:type="dxa"/>
            <w:gridSpan w:val="3"/>
            <w:tcBorders>
              <w:top w:val="single" w:sz="4" w:space="0" w:color="000000"/>
              <w:left w:val="single" w:sz="6" w:space="0" w:color="000000"/>
            </w:tcBorders>
            <w:shd w:fill="D9D9D9" w:val="clear"/>
            <w:tcMar>
              <w:top w:w="30" w:type="dxa"/>
              <w:bottom w:w="0" w:type="dxa"/>
              <w:right w:w="0" w:type="dxa"/>
            </w:tcMar>
            <w:vAlign w:val="center"/>
          </w:tcPr>
          <w:p>
            <w:pPr>
              <w:pStyle w:val="TableContents"/>
              <w:bidi w:val="0"/>
              <w:spacing w:lineRule="auto" w:line="240" w:before="115" w:after="283"/>
              <w:jc w:val="center"/>
              <w:rPr>
                <w:rFonts w:ascii="Times New Roman;sans-serif" w:hAnsi="Times New Roman;sans-serif"/>
                <w:b/>
                <w:color w:val="000000"/>
                <w:sz w:val="20"/>
              </w:rPr>
            </w:pPr>
            <w:r>
              <w:rPr>
                <w:rFonts w:ascii="Times New Roman;sans-serif" w:hAnsi="Times New Roman;sans-serif"/>
                <w:b/>
                <w:color w:val="000000"/>
                <w:sz w:val="20"/>
              </w:rPr>
              <w:t>Jurisdiction of Organization of Issuer</w:t>
            </w:r>
          </w:p>
        </w:tc>
        <w:tc>
          <w:tcPr>
            <w:tcW w:w="2180" w:type="dxa"/>
            <w:gridSpan w:val="3"/>
            <w:tcBorders>
              <w:top w:val="single" w:sz="4" w:space="0" w:color="000000"/>
              <w:left w:val="single" w:sz="6" w:space="0" w:color="000000"/>
            </w:tcBorders>
            <w:shd w:fill="D9D9D9" w:val="clear"/>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Certificate No. (if uncertificated, please indicate</w:t>
            </w:r>
          </w:p>
          <w:p>
            <w:pPr>
              <w:pStyle w:val="TableContents"/>
              <w:bidi w:val="0"/>
              <w:spacing w:lineRule="auto" w:line="252" w:before="0" w:after="0"/>
              <w:jc w:val="center"/>
              <w:rPr>
                <w:rFonts w:ascii="Times New Roman;sans-serif" w:hAnsi="Times New Roman;sans-serif"/>
                <w:b/>
                <w:color w:val="000000"/>
                <w:sz w:val="20"/>
              </w:rPr>
            </w:pPr>
            <w:r>
              <w:rPr>
                <w:rFonts w:ascii="Times New Roman;sans-serif" w:hAnsi="Times New Roman;sans-serif"/>
                <w:b/>
                <w:color w:val="000000"/>
                <w:sz w:val="20"/>
              </w:rPr>
              <w:t>so)</w:t>
            </w:r>
          </w:p>
        </w:tc>
        <w:tc>
          <w:tcPr>
            <w:tcW w:w="1395" w:type="dxa"/>
            <w:gridSpan w:val="3"/>
            <w:tcBorders>
              <w:top w:val="single" w:sz="4" w:space="0" w:color="000000"/>
              <w:left w:val="single" w:sz="6" w:space="0" w:color="000000"/>
            </w:tcBorders>
            <w:shd w:fill="D9D9D9" w:val="clear"/>
            <w:tcMar>
              <w:top w:w="30" w:type="dxa"/>
              <w:bottom w:w="0" w:type="dxa"/>
              <w:right w:w="0" w:type="dxa"/>
            </w:tcMar>
            <w:vAlign w:val="center"/>
          </w:tcPr>
          <w:p>
            <w:pPr>
              <w:pStyle w:val="TableContents"/>
              <w:bidi w:val="0"/>
              <w:spacing w:lineRule="auto" w:line="240" w:before="115" w:after="283"/>
              <w:ind w:left="0" w:right="0" w:hanging="2"/>
              <w:jc w:val="center"/>
              <w:rPr>
                <w:rFonts w:ascii="Times New Roman;sans-serif" w:hAnsi="Times New Roman;sans-serif"/>
                <w:b/>
                <w:color w:val="000000"/>
                <w:sz w:val="20"/>
              </w:rPr>
            </w:pPr>
            <w:r>
              <w:rPr>
                <w:rFonts w:ascii="Times New Roman;sans-serif" w:hAnsi="Times New Roman;sans-serif"/>
                <w:b/>
                <w:color w:val="000000"/>
                <w:sz w:val="20"/>
              </w:rPr>
              <w:t>Number of Shares/Units Owned</w:t>
            </w:r>
          </w:p>
        </w:tc>
        <w:tc>
          <w:tcPr>
            <w:tcW w:w="1956" w:type="dxa"/>
            <w:gridSpan w:val="3"/>
            <w:tcBorders>
              <w:top w:val="single" w:sz="4" w:space="0" w:color="000000"/>
              <w:left w:val="single" w:sz="6" w:space="0" w:color="000000"/>
            </w:tcBorders>
            <w:shd w:fill="D9D9D9" w:val="clear"/>
            <w:tcMar>
              <w:top w:w="30" w:type="dxa"/>
              <w:bottom w:w="0" w:type="dxa"/>
              <w:right w:w="0" w:type="dxa"/>
            </w:tcMar>
            <w:vAlign w:val="center"/>
          </w:tcPr>
          <w:p>
            <w:pPr>
              <w:pStyle w:val="TableContents"/>
              <w:bidi w:val="0"/>
              <w:spacing w:lineRule="auto" w:line="240" w:before="115" w:after="283"/>
              <w:ind w:left="0" w:right="0" w:firstLine="316"/>
              <w:jc w:val="left"/>
              <w:rPr>
                <w:rFonts w:ascii="Times New Roman;sans-serif" w:hAnsi="Times New Roman;sans-serif"/>
                <w:b/>
                <w:color w:val="000000"/>
                <w:sz w:val="20"/>
              </w:rPr>
            </w:pPr>
            <w:r>
              <w:rPr>
                <w:rFonts w:ascii="Times New Roman;sans-serif" w:hAnsi="Times New Roman;sans-serif"/>
                <w:b/>
                <w:color w:val="000000"/>
                <w:sz w:val="20"/>
              </w:rPr>
              <w:t>Total Shares/Units Outstanding</w:t>
            </w:r>
          </w:p>
        </w:tc>
        <w:tc>
          <w:tcPr>
            <w:tcW w:w="1388" w:type="dxa"/>
            <w:gridSpan w:val="3"/>
            <w:tcBorders>
              <w:top w:val="single" w:sz="4" w:space="0" w:color="000000"/>
              <w:left w:val="single" w:sz="6" w:space="0" w:color="000000"/>
              <w:right w:val="single" w:sz="4" w:space="0" w:color="000000"/>
            </w:tcBorders>
            <w:shd w:fill="D9D9D9" w:val="clear"/>
            <w:tcMar>
              <w:top w:w="30" w:type="dxa"/>
              <w:bottom w:w="0" w:type="dxa"/>
            </w:tcMar>
            <w:vAlign w:val="center"/>
          </w:tcPr>
          <w:p>
            <w:pPr>
              <w:pStyle w:val="TableContents"/>
              <w:bidi w:val="0"/>
              <w:spacing w:before="0" w:after="0"/>
              <w:jc w:val="left"/>
              <w:rPr/>
            </w:pPr>
            <w:r>
              <w:rPr/>
            </w:r>
          </w:p>
          <w:p>
            <w:pPr>
              <w:pStyle w:val="TableContents"/>
              <w:bidi w:val="0"/>
              <w:spacing w:lineRule="auto" w:line="240" w:before="0" w:after="0"/>
              <w:ind w:left="0" w:right="0" w:hanging="108"/>
              <w:jc w:val="left"/>
              <w:rPr>
                <w:rFonts w:ascii="Times New Roman;sans-serif" w:hAnsi="Times New Roman;sans-serif"/>
                <w:b/>
                <w:color w:val="000000"/>
                <w:sz w:val="20"/>
              </w:rPr>
            </w:pPr>
            <w:r>
              <w:rPr>
                <w:rFonts w:ascii="Times New Roman;sans-serif" w:hAnsi="Times New Roman;sans-serif"/>
                <w:b/>
                <w:color w:val="000000"/>
                <w:sz w:val="20"/>
              </w:rPr>
              <w:t>Percentage of Ownership</w:t>
            </w:r>
          </w:p>
        </w:tc>
      </w:tr>
      <w:tr>
        <w:trPr/>
        <w:tc>
          <w:tcPr>
            <w:tcW w:w="796" w:type="dxa"/>
            <w:gridSpan w:val="3"/>
            <w:tcBorders>
              <w:top w:val="single" w:sz="6"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6" w:space="0" w:color="000000"/>
              <w:left w:val="single" w:sz="6" w:space="0" w:color="000000"/>
              <w:bottom w:val="single" w:sz="6" w:space="0" w:color="000000"/>
            </w:tcBorders>
            <w:tcMar>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op w:val="single" w:sz="6" w:space="0" w:color="000000"/>
              <w:left w:val="single" w:sz="6" w:space="0" w:color="000000"/>
              <w:bottom w:val="single" w:sz="6" w:space="0" w:color="000000"/>
            </w:tcBorders>
            <w:tcMar>
              <w:right w:w="0" w:type="dxa"/>
            </w:tcMar>
            <w:vAlign w:val="center"/>
          </w:tcPr>
          <w:p>
            <w:pPr>
              <w:pStyle w:val="TableContents"/>
              <w:bidi w:val="0"/>
              <w:spacing w:before="0" w:after="283"/>
              <w:jc w:val="left"/>
              <w:rPr>
                <w:sz w:val="4"/>
                <w:szCs w:val="4"/>
              </w:rPr>
            </w:pPr>
            <w:r>
              <w:rPr>
                <w:sz w:val="4"/>
                <w:szCs w:val="4"/>
              </w:rPr>
            </w:r>
          </w:p>
        </w:tc>
        <w:tc>
          <w:tcPr>
            <w:tcW w:w="2180" w:type="dxa"/>
            <w:gridSpan w:val="3"/>
            <w:tcBorders>
              <w:top w:val="single" w:sz="6" w:space="0" w:color="000000"/>
              <w:left w:val="single" w:sz="6" w:space="0" w:color="000000"/>
              <w:bottom w:val="single" w:sz="6" w:space="0" w:color="000000"/>
            </w:tcBorders>
            <w:tcMar>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6" w:space="0" w:color="000000"/>
              <w:left w:val="single" w:sz="6" w:space="0" w:color="000000"/>
              <w:bottom w:val="single" w:sz="6" w:space="0" w:color="000000"/>
            </w:tcBorders>
            <w:tcMar>
              <w:right w:w="0" w:type="dxa"/>
            </w:tcMar>
            <w:vAlign w:val="center"/>
          </w:tcPr>
          <w:p>
            <w:pPr>
              <w:pStyle w:val="TableContents"/>
              <w:bidi w:val="0"/>
              <w:spacing w:before="0" w:after="283"/>
              <w:jc w:val="left"/>
              <w:rPr>
                <w:sz w:val="4"/>
                <w:szCs w:val="4"/>
              </w:rPr>
            </w:pPr>
            <w:r>
              <w:rPr>
                <w:sz w:val="4"/>
                <w:szCs w:val="4"/>
              </w:rPr>
            </w:r>
          </w:p>
        </w:tc>
        <w:tc>
          <w:tcPr>
            <w:tcW w:w="1956" w:type="dxa"/>
            <w:gridSpan w:val="3"/>
            <w:tcBorders>
              <w:top w:val="single" w:sz="6" w:space="0" w:color="000000"/>
              <w:left w:val="single" w:sz="6" w:space="0" w:color="000000"/>
              <w:bottom w:val="single" w:sz="6" w:space="0" w:color="000000"/>
            </w:tcBorders>
            <w:tcMar>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6" w:space="0" w:color="000000"/>
              <w:left w:val="single" w:sz="6" w:space="0" w:color="000000"/>
              <w:bottom w:val="single" w:sz="6" w:space="0" w:color="000000"/>
              <w:right w:val="single" w:sz="4"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88">
                <wp:simplePos x="0" y="0"/>
                <wp:positionH relativeFrom="character">
                  <wp:align>left</wp:align>
                </wp:positionH>
                <wp:positionV relativeFrom="line">
                  <wp:posOffset>635</wp:posOffset>
                </wp:positionV>
                <wp:extent cx="6480175" cy="781050"/>
                <wp:effectExtent l="0" t="0" r="0" b="0"/>
                <wp:wrapNone/>
                <wp:docPr id="487" name="Frame486"/>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285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285</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6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SCHEDULE 5</w:t>
      </w:r>
    </w:p>
    <w:p>
      <w:pPr>
        <w:pStyle w:val="TextBody"/>
        <w:bidi w:val="0"/>
        <w:spacing w:before="0" w:after="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89">
                <wp:simplePos x="0" y="0"/>
                <wp:positionH relativeFrom="character">
                  <wp:align>left</wp:align>
                </wp:positionH>
                <wp:positionV relativeFrom="line">
                  <wp:posOffset>635</wp:posOffset>
                </wp:positionV>
                <wp:extent cx="6480175" cy="781050"/>
                <wp:effectExtent l="0" t="0" r="0" b="0"/>
                <wp:wrapNone/>
                <wp:docPr id="488" name="Frame487"/>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286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286</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40" w:before="60" w:after="283"/>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Debt Instruments</w:t>
      </w:r>
    </w:p>
    <w:p>
      <w:pPr>
        <w:pStyle w:val="TextBody"/>
        <w:bidi w:val="0"/>
        <w:spacing w:before="0" w:after="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90">
                <wp:simplePos x="0" y="0"/>
                <wp:positionH relativeFrom="character">
                  <wp:align>left</wp:align>
                </wp:positionH>
                <wp:positionV relativeFrom="line">
                  <wp:posOffset>635</wp:posOffset>
                </wp:positionV>
                <wp:extent cx="6480175" cy="781050"/>
                <wp:effectExtent l="0" t="0" r="0" b="0"/>
                <wp:wrapNone/>
                <wp:docPr id="489" name="Frame488"/>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287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287</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40" w:before="60" w:after="283"/>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SCHEDULE 6</w:t>
      </w:r>
    </w:p>
    <w:p>
      <w:pPr>
        <w:pStyle w:val="TextBody"/>
        <w:bidi w:val="0"/>
        <w:spacing w:lineRule="auto" w:line="240" w:before="240" w:after="283"/>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Mortgage Filings</w:t>
      </w:r>
    </w:p>
    <w:p>
      <w:pPr>
        <w:pStyle w:val="TextBody"/>
        <w:bidi w:val="0"/>
        <w:spacing w:before="0" w:after="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91">
                <wp:simplePos x="0" y="0"/>
                <wp:positionH relativeFrom="character">
                  <wp:align>left</wp:align>
                </wp:positionH>
                <wp:positionV relativeFrom="line">
                  <wp:posOffset>635</wp:posOffset>
                </wp:positionV>
                <wp:extent cx="6480175" cy="781050"/>
                <wp:effectExtent l="0" t="0" r="0" b="0"/>
                <wp:wrapNone/>
                <wp:docPr id="490" name="Frame489"/>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288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288</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40" w:before="6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SCHEDULE 7(a)</w:t>
      </w:r>
    </w:p>
    <w:p>
      <w:pPr>
        <w:pStyle w:val="TextBody"/>
        <w:bidi w:val="0"/>
        <w:spacing w:lineRule="auto" w:line="520" w:before="240" w:after="283"/>
        <w:ind w:left="0" w:right="0" w:firstLine="2"/>
        <w:jc w:val="center"/>
        <w:rPr/>
      </w:pPr>
      <w:r>
        <w:rPr>
          <w:rFonts w:ascii="Times New Roman;sans-serif" w:hAnsi="Times New Roman;sans-serif"/>
          <w:b w:val="false"/>
          <w:color w:val="000000"/>
          <w:sz w:val="24"/>
          <w:u w:val="single"/>
        </w:rPr>
        <w:t>Intellectual Property</w:t>
      </w:r>
      <w:r>
        <w:rPr>
          <w:color w:val="000000"/>
        </w:rPr>
        <w:t xml:space="preserve"> </w:t>
      </w:r>
      <w:r>
        <w:rPr>
          <w:rFonts w:ascii="Times New Roman;sans-serif" w:hAnsi="Times New Roman;sans-serif"/>
          <w:b w:val="false"/>
          <w:color w:val="000000"/>
          <w:sz w:val="24"/>
          <w:u w:val="single"/>
        </w:rPr>
        <w:t>Patents/Patent Applications</w:t>
      </w:r>
    </w:p>
    <w:tbl>
      <w:tblPr>
        <w:tblW w:w="6042" w:type="dxa"/>
        <w:jc w:val="left"/>
        <w:tblInd w:w="0" w:type="dxa"/>
        <w:tblLayout w:type="fixed"/>
        <w:tblCellMar>
          <w:top w:w="28" w:type="dxa"/>
          <w:left w:w="28" w:type="dxa"/>
          <w:bottom w:w="28" w:type="dxa"/>
          <w:right w:w="28" w:type="dxa"/>
        </w:tblCellMar>
      </w:tblPr>
      <w:tblGrid>
        <w:gridCol w:w="592"/>
        <w:gridCol w:w="519"/>
        <w:gridCol w:w="523"/>
        <w:gridCol w:w="434"/>
        <w:gridCol w:w="434"/>
        <w:gridCol w:w="436"/>
        <w:gridCol w:w="529"/>
        <w:gridCol w:w="529"/>
        <w:gridCol w:w="531"/>
        <w:gridCol w:w="443"/>
        <w:gridCol w:w="443"/>
        <w:gridCol w:w="629"/>
      </w:tblGrid>
      <w:tr>
        <w:trPr/>
        <w:tc>
          <w:tcPr>
            <w:tcW w:w="592"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40" w:before="115" w:after="283"/>
              <w:ind w:left="0" w:right="0" w:hanging="162"/>
              <w:jc w:val="left"/>
              <w:rPr>
                <w:rFonts w:ascii="Times New Roman;sans-serif" w:hAnsi="Times New Roman;sans-serif"/>
                <w:b/>
                <w:color w:val="000000"/>
                <w:sz w:val="20"/>
              </w:rPr>
            </w:pPr>
            <w:r>
              <w:rPr>
                <w:rFonts w:ascii="Times New Roman;sans-serif" w:hAnsi="Times New Roman;sans-serif"/>
                <w:b/>
                <w:color w:val="000000"/>
                <w:sz w:val="20"/>
              </w:rPr>
              <w:t>Registered Owner</w:t>
            </w:r>
          </w:p>
        </w:tc>
        <w:tc>
          <w:tcPr>
            <w:tcW w:w="1304"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before="0" w:after="0"/>
              <w:jc w:val="left"/>
              <w:rPr/>
            </w:pPr>
            <w:r>
              <w:rPr/>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Title of Patent</w:t>
            </w:r>
          </w:p>
        </w:tc>
        <w:tc>
          <w:tcPr>
            <w:tcW w:w="1589"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Registration/Ap</w:t>
            </w:r>
          </w:p>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plication Number</w:t>
            </w:r>
          </w:p>
        </w:tc>
        <w:tc>
          <w:tcPr>
            <w:tcW w:w="1515" w:type="dxa"/>
            <w:gridSpan w:val="3"/>
            <w:tcBorders>
              <w:top w:val="single" w:sz="4" w:space="0" w:color="000000"/>
              <w:left w:val="single" w:sz="4" w:space="0" w:color="000000"/>
              <w:right w:val="single" w:sz="4" w:space="0" w:color="000000"/>
            </w:tcBorders>
            <w:shd w:fill="D9D9D9" w:val="clear"/>
            <w:tcMar>
              <w:top w:w="30" w:type="dxa"/>
              <w:bottom w:w="0" w:type="dxa"/>
            </w:tcMar>
            <w:vAlign w:val="center"/>
          </w:tcPr>
          <w:p>
            <w:pPr>
              <w:pStyle w:val="TableContents"/>
              <w:bidi w:val="0"/>
              <w:spacing w:before="0" w:after="0"/>
              <w:jc w:val="left"/>
              <w:rPr/>
            </w:pPr>
            <w:r>
              <w:rPr/>
            </w:r>
          </w:p>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Expiration Date</w:t>
            </w:r>
          </w:p>
        </w:tc>
      </w:tr>
      <w:tr>
        <w:trPr/>
        <w:tc>
          <w:tcPr>
            <w:tcW w:w="1634"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92">
                <wp:simplePos x="0" y="0"/>
                <wp:positionH relativeFrom="character">
                  <wp:align>left</wp:align>
                </wp:positionH>
                <wp:positionV relativeFrom="line">
                  <wp:posOffset>635</wp:posOffset>
                </wp:positionV>
                <wp:extent cx="6480175" cy="781050"/>
                <wp:effectExtent l="0" t="0" r="0" b="0"/>
                <wp:wrapNone/>
                <wp:docPr id="491" name="Frame490"/>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289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289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6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SCHEDULE 7(b)</w:t>
      </w:r>
    </w:p>
    <w:p>
      <w:pPr>
        <w:pStyle w:val="TextBody"/>
        <w:bidi w:val="0"/>
        <w:spacing w:lineRule="auto" w:line="520" w:before="240" w:after="283"/>
        <w:ind w:left="0" w:right="0" w:firstLine="4"/>
        <w:jc w:val="center"/>
        <w:rPr/>
      </w:pPr>
      <w:r>
        <w:rPr>
          <w:rFonts w:ascii="Times New Roman;sans-serif" w:hAnsi="Times New Roman;sans-serif"/>
          <w:b w:val="false"/>
          <w:color w:val="000000"/>
          <w:sz w:val="24"/>
          <w:u w:val="single"/>
        </w:rPr>
        <w:t>Intellectual Property</w:t>
      </w:r>
      <w:r>
        <w:rPr>
          <w:color w:val="000000"/>
        </w:rPr>
        <w:t xml:space="preserve"> </w:t>
      </w:r>
      <w:r>
        <w:rPr>
          <w:rFonts w:ascii="Times New Roman;sans-serif" w:hAnsi="Times New Roman;sans-serif"/>
          <w:b w:val="false"/>
          <w:color w:val="000000"/>
          <w:sz w:val="24"/>
          <w:u w:val="single"/>
        </w:rPr>
        <w:t>Trademarks/Trademark Applications</w:t>
      </w:r>
    </w:p>
    <w:tbl>
      <w:tblPr>
        <w:tblW w:w="6675" w:type="dxa"/>
        <w:jc w:val="left"/>
        <w:tblInd w:w="0" w:type="dxa"/>
        <w:tblLayout w:type="fixed"/>
        <w:tblCellMar>
          <w:top w:w="28" w:type="dxa"/>
          <w:left w:w="28" w:type="dxa"/>
          <w:bottom w:w="28" w:type="dxa"/>
          <w:right w:w="28" w:type="dxa"/>
        </w:tblCellMar>
      </w:tblPr>
      <w:tblGrid>
        <w:gridCol w:w="592"/>
        <w:gridCol w:w="520"/>
        <w:gridCol w:w="522"/>
        <w:gridCol w:w="195"/>
        <w:gridCol w:w="195"/>
        <w:gridCol w:w="196"/>
        <w:gridCol w:w="980"/>
        <w:gridCol w:w="980"/>
        <w:gridCol w:w="980"/>
        <w:gridCol w:w="443"/>
        <w:gridCol w:w="443"/>
        <w:gridCol w:w="629"/>
      </w:tblGrid>
      <w:tr>
        <w:trPr/>
        <w:tc>
          <w:tcPr>
            <w:tcW w:w="592"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40" w:before="128" w:after="283"/>
              <w:jc w:val="left"/>
              <w:rPr>
                <w:rFonts w:ascii="Times New Roman;sans-serif" w:hAnsi="Times New Roman;sans-serif"/>
                <w:b/>
                <w:color w:val="000000"/>
                <w:sz w:val="20"/>
              </w:rPr>
            </w:pPr>
            <w:r>
              <w:rPr>
                <w:rFonts w:ascii="Times New Roman;sans-serif" w:hAnsi="Times New Roman;sans-serif"/>
                <w:b/>
                <w:color w:val="000000"/>
                <w:sz w:val="20"/>
              </w:rPr>
              <w:t>Registered Owner</w:t>
            </w:r>
          </w:p>
        </w:tc>
        <w:tc>
          <w:tcPr>
            <w:tcW w:w="586"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40" w:before="128" w:after="283"/>
              <w:jc w:val="center"/>
              <w:rPr>
                <w:rFonts w:ascii="Times New Roman;sans-serif" w:hAnsi="Times New Roman;sans-serif"/>
                <w:b/>
                <w:color w:val="000000"/>
                <w:sz w:val="20"/>
              </w:rPr>
            </w:pPr>
            <w:r>
              <w:rPr>
                <w:rFonts w:ascii="Times New Roman;sans-serif" w:hAnsi="Times New Roman;sans-serif"/>
                <w:b/>
                <w:color w:val="000000"/>
                <w:sz w:val="20"/>
              </w:rPr>
              <w:t>Mark</w:t>
            </w:r>
          </w:p>
        </w:tc>
        <w:tc>
          <w:tcPr>
            <w:tcW w:w="2940"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76" w:before="8" w:after="283"/>
              <w:ind w:left="0" w:right="0" w:hanging="700"/>
              <w:jc w:val="left"/>
              <w:rPr>
                <w:rFonts w:ascii="Times New Roman;sans-serif" w:hAnsi="Times New Roman;sans-serif"/>
                <w:b/>
                <w:color w:val="000000"/>
                <w:sz w:val="20"/>
              </w:rPr>
            </w:pPr>
            <w:r>
              <w:rPr>
                <w:rFonts w:ascii="Times New Roman;sans-serif" w:hAnsi="Times New Roman;sans-serif"/>
                <w:b/>
                <w:color w:val="000000"/>
                <w:sz w:val="20"/>
              </w:rPr>
              <w:t>Application/Registration Number</w:t>
            </w:r>
          </w:p>
        </w:tc>
        <w:tc>
          <w:tcPr>
            <w:tcW w:w="1515" w:type="dxa"/>
            <w:gridSpan w:val="3"/>
            <w:tcBorders>
              <w:top w:val="single" w:sz="4" w:space="0" w:color="000000"/>
              <w:left w:val="single" w:sz="4" w:space="0" w:color="000000"/>
              <w:right w:val="single" w:sz="4" w:space="0" w:color="000000"/>
            </w:tcBorders>
            <w:shd w:fill="D9D9D9" w:val="clear"/>
            <w:tcMar>
              <w:top w:w="30" w:type="dxa"/>
              <w:bottom w:w="0" w:type="dxa"/>
            </w:tcMar>
            <w:vAlign w:val="center"/>
          </w:tcPr>
          <w:p>
            <w:pPr>
              <w:pStyle w:val="TableContents"/>
              <w:bidi w:val="0"/>
              <w:spacing w:lineRule="auto" w:line="240" w:before="128" w:after="283"/>
              <w:jc w:val="left"/>
              <w:rPr>
                <w:rFonts w:ascii="Times New Roman;sans-serif" w:hAnsi="Times New Roman;sans-serif"/>
                <w:b/>
                <w:color w:val="000000"/>
                <w:sz w:val="20"/>
              </w:rPr>
            </w:pPr>
            <w:r>
              <w:rPr>
                <w:rFonts w:ascii="Times New Roman;sans-serif" w:hAnsi="Times New Roman;sans-serif"/>
                <w:b/>
                <w:color w:val="000000"/>
                <w:sz w:val="20"/>
              </w:rPr>
              <w:t>Expiration Date</w:t>
            </w:r>
          </w:p>
        </w:tc>
      </w:tr>
      <w:tr>
        <w:trPr/>
        <w:tc>
          <w:tcPr>
            <w:tcW w:w="1634"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93">
                <wp:simplePos x="0" y="0"/>
                <wp:positionH relativeFrom="character">
                  <wp:align>left</wp:align>
                </wp:positionH>
                <wp:positionV relativeFrom="line">
                  <wp:posOffset>635</wp:posOffset>
                </wp:positionV>
                <wp:extent cx="6480175" cy="781050"/>
                <wp:effectExtent l="0" t="0" r="0" b="0"/>
                <wp:wrapNone/>
                <wp:docPr id="492" name="Frame491"/>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290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290</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6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SCHEDULE 7(c)</w:t>
      </w:r>
    </w:p>
    <w:p>
      <w:pPr>
        <w:pStyle w:val="TextBody"/>
        <w:bidi w:val="0"/>
        <w:spacing w:lineRule="auto" w:line="520" w:before="240" w:after="283"/>
        <w:ind w:left="0" w:right="0" w:firstLine="2"/>
        <w:jc w:val="center"/>
        <w:rPr/>
      </w:pPr>
      <w:r>
        <w:rPr>
          <w:rFonts w:ascii="Times New Roman;sans-serif" w:hAnsi="Times New Roman;sans-serif"/>
          <w:b w:val="false"/>
          <w:color w:val="000000"/>
          <w:sz w:val="24"/>
          <w:u w:val="single"/>
        </w:rPr>
        <w:t>Intellectual Property</w:t>
      </w:r>
      <w:r>
        <w:rPr>
          <w:color w:val="000000"/>
        </w:rPr>
        <w:t xml:space="preserve"> </w:t>
      </w:r>
      <w:r>
        <w:rPr>
          <w:rFonts w:ascii="Times New Roman;sans-serif" w:hAnsi="Times New Roman;sans-serif"/>
          <w:b w:val="false"/>
          <w:color w:val="000000"/>
          <w:sz w:val="24"/>
          <w:u w:val="single"/>
        </w:rPr>
        <w:t>Copyrights/Copyright Applications</w:t>
      </w:r>
    </w:p>
    <w:p>
      <w:pPr>
        <w:pStyle w:val="TextBody"/>
        <w:bidi w:val="0"/>
        <w:spacing w:before="240" w:after="283"/>
        <w:jc w:val="left"/>
        <w:rPr/>
      </w:pPr>
      <w:r>
        <w:rPr/>
      </w:r>
    </w:p>
    <w:p>
      <w:pPr>
        <w:pStyle w:val="TextBody"/>
        <w:bidi w:val="0"/>
        <w:spacing w:lineRule="auto" w:line="240" w:before="0" w:after="0"/>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Exclusive Copyright Licenses</w:t>
      </w:r>
    </w:p>
    <w:p>
      <w:pPr>
        <w:pStyle w:val="TextBody"/>
        <w:bidi w:val="0"/>
        <w:spacing w:before="0" w:after="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94">
                <wp:simplePos x="0" y="0"/>
                <wp:positionH relativeFrom="character">
                  <wp:align>left</wp:align>
                </wp:positionH>
                <wp:positionV relativeFrom="line">
                  <wp:posOffset>635</wp:posOffset>
                </wp:positionV>
                <wp:extent cx="6480175" cy="781050"/>
                <wp:effectExtent l="0" t="0" r="0" b="0"/>
                <wp:wrapNone/>
                <wp:docPr id="493" name="Frame492"/>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291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291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40" w:before="6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SCHEDULE 8</w:t>
      </w:r>
    </w:p>
    <w:p>
      <w:pPr>
        <w:pStyle w:val="TextBody"/>
        <w:bidi w:val="0"/>
        <w:spacing w:lineRule="auto" w:line="240" w:before="240" w:after="283"/>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Commercial Tort Claims</w:t>
      </w:r>
    </w:p>
    <w:p>
      <w:pPr>
        <w:pStyle w:val="TextBody"/>
        <w:bidi w:val="0"/>
        <w:spacing w:before="0" w:after="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95">
                <wp:simplePos x="0" y="0"/>
                <wp:positionH relativeFrom="character">
                  <wp:align>left</wp:align>
                </wp:positionH>
                <wp:positionV relativeFrom="line">
                  <wp:posOffset>635</wp:posOffset>
                </wp:positionV>
                <wp:extent cx="6480175" cy="781050"/>
                <wp:effectExtent l="0" t="0" r="0" b="0"/>
                <wp:wrapNone/>
                <wp:docPr id="494" name="Frame493"/>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292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292</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40" w:before="60" w:after="283"/>
        <w:jc w:val="right"/>
        <w:rPr>
          <w:rFonts w:ascii="Times New Roman;sans-serif" w:hAnsi="Times New Roman;sans-serif"/>
          <w:b/>
          <w:color w:val="000000"/>
          <w:sz w:val="24"/>
        </w:rPr>
      </w:pPr>
      <w:r>
        <w:rPr>
          <w:rFonts w:ascii="Times New Roman;sans-serif" w:hAnsi="Times New Roman;sans-serif"/>
          <w:b/>
          <w:color w:val="000000"/>
          <w:sz w:val="24"/>
        </w:rPr>
        <w:t>EXHIBIT J-1</w:t>
      </w:r>
    </w:p>
    <w:p>
      <w:pPr>
        <w:pStyle w:val="TextBody"/>
        <w:bidi w:val="0"/>
        <w:spacing w:lineRule="auto" w:line="240" w:before="240" w:after="283"/>
        <w:jc w:val="lef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U.S. TAX COMPLIANCE CERTIFICATE</w:t>
      </w:r>
    </w:p>
    <w:p>
      <w:pPr>
        <w:pStyle w:val="TextBody"/>
        <w:bidi w:val="0"/>
        <w:spacing w:lineRule="auto" w:line="240" w:before="0" w:after="0"/>
        <w:ind w:left="0" w:right="0" w:hanging="1364"/>
        <w:jc w:val="left"/>
        <w:rPr/>
      </w:pPr>
      <w:r>
        <w:rPr>
          <w:rFonts w:ascii="Times New Roman;sans-serif" w:hAnsi="Times New Roman;sans-serif"/>
          <w:b w:val="false"/>
          <w:color w:val="000000"/>
          <w:sz w:val="24"/>
          <w:u w:val="single"/>
        </w:rPr>
        <w:t>(For Foreign Lenders That Are Not Treated As Partnerships For</w:t>
      </w:r>
      <w:r>
        <w:rPr>
          <w:color w:val="000000"/>
        </w:rPr>
        <w:t xml:space="preserve"> </w:t>
      </w:r>
      <w:r>
        <w:rPr>
          <w:rFonts w:ascii="Times New Roman;sans-serif" w:hAnsi="Times New Roman;sans-serif"/>
          <w:b w:val="false"/>
          <w:color w:val="000000"/>
          <w:sz w:val="24"/>
          <w:u w:val="single"/>
        </w:rPr>
        <w:t>U.S. Federal Income Tax Purposes)</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Reference is made to the Credit Agreement, dated as of February 6, 2024 (as the same may be amended, supplemented, restated, amended and restated, or otherwise modified from time to time, the “</w:t>
      </w:r>
      <w:r>
        <w:rPr>
          <w:rFonts w:ascii="Times New Roman;sans-serif" w:hAnsi="Times New Roman;sans-serif"/>
          <w:b w:val="false"/>
          <w:color w:val="000000"/>
          <w:sz w:val="24"/>
          <w:u w:val="single"/>
        </w:rPr>
        <w:t>Credit Agreement</w:t>
      </w:r>
      <w:r>
        <w:rPr>
          <w:color w:val="000000"/>
        </w:rPr>
        <w:t>”</w:t>
      </w:r>
      <w:r>
        <w:rPr>
          <w:rFonts w:ascii="Times New Roman;sans-serif" w:hAnsi="Times New Roman;sans-serif"/>
          <w:b w:val="false"/>
          <w:color w:val="000000"/>
          <w:sz w:val="24"/>
        </w:rPr>
        <w:t>), by and among Magnite, Inc., a Delaware corporation (the “</w:t>
      </w:r>
      <w:r>
        <w:rPr>
          <w:rFonts w:ascii="Times New Roman;sans-serif" w:hAnsi="Times New Roman;sans-serif"/>
          <w:b w:val="false"/>
          <w:color w:val="000000"/>
          <w:sz w:val="24"/>
          <w:u w:val="single"/>
        </w:rPr>
        <w:t>Borrower</w:t>
      </w:r>
      <w:r>
        <w:rPr>
          <w:color w:val="000000"/>
        </w:rPr>
        <w:t>”</w:t>
      </w:r>
      <w:r>
        <w:rPr>
          <w:rFonts w:ascii="Times New Roman;sans-serif" w:hAnsi="Times New Roman;sans-serif"/>
          <w:b w:val="false"/>
          <w:color w:val="000000"/>
          <w:sz w:val="24"/>
        </w:rPr>
        <w:t>), Morgan Stanley Senior Funding, Inc., as administrative agent for the Term Facility (in such capacity, the “</w:t>
      </w:r>
      <w:r>
        <w:rPr>
          <w:rFonts w:ascii="Times New Roman;sans-serif" w:hAnsi="Times New Roman;sans-serif"/>
          <w:b w:val="false"/>
          <w:color w:val="000000"/>
          <w:sz w:val="24"/>
          <w:u w:val="single"/>
        </w:rPr>
        <w:t>Term Facility Administrative Agent</w:t>
      </w:r>
      <w:r>
        <w:rPr>
          <w:color w:val="000000"/>
        </w:rPr>
        <w:t>”</w:t>
      </w:r>
      <w:r>
        <w:rPr>
          <w:rFonts w:ascii="Times New Roman;sans-serif" w:hAnsi="Times New Roman;sans-serif"/>
          <w:b w:val="false"/>
          <w:color w:val="000000"/>
          <w:sz w:val="24"/>
        </w:rPr>
        <w:t>), Citibank, N.A., as administrative agent for the Revolving Facility (in such capacity, the “</w:t>
      </w:r>
      <w:r>
        <w:rPr>
          <w:rFonts w:ascii="Times New Roman;sans-serif" w:hAnsi="Times New Roman;sans-serif"/>
          <w:b w:val="false"/>
          <w:color w:val="000000"/>
          <w:sz w:val="24"/>
          <w:u w:val="single"/>
        </w:rPr>
        <w:t>Revolving Facility Administrative Agent</w:t>
      </w:r>
      <w:r>
        <w:rPr>
          <w:color w:val="000000"/>
        </w:rPr>
        <w:t xml:space="preserve">” </w:t>
      </w:r>
      <w:r>
        <w:rPr>
          <w:rFonts w:ascii="Times New Roman;sans-serif" w:hAnsi="Times New Roman;sans-serif"/>
          <w:b w:val="false"/>
          <w:color w:val="000000"/>
          <w:sz w:val="24"/>
        </w:rPr>
        <w:t>and, together with the Term Facility Administrative Agent, the “</w:t>
      </w:r>
      <w:r>
        <w:rPr>
          <w:rFonts w:ascii="Times New Roman;sans-serif" w:hAnsi="Times New Roman;sans-serif"/>
          <w:b w:val="false"/>
          <w:color w:val="000000"/>
          <w:sz w:val="24"/>
          <w:u w:val="single"/>
        </w:rPr>
        <w:t>Administrative Agents</w:t>
      </w:r>
      <w:r>
        <w:rPr>
          <w:color w:val="000000"/>
        </w:rPr>
        <w:t>”</w:t>
      </w:r>
      <w:r>
        <w:rPr>
          <w:rFonts w:ascii="Times New Roman;sans-serif" w:hAnsi="Times New Roman;sans-serif"/>
          <w:b w:val="false"/>
          <w:color w:val="000000"/>
          <w:sz w:val="24"/>
        </w:rPr>
        <w:t>), Collateral Agent and Swingline Lender, and each Issuing Bank and Lender party thereto from time to time. Capitalized terms used but not otherwise defined herein shall have the meanings assigned to them in the Credit Agreement.</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 xml:space="preserve">Pursuant to the provisions of </w:t>
      </w:r>
      <w:r>
        <w:rPr>
          <w:rFonts w:ascii="Times New Roman;sans-serif" w:hAnsi="Times New Roman;sans-serif"/>
          <w:b w:val="false"/>
          <w:color w:val="000000"/>
          <w:sz w:val="24"/>
          <w:u w:val="single"/>
        </w:rPr>
        <w:t>Section 2.17(d)(ii)</w:t>
      </w:r>
      <w:r>
        <w:rPr>
          <w:color w:val="000000"/>
        </w:rPr>
        <w:t xml:space="preserve"> </w:t>
      </w:r>
      <w:r>
        <w:rPr>
          <w:rFonts w:ascii="Times New Roman;sans-serif" w:hAnsi="Times New Roman;sans-serif"/>
          <w:b w:val="false"/>
          <w:color w:val="000000"/>
          <w:sz w:val="24"/>
        </w:rPr>
        <w:t>of the Credit Agreement, the undersigned hereby certifies that (i) it is the sole record and beneficial owner of the Loan(s) (as well as any Note(s) evidencing such Loan(s)) in respect of which it is providing this certificate, (ii) it is not a “bank” within the meaning of Section 881(c)(3)(A) of the Code, (iii) it is not a “10-percent shareholder” of the Borrower within the meaning of Section 871(h)(3)(B) of the Code and (iv) it is not a “controlled foreign corporation” related to the Borrower as described in Section 881(c)(3)(C) of the Code.</w:t>
      </w:r>
    </w:p>
    <w:p>
      <w:pPr>
        <w:pStyle w:val="TextBody"/>
        <w:bidi w:val="0"/>
        <w:spacing w:lineRule="auto" w:line="240" w:before="241"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undersigned has furnished the Borrower and each Administrative Agent with a certificate of its non-U.S. person status on IRS Form W-8BEN or W-8BEN-E, as applicable. By executing this certificate, the undersigned agrees that (1) if the information provided on this certificate changes, the undersigned shall promptly so inform the Borrower and each Administrative Agent in writing and (2) the undersigned shall have furnished the Borrower and each Administrative Agent a properly completed and currently effective certificate in either the calendar year in which payment is to be made by the Borrower or any Administrative Agent to the undersigned, or in either of the two calendar years preceding each such payment.</w:t>
      </w:r>
    </w:p>
    <w:p>
      <w:pPr>
        <w:pStyle w:val="TextBody"/>
        <w:bidi w:val="0"/>
        <w:spacing w:lineRule="auto" w:line="240" w:before="239" w:after="283"/>
        <w:jc w:val="center"/>
        <w:rPr/>
      </w:pPr>
      <w:r>
        <w:rPr>
          <w:rFonts w:ascii="Times New Roman;sans-serif" w:hAnsi="Times New Roman;sans-serif"/>
          <w:b w:val="false"/>
          <w:color w:val="000000"/>
          <w:sz w:val="24"/>
        </w:rPr>
        <w:t>[</w:t>
      </w:r>
      <w:r>
        <w:rPr>
          <w:rFonts w:ascii="Times New Roman;sans-serif" w:hAnsi="Times New Roman;sans-serif"/>
          <w:b w:val="false"/>
          <w:i/>
          <w:color w:val="000000"/>
          <w:sz w:val="24"/>
        </w:rPr>
        <w:t>Signature Page Follows</w:t>
      </w:r>
      <w:r>
        <w:rPr>
          <w:rFonts w:ascii="Times New Roman;sans-serif" w:hAnsi="Times New Roman;sans-serif"/>
          <w:b w:val="false"/>
          <w:color w:val="000000"/>
          <w:sz w:val="24"/>
        </w:rPr>
        <w:t>]</w:t>
      </w:r>
    </w:p>
    <w:p>
      <w:pPr>
        <w:pStyle w:val="TextBody"/>
        <w:bidi w:val="0"/>
        <w:spacing w:before="0" w:after="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96">
                <wp:simplePos x="0" y="0"/>
                <wp:positionH relativeFrom="character">
                  <wp:align>left</wp:align>
                </wp:positionH>
                <wp:positionV relativeFrom="line">
                  <wp:posOffset>635</wp:posOffset>
                </wp:positionV>
                <wp:extent cx="6480175" cy="781050"/>
                <wp:effectExtent l="0" t="0" r="0" b="0"/>
                <wp:wrapNone/>
                <wp:docPr id="495" name="Frame494"/>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293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293</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40" w:before="6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[Foreign Lender]</w:t>
      </w:r>
    </w:p>
    <w:p>
      <w:pPr>
        <w:pStyle w:val="TextBody"/>
        <w:bidi w:val="0"/>
        <w:spacing w:before="204" w:after="283"/>
        <w:jc w:val="left"/>
        <w:rPr/>
      </w:pPr>
      <w:r>
        <w:rPr/>
      </w:r>
    </w:p>
    <w:p>
      <w:pPr>
        <w:pStyle w:val="TextBody"/>
        <w:bidi w:val="0"/>
        <w:spacing w:lineRule="auto" w:line="285" w:before="0" w:after="0"/>
        <w:ind w:left="0" w:right="0" w:hanging="813"/>
        <w:jc w:val="left"/>
        <w:rPr/>
      </w:pPr>
      <w:r>
        <w:rPr>
          <w:rFonts w:ascii="Times New Roman;sans-serif" w:hAnsi="Times New Roman;sans-serif"/>
          <w:b w:val="false"/>
          <w:color w:val="000000"/>
          <w:sz w:val="24"/>
        </w:rPr>
        <w:t>By:    </w:t>
      </w:r>
      <w:r>
        <w:rPr>
          <w:color w:val="000000"/>
          <w:u w:val="single"/>
        </w:rPr>
        <w:t>        </w:t>
      </w:r>
      <w:r>
        <w:rPr>
          <w:color w:val="000000"/>
        </w:rPr>
        <w:t xml:space="preserve"> </w:t>
      </w:r>
      <w:r>
        <w:rPr>
          <w:rFonts w:ascii="Times New Roman;sans-serif" w:hAnsi="Times New Roman;sans-serif"/>
          <w:b w:val="false"/>
          <w:color w:val="000000"/>
          <w:sz w:val="24"/>
        </w:rPr>
        <w:t>Name:</w:t>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Title:</w:t>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[Address]</w:t>
      </w:r>
    </w:p>
    <w:p>
      <w:pPr>
        <w:pStyle w:val="TextBody"/>
        <w:bidi w:val="0"/>
        <w:spacing w:lineRule="auto" w:line="240" w:before="240" w:after="283"/>
        <w:jc w:val="left"/>
        <w:rPr/>
      </w:pPr>
      <w:r>
        <w:rPr>
          <w:rFonts w:ascii="Times New Roman;sans-serif" w:hAnsi="Times New Roman;sans-serif"/>
          <w:b w:val="false"/>
          <w:color w:val="000000"/>
          <w:sz w:val="24"/>
        </w:rPr>
        <w:t xml:space="preserve">Dated: </w:t>
      </w:r>
      <w:r>
        <w:rPr>
          <w:color w:val="000000"/>
          <w:u w:val="single"/>
        </w:rPr>
        <w:t>    </w:t>
      </w:r>
      <w:r>
        <w:rPr>
          <w:rFonts w:ascii="Times New Roman;sans-serif" w:hAnsi="Times New Roman;sans-serif"/>
          <w:b w:val="false"/>
          <w:color w:val="000000"/>
          <w:sz w:val="24"/>
        </w:rPr>
        <w:t>, 20[ ]</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97">
                <wp:simplePos x="0" y="0"/>
                <wp:positionH relativeFrom="character">
                  <wp:align>left</wp:align>
                </wp:positionH>
                <wp:positionV relativeFrom="line">
                  <wp:posOffset>635</wp:posOffset>
                </wp:positionV>
                <wp:extent cx="6480175" cy="781050"/>
                <wp:effectExtent l="0" t="0" r="0" b="0"/>
                <wp:wrapNone/>
                <wp:docPr id="496" name="Frame495"/>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294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294</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60" w:after="283"/>
        <w:jc w:val="right"/>
        <w:rPr>
          <w:rFonts w:ascii="Times New Roman;sans-serif" w:hAnsi="Times New Roman;sans-serif"/>
          <w:b/>
          <w:color w:val="000000"/>
          <w:sz w:val="24"/>
        </w:rPr>
      </w:pPr>
      <w:r>
        <w:rPr>
          <w:rFonts w:ascii="Times New Roman;sans-serif" w:hAnsi="Times New Roman;sans-serif"/>
          <w:b/>
          <w:color w:val="000000"/>
          <w:sz w:val="24"/>
        </w:rPr>
        <w:t>EXHIBIT J-2</w:t>
      </w:r>
    </w:p>
    <w:p>
      <w:pPr>
        <w:pStyle w:val="TextBody"/>
        <w:bidi w:val="0"/>
        <w:spacing w:lineRule="auto" w:line="240" w:before="240" w:after="283"/>
        <w:jc w:val="lef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U.S. TAX COMPLIANCE CERTIFICATE</w:t>
      </w:r>
    </w:p>
    <w:p>
      <w:pPr>
        <w:pStyle w:val="TextBody"/>
        <w:bidi w:val="0"/>
        <w:spacing w:lineRule="auto" w:line="240" w:before="0" w:after="0"/>
        <w:ind w:left="0" w:right="0" w:hanging="1154"/>
        <w:jc w:val="left"/>
        <w:rPr/>
      </w:pPr>
      <w:r>
        <w:rPr>
          <w:rFonts w:ascii="Times New Roman;sans-serif" w:hAnsi="Times New Roman;sans-serif"/>
          <w:b w:val="false"/>
          <w:color w:val="000000"/>
          <w:sz w:val="24"/>
          <w:u w:val="single"/>
        </w:rPr>
        <w:t>(For Foreign Lenders That Are Treated As Partnerships For</w:t>
      </w:r>
      <w:r>
        <w:rPr>
          <w:color w:val="000000"/>
        </w:rPr>
        <w:t xml:space="preserve"> </w:t>
      </w:r>
      <w:r>
        <w:rPr>
          <w:rFonts w:ascii="Times New Roman;sans-serif" w:hAnsi="Times New Roman;sans-serif"/>
          <w:b w:val="false"/>
          <w:color w:val="000000"/>
          <w:sz w:val="24"/>
          <w:u w:val="single"/>
        </w:rPr>
        <w:t>U.S. Federal Income Tax Purposes)</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Reference is made to the Credit Agreement, dated as of February 6, 2024 (as the same may be amended, supplemented, restated, amended and restated, or otherwise modified from time to time, the “</w:t>
      </w:r>
      <w:r>
        <w:rPr>
          <w:rFonts w:ascii="Times New Roman;sans-serif" w:hAnsi="Times New Roman;sans-serif"/>
          <w:b w:val="false"/>
          <w:color w:val="000000"/>
          <w:sz w:val="24"/>
          <w:u w:val="single"/>
        </w:rPr>
        <w:t>Credit Agreement</w:t>
      </w:r>
      <w:r>
        <w:rPr>
          <w:color w:val="000000"/>
        </w:rPr>
        <w:t>”</w:t>
      </w:r>
      <w:r>
        <w:rPr>
          <w:rFonts w:ascii="Times New Roman;sans-serif" w:hAnsi="Times New Roman;sans-serif"/>
          <w:b w:val="false"/>
          <w:color w:val="000000"/>
          <w:sz w:val="24"/>
        </w:rPr>
        <w:t>), by and among Magnite, Inc., a Delaware corporation (the “</w:t>
      </w:r>
      <w:r>
        <w:rPr>
          <w:rFonts w:ascii="Times New Roman;sans-serif" w:hAnsi="Times New Roman;sans-serif"/>
          <w:b w:val="false"/>
          <w:color w:val="000000"/>
          <w:sz w:val="24"/>
          <w:u w:val="single"/>
        </w:rPr>
        <w:t>Borrower</w:t>
      </w:r>
      <w:r>
        <w:rPr>
          <w:color w:val="000000"/>
        </w:rPr>
        <w:t>”</w:t>
      </w:r>
      <w:r>
        <w:rPr>
          <w:rFonts w:ascii="Times New Roman;sans-serif" w:hAnsi="Times New Roman;sans-serif"/>
          <w:b w:val="false"/>
          <w:color w:val="000000"/>
          <w:sz w:val="24"/>
        </w:rPr>
        <w:t>), Morgan Stanley Senior Funding, Inc., as administrative agent for the Term Facility (in such capacity, the “</w:t>
      </w:r>
      <w:r>
        <w:rPr>
          <w:rFonts w:ascii="Times New Roman;sans-serif" w:hAnsi="Times New Roman;sans-serif"/>
          <w:b w:val="false"/>
          <w:color w:val="000000"/>
          <w:sz w:val="24"/>
          <w:u w:val="single"/>
        </w:rPr>
        <w:t>Term Facility Administrative Agent</w:t>
      </w:r>
      <w:r>
        <w:rPr>
          <w:color w:val="000000"/>
        </w:rPr>
        <w:t>”</w:t>
      </w:r>
      <w:r>
        <w:rPr>
          <w:rFonts w:ascii="Times New Roman;sans-serif" w:hAnsi="Times New Roman;sans-serif"/>
          <w:b w:val="false"/>
          <w:color w:val="000000"/>
          <w:sz w:val="24"/>
        </w:rPr>
        <w:t>, Citibank, N.A., as administrative agent for the Revolving Facility (in such capacity, the “</w:t>
      </w:r>
      <w:r>
        <w:rPr>
          <w:rFonts w:ascii="Times New Roman;sans-serif" w:hAnsi="Times New Roman;sans-serif"/>
          <w:b w:val="false"/>
          <w:color w:val="000000"/>
          <w:sz w:val="24"/>
          <w:u w:val="single"/>
        </w:rPr>
        <w:t>Revolving Facility Administrative Agent</w:t>
      </w:r>
      <w:r>
        <w:rPr>
          <w:color w:val="000000"/>
        </w:rPr>
        <w:t xml:space="preserve">” </w:t>
      </w:r>
      <w:r>
        <w:rPr>
          <w:rFonts w:ascii="Times New Roman;sans-serif" w:hAnsi="Times New Roman;sans-serif"/>
          <w:b w:val="false"/>
          <w:color w:val="000000"/>
          <w:sz w:val="24"/>
        </w:rPr>
        <w:t>and, together with the Term Facility Administrative Agent, the “</w:t>
      </w:r>
      <w:r>
        <w:rPr>
          <w:rFonts w:ascii="Times New Roman;sans-serif" w:hAnsi="Times New Roman;sans-serif"/>
          <w:b w:val="false"/>
          <w:color w:val="000000"/>
          <w:sz w:val="24"/>
          <w:u w:val="single"/>
        </w:rPr>
        <w:t>Administrative Agents</w:t>
      </w:r>
      <w:r>
        <w:rPr>
          <w:color w:val="000000"/>
        </w:rPr>
        <w:t>”</w:t>
      </w:r>
      <w:r>
        <w:rPr>
          <w:rFonts w:ascii="Times New Roman;sans-serif" w:hAnsi="Times New Roman;sans-serif"/>
          <w:b w:val="false"/>
          <w:color w:val="000000"/>
          <w:sz w:val="24"/>
        </w:rPr>
        <w:t>), Collateral Agent and Swingline Lender, and each Issuing Bank and Lender party thereto from time to time. Capitalized terms used but not otherwise defined herein shall have the meanings assigned to them in the Credit Agreement.</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 xml:space="preserve">Pursuant to the provisions of </w:t>
      </w:r>
      <w:r>
        <w:rPr>
          <w:rFonts w:ascii="Times New Roman;sans-serif" w:hAnsi="Times New Roman;sans-serif"/>
          <w:b w:val="false"/>
          <w:color w:val="000000"/>
          <w:sz w:val="24"/>
          <w:u w:val="single"/>
        </w:rPr>
        <w:t>Section 2.17(d)(ii)</w:t>
      </w:r>
      <w:r>
        <w:rPr>
          <w:color w:val="000000"/>
        </w:rPr>
        <w:t xml:space="preserve"> </w:t>
      </w:r>
      <w:r>
        <w:rPr>
          <w:rFonts w:ascii="Times New Roman;sans-serif" w:hAnsi="Times New Roman;sans-serif"/>
          <w:b w:val="false"/>
          <w:color w:val="000000"/>
          <w:sz w:val="24"/>
        </w:rPr>
        <w:t>of the Credit Agreement, the undersigned hereby certifies that (i) it is the sole record owner of the Loan(s) (as well as any Note(s) evidencing such Loan(s)) in respect of which it is providing this certificate, (ii) its direct or indirect partners/members are the sole beneficial owners of such Loan(s) (as well as any Note(s) evidencing such Loan(s)), (iii) with respect to the extension of credit pursuant to the Credit Agreement or any other Loan Document, neither the undersigned nor any of its direct or indirect partners/members that is claiming the portfolio interest exemption (its “</w:t>
      </w:r>
      <w:r>
        <w:rPr>
          <w:rFonts w:ascii="Times New Roman;sans-serif" w:hAnsi="Times New Roman;sans-serif"/>
          <w:b w:val="false"/>
          <w:color w:val="000000"/>
          <w:sz w:val="24"/>
          <w:u w:val="single"/>
        </w:rPr>
        <w:t>Applicable Partners/Members</w:t>
      </w:r>
      <w:r>
        <w:rPr>
          <w:color w:val="000000"/>
        </w:rPr>
        <w:t>”</w:t>
      </w:r>
      <w:r>
        <w:rPr>
          <w:rFonts w:ascii="Times New Roman;sans-serif" w:hAnsi="Times New Roman;sans-serif"/>
          <w:b w:val="false"/>
          <w:color w:val="000000"/>
          <w:sz w:val="24"/>
        </w:rPr>
        <w:t>) is a “bank” extending credit pursuant to a loan agreement entered into in the ordinary course of its trade or business within the meaning of Section 881(c)(3)(A) of the Code, (iv) none of its Applicable Partners/Members is a “10-percent shareholder” of the Borrower within the meaning of Section 871(h)(3)(B) of the Code and (v) none of its Applicable Partners/Members is a “controlled foreign corporation” related to the Borrower as described in Section 881(c)(3)(C) of the Code.</w:t>
      </w:r>
    </w:p>
    <w:p>
      <w:pPr>
        <w:pStyle w:val="TextBody"/>
        <w:bidi w:val="0"/>
        <w:spacing w:lineRule="auto" w:line="240" w:before="239"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undersigned has furnished the Borrower and each Administrative Agent with an IRS Form W-8IMY accompanied by one of the following forms from each of its partners/members claiming the portfolio interest exemption: (i) an IRS Form W-8BEN or W-8BEN-E, as applicable, or (ii) an IRS Form W-8IMY accompanied by an IRS Form W-8BEN or W-8BEN-E, as applicable, from each of such partner’s/member’s beneficial owners that is claiming the portfolio interest exemption. By executing this certificate, the undersigned agrees that (1) if the information provided on this certificate changes, the undersigned shall promptly so inform the Borrower and each Administrative Agent in writing and (2) the undersigned shall have at all times furnished the Borrower and each Administrative Agent with a properly completed and currently effective certificate in either the calendar year in which each payment is to be made to the undersigned, or in either of the two calendar years preceding each such payment.</w:t>
      </w:r>
    </w:p>
    <w:p>
      <w:pPr>
        <w:pStyle w:val="TextBody"/>
        <w:bidi w:val="0"/>
        <w:spacing w:lineRule="auto" w:line="240" w:before="241" w:after="283"/>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Follows]</w:t>
      </w:r>
    </w:p>
    <w:p>
      <w:pPr>
        <w:pStyle w:val="TextBody"/>
        <w:bidi w:val="0"/>
        <w:spacing w:before="0" w:after="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98">
                <wp:simplePos x="0" y="0"/>
                <wp:positionH relativeFrom="character">
                  <wp:align>left</wp:align>
                </wp:positionH>
                <wp:positionV relativeFrom="line">
                  <wp:posOffset>635</wp:posOffset>
                </wp:positionV>
                <wp:extent cx="6480175" cy="781050"/>
                <wp:effectExtent l="0" t="0" r="0" b="0"/>
                <wp:wrapNone/>
                <wp:docPr id="497" name="Frame496"/>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295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295</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40" w:before="6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[Foreign Lender]</w:t>
      </w:r>
    </w:p>
    <w:p>
      <w:pPr>
        <w:pStyle w:val="TextBody"/>
        <w:bidi w:val="0"/>
        <w:spacing w:before="204" w:after="283"/>
        <w:jc w:val="left"/>
        <w:rPr/>
      </w:pPr>
      <w:r>
        <w:rPr/>
      </w:r>
    </w:p>
    <w:p>
      <w:pPr>
        <w:pStyle w:val="TextBody"/>
        <w:bidi w:val="0"/>
        <w:spacing w:lineRule="auto" w:line="285" w:before="0" w:after="0"/>
        <w:ind w:left="0" w:right="0" w:hanging="813"/>
        <w:jc w:val="left"/>
        <w:rPr/>
      </w:pPr>
      <w:r>
        <w:rPr>
          <w:rFonts w:ascii="Times New Roman;sans-serif" w:hAnsi="Times New Roman;sans-serif"/>
          <w:b w:val="false"/>
          <w:color w:val="000000"/>
          <w:sz w:val="24"/>
        </w:rPr>
        <w:t>By:    </w:t>
      </w:r>
      <w:r>
        <w:rPr>
          <w:color w:val="000000"/>
          <w:u w:val="single"/>
        </w:rPr>
        <w:t>        </w:t>
      </w:r>
      <w:r>
        <w:rPr>
          <w:color w:val="000000"/>
        </w:rPr>
        <w:t xml:space="preserve"> </w:t>
      </w:r>
      <w:r>
        <w:rPr>
          <w:rFonts w:ascii="Times New Roman;sans-serif" w:hAnsi="Times New Roman;sans-serif"/>
          <w:b w:val="false"/>
          <w:color w:val="000000"/>
          <w:sz w:val="24"/>
        </w:rPr>
        <w:t>Name:</w:t>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Title:</w:t>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[Address]</w:t>
      </w:r>
    </w:p>
    <w:p>
      <w:pPr>
        <w:pStyle w:val="TextBody"/>
        <w:bidi w:val="0"/>
        <w:spacing w:lineRule="auto" w:line="240" w:before="240" w:after="283"/>
        <w:jc w:val="left"/>
        <w:rPr/>
      </w:pPr>
      <w:r>
        <w:rPr>
          <w:rFonts w:ascii="Times New Roman;sans-serif" w:hAnsi="Times New Roman;sans-serif"/>
          <w:b w:val="false"/>
          <w:color w:val="000000"/>
          <w:sz w:val="24"/>
        </w:rPr>
        <w:t xml:space="preserve">Dated: </w:t>
      </w:r>
      <w:r>
        <w:rPr>
          <w:color w:val="000000"/>
          <w:u w:val="single"/>
        </w:rPr>
        <w:t>    </w:t>
      </w:r>
      <w:r>
        <w:rPr>
          <w:rFonts w:ascii="Times New Roman;sans-serif" w:hAnsi="Times New Roman;sans-serif"/>
          <w:b w:val="false"/>
          <w:color w:val="000000"/>
          <w:sz w:val="24"/>
        </w:rPr>
        <w:t>, 20[ ]</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99">
                <wp:simplePos x="0" y="0"/>
                <wp:positionH relativeFrom="character">
                  <wp:align>left</wp:align>
                </wp:positionH>
                <wp:positionV relativeFrom="line">
                  <wp:posOffset>635</wp:posOffset>
                </wp:positionV>
                <wp:extent cx="6480175" cy="781050"/>
                <wp:effectExtent l="0" t="0" r="0" b="0"/>
                <wp:wrapNone/>
                <wp:docPr id="498" name="Frame497"/>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296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296</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60" w:after="283"/>
        <w:jc w:val="right"/>
        <w:rPr>
          <w:rFonts w:ascii="Times New Roman;sans-serif" w:hAnsi="Times New Roman;sans-serif"/>
          <w:b/>
          <w:color w:val="000000"/>
          <w:sz w:val="24"/>
        </w:rPr>
      </w:pPr>
      <w:r>
        <w:rPr>
          <w:rFonts w:ascii="Times New Roman;sans-serif" w:hAnsi="Times New Roman;sans-serif"/>
          <w:b/>
          <w:color w:val="000000"/>
          <w:sz w:val="24"/>
        </w:rPr>
        <w:t>EXHIBIT J-3</w:t>
      </w:r>
    </w:p>
    <w:p>
      <w:pPr>
        <w:pStyle w:val="TextBody"/>
        <w:bidi w:val="0"/>
        <w:spacing w:lineRule="auto" w:line="240" w:before="240" w:after="283"/>
        <w:jc w:val="lef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U.S. TAX COMPLIANCE CERTIFICATE</w:t>
      </w:r>
    </w:p>
    <w:p>
      <w:pPr>
        <w:pStyle w:val="TextBody"/>
        <w:bidi w:val="0"/>
        <w:spacing w:lineRule="auto" w:line="240" w:before="0" w:after="0"/>
        <w:ind w:left="0" w:right="0" w:hanging="1544"/>
        <w:jc w:val="left"/>
        <w:rPr/>
      </w:pPr>
      <w:r>
        <w:rPr>
          <w:rFonts w:ascii="Times New Roman;sans-serif" w:hAnsi="Times New Roman;sans-serif"/>
          <w:b w:val="false"/>
          <w:color w:val="000000"/>
          <w:sz w:val="24"/>
          <w:u w:val="single"/>
        </w:rPr>
        <w:t>(For Foreign Participants That Are Not Treated As Partnerships For</w:t>
      </w:r>
      <w:r>
        <w:rPr>
          <w:color w:val="000000"/>
        </w:rPr>
        <w:t xml:space="preserve"> </w:t>
      </w:r>
      <w:r>
        <w:rPr>
          <w:rFonts w:ascii="Times New Roman;sans-serif" w:hAnsi="Times New Roman;sans-serif"/>
          <w:b w:val="false"/>
          <w:color w:val="000000"/>
          <w:sz w:val="24"/>
          <w:u w:val="single"/>
        </w:rPr>
        <w:t>U.S. Federal Income Tax Purposes)</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Reference is made to the Credit Agreement, dated as of February 6, 2024 (as the same may be amended, supplemented, restated, amended and restated, or otherwise modified from time to time, the “</w:t>
      </w:r>
      <w:r>
        <w:rPr>
          <w:rFonts w:ascii="Times New Roman;sans-serif" w:hAnsi="Times New Roman;sans-serif"/>
          <w:b w:val="false"/>
          <w:color w:val="000000"/>
          <w:sz w:val="24"/>
          <w:u w:val="single"/>
        </w:rPr>
        <w:t>Credit Agreement</w:t>
      </w:r>
      <w:r>
        <w:rPr>
          <w:color w:val="000000"/>
        </w:rPr>
        <w:t>”</w:t>
      </w:r>
      <w:r>
        <w:rPr>
          <w:rFonts w:ascii="Times New Roman;sans-serif" w:hAnsi="Times New Roman;sans-serif"/>
          <w:b w:val="false"/>
          <w:color w:val="000000"/>
          <w:sz w:val="24"/>
        </w:rPr>
        <w:t>), by and among Magnite, Inc., a Delaware corporation (the “Borrower”), Morgan Stanley Senior Funding, Inc., as administrative agent for the Term Facility (in such capacity, the “</w:t>
      </w:r>
      <w:r>
        <w:rPr>
          <w:rFonts w:ascii="Times New Roman;sans-serif" w:hAnsi="Times New Roman;sans-serif"/>
          <w:b w:val="false"/>
          <w:color w:val="000000"/>
          <w:sz w:val="24"/>
          <w:u w:val="single"/>
        </w:rPr>
        <w:t>Term Facility Administrative Agent</w:t>
      </w:r>
      <w:r>
        <w:rPr>
          <w:color w:val="000000"/>
        </w:rPr>
        <w:t>”</w:t>
      </w:r>
      <w:r>
        <w:rPr>
          <w:rFonts w:ascii="Times New Roman;sans-serif" w:hAnsi="Times New Roman;sans-serif"/>
          <w:b w:val="false"/>
          <w:color w:val="000000"/>
          <w:sz w:val="24"/>
        </w:rPr>
        <w:t>), Citibank, N.A., as administrative agent for the Revolving Facility (in such capacity, the “</w:t>
      </w:r>
      <w:r>
        <w:rPr>
          <w:rFonts w:ascii="Times New Roman;sans-serif" w:hAnsi="Times New Roman;sans-serif"/>
          <w:b w:val="false"/>
          <w:color w:val="000000"/>
          <w:sz w:val="24"/>
          <w:u w:val="single"/>
        </w:rPr>
        <w:t>Revolving Facility Administrative Agent</w:t>
      </w:r>
      <w:r>
        <w:rPr>
          <w:color w:val="000000"/>
        </w:rPr>
        <w:t xml:space="preserve">” </w:t>
      </w:r>
      <w:r>
        <w:rPr>
          <w:rFonts w:ascii="Times New Roman;sans-serif" w:hAnsi="Times New Roman;sans-serif"/>
          <w:b w:val="false"/>
          <w:color w:val="000000"/>
          <w:sz w:val="24"/>
        </w:rPr>
        <w:t>and, together with the Term Facility Administrative Agent, the “</w:t>
      </w:r>
      <w:r>
        <w:rPr>
          <w:rFonts w:ascii="Times New Roman;sans-serif" w:hAnsi="Times New Roman;sans-serif"/>
          <w:b w:val="false"/>
          <w:color w:val="000000"/>
          <w:sz w:val="24"/>
          <w:u w:val="single"/>
        </w:rPr>
        <w:t>Administrative Agents</w:t>
      </w:r>
      <w:r>
        <w:rPr>
          <w:color w:val="000000"/>
        </w:rPr>
        <w:t>”</w:t>
      </w:r>
      <w:r>
        <w:rPr>
          <w:rFonts w:ascii="Times New Roman;sans-serif" w:hAnsi="Times New Roman;sans-serif"/>
          <w:b w:val="false"/>
          <w:color w:val="000000"/>
          <w:sz w:val="24"/>
        </w:rPr>
        <w:t>), Collateral Agent and Swingline Lender, and each Issuing Bank and Lender party thereto from time to time. Capitalized terms used but not otherwise defined herein shall have the meanings assigned to them in the Credit Agreement.</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 xml:space="preserve">Pursuant to the provisions of </w:t>
      </w:r>
      <w:r>
        <w:rPr>
          <w:rFonts w:ascii="Times New Roman;sans-serif" w:hAnsi="Times New Roman;sans-serif"/>
          <w:b w:val="false"/>
          <w:color w:val="000000"/>
          <w:sz w:val="24"/>
          <w:u w:val="single"/>
        </w:rPr>
        <w:t>Section 2.17(d)(ii)</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Section 9.04(c)</w:t>
      </w:r>
      <w:r>
        <w:rPr>
          <w:color w:val="000000"/>
        </w:rPr>
        <w:t xml:space="preserve"> </w:t>
      </w:r>
      <w:r>
        <w:rPr>
          <w:rFonts w:ascii="Times New Roman;sans-serif" w:hAnsi="Times New Roman;sans-serif"/>
          <w:b w:val="false"/>
          <w:color w:val="000000"/>
          <w:sz w:val="24"/>
        </w:rPr>
        <w:t>of the Credit Agreement, the undersigned hereby certifies that (i) it is the sole record and beneficial owner of the participation in respect of which it is providing this certificate, (ii) it is not a “bank” within the meaning of Section 881(c)(3)(A) of the Code, (iii) it is not a “10-percent shareholder” of the Borrower within the meaning of Section 871(h)(3)(B) of the Code and (iv) it is not a “controlled foreign corporation” related to the Borrower as described in Section 881(c)(3)(C) of the Code.</w:t>
      </w:r>
    </w:p>
    <w:p>
      <w:pPr>
        <w:pStyle w:val="TextBody"/>
        <w:bidi w:val="0"/>
        <w:spacing w:lineRule="auto" w:line="240" w:before="241"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undersigned has furnished its participating Lender with a certificate of its non-U.S. person status on IRS Form W-8BEN or W-8BEN-E, as applicable. By executing this certificate, the undersigned agrees that (1) if the information provided on this certificate changes, the undersigned shall promptly so inform such Lender in writing and (2) the undersigned shall have at all times furnished such Lender with a properly completed and currently effective certificate in either the calendar year in which each payment is to be made to the undersigned, or in either of the two calendar years preceding each such payment.</w:t>
      </w:r>
    </w:p>
    <w:p>
      <w:pPr>
        <w:pStyle w:val="TextBody"/>
        <w:bidi w:val="0"/>
        <w:spacing w:lineRule="auto" w:line="240" w:before="238" w:after="283"/>
        <w:jc w:val="center"/>
        <w:rPr/>
      </w:pPr>
      <w:r>
        <w:rPr>
          <w:rFonts w:ascii="Times New Roman;sans-serif" w:hAnsi="Times New Roman;sans-serif"/>
          <w:b w:val="false"/>
          <w:color w:val="000000"/>
          <w:sz w:val="24"/>
        </w:rPr>
        <w:t>[</w:t>
      </w:r>
      <w:r>
        <w:rPr>
          <w:rFonts w:ascii="Times New Roman;sans-serif" w:hAnsi="Times New Roman;sans-serif"/>
          <w:b w:val="false"/>
          <w:i/>
          <w:color w:val="000000"/>
          <w:sz w:val="24"/>
        </w:rPr>
        <w:t>Signature Page Follows</w:t>
      </w:r>
      <w:r>
        <w:rPr>
          <w:rFonts w:ascii="Times New Roman;sans-serif" w:hAnsi="Times New Roman;sans-serif"/>
          <w:b w:val="false"/>
          <w:color w:val="000000"/>
          <w:sz w:val="24"/>
        </w:rPr>
        <w:t>]</w:t>
      </w:r>
    </w:p>
    <w:p>
      <w:pPr>
        <w:pStyle w:val="TextBody"/>
        <w:bidi w:val="0"/>
        <w:spacing w:before="0" w:after="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00">
                <wp:simplePos x="0" y="0"/>
                <wp:positionH relativeFrom="character">
                  <wp:align>left</wp:align>
                </wp:positionH>
                <wp:positionV relativeFrom="line">
                  <wp:posOffset>635</wp:posOffset>
                </wp:positionV>
                <wp:extent cx="6480175" cy="781050"/>
                <wp:effectExtent l="0" t="0" r="0" b="0"/>
                <wp:wrapNone/>
                <wp:docPr id="499" name="Frame498"/>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297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297</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40" w:before="6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[Foreign Participant]</w:t>
      </w:r>
    </w:p>
    <w:p>
      <w:pPr>
        <w:pStyle w:val="TextBody"/>
        <w:bidi w:val="0"/>
        <w:spacing w:before="204" w:after="283"/>
        <w:jc w:val="left"/>
        <w:rPr/>
      </w:pPr>
      <w:r>
        <w:rPr/>
      </w:r>
    </w:p>
    <w:p>
      <w:pPr>
        <w:pStyle w:val="TextBody"/>
        <w:bidi w:val="0"/>
        <w:spacing w:lineRule="auto" w:line="285" w:before="0" w:after="0"/>
        <w:ind w:left="0" w:right="0" w:hanging="813"/>
        <w:jc w:val="left"/>
        <w:rPr/>
      </w:pPr>
      <w:r>
        <w:rPr>
          <w:rFonts w:ascii="Times New Roman;sans-serif" w:hAnsi="Times New Roman;sans-serif"/>
          <w:b w:val="false"/>
          <w:color w:val="000000"/>
          <w:sz w:val="24"/>
        </w:rPr>
        <w:t>By:    </w:t>
      </w:r>
      <w:r>
        <w:rPr>
          <w:color w:val="000000"/>
          <w:u w:val="single"/>
        </w:rPr>
        <w:t>        </w:t>
      </w:r>
      <w:r>
        <w:rPr>
          <w:color w:val="000000"/>
        </w:rPr>
        <w:t xml:space="preserve"> </w:t>
      </w:r>
      <w:r>
        <w:rPr>
          <w:rFonts w:ascii="Times New Roman;sans-serif" w:hAnsi="Times New Roman;sans-serif"/>
          <w:b w:val="false"/>
          <w:color w:val="000000"/>
          <w:sz w:val="24"/>
        </w:rPr>
        <w:t>Name:</w:t>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Title:</w:t>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[Address]</w:t>
      </w:r>
    </w:p>
    <w:p>
      <w:pPr>
        <w:pStyle w:val="TextBody"/>
        <w:bidi w:val="0"/>
        <w:spacing w:lineRule="auto" w:line="240" w:before="240" w:after="283"/>
        <w:jc w:val="left"/>
        <w:rPr/>
      </w:pPr>
      <w:r>
        <w:rPr>
          <w:rFonts w:ascii="Times New Roman;sans-serif" w:hAnsi="Times New Roman;sans-serif"/>
          <w:b w:val="false"/>
          <w:color w:val="000000"/>
          <w:sz w:val="24"/>
        </w:rPr>
        <w:t>Dated:</w:t>
      </w:r>
      <w:r>
        <w:rPr>
          <w:color w:val="000000"/>
          <w:u w:val="single"/>
        </w:rPr>
        <w:t>    </w:t>
      </w:r>
      <w:r>
        <w:rPr>
          <w:rFonts w:ascii="Times New Roman;sans-serif" w:hAnsi="Times New Roman;sans-serif"/>
          <w:b w:val="false"/>
          <w:color w:val="000000"/>
          <w:sz w:val="24"/>
        </w:rPr>
        <w:t>, 20[ ]</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01">
                <wp:simplePos x="0" y="0"/>
                <wp:positionH relativeFrom="character">
                  <wp:align>left</wp:align>
                </wp:positionH>
                <wp:positionV relativeFrom="line">
                  <wp:posOffset>635</wp:posOffset>
                </wp:positionV>
                <wp:extent cx="6480175" cy="781050"/>
                <wp:effectExtent l="0" t="0" r="0" b="0"/>
                <wp:wrapNone/>
                <wp:docPr id="500" name="Frame499"/>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298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298</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60" w:after="283"/>
        <w:jc w:val="right"/>
        <w:rPr>
          <w:rFonts w:ascii="Times New Roman;sans-serif" w:hAnsi="Times New Roman;sans-serif"/>
          <w:b/>
          <w:color w:val="000000"/>
          <w:sz w:val="24"/>
        </w:rPr>
      </w:pPr>
      <w:r>
        <w:rPr>
          <w:rFonts w:ascii="Times New Roman;sans-serif" w:hAnsi="Times New Roman;sans-serif"/>
          <w:b/>
          <w:color w:val="000000"/>
          <w:sz w:val="24"/>
        </w:rPr>
        <w:t>EXHIBIT J-4</w:t>
      </w:r>
    </w:p>
    <w:p>
      <w:pPr>
        <w:pStyle w:val="TextBody"/>
        <w:bidi w:val="0"/>
        <w:spacing w:lineRule="auto" w:line="240" w:before="240" w:after="283"/>
        <w:jc w:val="lef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U.S. TAX COMPLIANCE CERTIFICATE</w:t>
      </w:r>
    </w:p>
    <w:p>
      <w:pPr>
        <w:pStyle w:val="TextBody"/>
        <w:bidi w:val="0"/>
        <w:spacing w:lineRule="auto" w:line="240" w:before="0" w:after="0"/>
        <w:ind w:left="0" w:right="0" w:hanging="1334"/>
        <w:jc w:val="left"/>
        <w:rPr/>
      </w:pPr>
      <w:r>
        <w:rPr>
          <w:rFonts w:ascii="Times New Roman;sans-serif" w:hAnsi="Times New Roman;sans-serif"/>
          <w:b w:val="false"/>
          <w:color w:val="000000"/>
          <w:sz w:val="24"/>
          <w:u w:val="single"/>
        </w:rPr>
        <w:t>(For Foreign Participants That Are Treated As Partnerships For</w:t>
      </w:r>
      <w:r>
        <w:rPr>
          <w:color w:val="000000"/>
        </w:rPr>
        <w:t xml:space="preserve"> </w:t>
      </w:r>
      <w:r>
        <w:rPr>
          <w:rFonts w:ascii="Times New Roman;sans-serif" w:hAnsi="Times New Roman;sans-serif"/>
          <w:b w:val="false"/>
          <w:color w:val="000000"/>
          <w:sz w:val="24"/>
          <w:u w:val="single"/>
        </w:rPr>
        <w:t>U.S. Federal Income Tax Purposes)</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Reference is made to the Credit Agreement, dated as of February 6, 2024 (as the same may be amended, supplemented, restated, amended and restated, or otherwise modified from time to time, the “</w:t>
      </w:r>
      <w:r>
        <w:rPr>
          <w:rFonts w:ascii="Times New Roman;sans-serif" w:hAnsi="Times New Roman;sans-serif"/>
          <w:b w:val="false"/>
          <w:color w:val="000000"/>
          <w:sz w:val="24"/>
          <w:u w:val="single"/>
        </w:rPr>
        <w:t>Credit Agreement</w:t>
      </w:r>
      <w:r>
        <w:rPr>
          <w:color w:val="000000"/>
        </w:rPr>
        <w:t>”</w:t>
      </w:r>
      <w:r>
        <w:rPr>
          <w:rFonts w:ascii="Times New Roman;sans-serif" w:hAnsi="Times New Roman;sans-serif"/>
          <w:b w:val="false"/>
          <w:color w:val="000000"/>
          <w:sz w:val="24"/>
        </w:rPr>
        <w:t>), by and among Magnite, Inc., a Delaware corporation (the “</w:t>
      </w:r>
      <w:r>
        <w:rPr>
          <w:rFonts w:ascii="Times New Roman;sans-serif" w:hAnsi="Times New Roman;sans-serif"/>
          <w:b w:val="false"/>
          <w:color w:val="000000"/>
          <w:sz w:val="24"/>
          <w:u w:val="single"/>
        </w:rPr>
        <w:t>Borrower</w:t>
      </w:r>
      <w:r>
        <w:rPr>
          <w:color w:val="000000"/>
        </w:rPr>
        <w:t>”</w:t>
      </w:r>
      <w:r>
        <w:rPr>
          <w:rFonts w:ascii="Times New Roman;sans-serif" w:hAnsi="Times New Roman;sans-serif"/>
          <w:b w:val="false"/>
          <w:color w:val="000000"/>
          <w:sz w:val="24"/>
        </w:rPr>
        <w:t>), Morgan Stanley Senior Funding, Inc., as administrative agent for the Term Facility (in such capacity, the “</w:t>
      </w:r>
      <w:r>
        <w:rPr>
          <w:rFonts w:ascii="Times New Roman;sans-serif" w:hAnsi="Times New Roman;sans-serif"/>
          <w:b w:val="false"/>
          <w:color w:val="000000"/>
          <w:sz w:val="24"/>
          <w:u w:val="single"/>
        </w:rPr>
        <w:t>Term Facility Administrative Agent</w:t>
      </w:r>
      <w:r>
        <w:rPr>
          <w:color w:val="000000"/>
        </w:rPr>
        <w:t>”</w:t>
      </w:r>
      <w:r>
        <w:rPr>
          <w:rFonts w:ascii="Times New Roman;sans-serif" w:hAnsi="Times New Roman;sans-serif"/>
          <w:b w:val="false"/>
          <w:color w:val="000000"/>
          <w:sz w:val="24"/>
        </w:rPr>
        <w:t>), Citibank, N.A., as administrative agent for the Revolving Facility (in such capacity, the “</w:t>
      </w:r>
      <w:r>
        <w:rPr>
          <w:rFonts w:ascii="Times New Roman;sans-serif" w:hAnsi="Times New Roman;sans-serif"/>
          <w:b w:val="false"/>
          <w:color w:val="000000"/>
          <w:sz w:val="24"/>
          <w:u w:val="single"/>
        </w:rPr>
        <w:t>Revolving Facility Administrative Agent</w:t>
      </w:r>
      <w:r>
        <w:rPr>
          <w:color w:val="000000"/>
        </w:rPr>
        <w:t xml:space="preserve">” </w:t>
      </w:r>
      <w:r>
        <w:rPr>
          <w:rFonts w:ascii="Times New Roman;sans-serif" w:hAnsi="Times New Roman;sans-serif"/>
          <w:b w:val="false"/>
          <w:color w:val="000000"/>
          <w:sz w:val="24"/>
        </w:rPr>
        <w:t>and, together with the Term Facility Administrative Agent, the “</w:t>
      </w:r>
      <w:r>
        <w:rPr>
          <w:rFonts w:ascii="Times New Roman;sans-serif" w:hAnsi="Times New Roman;sans-serif"/>
          <w:b w:val="false"/>
          <w:color w:val="000000"/>
          <w:sz w:val="24"/>
          <w:u w:val="single"/>
        </w:rPr>
        <w:t>Administrative Agents</w:t>
      </w:r>
      <w:r>
        <w:rPr>
          <w:color w:val="000000"/>
        </w:rPr>
        <w:t>”</w:t>
      </w:r>
      <w:r>
        <w:rPr>
          <w:rFonts w:ascii="Times New Roman;sans-serif" w:hAnsi="Times New Roman;sans-serif"/>
          <w:b w:val="false"/>
          <w:color w:val="000000"/>
          <w:sz w:val="24"/>
        </w:rPr>
        <w:t>), Collateral Agent and Swingline Lender, and each Issuing Bank and Lender party thereto from time to time. Capitalized terms used but not otherwise defined herein shall have the meanings assigned to them in the Credit Agreement.</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 xml:space="preserve">Pursuant to the provisions of </w:t>
      </w:r>
      <w:r>
        <w:rPr>
          <w:rFonts w:ascii="Times New Roman;sans-serif" w:hAnsi="Times New Roman;sans-serif"/>
          <w:b w:val="false"/>
          <w:color w:val="000000"/>
          <w:sz w:val="24"/>
          <w:u w:val="single"/>
        </w:rPr>
        <w:t>Section 2.17(d)(ii)</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Section 9.04(c)</w:t>
      </w:r>
      <w:r>
        <w:rPr>
          <w:color w:val="000000"/>
        </w:rPr>
        <w:t xml:space="preserve"> </w:t>
      </w:r>
      <w:r>
        <w:rPr>
          <w:rFonts w:ascii="Times New Roman;sans-serif" w:hAnsi="Times New Roman;sans-serif"/>
          <w:b w:val="false"/>
          <w:color w:val="000000"/>
          <w:sz w:val="24"/>
        </w:rPr>
        <w:t>of the Credit Agreement, the undersigned hereby certifies that (i) it is the sole record owner of the participation in respect of which it is providing this certificate, (ii) its direct or indirect partners/members are the sole beneficial owners of such participation, (iii) with respect to such participation, neither the undersigned nor any of its direct or indirect partners/members that is claiming the portfolio interest exemption (its “</w:t>
      </w:r>
      <w:r>
        <w:rPr>
          <w:rFonts w:ascii="Times New Roman;sans-serif" w:hAnsi="Times New Roman;sans-serif"/>
          <w:b w:val="false"/>
          <w:color w:val="000000"/>
          <w:sz w:val="24"/>
          <w:u w:val="single"/>
        </w:rPr>
        <w:t>Applicable Partners/Members</w:t>
      </w:r>
      <w:r>
        <w:rPr>
          <w:color w:val="000000"/>
        </w:rPr>
        <w:t>”</w:t>
      </w:r>
      <w:r>
        <w:rPr>
          <w:rFonts w:ascii="Times New Roman;sans-serif" w:hAnsi="Times New Roman;sans-serif"/>
          <w:b w:val="false"/>
          <w:color w:val="000000"/>
          <w:sz w:val="24"/>
        </w:rPr>
        <w:t>) is a “bank” extending credit pursuant to a loan agreement entered into in the ordinary course of its trade or business within the meaning of Section 881(c)(3)(A) of the Code, (iv) none of its Applicable Partners/Members is a “10-percent shareholder” of the Borrower within the meaning of Section 871(h)(3)(B) of the Code and (v) none of its Applicable Partners/Members is a “controlled foreign corporation” related to the Borrower as described in Section 881(c)(3)(C) of the Code.</w:t>
      </w:r>
    </w:p>
    <w:p>
      <w:pPr>
        <w:pStyle w:val="TextBody"/>
        <w:bidi w:val="0"/>
        <w:spacing w:lineRule="auto" w:line="240" w:before="239"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undersigned has furnished its participating Lender with an IRS Form W-8IMY accompanied by one of the following forms from each of its partners/members claiming the portfolio interest exemption: (i) an IRS Form W-8BEN or W-8BEN-E, as applicable, or (ii) an IRS Form W-8IMY accompanied by an IRS Form W-8BEN or W-8BEN-E, as applicable, from each of such partner’s/member’s beneficial owners that is claiming the portfolio interest exemption. By executing this certificate, the undersigned agrees that (1) if the information provided on this certificate changes, the undersigned shall promptly so inform such Lender in writing and (2) the undersigned shall have at all times furnished such Lender with a properly completed and currently effective certificate in either the calendar year in which each payment is to be made to the undersigned, or in either of the two calendar years preceding each such payment.</w:t>
      </w:r>
    </w:p>
    <w:p>
      <w:pPr>
        <w:pStyle w:val="TextBody"/>
        <w:bidi w:val="0"/>
        <w:spacing w:lineRule="auto" w:line="240" w:before="241" w:after="283"/>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Follows]</w:t>
      </w:r>
    </w:p>
    <w:p>
      <w:pPr>
        <w:pStyle w:val="TextBody"/>
        <w:bidi w:val="0"/>
        <w:spacing w:before="0" w:after="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02">
                <wp:simplePos x="0" y="0"/>
                <wp:positionH relativeFrom="character">
                  <wp:align>left</wp:align>
                </wp:positionH>
                <wp:positionV relativeFrom="line">
                  <wp:posOffset>635</wp:posOffset>
                </wp:positionV>
                <wp:extent cx="6480175" cy="781050"/>
                <wp:effectExtent l="0" t="0" r="0" b="0"/>
                <wp:wrapNone/>
                <wp:docPr id="501" name="Frame500"/>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299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299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40" w:before="6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[Foreign Participant]</w:t>
      </w:r>
    </w:p>
    <w:p>
      <w:pPr>
        <w:pStyle w:val="TextBody"/>
        <w:bidi w:val="0"/>
        <w:spacing w:before="204" w:after="283"/>
        <w:jc w:val="left"/>
        <w:rPr/>
      </w:pPr>
      <w:r>
        <w:rPr/>
      </w:r>
    </w:p>
    <w:p>
      <w:pPr>
        <w:pStyle w:val="TextBody"/>
        <w:bidi w:val="0"/>
        <w:spacing w:lineRule="auto" w:line="285" w:before="0" w:after="0"/>
        <w:ind w:left="0" w:right="0" w:hanging="813"/>
        <w:jc w:val="left"/>
        <w:rPr/>
      </w:pPr>
      <w:r>
        <w:rPr>
          <w:rFonts w:ascii="Times New Roman;sans-serif" w:hAnsi="Times New Roman;sans-serif"/>
          <w:b w:val="false"/>
          <w:color w:val="000000"/>
          <w:sz w:val="24"/>
        </w:rPr>
        <w:t>By:    </w:t>
      </w:r>
      <w:r>
        <w:rPr>
          <w:color w:val="000000"/>
          <w:u w:val="single"/>
        </w:rPr>
        <w:t>        </w:t>
      </w:r>
      <w:r>
        <w:rPr>
          <w:color w:val="000000"/>
        </w:rPr>
        <w:t xml:space="preserve"> </w:t>
      </w:r>
      <w:r>
        <w:rPr>
          <w:rFonts w:ascii="Times New Roman;sans-serif" w:hAnsi="Times New Roman;sans-serif"/>
          <w:b w:val="false"/>
          <w:color w:val="000000"/>
          <w:sz w:val="24"/>
        </w:rPr>
        <w:t>Name:</w:t>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Title:</w:t>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[Address]</w:t>
      </w:r>
    </w:p>
    <w:p>
      <w:pPr>
        <w:pStyle w:val="TextBody"/>
        <w:bidi w:val="0"/>
        <w:spacing w:lineRule="auto" w:line="240" w:before="240" w:after="283"/>
        <w:jc w:val="left"/>
        <w:rPr/>
      </w:pPr>
      <w:r>
        <w:rPr>
          <w:rFonts w:ascii="Times New Roman;sans-serif" w:hAnsi="Times New Roman;sans-serif"/>
          <w:b w:val="false"/>
          <w:color w:val="000000"/>
          <w:sz w:val="24"/>
        </w:rPr>
        <w:t>Dated:</w:t>
      </w:r>
      <w:r>
        <w:rPr>
          <w:color w:val="000000"/>
          <w:u w:val="single"/>
        </w:rPr>
        <w:t>    </w:t>
      </w:r>
      <w:r>
        <w:rPr>
          <w:rFonts w:ascii="Times New Roman;sans-serif" w:hAnsi="Times New Roman;sans-serif"/>
          <w:b w:val="false"/>
          <w:color w:val="000000"/>
          <w:sz w:val="24"/>
        </w:rPr>
        <w:t>, 20[ ]</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03">
                <wp:simplePos x="0" y="0"/>
                <wp:positionH relativeFrom="character">
                  <wp:align>left</wp:align>
                </wp:positionH>
                <wp:positionV relativeFrom="line">
                  <wp:posOffset>635</wp:posOffset>
                </wp:positionV>
                <wp:extent cx="6480175" cy="781050"/>
                <wp:effectExtent l="0" t="0" r="0" b="0"/>
                <wp:wrapNone/>
                <wp:docPr id="502" name="Frame501"/>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300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300</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60" w:after="283"/>
        <w:jc w:val="right"/>
        <w:rPr>
          <w:rFonts w:ascii="Times New Roman;sans-serif" w:hAnsi="Times New Roman;sans-serif"/>
          <w:b/>
          <w:color w:val="000000"/>
          <w:sz w:val="24"/>
        </w:rPr>
      </w:pPr>
      <w:r>
        <w:rPr>
          <w:rFonts w:ascii="Times New Roman;sans-serif" w:hAnsi="Times New Roman;sans-serif"/>
          <w:b/>
          <w:color w:val="000000"/>
          <w:sz w:val="24"/>
        </w:rPr>
        <w:t>EXHIBIT K</w:t>
      </w:r>
    </w:p>
    <w:p>
      <w:pPr>
        <w:pStyle w:val="TextBody"/>
        <w:bidi w:val="0"/>
        <w:spacing w:lineRule="auto" w:line="240" w:before="240" w:after="283"/>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[RESERVED]</w:t>
      </w:r>
    </w:p>
    <w:p>
      <w:pPr>
        <w:pStyle w:val="TextBody"/>
        <w:bidi w:val="0"/>
        <w:spacing w:before="0" w:after="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04">
                <wp:simplePos x="0" y="0"/>
                <wp:positionH relativeFrom="character">
                  <wp:align>left</wp:align>
                </wp:positionH>
                <wp:positionV relativeFrom="line">
                  <wp:posOffset>635</wp:posOffset>
                </wp:positionV>
                <wp:extent cx="6480175" cy="781050"/>
                <wp:effectExtent l="0" t="0" r="0" b="0"/>
                <wp:wrapNone/>
                <wp:docPr id="503" name="Frame502"/>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301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301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40" w:before="60" w:after="283"/>
        <w:jc w:val="right"/>
        <w:rPr>
          <w:rFonts w:ascii="Times New Roman;sans-serif" w:hAnsi="Times New Roman;sans-serif"/>
          <w:b/>
          <w:color w:val="000000"/>
          <w:sz w:val="24"/>
        </w:rPr>
      </w:pPr>
      <w:r>
        <w:rPr>
          <w:rFonts w:ascii="Times New Roman;sans-serif" w:hAnsi="Times New Roman;sans-serif"/>
          <w:b/>
          <w:color w:val="000000"/>
          <w:sz w:val="24"/>
        </w:rPr>
        <w:t>EXHIBIT L</w:t>
      </w:r>
    </w:p>
    <w:p>
      <w:pPr>
        <w:pStyle w:val="TextBody"/>
        <w:bidi w:val="0"/>
        <w:spacing w:lineRule="auto" w:line="240" w:before="240" w:after="283"/>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FORM OF COLLATERAL AGREEMENT</w:t>
      </w:r>
    </w:p>
    <w:p>
      <w:pPr>
        <w:pStyle w:val="TextBody"/>
        <w:bidi w:val="0"/>
        <w:spacing w:lineRule="auto" w:line="240" w:before="24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[See Attached]</w:t>
      </w:r>
    </w:p>
    <w:p>
      <w:pPr>
        <w:pStyle w:val="TextBody"/>
        <w:bidi w:val="0"/>
        <w:spacing w:before="0" w:after="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05">
                <wp:simplePos x="0" y="0"/>
                <wp:positionH relativeFrom="character">
                  <wp:align>left</wp:align>
                </wp:positionH>
                <wp:positionV relativeFrom="line">
                  <wp:posOffset>635</wp:posOffset>
                </wp:positionV>
                <wp:extent cx="6480175" cy="781050"/>
                <wp:effectExtent l="0" t="0" r="0" b="0"/>
                <wp:wrapNone/>
                <wp:docPr id="504" name="Frame503"/>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302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302</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40" w:before="60" w:after="283"/>
        <w:jc w:val="right"/>
        <w:rPr>
          <w:rFonts w:ascii="Times New Roman;sans-serif" w:hAnsi="Times New Roman;sans-serif"/>
          <w:b/>
          <w:color w:val="000000"/>
          <w:sz w:val="24"/>
        </w:rPr>
      </w:pPr>
      <w:r>
        <w:rPr>
          <w:rFonts w:ascii="Times New Roman;sans-serif" w:hAnsi="Times New Roman;sans-serif"/>
          <w:b/>
          <w:color w:val="000000"/>
          <w:sz w:val="24"/>
        </w:rPr>
        <w:t>EXHIBIT L</w:t>
      </w:r>
    </w:p>
    <w:p>
      <w:pPr>
        <w:pStyle w:val="TextBody"/>
        <w:bidi w:val="0"/>
        <w:spacing w:before="0" w:after="0"/>
        <w:jc w:val="left"/>
        <w:rPr/>
      </w:pPr>
      <w:r>
        <w:rPr/>
      </w:r>
    </w:p>
    <w:p>
      <w:pPr>
        <w:pStyle w:val="TextBody"/>
        <w:bidi w:val="0"/>
        <w:spacing w:before="171" w:after="283"/>
        <w:jc w:val="left"/>
        <w:rPr/>
      </w:pPr>
      <w:r>
        <w:rPr/>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________________________________________________________________________________________</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95" w:after="283"/>
        <w:jc w:val="left"/>
        <w:rPr/>
      </w:pPr>
      <w:r>
        <w:rPr/>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COLLATERAL AGREEMENT</w:t>
      </w:r>
    </w:p>
    <w:p>
      <w:pPr>
        <w:pStyle w:val="TextBody"/>
        <w:bidi w:val="0"/>
        <w:spacing w:before="84" w:after="283"/>
        <w:jc w:val="left"/>
        <w:rPr/>
      </w:pPr>
      <w:r>
        <w:rPr/>
      </w:r>
    </w:p>
    <w:p>
      <w:pPr>
        <w:pStyle w:val="TextBody"/>
        <w:bidi w:val="0"/>
        <w:spacing w:lineRule="auto" w:line="6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dated and effective as of February 6, 2024 among</w:t>
      </w:r>
    </w:p>
    <w:p>
      <w:pPr>
        <w:pStyle w:val="TextBody"/>
        <w:bidi w:val="0"/>
        <w:spacing w:lineRule="auto" w:line="240" w:before="4"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MAGNITE, INC.,</w:t>
      </w:r>
    </w:p>
    <w:p>
      <w:pPr>
        <w:pStyle w:val="TextBody"/>
        <w:bidi w:val="0"/>
        <w:spacing w:before="84" w:after="283"/>
        <w:jc w:val="left"/>
        <w:rPr/>
      </w:pPr>
      <w:r>
        <w:rPr/>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as the Borrower,</w:t>
      </w:r>
    </w:p>
    <w:p>
      <w:pPr>
        <w:pStyle w:val="TextBody"/>
        <w:bidi w:val="0"/>
        <w:spacing w:before="84" w:after="283"/>
        <w:jc w:val="left"/>
        <w:rPr/>
      </w:pPr>
      <w:r>
        <w:rPr/>
      </w:r>
    </w:p>
    <w:p>
      <w:pPr>
        <w:pStyle w:val="TextBody"/>
        <w:bidi w:val="0"/>
        <w:spacing w:lineRule="auto" w:line="6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its Subsidiaries party hereto from time to time and</w:t>
      </w:r>
    </w:p>
    <w:p>
      <w:pPr>
        <w:pStyle w:val="TextBody"/>
        <w:bidi w:val="0"/>
        <w:spacing w:lineRule="auto" w:line="240" w:before="2"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CITIBANK, N.A.,</w:t>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as Collateral Agent</w:t>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06">
                <wp:simplePos x="0" y="0"/>
                <wp:positionH relativeFrom="character">
                  <wp:align>left</wp:align>
                </wp:positionH>
                <wp:positionV relativeFrom="line">
                  <wp:posOffset>635</wp:posOffset>
                </wp:positionV>
                <wp:extent cx="6480175" cy="781050"/>
                <wp:effectExtent l="0" t="0" r="0" b="0"/>
                <wp:wrapNone/>
                <wp:docPr id="505" name="Frame504"/>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303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303</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TABLE OF CONTENTS</w:t>
      </w:r>
    </w:p>
    <w:p>
      <w:pPr>
        <w:pStyle w:val="TextBody"/>
        <w:bidi w:val="0"/>
        <w:spacing w:lineRule="auto" w:line="240" w:before="0" w:after="240"/>
        <w:ind w:left="0" w:right="0" w:firstLine="360"/>
        <w:jc w:val="lef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Page</w:t>
      </w:r>
    </w:p>
    <w:p>
      <w:pPr>
        <w:pStyle w:val="TextBody"/>
        <w:bidi w:val="0"/>
        <w:spacing w:lineRule="auto" w:line="240" w:before="24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ARTICLE I</w:t>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Definitions</w:t>
      </w:r>
    </w:p>
    <w:p>
      <w:pPr>
        <w:pStyle w:val="TextBody"/>
        <w:bidi w:val="0"/>
        <w:spacing w:lineRule="auto" w:line="240" w:before="24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SECTION 1.1.    Credit Agreement    306</w:t>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SECTION 1.2.    Other Defined Terms    306</w:t>
      </w:r>
    </w:p>
    <w:p>
      <w:pPr>
        <w:pStyle w:val="TextBody"/>
        <w:bidi w:val="0"/>
        <w:spacing w:lineRule="auto" w:line="240" w:before="24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ARTICLE II</w:t>
      </w:r>
    </w:p>
    <w:p>
      <w:pPr>
        <w:pStyle w:val="TextBody"/>
        <w:bidi w:val="0"/>
        <w:spacing w:lineRule="auto" w:line="240" w:before="276"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Pledge of Securities</w:t>
      </w:r>
    </w:p>
    <w:p>
      <w:pPr>
        <w:pStyle w:val="TextBody"/>
        <w:bidi w:val="0"/>
        <w:spacing w:lineRule="auto" w:line="240" w:before="24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2.1.    Pledge    310</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2.2.    Delivery of the Pledged Collateral    311</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2.3.    Representations, Warranties and Covenants    311</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2.4.    Certification of Limited Liability Company and Limited Partnership</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Interests    313</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2.5.    Registration in Nominee Name; Denominations    313</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2.6.    Voting Rights; Dividend and Interest, Etc    314</w:t>
      </w:r>
    </w:p>
    <w:p>
      <w:pPr>
        <w:pStyle w:val="TextBody"/>
        <w:bidi w:val="0"/>
        <w:spacing w:lineRule="auto" w:line="240" w:before="24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ARTICLE III</w:t>
      </w:r>
    </w:p>
    <w:p>
      <w:pPr>
        <w:pStyle w:val="TextBody"/>
        <w:bidi w:val="0"/>
        <w:spacing w:lineRule="auto" w:line="240" w:before="276"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Security Interests in Other Personal Property</w:t>
      </w:r>
    </w:p>
    <w:p>
      <w:pPr>
        <w:pStyle w:val="TextBody"/>
        <w:bidi w:val="0"/>
        <w:spacing w:lineRule="auto" w:line="240" w:before="24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3.1.    Security Interest    316</w:t>
      </w:r>
    </w:p>
    <w:p>
      <w:pPr>
        <w:pStyle w:val="TextBody"/>
        <w:bidi w:val="0"/>
        <w:spacing w:lineRule="auto" w:line="240"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3.2.    Representations and Warranties    318</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3.3.    Covenants    320</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3.4.    Other Actions    322</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3.5.    Covenants Regarding Patent, Trademark and Copyright Collateral    322</w:t>
      </w:r>
    </w:p>
    <w:p>
      <w:pPr>
        <w:pStyle w:val="TextBody"/>
        <w:bidi w:val="0"/>
        <w:spacing w:lineRule="auto" w:line="240" w:before="238"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ARTICLE IV</w:t>
      </w:r>
    </w:p>
    <w:p>
      <w:pPr>
        <w:pStyle w:val="TextBody"/>
        <w:bidi w:val="0"/>
        <w:spacing w:lineRule="auto" w:line="240" w:before="276"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Remedies</w:t>
      </w:r>
    </w:p>
    <w:p>
      <w:pPr>
        <w:pStyle w:val="TextBody"/>
        <w:bidi w:val="0"/>
        <w:spacing w:lineRule="auto" w:line="240" w:before="24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4.1.    Remedies Upon Default    324</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4.2.    Application of Proceeds    326</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4.3.    Securities Act, Etc    326</w:t>
      </w:r>
    </w:p>
    <w:p>
      <w:pPr>
        <w:pStyle w:val="TextBody"/>
        <w:bidi w:val="0"/>
        <w:spacing w:lineRule="auto" w:line="240"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4.4.    Collection of Receivables Assets    327</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4.5.    Special Collateral Account    327</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4.6.    Pledgors’ Obligations Upon Event of Default    327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07">
                <wp:simplePos x="0" y="0"/>
                <wp:positionH relativeFrom="character">
                  <wp:align>left</wp:align>
                </wp:positionH>
                <wp:positionV relativeFrom="line">
                  <wp:posOffset>635</wp:posOffset>
                </wp:positionV>
                <wp:extent cx="6480175" cy="781050"/>
                <wp:effectExtent l="0" t="0" r="0" b="0"/>
                <wp:wrapNone/>
                <wp:docPr id="506" name="Frame505"/>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304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304</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6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ARTICLE V</w:t>
      </w:r>
    </w:p>
    <w:p>
      <w:pPr>
        <w:pStyle w:val="TextBody"/>
        <w:bidi w:val="0"/>
        <w:spacing w:lineRule="auto" w:line="240" w:before="276"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Miscellaneous</w:t>
      </w:r>
    </w:p>
    <w:p>
      <w:pPr>
        <w:pStyle w:val="TextBody"/>
        <w:bidi w:val="0"/>
        <w:spacing w:lineRule="auto" w:line="240" w:before="24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5.1.    Notices    328</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5.2.    Security Interest Absolute    328</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5.3.    Limitation By Law    328</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5.4.    Binding Effect; Several Agreements    328</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5.5.    Successors and Assigns    329</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5.6.    Collateral Agent’s Fees and Expenses; Indemnification    329</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5.7.    Collateral Agent Appointed Attorney-in-Fact    329</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5.8.    Governing Law    330</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5.9.    Waivers; Amendment    330</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5.10.    WAIVER OF JURY TRIAL    331</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5.11.    Severability    331</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5.12.    Counterparts    331</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5.13.    Headings    332</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5.14.    Jurisdiction; Consent to Service of Process    332</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5.15.    Termination or Release    333</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5.16.    Additional Subsidiaries    334</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5.17.    General Authority of the Collateral Agent.    334</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5.18.    Subject to Intercreditor Agreements; Conflicts    334</w:t>
      </w:r>
    </w:p>
    <w:p>
      <w:pPr>
        <w:pStyle w:val="TextBody"/>
        <w:bidi w:val="0"/>
        <w:spacing w:lineRule="auto" w:line="240"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5.19.    [Intentionally Omitted]    335</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5.20.    Person Serving as Collateral Agent    335</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5.21.    [Reserved]    335</w:t>
      </w:r>
    </w:p>
    <w:p>
      <w:pPr>
        <w:pStyle w:val="TextBody"/>
        <w:bidi w:val="0"/>
        <w:spacing w:lineRule="auto" w:line="276"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5.22.    Secured Cash Management Agreements and Secured Hedge</w:t>
      </w:r>
    </w:p>
    <w:p>
      <w:pPr>
        <w:pStyle w:val="TextBody"/>
        <w:bidi w:val="0"/>
        <w:spacing w:lineRule="auto" w:line="276"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Agreements    335</w:t>
      </w:r>
    </w:p>
    <w:p>
      <w:pPr>
        <w:pStyle w:val="TextBody"/>
        <w:bidi w:val="0"/>
        <w:spacing w:lineRule="auto" w:line="240" w:before="276" w:after="283"/>
        <w:jc w:val="lef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Schedules</w:t>
      </w:r>
    </w:p>
    <w:p>
      <w:pPr>
        <w:pStyle w:val="TextBody"/>
        <w:bidi w:val="0"/>
        <w:spacing w:lineRule="auto" w:line="240" w:before="24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Schedule I    Pledged Stock; Pledged Debt Schedule II     Intellectual Property Schedule III     Commercial Tort Claims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Exhibits</w:t>
      </w:r>
    </w:p>
    <w:p>
      <w:pPr>
        <w:pStyle w:val="TextBody"/>
        <w:bidi w:val="0"/>
        <w:spacing w:lineRule="auto" w:line="240" w:before="24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Exhibit I    Form of Supplement to the Collateral Agreement</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Exhibit II    Form of Notice of Grant of Security Interest in Intellectual Property</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08">
                <wp:simplePos x="0" y="0"/>
                <wp:positionH relativeFrom="character">
                  <wp:align>left</wp:align>
                </wp:positionH>
                <wp:positionV relativeFrom="line">
                  <wp:posOffset>635</wp:posOffset>
                </wp:positionV>
                <wp:extent cx="6480175" cy="781050"/>
                <wp:effectExtent l="0" t="0" r="0" b="0"/>
                <wp:wrapNone/>
                <wp:docPr id="507" name="Frame506"/>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305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305</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60" w:after="283"/>
        <w:ind w:left="0" w:right="0" w:firstLine="720"/>
        <w:jc w:val="both"/>
        <w:rPr/>
      </w:pPr>
      <w:r>
        <w:rPr>
          <w:rFonts w:ascii="Times New Roman;sans-serif" w:hAnsi="Times New Roman;sans-serif"/>
          <w:b w:val="false"/>
          <w:color w:val="000000"/>
          <w:sz w:val="24"/>
        </w:rPr>
        <w:t>COLLATERAL AGREEMENT dated and effective as of February 6, 2024 (this “</w:t>
      </w:r>
      <w:r>
        <w:rPr>
          <w:rFonts w:ascii="Times New Roman;sans-serif" w:hAnsi="Times New Roman;sans-serif"/>
          <w:b/>
          <w:i/>
          <w:color w:val="000000"/>
          <w:sz w:val="24"/>
        </w:rPr>
        <w:t>Agreement</w:t>
      </w:r>
      <w:r>
        <w:rPr>
          <w:color w:val="000000"/>
        </w:rPr>
        <w:t>”</w:t>
      </w:r>
      <w:r>
        <w:rPr>
          <w:rFonts w:ascii="Times New Roman;sans-serif" w:hAnsi="Times New Roman;sans-serif"/>
          <w:b w:val="false"/>
          <w:color w:val="000000"/>
          <w:sz w:val="24"/>
        </w:rPr>
        <w:t>), is among Magnite, Inc., a Delaware corporation (the “</w:t>
      </w:r>
      <w:r>
        <w:rPr>
          <w:rFonts w:ascii="Times New Roman;sans-serif" w:hAnsi="Times New Roman;sans-serif"/>
          <w:b/>
          <w:i/>
          <w:color w:val="000000"/>
          <w:sz w:val="24"/>
        </w:rPr>
        <w:t>Borrower</w:t>
      </w:r>
      <w:r>
        <w:rPr>
          <w:color w:val="000000"/>
        </w:rPr>
        <w:t>”</w:t>
      </w:r>
      <w:r>
        <w:rPr>
          <w:rFonts w:ascii="Times New Roman;sans-serif" w:hAnsi="Times New Roman;sans-serif"/>
          <w:b w:val="false"/>
          <w:color w:val="000000"/>
          <w:sz w:val="24"/>
        </w:rPr>
        <w:t>), each Subsidiary Loan Party (as defined below) that becomes a party hereto after the date hereof (all such Subsidiary Loan Parties, together with the Borrower, the “</w:t>
      </w:r>
      <w:r>
        <w:rPr>
          <w:rFonts w:ascii="Times New Roman;sans-serif" w:hAnsi="Times New Roman;sans-serif"/>
          <w:b/>
          <w:i/>
          <w:color w:val="000000"/>
          <w:sz w:val="24"/>
        </w:rPr>
        <w:t>Pledgors</w:t>
      </w:r>
      <w:r>
        <w:rPr>
          <w:color w:val="000000"/>
        </w:rPr>
        <w:t>”</w:t>
      </w:r>
      <w:r>
        <w:rPr>
          <w:rFonts w:ascii="Times New Roman;sans-serif" w:hAnsi="Times New Roman;sans-serif"/>
          <w:b w:val="false"/>
          <w:color w:val="000000"/>
          <w:sz w:val="24"/>
        </w:rPr>
        <w:t>) and Citibank, N.A., as collateral agent for the Secured Parties referred to herein (together with its permitted successors and permitted assigns in such capacity, the “</w:t>
      </w:r>
      <w:r>
        <w:rPr>
          <w:rFonts w:ascii="Times New Roman;sans-serif" w:hAnsi="Times New Roman;sans-serif"/>
          <w:b/>
          <w:i/>
          <w:color w:val="000000"/>
          <w:sz w:val="24"/>
        </w:rPr>
        <w:t>Collateral Agent</w:t>
      </w:r>
      <w:r>
        <w:rPr>
          <w:color w:val="000000"/>
        </w:rPr>
        <w:t>”</w:t>
      </w:r>
      <w:r>
        <w:rPr>
          <w:rFonts w:ascii="Times New Roman;sans-serif" w:hAnsi="Times New Roman;sans-serif"/>
          <w:b w:val="false"/>
          <w:color w:val="000000"/>
          <w:sz w:val="24"/>
        </w:rPr>
        <w:t>).</w:t>
      </w:r>
    </w:p>
    <w:p>
      <w:pPr>
        <w:pStyle w:val="TextBody"/>
        <w:bidi w:val="0"/>
        <w:spacing w:lineRule="auto" w:line="240" w:before="240" w:after="283"/>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PRELIMINARY STATEMENT</w:t>
      </w:r>
    </w:p>
    <w:p>
      <w:pPr>
        <w:pStyle w:val="TextBody"/>
        <w:bidi w:val="0"/>
        <w:spacing w:lineRule="auto" w:line="240" w:before="240" w:after="283"/>
        <w:jc w:val="both"/>
        <w:rPr/>
      </w:pPr>
      <w:r>
        <w:rPr>
          <w:rFonts w:ascii="Times New Roman;sans-serif" w:hAnsi="Times New Roman;sans-serif"/>
          <w:b w:val="false"/>
          <w:color w:val="000000"/>
          <w:sz w:val="24"/>
        </w:rPr>
        <w:t>Reference is made to the Credit Agreement, dated as of the date hereof (as amended, restated, supplemented or otherwise modified from time to time, the “</w:t>
      </w:r>
      <w:r>
        <w:rPr>
          <w:rFonts w:ascii="Times New Roman;sans-serif" w:hAnsi="Times New Roman;sans-serif"/>
          <w:b/>
          <w:i/>
          <w:color w:val="000000"/>
          <w:sz w:val="24"/>
        </w:rPr>
        <w:t>Credit Agreement</w:t>
      </w:r>
      <w:r>
        <w:rPr>
          <w:color w:val="000000"/>
        </w:rPr>
        <w:t>”</w:t>
      </w:r>
      <w:r>
        <w:rPr>
          <w:rFonts w:ascii="Times New Roman;sans-serif" w:hAnsi="Times New Roman;sans-serif"/>
          <w:b w:val="false"/>
          <w:color w:val="000000"/>
          <w:sz w:val="24"/>
        </w:rPr>
        <w:t>), among the Borrower, the Lenders party thereto from time to time, the Issuing Banks party thereto from time to time, Morgan Stanley Senior Funding, Inc., as term facility administrative agent for the Lenders (together with its permitted successors and permitted assigns in such capacity, the “</w:t>
      </w:r>
      <w:r>
        <w:rPr>
          <w:rFonts w:ascii="Times New Roman;sans-serif" w:hAnsi="Times New Roman;sans-serif"/>
          <w:b/>
          <w:i/>
          <w:color w:val="000000"/>
          <w:sz w:val="24"/>
        </w:rPr>
        <w:t>Term Facility Administrative Agent</w:t>
      </w:r>
      <w:r>
        <w:rPr>
          <w:color w:val="000000"/>
        </w:rPr>
        <w:t>”</w:t>
      </w:r>
      <w:r>
        <w:rPr>
          <w:rFonts w:ascii="Times New Roman;sans-serif" w:hAnsi="Times New Roman;sans-serif"/>
          <w:b w:val="false"/>
          <w:color w:val="000000"/>
          <w:sz w:val="24"/>
        </w:rPr>
        <w:t>), Citibank, N.A., as revolving facility administrative agent for the Lenders (together with its permitted successors and permitted assigns in such capacity, the “</w:t>
      </w:r>
      <w:r>
        <w:rPr>
          <w:rFonts w:ascii="Times New Roman;sans-serif" w:hAnsi="Times New Roman;sans-serif"/>
          <w:b/>
          <w:i/>
          <w:color w:val="000000"/>
          <w:sz w:val="24"/>
        </w:rPr>
        <w:t>Revolving Facility Administrative Agent</w:t>
      </w:r>
      <w:r>
        <w:rPr>
          <w:color w:val="000000"/>
        </w:rPr>
        <w:t xml:space="preserve">” </w:t>
      </w:r>
      <w:r>
        <w:rPr>
          <w:rFonts w:ascii="Times New Roman;sans-serif" w:hAnsi="Times New Roman;sans-serif"/>
          <w:b w:val="false"/>
          <w:color w:val="000000"/>
          <w:sz w:val="24"/>
        </w:rPr>
        <w:t>and, together with the Term Facility Administrative Agent, the “</w:t>
      </w:r>
      <w:r>
        <w:rPr>
          <w:rFonts w:ascii="Times New Roman;sans-serif" w:hAnsi="Times New Roman;sans-serif"/>
          <w:b/>
          <w:i/>
          <w:color w:val="000000"/>
          <w:sz w:val="24"/>
        </w:rPr>
        <w:t>Credit Agreement Agents</w:t>
      </w:r>
      <w:r>
        <w:rPr>
          <w:color w:val="000000"/>
        </w:rPr>
        <w:t>”</w:t>
      </w:r>
      <w:r>
        <w:rPr>
          <w:rFonts w:ascii="Times New Roman;sans-serif" w:hAnsi="Times New Roman;sans-serif"/>
          <w:b w:val="false"/>
          <w:color w:val="000000"/>
          <w:sz w:val="24"/>
        </w:rPr>
        <w:t>) and collateral agent, and the other parties party thereto.</w:t>
      </w:r>
    </w:p>
    <w:p>
      <w:pPr>
        <w:pStyle w:val="TextBody"/>
        <w:bidi w:val="0"/>
        <w:spacing w:lineRule="auto" w:line="240"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The Lenders and the Issuing Banks have agreed to extend credit to the Borrower subject to the terms and conditions set forth in the Credit Agreement. The obligations of the Lenders and the Issuing Banks to extend such credit are conditioned upon, among other things, the execution and delivery of this Agreement on or prior to the Closing Date. The Borrower and the Subsidiary Loan Parties, as affiliates of the Borrower, will derive substantial benefits from the extension of credit to the Borrower pursuant to the Credit Agreement. The Pledgors are willing to execute and deliver this Agreement in order to induce the Lenders and the Issuing Banks to extend such credit under the Credit Agreement.</w:t>
      </w:r>
    </w:p>
    <w:p>
      <w:pPr>
        <w:pStyle w:val="TextBody"/>
        <w:bidi w:val="0"/>
        <w:spacing w:lineRule="auto" w:line="240" w:before="241" w:after="283"/>
        <w:jc w:val="both"/>
        <w:rPr>
          <w:rFonts w:ascii="Times New Roman;sans-serif" w:hAnsi="Times New Roman;sans-serif"/>
          <w:b w:val="false"/>
          <w:color w:val="000000"/>
          <w:sz w:val="24"/>
        </w:rPr>
      </w:pPr>
      <w:r>
        <w:rPr>
          <w:rFonts w:ascii="Times New Roman;sans-serif" w:hAnsi="Times New Roman;sans-serif"/>
          <w:b w:val="false"/>
          <w:color w:val="000000"/>
          <w:sz w:val="24"/>
        </w:rPr>
        <w:t>Therefore, to induce the Lenders and the Issuing Banks to make their respective extensions of credit under the Credit Agreement the parties hereto agree as follows:</w:t>
      </w:r>
    </w:p>
    <w:p>
      <w:pPr>
        <w:pStyle w:val="TextBody"/>
        <w:bidi w:val="0"/>
        <w:spacing w:lineRule="auto" w:line="240" w:before="238"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ARTICLE I</w:t>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Definitions</w:t>
      </w:r>
    </w:p>
    <w:p>
      <w:pPr>
        <w:pStyle w:val="TextBody"/>
        <w:bidi w:val="0"/>
        <w:spacing w:lineRule="auto" w:line="240" w:before="241" w:after="283"/>
        <w:ind w:left="0" w:right="0" w:firstLine="1440"/>
        <w:jc w:val="both"/>
        <w:rPr/>
      </w:pPr>
      <w:r>
        <w:rPr>
          <w:rFonts w:ascii="Times New Roman;sans-serif" w:hAnsi="Times New Roman;sans-serif"/>
          <w:b w:val="false"/>
          <w:color w:val="000000"/>
          <w:sz w:val="24"/>
        </w:rPr>
        <w:t xml:space="preserve">SECTION 1.1. </w:t>
      </w:r>
      <w:r>
        <w:rPr>
          <w:rFonts w:ascii="Times New Roman;sans-serif" w:hAnsi="Times New Roman;sans-serif"/>
          <w:b/>
          <w:i/>
          <w:color w:val="000000"/>
          <w:sz w:val="24"/>
        </w:rPr>
        <w:t>Credit Agreement</w:t>
      </w:r>
      <w:r>
        <w:rPr>
          <w:rFonts w:ascii="Times New Roman;sans-serif" w:hAnsi="Times New Roman;sans-serif"/>
          <w:b w:val="false"/>
          <w:i/>
          <w:color w:val="000000"/>
          <w:sz w:val="24"/>
        </w:rPr>
        <w:t xml:space="preserve">. </w:t>
      </w:r>
      <w:r>
        <w:rPr>
          <w:rFonts w:ascii="Times New Roman;sans-serif" w:hAnsi="Times New Roman;sans-serif"/>
          <w:b w:val="false"/>
          <w:color w:val="000000"/>
          <w:sz w:val="24"/>
        </w:rPr>
        <w:t>(a) Capitalized terms used in this Agreement and not otherwise defined herein have the respective meanings assigned thereto in the Credit Agreement. All terms defined in the Uniform Commercial Code (as defined herein) and not defined in this Agreement or the Credit Agreement have the meanings specified therein. The term “instrument” shall have the meaning specified in the Uniform Commercial Code.</w:t>
      </w:r>
    </w:p>
    <w:p>
      <w:pPr>
        <w:pStyle w:val="TextBody"/>
        <w:bidi w:val="0"/>
        <w:spacing w:lineRule="auto" w:line="240" w:before="240" w:after="283"/>
        <w:ind w:left="0" w:right="0" w:firstLine="1440"/>
        <w:jc w:val="left"/>
        <w:rPr/>
      </w:pPr>
      <w:r>
        <w:rPr>
          <w:rFonts w:ascii="Times New Roman;sans-serif" w:hAnsi="Times New Roman;sans-serif"/>
          <w:b w:val="false"/>
          <w:color w:val="000000"/>
          <w:sz w:val="24"/>
        </w:rPr>
        <w:t xml:space="preserve">(b)The rules of construction specified in </w:t>
      </w:r>
      <w:r>
        <w:rPr>
          <w:rFonts w:ascii="Times New Roman;sans-serif" w:hAnsi="Times New Roman;sans-serif"/>
          <w:b w:val="false"/>
          <w:color w:val="000000"/>
          <w:sz w:val="24"/>
          <w:u w:val="single"/>
        </w:rPr>
        <w:t>Section 1.02</w:t>
      </w:r>
      <w:r>
        <w:rPr>
          <w:color w:val="000000"/>
        </w:rPr>
        <w:t xml:space="preserve"> </w:t>
      </w:r>
      <w:r>
        <w:rPr>
          <w:rFonts w:ascii="Times New Roman;sans-serif" w:hAnsi="Times New Roman;sans-serif"/>
          <w:b w:val="false"/>
          <w:color w:val="000000"/>
          <w:sz w:val="24"/>
        </w:rPr>
        <w:t>of the Credit Agreement also apply to this Agreement.</w:t>
      </w:r>
    </w:p>
    <w:p>
      <w:pPr>
        <w:pStyle w:val="TextBody"/>
        <w:bidi w:val="0"/>
        <w:spacing w:lineRule="auto" w:line="240" w:before="240" w:after="283"/>
        <w:ind w:left="0" w:right="0" w:firstLine="1440"/>
        <w:jc w:val="both"/>
        <w:rPr/>
      </w:pPr>
      <w:r>
        <w:rPr>
          <w:rFonts w:ascii="Times New Roman;sans-serif" w:hAnsi="Times New Roman;sans-serif"/>
          <w:b w:val="false"/>
          <w:color w:val="000000"/>
          <w:sz w:val="24"/>
        </w:rPr>
        <w:t xml:space="preserve">SECTION 1.2. </w:t>
      </w:r>
      <w:r>
        <w:rPr>
          <w:rFonts w:ascii="Times New Roman;sans-serif" w:hAnsi="Times New Roman;sans-serif"/>
          <w:b/>
          <w:i/>
          <w:color w:val="000000"/>
          <w:sz w:val="24"/>
        </w:rPr>
        <w:t>Other Defined Terms</w:t>
      </w:r>
      <w:r>
        <w:rPr>
          <w:rFonts w:ascii="Times New Roman;sans-serif" w:hAnsi="Times New Roman;sans-serif"/>
          <w:b w:val="false"/>
          <w:i/>
          <w:color w:val="000000"/>
          <w:sz w:val="24"/>
        </w:rPr>
        <w:t xml:space="preserve">. </w:t>
      </w:r>
      <w:r>
        <w:rPr>
          <w:rFonts w:ascii="Times New Roman;sans-serif" w:hAnsi="Times New Roman;sans-serif"/>
          <w:b w:val="false"/>
          <w:color w:val="000000"/>
          <w:sz w:val="24"/>
        </w:rPr>
        <w:t>As used in this Agreement, the following terms have the meanings specified below:</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09">
                <wp:simplePos x="0" y="0"/>
                <wp:positionH relativeFrom="character">
                  <wp:align>left</wp:align>
                </wp:positionH>
                <wp:positionV relativeFrom="line">
                  <wp:posOffset>635</wp:posOffset>
                </wp:positionV>
                <wp:extent cx="6480175" cy="781050"/>
                <wp:effectExtent l="0" t="0" r="0" b="0"/>
                <wp:wrapNone/>
                <wp:docPr id="508" name="Frame507"/>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306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306</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ind w:left="0" w:right="0" w:firstLine="1440"/>
        <w:jc w:val="left"/>
        <w:rPr/>
      </w:pPr>
      <w:r>
        <w:rPr>
          <w:color w:val="000000"/>
        </w:rPr>
        <w:t>“</w:t>
      </w:r>
      <w:r>
        <w:rPr>
          <w:rFonts w:ascii="Times New Roman;sans-serif" w:hAnsi="Times New Roman;sans-serif"/>
          <w:b/>
          <w:i/>
          <w:color w:val="000000"/>
          <w:sz w:val="24"/>
        </w:rPr>
        <w:t>Account Debtor</w:t>
      </w:r>
      <w:r>
        <w:rPr>
          <w:color w:val="000000"/>
        </w:rPr>
        <w:t xml:space="preserve">” </w:t>
      </w:r>
      <w:r>
        <w:rPr>
          <w:rFonts w:ascii="Times New Roman;sans-serif" w:hAnsi="Times New Roman;sans-serif"/>
          <w:b w:val="false"/>
          <w:color w:val="000000"/>
          <w:sz w:val="24"/>
        </w:rPr>
        <w:t>means any person who is or who may become obligated to any Pledgor under, with respect to or on account of an Account, Chattel Paper or General Intangibles.</w:t>
      </w:r>
    </w:p>
    <w:p>
      <w:pPr>
        <w:pStyle w:val="TextBody"/>
        <w:bidi w:val="0"/>
        <w:spacing w:lineRule="auto" w:line="240" w:before="240" w:after="283"/>
        <w:ind w:left="0" w:right="0" w:firstLine="1440"/>
        <w:jc w:val="left"/>
        <w:rPr/>
      </w:pPr>
      <w:r>
        <w:rPr>
          <w:color w:val="000000"/>
        </w:rPr>
        <w:t>“</w:t>
      </w:r>
      <w:r>
        <w:rPr>
          <w:rFonts w:ascii="Times New Roman;sans-serif" w:hAnsi="Times New Roman;sans-serif"/>
          <w:b/>
          <w:i/>
          <w:color w:val="000000"/>
          <w:sz w:val="24"/>
        </w:rPr>
        <w:t>Agreement</w:t>
      </w:r>
      <w:r>
        <w:rPr>
          <w:color w:val="000000"/>
        </w:rPr>
        <w:t xml:space="preserve">” </w:t>
      </w:r>
      <w:r>
        <w:rPr>
          <w:rFonts w:ascii="Times New Roman;sans-serif" w:hAnsi="Times New Roman;sans-serif"/>
          <w:b w:val="false"/>
          <w:color w:val="000000"/>
          <w:sz w:val="24"/>
        </w:rPr>
        <w:t>has the meaning assigned to such term in the introductory paragraph of this agreement, as amended, restated, supplemented or otherwise modified from time to time.</w:t>
      </w:r>
    </w:p>
    <w:p>
      <w:pPr>
        <w:pStyle w:val="TextBody"/>
        <w:bidi w:val="0"/>
        <w:spacing w:lineRule="auto" w:line="592" w:before="6" w:after="283"/>
        <w:jc w:val="left"/>
        <w:rPr/>
      </w:pPr>
      <w:r>
        <w:rPr>
          <w:color w:val="000000"/>
        </w:rPr>
        <w:t>“</w:t>
      </w:r>
      <w:r>
        <w:rPr>
          <w:rFonts w:ascii="Times New Roman;sans-serif" w:hAnsi="Times New Roman;sans-serif"/>
          <w:b/>
          <w:i/>
          <w:color w:val="000000"/>
          <w:sz w:val="24"/>
        </w:rPr>
        <w:t>Article 9 Collateral</w:t>
      </w:r>
      <w:r>
        <w:rPr>
          <w:color w:val="000000"/>
        </w:rPr>
        <w:t xml:space="preserve">” </w:t>
      </w:r>
      <w:r>
        <w:rPr>
          <w:rFonts w:ascii="Times New Roman;sans-serif" w:hAnsi="Times New Roman;sans-serif"/>
          <w:b w:val="false"/>
          <w:color w:val="000000"/>
          <w:sz w:val="24"/>
        </w:rPr>
        <w:t xml:space="preserve">has the meaning assigned to such term in </w:t>
      </w:r>
      <w:r>
        <w:rPr>
          <w:rFonts w:ascii="Times New Roman;sans-serif" w:hAnsi="Times New Roman;sans-serif"/>
          <w:b w:val="false"/>
          <w:color w:val="000000"/>
          <w:sz w:val="24"/>
          <w:u w:val="single"/>
        </w:rPr>
        <w:t>Section 3.1</w:t>
      </w:r>
      <w:r>
        <w:rPr>
          <w:rFonts w:ascii="Times New Roman;sans-serif" w:hAnsi="Times New Roman;sans-serif"/>
          <w:b w:val="false"/>
          <w:color w:val="000000"/>
          <w:sz w:val="24"/>
        </w:rPr>
        <w:t>. “</w:t>
      </w:r>
      <w:r>
        <w:rPr>
          <w:rFonts w:ascii="Times New Roman;sans-serif" w:hAnsi="Times New Roman;sans-serif"/>
          <w:b/>
          <w:i/>
          <w:color w:val="000000"/>
          <w:sz w:val="24"/>
        </w:rPr>
        <w:t>Certain Funds Provisions</w:t>
      </w:r>
      <w:r>
        <w:rPr>
          <w:color w:val="000000"/>
        </w:rPr>
        <w:t xml:space="preserve">” </w:t>
      </w:r>
      <w:r>
        <w:rPr>
          <w:rFonts w:ascii="Times New Roman;sans-serif" w:hAnsi="Times New Roman;sans-serif"/>
          <w:b w:val="false"/>
          <w:color w:val="000000"/>
          <w:sz w:val="24"/>
        </w:rPr>
        <w:t xml:space="preserve">means the last paragraph of </w:t>
      </w:r>
      <w:r>
        <w:rPr>
          <w:rFonts w:ascii="Times New Roman;sans-serif" w:hAnsi="Times New Roman;sans-serif"/>
          <w:b w:val="false"/>
          <w:color w:val="000000"/>
          <w:sz w:val="24"/>
          <w:u w:val="single"/>
        </w:rPr>
        <w:t>Section 5.10</w:t>
      </w:r>
      <w:r>
        <w:rPr>
          <w:color w:val="000000"/>
        </w:rPr>
        <w:t xml:space="preserve"> </w:t>
      </w:r>
      <w:r>
        <w:rPr>
          <w:rFonts w:ascii="Times New Roman;sans-serif" w:hAnsi="Times New Roman;sans-serif"/>
          <w:b w:val="false"/>
          <w:color w:val="000000"/>
          <w:sz w:val="24"/>
        </w:rPr>
        <w:t>of the Credit</w:t>
      </w:r>
    </w:p>
    <w:p>
      <w:pPr>
        <w:pStyle w:val="TextBody"/>
        <w:bidi w:val="0"/>
        <w:spacing w:lineRule="auto" w:line="240" w:before="6" w:after="283"/>
        <w:jc w:val="left"/>
        <w:rPr>
          <w:rFonts w:ascii="Times New Roman;sans-serif" w:hAnsi="Times New Roman;sans-serif"/>
          <w:b w:val="false"/>
          <w:color w:val="000000"/>
          <w:sz w:val="24"/>
        </w:rPr>
      </w:pPr>
      <w:r>
        <w:rPr>
          <w:rFonts w:ascii="Times New Roman;sans-serif" w:hAnsi="Times New Roman;sans-serif"/>
          <w:b w:val="false"/>
          <w:color w:val="000000"/>
          <w:sz w:val="24"/>
        </w:rPr>
        <w:t>Agreement and Schedule 5.13 of the Credit Agreement.</w:t>
      </w:r>
    </w:p>
    <w:p>
      <w:pPr>
        <w:pStyle w:val="TextBody"/>
        <w:bidi w:val="0"/>
        <w:spacing w:lineRule="auto" w:line="240" w:before="240" w:after="283"/>
        <w:ind w:left="0" w:right="0" w:firstLine="1440"/>
        <w:jc w:val="left"/>
        <w:rPr/>
      </w:pPr>
      <w:r>
        <w:rPr>
          <w:color w:val="000000"/>
        </w:rPr>
        <w:t>“</w:t>
      </w:r>
      <w:r>
        <w:rPr>
          <w:rFonts w:ascii="Times New Roman;sans-serif" w:hAnsi="Times New Roman;sans-serif"/>
          <w:b/>
          <w:i/>
          <w:color w:val="000000"/>
          <w:sz w:val="24"/>
        </w:rPr>
        <w:t>Collateral</w:t>
      </w:r>
      <w:r>
        <w:rPr>
          <w:color w:val="000000"/>
        </w:rPr>
        <w:t xml:space="preserve">” </w:t>
      </w:r>
      <w:r>
        <w:rPr>
          <w:rFonts w:ascii="Times New Roman;sans-serif" w:hAnsi="Times New Roman;sans-serif"/>
          <w:b w:val="false"/>
          <w:color w:val="000000"/>
          <w:sz w:val="24"/>
        </w:rPr>
        <w:t>means Article 9 Collateral and Pledged Collateral. For the avoidance of doubt, the term Collateral does not include any Excluded Property or Excluded Securities.</w:t>
      </w:r>
    </w:p>
    <w:p>
      <w:pPr>
        <w:pStyle w:val="TextBody"/>
        <w:bidi w:val="0"/>
        <w:spacing w:lineRule="auto" w:line="240" w:before="240" w:after="283"/>
        <w:ind w:left="0" w:right="0" w:firstLine="1440"/>
        <w:jc w:val="left"/>
        <w:rPr/>
      </w:pPr>
      <w:r>
        <w:rPr>
          <w:color w:val="000000"/>
        </w:rPr>
        <w:t>“</w:t>
      </w:r>
      <w:r>
        <w:rPr>
          <w:rFonts w:ascii="Times New Roman;sans-serif" w:hAnsi="Times New Roman;sans-serif"/>
          <w:b/>
          <w:i/>
          <w:color w:val="000000"/>
          <w:sz w:val="24"/>
        </w:rPr>
        <w:t>Collateral Agent</w:t>
      </w:r>
      <w:r>
        <w:rPr>
          <w:color w:val="000000"/>
        </w:rPr>
        <w:t xml:space="preserve">” </w:t>
      </w:r>
      <w:r>
        <w:rPr>
          <w:rFonts w:ascii="Times New Roman;sans-serif" w:hAnsi="Times New Roman;sans-serif"/>
          <w:b w:val="false"/>
          <w:color w:val="000000"/>
          <w:sz w:val="24"/>
        </w:rPr>
        <w:t>has the meaning assigned to such term in the introductory paragraph of this Agreement.</w:t>
      </w:r>
    </w:p>
    <w:p>
      <w:pPr>
        <w:pStyle w:val="TextBody"/>
        <w:bidi w:val="0"/>
        <w:spacing w:lineRule="auto" w:line="240" w:before="240" w:after="283"/>
        <w:ind w:left="0" w:right="0" w:firstLine="1440"/>
        <w:jc w:val="both"/>
        <w:rPr/>
      </w:pPr>
      <w:r>
        <w:rPr>
          <w:color w:val="000000"/>
        </w:rPr>
        <w:t>“</w:t>
      </w:r>
      <w:r>
        <w:rPr>
          <w:rFonts w:ascii="Times New Roman;sans-serif" w:hAnsi="Times New Roman;sans-serif"/>
          <w:b/>
          <w:i/>
          <w:color w:val="000000"/>
          <w:sz w:val="24"/>
        </w:rPr>
        <w:t>Copyright License</w:t>
      </w:r>
      <w:r>
        <w:rPr>
          <w:color w:val="000000"/>
        </w:rPr>
        <w:t xml:space="preserve">” </w:t>
      </w:r>
      <w:r>
        <w:rPr>
          <w:rFonts w:ascii="Times New Roman;sans-serif" w:hAnsi="Times New Roman;sans-serif"/>
          <w:b w:val="false"/>
          <w:color w:val="000000"/>
          <w:sz w:val="24"/>
        </w:rPr>
        <w:t>means any written agreement, now or hereafter in effect, granting any exclusive license to any Pledgor under any Copyright now or hereafter owned by any third party, and all rights of any Pledgor under any such agreement (including any such rights that such Pledgor has the right to license).</w:t>
      </w:r>
    </w:p>
    <w:p>
      <w:pPr>
        <w:pStyle w:val="TextBody"/>
        <w:bidi w:val="0"/>
        <w:spacing w:lineRule="auto" w:line="240" w:before="240" w:after="283"/>
        <w:ind w:left="0" w:right="0" w:firstLine="1440"/>
        <w:jc w:val="both"/>
        <w:rPr/>
      </w:pPr>
      <w:r>
        <w:rPr>
          <w:color w:val="000000"/>
        </w:rPr>
        <w:t>“</w:t>
      </w:r>
      <w:r>
        <w:rPr>
          <w:rFonts w:ascii="Times New Roman;sans-serif" w:hAnsi="Times New Roman;sans-serif"/>
          <w:b/>
          <w:i/>
          <w:color w:val="000000"/>
          <w:sz w:val="24"/>
        </w:rPr>
        <w:t>Copyrights</w:t>
      </w:r>
      <w:r>
        <w:rPr>
          <w:color w:val="000000"/>
        </w:rPr>
        <w:t xml:space="preserve">” </w:t>
      </w:r>
      <w:r>
        <w:rPr>
          <w:rFonts w:ascii="Times New Roman;sans-serif" w:hAnsi="Times New Roman;sans-serif"/>
          <w:b w:val="false"/>
          <w:color w:val="000000"/>
          <w:sz w:val="24"/>
        </w:rPr>
        <w:t xml:space="preserve">means all of the following now directly owned or hereafter directly acquired by any Pledgor: (a) all copyright rights in any work subject to the copyright laws of the United States, whether as author, assignee, or transferee of ownership; (b) all registrations and applications for registration of any such Copyright in the United States, including registrations, supplemental registrations and pending applications for registration in the United States Copyright Office and the right to obtain all renewals thereof, including those listed on </w:t>
      </w:r>
      <w:r>
        <w:rPr>
          <w:rFonts w:ascii="Times New Roman;sans-serif" w:hAnsi="Times New Roman;sans-serif"/>
          <w:b w:val="false"/>
          <w:color w:val="000000"/>
          <w:sz w:val="24"/>
          <w:u w:val="single"/>
        </w:rPr>
        <w:t>Schedule II</w:t>
      </w:r>
      <w:r>
        <w:rPr>
          <w:rFonts w:ascii="Times New Roman;sans-serif" w:hAnsi="Times New Roman;sans-serif"/>
          <w:b w:val="false"/>
          <w:color w:val="000000"/>
          <w:sz w:val="24"/>
        </w:rPr>
        <w:t>; (c) all claims for, and rights to sue for, past or future infringements of any of the foregoing; and (d) all income, royalties, damages and payments now or hereafter due and payable with respect to any of the foregoing, including damages and payments for past or future infringement thereof.</w:t>
      </w:r>
    </w:p>
    <w:p>
      <w:pPr>
        <w:pStyle w:val="TextBody"/>
        <w:bidi w:val="0"/>
        <w:spacing w:lineRule="auto" w:line="240" w:before="241" w:after="283"/>
        <w:ind w:left="0" w:right="0" w:firstLine="1440"/>
        <w:jc w:val="both"/>
        <w:rPr/>
      </w:pPr>
      <w:r>
        <w:rPr>
          <w:color w:val="000000"/>
        </w:rPr>
        <w:t>“</w:t>
      </w:r>
      <w:r>
        <w:rPr>
          <w:rFonts w:ascii="Times New Roman;sans-serif" w:hAnsi="Times New Roman;sans-serif"/>
          <w:b/>
          <w:i/>
          <w:color w:val="000000"/>
          <w:sz w:val="24"/>
        </w:rPr>
        <w:t>Credit Agreement</w:t>
      </w:r>
      <w:r>
        <w:rPr>
          <w:color w:val="000000"/>
        </w:rPr>
        <w:t xml:space="preserve">” </w:t>
      </w:r>
      <w:r>
        <w:rPr>
          <w:rFonts w:ascii="Times New Roman;sans-serif" w:hAnsi="Times New Roman;sans-serif"/>
          <w:b w:val="false"/>
          <w:color w:val="000000"/>
          <w:sz w:val="24"/>
        </w:rPr>
        <w:t>has the meaning assigned to such term in the preliminary statement of this Agreement.</w:t>
      </w:r>
    </w:p>
    <w:p>
      <w:pPr>
        <w:pStyle w:val="TextBody"/>
        <w:bidi w:val="0"/>
        <w:spacing w:lineRule="auto" w:line="240" w:before="238" w:after="283"/>
        <w:ind w:left="0" w:right="0" w:firstLine="1440"/>
        <w:jc w:val="both"/>
        <w:rPr/>
      </w:pPr>
      <w:r>
        <w:rPr>
          <w:color w:val="000000"/>
        </w:rPr>
        <w:t>“</w:t>
      </w:r>
      <w:r>
        <w:rPr>
          <w:rFonts w:ascii="Times New Roman;sans-serif" w:hAnsi="Times New Roman;sans-serif"/>
          <w:b/>
          <w:i/>
          <w:color w:val="000000"/>
          <w:sz w:val="24"/>
        </w:rPr>
        <w:t>Credit Agreement Agents</w:t>
      </w:r>
      <w:r>
        <w:rPr>
          <w:color w:val="000000"/>
        </w:rPr>
        <w:t xml:space="preserve">” </w:t>
      </w:r>
      <w:r>
        <w:rPr>
          <w:rFonts w:ascii="Times New Roman;sans-serif" w:hAnsi="Times New Roman;sans-serif"/>
          <w:b w:val="false"/>
          <w:color w:val="000000"/>
          <w:sz w:val="24"/>
        </w:rPr>
        <w:t>has the meaning assigned to such term in the preliminary statement of this Agreement.</w:t>
      </w:r>
    </w:p>
    <w:p>
      <w:pPr>
        <w:pStyle w:val="TextBody"/>
        <w:bidi w:val="0"/>
        <w:spacing w:lineRule="auto" w:line="240" w:before="240" w:after="283"/>
        <w:ind w:left="0" w:right="0" w:firstLine="1440"/>
        <w:jc w:val="both"/>
        <w:rPr/>
      </w:pPr>
      <w:r>
        <w:rPr>
          <w:color w:val="000000"/>
        </w:rPr>
        <w:t>“</w:t>
      </w:r>
      <w:r>
        <w:rPr>
          <w:rFonts w:ascii="Times New Roman;sans-serif" w:hAnsi="Times New Roman;sans-serif"/>
          <w:b/>
          <w:i/>
          <w:color w:val="000000"/>
          <w:sz w:val="24"/>
        </w:rPr>
        <w:t>Credit Agreement Documents</w:t>
      </w:r>
      <w:r>
        <w:rPr>
          <w:color w:val="000000"/>
        </w:rPr>
        <w:t xml:space="preserve">” </w:t>
      </w:r>
      <w:r>
        <w:rPr>
          <w:rFonts w:ascii="Times New Roman;sans-serif" w:hAnsi="Times New Roman;sans-serif"/>
          <w:b w:val="false"/>
          <w:color w:val="000000"/>
          <w:sz w:val="24"/>
        </w:rPr>
        <w:t>means the “Loan Documents” as defined in the Credit Agreement, as such documents or instruments may be amended, restated, supplemented or otherwise modified from time to time.</w:t>
      </w:r>
    </w:p>
    <w:p>
      <w:pPr>
        <w:pStyle w:val="TextBody"/>
        <w:bidi w:val="0"/>
        <w:spacing w:lineRule="auto" w:line="240" w:before="241" w:after="283"/>
        <w:ind w:left="0" w:right="0" w:firstLine="1440"/>
        <w:jc w:val="both"/>
        <w:rPr/>
      </w:pPr>
      <w:r>
        <w:rPr>
          <w:color w:val="000000"/>
        </w:rPr>
        <w:t>“</w:t>
      </w:r>
      <w:r>
        <w:rPr>
          <w:rFonts w:ascii="Times New Roman;sans-serif" w:hAnsi="Times New Roman;sans-serif"/>
          <w:b/>
          <w:i/>
          <w:color w:val="000000"/>
          <w:sz w:val="24"/>
        </w:rPr>
        <w:t>Equity Interests</w:t>
      </w:r>
      <w:r>
        <w:rPr>
          <w:color w:val="000000"/>
        </w:rPr>
        <w:t xml:space="preserve">” </w:t>
      </w:r>
      <w:r>
        <w:rPr>
          <w:rFonts w:ascii="Times New Roman;sans-serif" w:hAnsi="Times New Roman;sans-serif"/>
          <w:b w:val="false"/>
          <w:color w:val="000000"/>
          <w:sz w:val="24"/>
        </w:rPr>
        <w:t>of any person means any and all shares, interests, rights to purchase or otherwise acquire, warrants, options, participations or other equivalents of or interests in (however designated) equity or ownership of such person, including any preferred stock, any limited or general partnership interest and any limited liability company membership interest, and any securities or other rights or interests convertible into or exchangeable for any of the foregoing.</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10">
                <wp:simplePos x="0" y="0"/>
                <wp:positionH relativeFrom="character">
                  <wp:align>left</wp:align>
                </wp:positionH>
                <wp:positionV relativeFrom="line">
                  <wp:posOffset>635</wp:posOffset>
                </wp:positionV>
                <wp:extent cx="6480175" cy="781050"/>
                <wp:effectExtent l="0" t="0" r="0" b="0"/>
                <wp:wrapNone/>
                <wp:docPr id="509" name="Frame508"/>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307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307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color w:val="000000"/>
        </w:rPr>
        <w:t>“</w:t>
      </w:r>
      <w:r>
        <w:rPr>
          <w:rFonts w:ascii="Times New Roman;sans-serif" w:hAnsi="Times New Roman;sans-serif"/>
          <w:b/>
          <w:i/>
          <w:color w:val="000000"/>
          <w:sz w:val="24"/>
        </w:rPr>
        <w:t>Event of Default</w:t>
      </w:r>
      <w:r>
        <w:rPr>
          <w:color w:val="000000"/>
        </w:rPr>
        <w:t xml:space="preserve">” </w:t>
      </w:r>
      <w:r>
        <w:rPr>
          <w:rFonts w:ascii="Times New Roman;sans-serif" w:hAnsi="Times New Roman;sans-serif"/>
          <w:b w:val="false"/>
          <w:color w:val="000000"/>
          <w:sz w:val="24"/>
        </w:rPr>
        <w:t>means an “Event of Default” under and as defined in the Credit Agreement.</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i/>
          <w:color w:val="000000"/>
          <w:sz w:val="24"/>
        </w:rPr>
        <w:t>Federal Securities Laws</w:t>
      </w:r>
      <w:r>
        <w:rPr>
          <w:color w:val="000000"/>
        </w:rPr>
        <w:t xml:space="preserve">” </w:t>
      </w:r>
      <w:r>
        <w:rPr>
          <w:rFonts w:ascii="Times New Roman;sans-serif" w:hAnsi="Times New Roman;sans-serif"/>
          <w:b w:val="false"/>
          <w:color w:val="000000"/>
          <w:sz w:val="24"/>
        </w:rPr>
        <w:t xml:space="preserve">has the meaning assigned to such term in </w:t>
      </w:r>
      <w:r>
        <w:rPr>
          <w:rFonts w:ascii="Times New Roman;sans-serif" w:hAnsi="Times New Roman;sans-serif"/>
          <w:b w:val="false"/>
          <w:color w:val="000000"/>
          <w:sz w:val="24"/>
          <w:u w:val="single"/>
        </w:rPr>
        <w:t>Section 4.3</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i/>
          <w:color w:val="000000"/>
          <w:sz w:val="24"/>
        </w:rPr>
        <w:t>General Intangibles</w:t>
      </w:r>
      <w:r>
        <w:rPr>
          <w:color w:val="000000"/>
        </w:rPr>
        <w:t xml:space="preserve">” </w:t>
      </w:r>
      <w:r>
        <w:rPr>
          <w:rFonts w:ascii="Times New Roman;sans-serif" w:hAnsi="Times New Roman;sans-serif"/>
          <w:b w:val="false"/>
          <w:color w:val="000000"/>
          <w:sz w:val="24"/>
        </w:rPr>
        <w:t>means all “general intangibles” as defined in the Uniform Commercial Code, including all choses in action and causes of action and all other intangible personal property of any Pledgor of every kind and nature (other than Accounts) now owned or hereafter acquired by any Pledgor, including corporate or other business records, indemnification claims, contract rights (including rights under leases, whether entered into as lessor or lessee, swap agreements and other agreements), Intellectual Property, goodwill, registrations, franchises, tax refund claims and any guarantee, claim, security interest or other security held by or granted to any Pledgor to secure payment by an Account Debtor of any of the Accounts.</w:t>
      </w:r>
    </w:p>
    <w:p>
      <w:pPr>
        <w:pStyle w:val="TextBody"/>
        <w:bidi w:val="0"/>
        <w:spacing w:lineRule="auto" w:line="240" w:before="240" w:after="283"/>
        <w:ind w:left="0" w:right="0" w:firstLine="1440"/>
        <w:jc w:val="both"/>
        <w:rPr/>
      </w:pPr>
      <w:r>
        <w:rPr>
          <w:color w:val="000000"/>
        </w:rPr>
        <w:t>“</w:t>
      </w:r>
      <w:r>
        <w:rPr>
          <w:rFonts w:ascii="Times New Roman;sans-serif" w:hAnsi="Times New Roman;sans-serif"/>
          <w:b/>
          <w:i/>
          <w:color w:val="000000"/>
          <w:sz w:val="24"/>
        </w:rPr>
        <w:t>Governmental Authority</w:t>
      </w:r>
      <w:r>
        <w:rPr>
          <w:color w:val="000000"/>
        </w:rPr>
        <w:t xml:space="preserve">” </w:t>
      </w:r>
      <w:r>
        <w:rPr>
          <w:rFonts w:ascii="Times New Roman;sans-serif" w:hAnsi="Times New Roman;sans-serif"/>
          <w:b w:val="false"/>
          <w:color w:val="000000"/>
          <w:sz w:val="24"/>
        </w:rPr>
        <w:t>means any federal, state, local or foreign court or governmental agency, authority, instrumentality or regulatory or legislative body.</w:t>
      </w:r>
    </w:p>
    <w:p>
      <w:pPr>
        <w:pStyle w:val="TextBody"/>
        <w:bidi w:val="0"/>
        <w:spacing w:lineRule="auto" w:line="240" w:before="240" w:after="283"/>
        <w:ind w:left="0" w:right="0" w:firstLine="1440"/>
        <w:jc w:val="both"/>
        <w:rPr/>
      </w:pPr>
      <w:r>
        <w:rPr>
          <w:color w:val="000000"/>
        </w:rPr>
        <w:t>“</w:t>
      </w:r>
      <w:r>
        <w:rPr>
          <w:rFonts w:ascii="Times New Roman;sans-serif" w:hAnsi="Times New Roman;sans-serif"/>
          <w:b/>
          <w:i/>
          <w:color w:val="000000"/>
          <w:sz w:val="24"/>
        </w:rPr>
        <w:t>Intellectual Property</w:t>
      </w:r>
      <w:r>
        <w:rPr>
          <w:color w:val="000000"/>
        </w:rPr>
        <w:t xml:space="preserve">” </w:t>
      </w:r>
      <w:r>
        <w:rPr>
          <w:rFonts w:ascii="Times New Roman;sans-serif" w:hAnsi="Times New Roman;sans-serif"/>
          <w:b w:val="false"/>
          <w:color w:val="000000"/>
          <w:sz w:val="24"/>
        </w:rPr>
        <w:t>means all intellectual property of every kind and nature of any Pledgor, whether now owned or hereafter acquired by any Pledgor, including, inventions, designs, Patents, Copyrights, Trademarks, trade secrets, domain names, confidential or proprietary technical and business information, know-how, show-how or other data or information and all related documentation.</w:t>
      </w:r>
    </w:p>
    <w:p>
      <w:pPr>
        <w:pStyle w:val="TextBody"/>
        <w:bidi w:val="0"/>
        <w:spacing w:lineRule="auto" w:line="240" w:before="240" w:after="283"/>
        <w:jc w:val="left"/>
        <w:rPr/>
      </w:pPr>
      <w:r>
        <w:rPr>
          <w:color w:val="000000"/>
        </w:rPr>
        <w:t>“</w:t>
      </w:r>
      <w:r>
        <w:rPr>
          <w:rFonts w:ascii="Times New Roman;sans-serif" w:hAnsi="Times New Roman;sans-serif"/>
          <w:b/>
          <w:i/>
          <w:color w:val="000000"/>
          <w:sz w:val="24"/>
        </w:rPr>
        <w:t>Intellectual Property Collateral</w:t>
      </w:r>
      <w:r>
        <w:rPr>
          <w:color w:val="000000"/>
        </w:rPr>
        <w:t xml:space="preserve">” </w:t>
      </w:r>
      <w:r>
        <w:rPr>
          <w:rFonts w:ascii="Times New Roman;sans-serif" w:hAnsi="Times New Roman;sans-serif"/>
          <w:b w:val="false"/>
          <w:color w:val="000000"/>
          <w:sz w:val="24"/>
        </w:rPr>
        <w:t>has the meaning assigned to such term in</w:t>
      </w:r>
    </w:p>
    <w:p>
      <w:pPr>
        <w:pStyle w:val="TextBody"/>
        <w:bidi w:val="0"/>
        <w:spacing w:lineRule="auto" w:line="240" w:before="0" w:after="0"/>
        <w:jc w:val="left"/>
        <w:rPr/>
      </w:pPr>
      <w:r>
        <w:rPr>
          <w:rFonts w:ascii="Times New Roman;sans-serif" w:hAnsi="Times New Roman;sans-serif"/>
          <w:b w:val="false"/>
          <w:color w:val="000000"/>
          <w:sz w:val="24"/>
          <w:u w:val="single"/>
        </w:rPr>
        <w:t>Section 3.2</w:t>
      </w:r>
      <w:r>
        <w:rPr>
          <w:rFonts w:ascii="Times New Roman;sans-serif" w:hAnsi="Times New Roman;sans-serif"/>
          <w:b w:val="false"/>
          <w:color w:val="000000"/>
          <w:sz w:val="24"/>
        </w:rPr>
        <w:t>.</w:t>
      </w:r>
    </w:p>
    <w:p>
      <w:pPr>
        <w:pStyle w:val="TextBody"/>
        <w:bidi w:val="0"/>
        <w:spacing w:lineRule="auto" w:line="240" w:before="240" w:after="283"/>
        <w:jc w:val="left"/>
        <w:rPr/>
      </w:pPr>
      <w:r>
        <w:rPr>
          <w:color w:val="000000"/>
        </w:rPr>
        <w:t>“</w:t>
      </w:r>
      <w:r>
        <w:rPr>
          <w:rFonts w:ascii="Times New Roman;sans-serif" w:hAnsi="Times New Roman;sans-serif"/>
          <w:b/>
          <w:i/>
          <w:color w:val="000000"/>
          <w:sz w:val="24"/>
        </w:rPr>
        <w:t>Intercreditor Agreements</w:t>
      </w:r>
      <w:r>
        <w:rPr>
          <w:color w:val="000000"/>
        </w:rPr>
        <w:t xml:space="preserve">” </w:t>
      </w:r>
      <w:r>
        <w:rPr>
          <w:rFonts w:ascii="Times New Roman;sans-serif" w:hAnsi="Times New Roman;sans-serif"/>
          <w:b w:val="false"/>
          <w:color w:val="000000"/>
          <w:sz w:val="24"/>
        </w:rPr>
        <w:t>means (a) a Permitted First Lien Intercreditor</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Agreement (upon and during the effectiveness thereof) and (b) any other intercreditor agreement (upon and during the effectiveness thereof) with respect to any other Indebtedness permitted under the Credit Agreement to be secured by a first priority Lien on all or any portion of the Collateral and that is entered into (including by the Collateral Agent) in compliance with the Credit Agreement.</w:t>
      </w:r>
    </w:p>
    <w:p>
      <w:pPr>
        <w:pStyle w:val="TextBody"/>
        <w:bidi w:val="0"/>
        <w:spacing w:lineRule="auto" w:line="240" w:before="239" w:after="283"/>
        <w:ind w:left="0" w:right="0" w:firstLine="1440"/>
        <w:jc w:val="both"/>
        <w:rPr/>
      </w:pPr>
      <w:r>
        <w:rPr>
          <w:color w:val="000000"/>
        </w:rPr>
        <w:t>“</w:t>
      </w:r>
      <w:r>
        <w:rPr>
          <w:rFonts w:ascii="Times New Roman;sans-serif" w:hAnsi="Times New Roman;sans-serif"/>
          <w:b/>
          <w:i/>
          <w:color w:val="000000"/>
          <w:sz w:val="24"/>
        </w:rPr>
        <w:t>IP Agreements</w:t>
      </w:r>
      <w:r>
        <w:rPr>
          <w:color w:val="000000"/>
        </w:rPr>
        <w:t xml:space="preserve">” </w:t>
      </w:r>
      <w:r>
        <w:rPr>
          <w:rFonts w:ascii="Times New Roman;sans-serif" w:hAnsi="Times New Roman;sans-serif"/>
          <w:b w:val="false"/>
          <w:color w:val="000000"/>
          <w:sz w:val="24"/>
        </w:rPr>
        <w:t>means all material (i) Patent Licenses and (ii) Copyright Licenses, including those set forth on Schedule II.</w:t>
      </w:r>
    </w:p>
    <w:p>
      <w:pPr>
        <w:pStyle w:val="TextBody"/>
        <w:bidi w:val="0"/>
        <w:spacing w:lineRule="auto" w:line="240" w:before="240" w:after="283"/>
        <w:ind w:left="0" w:right="0" w:firstLine="1440"/>
        <w:jc w:val="both"/>
        <w:rPr/>
      </w:pPr>
      <w:r>
        <w:rPr>
          <w:color w:val="000000"/>
        </w:rPr>
        <w:t>“</w:t>
      </w:r>
      <w:r>
        <w:rPr>
          <w:rFonts w:ascii="Times New Roman;sans-serif" w:hAnsi="Times New Roman;sans-serif"/>
          <w:b/>
          <w:i/>
          <w:color w:val="000000"/>
          <w:sz w:val="24"/>
        </w:rPr>
        <w:t>Notices of Grant of Security Interest in Intellectual Property</w:t>
      </w:r>
      <w:r>
        <w:rPr>
          <w:color w:val="000000"/>
        </w:rPr>
        <w:t xml:space="preserve">” </w:t>
      </w:r>
      <w:r>
        <w:rPr>
          <w:rFonts w:ascii="Times New Roman;sans-serif" w:hAnsi="Times New Roman;sans-serif"/>
          <w:b w:val="false"/>
          <w:color w:val="000000"/>
          <w:sz w:val="24"/>
        </w:rPr>
        <w:t xml:space="preserve">means the notices of grant of security interest substantially in the form attached hereto as </w:t>
      </w:r>
      <w:r>
        <w:rPr>
          <w:rFonts w:ascii="Times New Roman;sans-serif" w:hAnsi="Times New Roman;sans-serif"/>
          <w:b w:val="false"/>
          <w:color w:val="000000"/>
          <w:sz w:val="24"/>
          <w:u w:val="single"/>
        </w:rPr>
        <w:t>Exhibit II</w:t>
      </w:r>
      <w:r>
        <w:rPr>
          <w:color w:val="000000"/>
        </w:rPr>
        <w:t xml:space="preserve"> </w:t>
      </w:r>
      <w:r>
        <w:rPr>
          <w:rFonts w:ascii="Times New Roman;sans-serif" w:hAnsi="Times New Roman;sans-serif"/>
          <w:b w:val="false"/>
          <w:color w:val="000000"/>
          <w:sz w:val="24"/>
        </w:rPr>
        <w:t>or such other form as shall be reasonably acceptable to the Collateral Agent.</w:t>
      </w:r>
    </w:p>
    <w:p>
      <w:pPr>
        <w:pStyle w:val="TextBody"/>
        <w:bidi w:val="0"/>
        <w:spacing w:lineRule="auto" w:line="240" w:before="241" w:after="283"/>
        <w:ind w:left="0" w:right="0" w:firstLine="1440"/>
        <w:jc w:val="both"/>
        <w:rPr/>
      </w:pPr>
      <w:r>
        <w:rPr>
          <w:color w:val="000000"/>
        </w:rPr>
        <w:t>“</w:t>
      </w:r>
      <w:r>
        <w:rPr>
          <w:rFonts w:ascii="Times New Roman;sans-serif" w:hAnsi="Times New Roman;sans-serif"/>
          <w:b/>
          <w:i/>
          <w:color w:val="000000"/>
          <w:sz w:val="24"/>
        </w:rPr>
        <w:t>Patent License</w:t>
      </w:r>
      <w:r>
        <w:rPr>
          <w:color w:val="000000"/>
        </w:rPr>
        <w:t xml:space="preserve">” </w:t>
      </w:r>
      <w:r>
        <w:rPr>
          <w:rFonts w:ascii="Times New Roman;sans-serif" w:hAnsi="Times New Roman;sans-serif"/>
          <w:b w:val="false"/>
          <w:color w:val="000000"/>
          <w:sz w:val="24"/>
        </w:rPr>
        <w:t>means any written agreement, now or hereafter in effect, granting to any Pledgor any right to make, use or sell any invention covered by a Patent, now or hereafter owned by any third party (including any such rights that such Pledgor has the right to license).</w:t>
      </w:r>
    </w:p>
    <w:p>
      <w:pPr>
        <w:pStyle w:val="TextBody"/>
        <w:bidi w:val="0"/>
        <w:spacing w:lineRule="auto" w:line="240" w:before="240" w:after="283"/>
        <w:ind w:left="0" w:right="0" w:firstLine="1440"/>
        <w:jc w:val="both"/>
        <w:rPr/>
      </w:pPr>
      <w:r>
        <w:rPr>
          <w:color w:val="000000"/>
        </w:rPr>
        <w:t>“</w:t>
      </w:r>
      <w:r>
        <w:rPr>
          <w:rFonts w:ascii="Times New Roman;sans-serif" w:hAnsi="Times New Roman;sans-serif"/>
          <w:b/>
          <w:i/>
          <w:color w:val="000000"/>
          <w:sz w:val="24"/>
        </w:rPr>
        <w:t>Patents</w:t>
      </w:r>
      <w:r>
        <w:rPr>
          <w:color w:val="000000"/>
        </w:rPr>
        <w:t xml:space="preserve">” </w:t>
      </w:r>
      <w:r>
        <w:rPr>
          <w:rFonts w:ascii="Times New Roman;sans-serif" w:hAnsi="Times New Roman;sans-serif"/>
          <w:b w:val="false"/>
          <w:color w:val="000000"/>
          <w:sz w:val="24"/>
        </w:rPr>
        <w:t xml:space="preserve">means all of the following now directly owned or hereafter directly acquired by any Pledgor: (a) all letters patent of the United States, including those listed on </w:t>
      </w:r>
      <w:r>
        <w:rPr>
          <w:rFonts w:ascii="Times New Roman;sans-serif" w:hAnsi="Times New Roman;sans-serif"/>
          <w:b w:val="false"/>
          <w:color w:val="000000"/>
          <w:sz w:val="24"/>
          <w:u w:val="single"/>
        </w:rPr>
        <w:t>Schedule II</w:t>
      </w:r>
      <w:r>
        <w:rPr>
          <w:rFonts w:ascii="Times New Roman;sans-serif" w:hAnsi="Times New Roman;sans-serif"/>
          <w:b w:val="false"/>
          <w:color w:val="000000"/>
          <w:sz w:val="24"/>
        </w:rPr>
        <w:t xml:space="preserve">, and all applications for letters patent of the United States, including those listed on </w:t>
      </w:r>
      <w:r>
        <w:rPr>
          <w:rFonts w:ascii="Times New Roman;sans-serif" w:hAnsi="Times New Roman;sans-serif"/>
          <w:b w:val="false"/>
          <w:color w:val="000000"/>
          <w:sz w:val="24"/>
          <w:u w:val="single"/>
        </w:rPr>
        <w:t>Schedule II</w:t>
      </w:r>
      <w:r>
        <w:rPr>
          <w:rFonts w:ascii="Times New Roman;sans-serif" w:hAnsi="Times New Roman;sans-serif"/>
          <w:b w:val="false"/>
          <w:color w:val="000000"/>
          <w:sz w:val="24"/>
        </w:rPr>
        <w:t>; (b) all provisionals, reissues, extensions, continuations, divisions, continuations-in-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11">
                <wp:simplePos x="0" y="0"/>
                <wp:positionH relativeFrom="character">
                  <wp:align>left</wp:align>
                </wp:positionH>
                <wp:positionV relativeFrom="line">
                  <wp:posOffset>635</wp:posOffset>
                </wp:positionV>
                <wp:extent cx="6480175" cy="781050"/>
                <wp:effectExtent l="0" t="0" r="0" b="0"/>
                <wp:wrapNone/>
                <wp:docPr id="510" name="Frame509"/>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308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308</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60" w:after="283"/>
        <w:jc w:val="both"/>
        <w:rPr>
          <w:rFonts w:ascii="Times New Roman;sans-serif" w:hAnsi="Times New Roman;sans-serif"/>
          <w:b w:val="false"/>
          <w:color w:val="000000"/>
          <w:sz w:val="24"/>
        </w:rPr>
      </w:pPr>
      <w:r>
        <w:rPr>
          <w:rFonts w:ascii="Times New Roman;sans-serif" w:hAnsi="Times New Roman;sans-serif"/>
          <w:b w:val="false"/>
          <w:color w:val="000000"/>
          <w:sz w:val="24"/>
        </w:rPr>
        <w:t>part, reexaminations or revisions thereof, and the inventions disclosed or claimed therein, including the right to make, use, import and/or sell the inventions disclosed or claimed therein; (c) all claims for, and rights to sue for, past or future infringements of any of the foregoing and (d) all income, royalties, damages and payments now or hereafter due and payable with respect to any of the foregoing, including damages and payments for past or future infringement thereof.</w:t>
      </w:r>
    </w:p>
    <w:p>
      <w:pPr>
        <w:pStyle w:val="TextBody"/>
        <w:bidi w:val="0"/>
        <w:spacing w:lineRule="auto" w:line="240" w:before="240" w:after="283"/>
        <w:ind w:left="0" w:right="0" w:firstLine="1440"/>
        <w:jc w:val="both"/>
        <w:rPr/>
      </w:pPr>
      <w:r>
        <w:rPr>
          <w:color w:val="000000"/>
        </w:rPr>
        <w:t>“</w:t>
      </w:r>
      <w:r>
        <w:rPr>
          <w:rFonts w:ascii="Times New Roman;sans-serif" w:hAnsi="Times New Roman;sans-serif"/>
          <w:b/>
          <w:i/>
          <w:color w:val="000000"/>
          <w:sz w:val="24"/>
        </w:rPr>
        <w:t>Perfection Certificate</w:t>
      </w:r>
      <w:r>
        <w:rPr>
          <w:color w:val="000000"/>
        </w:rPr>
        <w:t xml:space="preserve">” </w:t>
      </w:r>
      <w:r>
        <w:rPr>
          <w:rFonts w:ascii="Times New Roman;sans-serif" w:hAnsi="Times New Roman;sans-serif"/>
          <w:b w:val="false"/>
          <w:color w:val="000000"/>
          <w:sz w:val="24"/>
        </w:rPr>
        <w:t xml:space="preserve">means the Perfection Certificate with respect to the Borrower and the other Loan Parties in form and substance reasonably satisfactory to the Collateral Agent and delivered to the Collateral Agent as of the Closing Date, as the same may be supplemented from time to time to the extent required by </w:t>
      </w:r>
      <w:r>
        <w:rPr>
          <w:rFonts w:ascii="Times New Roman;sans-serif" w:hAnsi="Times New Roman;sans-serif"/>
          <w:b w:val="false"/>
          <w:color w:val="000000"/>
          <w:sz w:val="24"/>
          <w:u w:val="single"/>
        </w:rPr>
        <w:t>Section 5.04(e)</w:t>
      </w:r>
      <w:r>
        <w:rPr>
          <w:color w:val="000000"/>
        </w:rPr>
        <w:t xml:space="preserve"> </w:t>
      </w:r>
      <w:r>
        <w:rPr>
          <w:rFonts w:ascii="Times New Roman;sans-serif" w:hAnsi="Times New Roman;sans-serif"/>
          <w:b w:val="false"/>
          <w:color w:val="000000"/>
          <w:sz w:val="24"/>
        </w:rPr>
        <w:t>of the Credit Agreement.</w:t>
      </w:r>
    </w:p>
    <w:p>
      <w:pPr>
        <w:pStyle w:val="TextBody"/>
        <w:bidi w:val="0"/>
        <w:spacing w:lineRule="auto" w:line="240" w:before="240" w:after="283"/>
        <w:ind w:left="0" w:right="0" w:firstLine="1440"/>
        <w:jc w:val="both"/>
        <w:rPr/>
      </w:pPr>
      <w:r>
        <w:rPr>
          <w:color w:val="000000"/>
        </w:rPr>
        <w:t>“</w:t>
      </w:r>
      <w:r>
        <w:rPr>
          <w:rFonts w:ascii="Times New Roman;sans-serif" w:hAnsi="Times New Roman;sans-serif"/>
          <w:b/>
          <w:i/>
          <w:color w:val="000000"/>
          <w:sz w:val="24"/>
        </w:rPr>
        <w:t>Permitted Liens</w:t>
      </w:r>
      <w:r>
        <w:rPr>
          <w:color w:val="000000"/>
        </w:rPr>
        <w:t xml:space="preserve">” </w:t>
      </w:r>
      <w:r>
        <w:rPr>
          <w:rFonts w:ascii="Times New Roman;sans-serif" w:hAnsi="Times New Roman;sans-serif"/>
          <w:b w:val="false"/>
          <w:color w:val="000000"/>
          <w:sz w:val="24"/>
        </w:rPr>
        <w:t xml:space="preserve">means Liens that are permitted pursuant to </w:t>
      </w:r>
      <w:r>
        <w:rPr>
          <w:rFonts w:ascii="Times New Roman;sans-serif" w:hAnsi="Times New Roman;sans-serif"/>
          <w:b w:val="false"/>
          <w:color w:val="000000"/>
          <w:sz w:val="24"/>
          <w:u w:val="single"/>
        </w:rPr>
        <w:t>Section 6.02</w:t>
      </w:r>
      <w:r>
        <w:rPr>
          <w:color w:val="000000"/>
        </w:rPr>
        <w:t xml:space="preserve"> </w:t>
      </w:r>
      <w:r>
        <w:rPr>
          <w:rFonts w:ascii="Times New Roman;sans-serif" w:hAnsi="Times New Roman;sans-serif"/>
          <w:b w:val="false"/>
          <w:color w:val="000000"/>
          <w:sz w:val="24"/>
        </w:rPr>
        <w:t>of the Credit Agreement.</w:t>
      </w:r>
    </w:p>
    <w:p>
      <w:pPr>
        <w:pStyle w:val="TextBody"/>
        <w:bidi w:val="0"/>
        <w:spacing w:lineRule="auto" w:line="520" w:before="240" w:after="283"/>
        <w:jc w:val="both"/>
        <w:rPr/>
      </w:pPr>
      <w:r>
        <w:rPr>
          <w:color w:val="000000"/>
        </w:rPr>
        <w:t>“</w:t>
      </w:r>
      <w:r>
        <w:rPr>
          <w:rFonts w:ascii="Times New Roman;sans-serif" w:hAnsi="Times New Roman;sans-serif"/>
          <w:b/>
          <w:i/>
          <w:color w:val="000000"/>
          <w:sz w:val="24"/>
        </w:rPr>
        <w:t>Pledged Collateral</w:t>
      </w:r>
      <w:r>
        <w:rPr>
          <w:color w:val="000000"/>
        </w:rPr>
        <w:t xml:space="preserve">” </w:t>
      </w:r>
      <w:r>
        <w:rPr>
          <w:rFonts w:ascii="Times New Roman;sans-serif" w:hAnsi="Times New Roman;sans-serif"/>
          <w:b w:val="false"/>
          <w:color w:val="000000"/>
          <w:sz w:val="24"/>
        </w:rPr>
        <w:t xml:space="preserve">has the meaning assigned to such term in </w:t>
      </w:r>
      <w:r>
        <w:rPr>
          <w:rFonts w:ascii="Times New Roman;sans-serif" w:hAnsi="Times New Roman;sans-serif"/>
          <w:b w:val="false"/>
          <w:color w:val="000000"/>
          <w:sz w:val="24"/>
          <w:u w:val="single"/>
        </w:rPr>
        <w:t>Section 2.1</w:t>
      </w:r>
      <w:r>
        <w:rPr>
          <w:rFonts w:ascii="Times New Roman;sans-serif" w:hAnsi="Times New Roman;sans-serif"/>
          <w:b w:val="false"/>
          <w:color w:val="000000"/>
          <w:sz w:val="24"/>
        </w:rPr>
        <w:t>. “</w:t>
      </w:r>
      <w:r>
        <w:rPr>
          <w:rFonts w:ascii="Times New Roman;sans-serif" w:hAnsi="Times New Roman;sans-serif"/>
          <w:b/>
          <w:i/>
          <w:color w:val="000000"/>
          <w:sz w:val="24"/>
        </w:rPr>
        <w:t>Pledged Debt</w:t>
      </w:r>
      <w:r>
        <w:rPr>
          <w:color w:val="000000"/>
        </w:rPr>
        <w:t xml:space="preserve">” </w:t>
      </w:r>
      <w:r>
        <w:rPr>
          <w:rFonts w:ascii="Times New Roman;sans-serif" w:hAnsi="Times New Roman;sans-serif"/>
          <w:b w:val="false"/>
          <w:color w:val="000000"/>
          <w:sz w:val="24"/>
        </w:rPr>
        <w:t xml:space="preserve">has the meaning assigned to such term in </w:t>
      </w:r>
      <w:r>
        <w:rPr>
          <w:rFonts w:ascii="Times New Roman;sans-serif" w:hAnsi="Times New Roman;sans-serif"/>
          <w:b w:val="false"/>
          <w:color w:val="000000"/>
          <w:sz w:val="24"/>
          <w:u w:val="single"/>
        </w:rPr>
        <w:t>Section 2.1</w:t>
      </w:r>
      <w:r>
        <w:rPr>
          <w:rFonts w:ascii="Times New Roman;sans-serif" w:hAnsi="Times New Roman;sans-serif"/>
          <w:b w:val="false"/>
          <w:color w:val="000000"/>
          <w:sz w:val="24"/>
        </w:rPr>
        <w:t>.</w:t>
      </w:r>
    </w:p>
    <w:p>
      <w:pPr>
        <w:pStyle w:val="TextBody"/>
        <w:bidi w:val="0"/>
        <w:spacing w:lineRule="auto" w:line="240" w:before="0" w:after="0"/>
        <w:ind w:left="0" w:right="0" w:firstLine="1440"/>
        <w:jc w:val="both"/>
        <w:rPr/>
      </w:pPr>
      <w:r>
        <w:rPr>
          <w:color w:val="000000"/>
        </w:rPr>
        <w:t>“</w:t>
      </w:r>
      <w:r>
        <w:rPr>
          <w:rFonts w:ascii="Times New Roman;sans-serif" w:hAnsi="Times New Roman;sans-serif"/>
          <w:b/>
          <w:i/>
          <w:color w:val="000000"/>
          <w:sz w:val="24"/>
        </w:rPr>
        <w:t>Pledged Securities</w:t>
      </w:r>
      <w:r>
        <w:rPr>
          <w:color w:val="000000"/>
        </w:rPr>
        <w:t xml:space="preserve">” </w:t>
      </w:r>
      <w:r>
        <w:rPr>
          <w:rFonts w:ascii="Times New Roman;sans-serif" w:hAnsi="Times New Roman;sans-serif"/>
          <w:b w:val="false"/>
          <w:color w:val="000000"/>
          <w:sz w:val="24"/>
        </w:rPr>
        <w:t>means any promissory notes, stock certificates or other certificated securities now or hereafter included in the Pledged Collateral, including all certificates, instruments or other documents representing or evidencing any Pledged Collateral.</w:t>
      </w:r>
    </w:p>
    <w:p>
      <w:pPr>
        <w:pStyle w:val="TextBody"/>
        <w:bidi w:val="0"/>
        <w:spacing w:lineRule="auto" w:line="240" w:before="240" w:after="283"/>
        <w:jc w:val="both"/>
        <w:rPr/>
      </w:pPr>
      <w:r>
        <w:rPr>
          <w:color w:val="000000"/>
        </w:rPr>
        <w:t>“</w:t>
      </w:r>
      <w:r>
        <w:rPr>
          <w:rFonts w:ascii="Times New Roman;sans-serif" w:hAnsi="Times New Roman;sans-serif"/>
          <w:b/>
          <w:i/>
          <w:color w:val="000000"/>
          <w:sz w:val="24"/>
        </w:rPr>
        <w:t>Pledged Stock</w:t>
      </w:r>
      <w:r>
        <w:rPr>
          <w:color w:val="000000"/>
        </w:rPr>
        <w:t xml:space="preserve">” </w:t>
      </w:r>
      <w:r>
        <w:rPr>
          <w:rFonts w:ascii="Times New Roman;sans-serif" w:hAnsi="Times New Roman;sans-serif"/>
          <w:b w:val="false"/>
          <w:color w:val="000000"/>
          <w:sz w:val="24"/>
        </w:rPr>
        <w:t xml:space="preserve">has the meaning assigned to such term in </w:t>
      </w:r>
      <w:r>
        <w:rPr>
          <w:rFonts w:ascii="Times New Roman;sans-serif" w:hAnsi="Times New Roman;sans-serif"/>
          <w:b w:val="false"/>
          <w:color w:val="000000"/>
          <w:sz w:val="24"/>
          <w:u w:val="single"/>
        </w:rPr>
        <w:t>Section 2.1</w:t>
      </w:r>
      <w:r>
        <w:rPr>
          <w:rFonts w:ascii="Times New Roman;sans-serif" w:hAnsi="Times New Roman;sans-serif"/>
          <w:b w:val="false"/>
          <w:color w:val="000000"/>
          <w:sz w:val="24"/>
        </w:rPr>
        <w:t>.</w:t>
      </w:r>
    </w:p>
    <w:p>
      <w:pPr>
        <w:pStyle w:val="TextBody"/>
        <w:bidi w:val="0"/>
        <w:spacing w:lineRule="auto" w:line="240" w:before="240" w:after="283"/>
        <w:ind w:left="0" w:right="0" w:firstLine="1440"/>
        <w:jc w:val="both"/>
        <w:rPr/>
      </w:pPr>
      <w:r>
        <w:rPr>
          <w:color w:val="000000"/>
        </w:rPr>
        <w:t>“</w:t>
      </w:r>
      <w:r>
        <w:rPr>
          <w:rFonts w:ascii="Times New Roman;sans-serif" w:hAnsi="Times New Roman;sans-serif"/>
          <w:b/>
          <w:i/>
          <w:color w:val="000000"/>
          <w:sz w:val="24"/>
        </w:rPr>
        <w:t>Pledgor</w:t>
      </w:r>
      <w:r>
        <w:rPr>
          <w:color w:val="000000"/>
        </w:rPr>
        <w:t xml:space="preserve">” </w:t>
      </w:r>
      <w:r>
        <w:rPr>
          <w:rFonts w:ascii="Times New Roman;sans-serif" w:hAnsi="Times New Roman;sans-serif"/>
          <w:b w:val="false"/>
          <w:color w:val="000000"/>
          <w:sz w:val="24"/>
        </w:rPr>
        <w:t xml:space="preserve">means the Borrower and any Subsidiary Loan Party that becomes a party hereto pursuant to </w:t>
      </w:r>
      <w:r>
        <w:rPr>
          <w:rFonts w:ascii="Times New Roman;sans-serif" w:hAnsi="Times New Roman;sans-serif"/>
          <w:b w:val="false"/>
          <w:color w:val="000000"/>
          <w:sz w:val="24"/>
          <w:u w:val="single"/>
        </w:rPr>
        <w:t>Section 5.16</w:t>
      </w:r>
      <w:r>
        <w:rPr>
          <w:rFonts w:ascii="Times New Roman;sans-serif" w:hAnsi="Times New Roman;sans-serif"/>
          <w:b w:val="false"/>
          <w:color w:val="000000"/>
          <w:sz w:val="24"/>
        </w:rPr>
        <w:t xml:space="preserve">. Notwithstanding anything to the contrary set forth herein, any entity that ceases to be a Guarantor (as defined in the Credit Agreement) in accordance with the terms of </w:t>
      </w:r>
      <w:r>
        <w:rPr>
          <w:rFonts w:ascii="Times New Roman;sans-serif" w:hAnsi="Times New Roman;sans-serif"/>
          <w:b w:val="false"/>
          <w:color w:val="000000"/>
          <w:sz w:val="24"/>
          <w:u w:val="single"/>
        </w:rPr>
        <w:t>Section 9.18</w:t>
      </w:r>
      <w:r>
        <w:rPr>
          <w:color w:val="000000"/>
        </w:rPr>
        <w:t xml:space="preserve"> </w:t>
      </w:r>
      <w:r>
        <w:rPr>
          <w:rFonts w:ascii="Times New Roman;sans-serif" w:hAnsi="Times New Roman;sans-serif"/>
          <w:b w:val="false"/>
          <w:color w:val="000000"/>
          <w:sz w:val="24"/>
        </w:rPr>
        <w:t>of the Credit Agreement shall automatically cease to be a Pledgor.</w:t>
      </w:r>
    </w:p>
    <w:p>
      <w:pPr>
        <w:pStyle w:val="TextBody"/>
        <w:bidi w:val="0"/>
        <w:spacing w:lineRule="auto" w:line="240" w:before="240" w:after="283"/>
        <w:ind w:left="0" w:right="0" w:firstLine="1440"/>
        <w:jc w:val="both"/>
        <w:rPr/>
      </w:pPr>
      <w:r>
        <w:rPr>
          <w:color w:val="000000"/>
        </w:rPr>
        <w:t>“</w:t>
      </w:r>
      <w:r>
        <w:rPr>
          <w:rFonts w:ascii="Times New Roman;sans-serif" w:hAnsi="Times New Roman;sans-serif"/>
          <w:b/>
          <w:i/>
          <w:color w:val="000000"/>
          <w:sz w:val="24"/>
        </w:rPr>
        <w:t>Proceeds</w:t>
      </w:r>
      <w:r>
        <w:rPr>
          <w:color w:val="000000"/>
        </w:rPr>
        <w:t xml:space="preserve">” </w:t>
      </w:r>
      <w:r>
        <w:rPr>
          <w:rFonts w:ascii="Times New Roman;sans-serif" w:hAnsi="Times New Roman;sans-serif"/>
          <w:b w:val="false"/>
          <w:color w:val="000000"/>
          <w:sz w:val="24"/>
        </w:rPr>
        <w:t>means all “Proceeds” as defined in the Uniform Commercial Code, including all proceeds of, and all other profits, products, rents or receipts, in whatever form, arising from, the collection, sale, lease, exchange, assignment, licensing or other disposition of, or other realization upon, any Collateral, including all claims of the relevant Pledgor against third parties for loss of, damage to or destruction of, or for proceeds payable under, or unearned premiums with respect to, policies of insurance in respect of, any Collateral, and any condemnation or requisition payments with respect to any Collateral.</w:t>
      </w:r>
    </w:p>
    <w:p>
      <w:pPr>
        <w:pStyle w:val="TextBody"/>
        <w:bidi w:val="0"/>
        <w:spacing w:lineRule="auto" w:line="240" w:before="239" w:after="283"/>
        <w:ind w:left="0" w:right="0" w:firstLine="1440"/>
        <w:jc w:val="both"/>
        <w:rPr/>
      </w:pPr>
      <w:r>
        <w:rPr>
          <w:color w:val="000000"/>
        </w:rPr>
        <w:t>“</w:t>
      </w:r>
      <w:r>
        <w:rPr>
          <w:rFonts w:ascii="Times New Roman;sans-serif" w:hAnsi="Times New Roman;sans-serif"/>
          <w:b/>
          <w:i/>
          <w:color w:val="000000"/>
          <w:sz w:val="24"/>
        </w:rPr>
        <w:t>Revolving Facility Administrative Agent</w:t>
      </w:r>
      <w:r>
        <w:rPr>
          <w:color w:val="000000"/>
        </w:rPr>
        <w:t xml:space="preserve">” </w:t>
      </w:r>
      <w:r>
        <w:rPr>
          <w:rFonts w:ascii="Times New Roman;sans-serif" w:hAnsi="Times New Roman;sans-serif"/>
          <w:b w:val="false"/>
          <w:color w:val="000000"/>
          <w:sz w:val="24"/>
        </w:rPr>
        <w:t>has the meaning assigned to such term in the preliminary statement of this Agreement.</w:t>
      </w:r>
    </w:p>
    <w:p>
      <w:pPr>
        <w:pStyle w:val="TextBody"/>
        <w:bidi w:val="0"/>
        <w:spacing w:lineRule="auto" w:line="240" w:before="240" w:after="283"/>
        <w:jc w:val="left"/>
        <w:rPr/>
      </w:pPr>
      <w:r>
        <w:rPr>
          <w:color w:val="000000"/>
        </w:rPr>
        <w:t>“</w:t>
      </w:r>
      <w:r>
        <w:rPr>
          <w:rFonts w:ascii="Times New Roman;sans-serif" w:hAnsi="Times New Roman;sans-serif"/>
          <w:b/>
          <w:i/>
          <w:color w:val="000000"/>
          <w:sz w:val="24"/>
        </w:rPr>
        <w:t>Secured Obligations</w:t>
      </w:r>
      <w:r>
        <w:rPr>
          <w:color w:val="000000"/>
        </w:rPr>
        <w:t xml:space="preserve">” </w:t>
      </w:r>
      <w:r>
        <w:rPr>
          <w:rFonts w:ascii="Times New Roman;sans-serif" w:hAnsi="Times New Roman;sans-serif"/>
          <w:b w:val="false"/>
          <w:color w:val="000000"/>
          <w:sz w:val="24"/>
        </w:rPr>
        <w:t>means the “Obligations” as defined in the Credit</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Agreement.</w:t>
      </w:r>
    </w:p>
    <w:p>
      <w:pPr>
        <w:pStyle w:val="TextBody"/>
        <w:bidi w:val="0"/>
        <w:spacing w:lineRule="auto" w:line="592" w:before="6" w:after="283"/>
        <w:jc w:val="left"/>
        <w:rPr/>
      </w:pPr>
      <w:r>
        <w:rPr>
          <w:color w:val="000000"/>
        </w:rPr>
        <w:t>“</w:t>
      </w:r>
      <w:r>
        <w:rPr>
          <w:rFonts w:ascii="Times New Roman;sans-serif" w:hAnsi="Times New Roman;sans-serif"/>
          <w:b/>
          <w:i/>
          <w:color w:val="000000"/>
          <w:sz w:val="24"/>
        </w:rPr>
        <w:t>Security Interest</w:t>
      </w:r>
      <w:r>
        <w:rPr>
          <w:color w:val="000000"/>
        </w:rPr>
        <w:t xml:space="preserve">” </w:t>
      </w:r>
      <w:r>
        <w:rPr>
          <w:rFonts w:ascii="Times New Roman;sans-serif" w:hAnsi="Times New Roman;sans-serif"/>
          <w:b w:val="false"/>
          <w:color w:val="000000"/>
          <w:sz w:val="24"/>
        </w:rPr>
        <w:t xml:space="preserve">has the meaning assigned to such term in </w:t>
      </w:r>
      <w:r>
        <w:rPr>
          <w:rFonts w:ascii="Times New Roman;sans-serif" w:hAnsi="Times New Roman;sans-serif"/>
          <w:b w:val="false"/>
          <w:color w:val="000000"/>
          <w:sz w:val="24"/>
          <w:u w:val="single"/>
        </w:rPr>
        <w:t>Section 3.1</w:t>
      </w:r>
      <w:r>
        <w:rPr>
          <w:rFonts w:ascii="Times New Roman;sans-serif" w:hAnsi="Times New Roman;sans-serif"/>
          <w:b w:val="false"/>
          <w:color w:val="000000"/>
          <w:sz w:val="24"/>
        </w:rPr>
        <w:t>. “</w:t>
      </w:r>
      <w:r>
        <w:rPr>
          <w:rFonts w:ascii="Times New Roman;sans-serif" w:hAnsi="Times New Roman;sans-serif"/>
          <w:b/>
          <w:i/>
          <w:color w:val="000000"/>
          <w:sz w:val="24"/>
        </w:rPr>
        <w:t>Subsidiary Loan Party</w:t>
      </w:r>
      <w:r>
        <w:rPr>
          <w:color w:val="000000"/>
        </w:rPr>
        <w:t xml:space="preserve">” </w:t>
      </w:r>
      <w:r>
        <w:rPr>
          <w:rFonts w:ascii="Times New Roman;sans-serif" w:hAnsi="Times New Roman;sans-serif"/>
          <w:b w:val="false"/>
          <w:color w:val="000000"/>
          <w:sz w:val="24"/>
        </w:rPr>
        <w:t>means any Subsidiary that becomes a party hereto</w:t>
      </w:r>
    </w:p>
    <w:p>
      <w:pPr>
        <w:pStyle w:val="TextBody"/>
        <w:bidi w:val="0"/>
        <w:spacing w:lineRule="auto" w:line="240" w:before="6" w:after="283"/>
        <w:jc w:val="left"/>
        <w:rPr>
          <w:rFonts w:ascii="Times New Roman;sans-serif" w:hAnsi="Times New Roman;sans-serif"/>
          <w:b w:val="false"/>
          <w:color w:val="000000"/>
          <w:sz w:val="24"/>
        </w:rPr>
      </w:pPr>
      <w:r>
        <w:rPr>
          <w:rFonts w:ascii="Times New Roman;sans-serif" w:hAnsi="Times New Roman;sans-serif"/>
          <w:b w:val="false"/>
          <w:color w:val="000000"/>
          <w:sz w:val="24"/>
        </w:rPr>
        <w:t>pursuant to Section 5.16.</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12">
                <wp:simplePos x="0" y="0"/>
                <wp:positionH relativeFrom="character">
                  <wp:align>left</wp:align>
                </wp:positionH>
                <wp:positionV relativeFrom="line">
                  <wp:posOffset>635</wp:posOffset>
                </wp:positionV>
                <wp:extent cx="6480175" cy="781050"/>
                <wp:effectExtent l="0" t="0" r="0" b="0"/>
                <wp:wrapNone/>
                <wp:docPr id="511" name="Frame510"/>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309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309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60" w:after="283"/>
        <w:ind w:left="0" w:right="0" w:firstLine="1440"/>
        <w:jc w:val="both"/>
        <w:rPr/>
      </w:pPr>
      <w:r>
        <w:rPr>
          <w:color w:val="000000"/>
        </w:rPr>
        <w:t>“</w:t>
      </w:r>
      <w:r>
        <w:rPr>
          <w:rFonts w:ascii="Times New Roman;sans-serif" w:hAnsi="Times New Roman;sans-serif"/>
          <w:b/>
          <w:i/>
          <w:color w:val="000000"/>
          <w:sz w:val="24"/>
        </w:rPr>
        <w:t>Term Facility Administrative Agent</w:t>
      </w:r>
      <w:r>
        <w:rPr>
          <w:color w:val="000000"/>
        </w:rPr>
        <w:t xml:space="preserve">” </w:t>
      </w:r>
      <w:r>
        <w:rPr>
          <w:rFonts w:ascii="Times New Roman;sans-serif" w:hAnsi="Times New Roman;sans-serif"/>
          <w:b w:val="false"/>
          <w:color w:val="000000"/>
          <w:sz w:val="24"/>
        </w:rPr>
        <w:t>has the meaning assigned to such term in the preliminary statement of this Agreement.</w:t>
      </w:r>
    </w:p>
    <w:p>
      <w:pPr>
        <w:pStyle w:val="TextBody"/>
        <w:bidi w:val="0"/>
        <w:spacing w:lineRule="auto" w:line="240" w:before="240" w:after="283"/>
        <w:ind w:left="0" w:right="0" w:firstLine="1440"/>
        <w:jc w:val="both"/>
        <w:rPr/>
      </w:pPr>
      <w:r>
        <w:rPr>
          <w:color w:val="000000"/>
        </w:rPr>
        <w:t>“</w:t>
      </w:r>
      <w:r>
        <w:rPr>
          <w:rFonts w:ascii="Times New Roman;sans-serif" w:hAnsi="Times New Roman;sans-serif"/>
          <w:b/>
          <w:i/>
          <w:color w:val="000000"/>
          <w:sz w:val="24"/>
        </w:rPr>
        <w:t>Trademarks</w:t>
      </w:r>
      <w:r>
        <w:rPr>
          <w:color w:val="000000"/>
        </w:rPr>
        <w:t xml:space="preserve">” </w:t>
      </w:r>
      <w:r>
        <w:rPr>
          <w:rFonts w:ascii="Times New Roman;sans-serif" w:hAnsi="Times New Roman;sans-serif"/>
          <w:b w:val="false"/>
          <w:color w:val="000000"/>
          <w:sz w:val="24"/>
        </w:rPr>
        <w:t xml:space="preserve">means all of the following now directly owned or hereafter directly acquired by any Pledgor: (a) all trademarks, service marks, corporate names, company names, business names, fictitious business names, trade styles, trade dress, logos, other source or business identifiers, designs and general intangibles of like nature, now existing or hereafter adopted or acquired, all registrations thereof (if any), and all registration and recording applications filed in connection therewith, including registrations and registration applications in the United States Patent and Trademark Office or any similar offices in any State of the United States or any other country or any political subdivision thereof, and all renewals thereof, and including those listed on </w:t>
      </w:r>
      <w:r>
        <w:rPr>
          <w:rFonts w:ascii="Times New Roman;sans-serif" w:hAnsi="Times New Roman;sans-serif"/>
          <w:b w:val="false"/>
          <w:color w:val="000000"/>
          <w:sz w:val="24"/>
          <w:u w:val="single"/>
        </w:rPr>
        <w:t>Schedule II</w:t>
      </w:r>
      <w:r>
        <w:rPr>
          <w:rFonts w:ascii="Times New Roman;sans-serif" w:hAnsi="Times New Roman;sans-serif"/>
          <w:b w:val="false"/>
          <w:color w:val="000000"/>
          <w:sz w:val="24"/>
        </w:rPr>
        <w:t>; (b) all goodwill associated with or symbolized by the foregoing; (c) all claims for, and rights to sue for, past or future infringements, dilutions or other violations of any of the foregoing and (d) all income, royalties, damages and payments now or hereafter due and payable with respect to any of the foregoing, including damages and payments for past or future infringement, dilutions or other violations thereof.</w:t>
      </w:r>
    </w:p>
    <w:p>
      <w:pPr>
        <w:pStyle w:val="TextBody"/>
        <w:bidi w:val="0"/>
        <w:spacing w:lineRule="auto" w:line="240" w:before="240" w:after="283"/>
        <w:ind w:left="0" w:right="0" w:firstLine="1440"/>
        <w:jc w:val="both"/>
        <w:rPr/>
      </w:pPr>
      <w:r>
        <w:rPr>
          <w:color w:val="000000"/>
        </w:rPr>
        <w:t>“</w:t>
      </w:r>
      <w:r>
        <w:rPr>
          <w:rFonts w:ascii="Times New Roman;sans-serif" w:hAnsi="Times New Roman;sans-serif"/>
          <w:b/>
          <w:i/>
          <w:color w:val="000000"/>
          <w:sz w:val="24"/>
        </w:rPr>
        <w:t>Uniform Commercial Code</w:t>
      </w:r>
      <w:r>
        <w:rPr>
          <w:color w:val="000000"/>
        </w:rPr>
        <w:t xml:space="preserve">” </w:t>
      </w:r>
      <w:r>
        <w:rPr>
          <w:rFonts w:ascii="Times New Roman;sans-serif" w:hAnsi="Times New Roman;sans-serif"/>
          <w:b w:val="false"/>
          <w:color w:val="000000"/>
          <w:sz w:val="24"/>
        </w:rPr>
        <w:t>means the Uniform Commercial Code as the same may from time to time be in effect in the State of New York or, where the context requires, the Uniform Commercial Code or any equivalent statute of any other relevant jurisdiction.</w:t>
      </w:r>
    </w:p>
    <w:p>
      <w:pPr>
        <w:pStyle w:val="TextBody"/>
        <w:bidi w:val="0"/>
        <w:spacing w:lineRule="auto" w:line="240" w:before="24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ARTICLE II</w:t>
      </w:r>
    </w:p>
    <w:p>
      <w:pPr>
        <w:pStyle w:val="TextBody"/>
        <w:bidi w:val="0"/>
        <w:spacing w:before="0" w:after="0"/>
        <w:jc w:val="left"/>
        <w:rPr/>
      </w:pPr>
      <w:r>
        <w:rPr/>
      </w:r>
    </w:p>
    <w:p>
      <w:pPr>
        <w:pStyle w:val="TextBody"/>
        <w:bidi w:val="0"/>
        <w:spacing w:lineRule="auto" w:line="240" w:before="1" w:after="283"/>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Pledge of Securities</w:t>
      </w:r>
    </w:p>
    <w:p>
      <w:pPr>
        <w:pStyle w:val="TextBody"/>
        <w:bidi w:val="0"/>
        <w:spacing w:lineRule="auto" w:line="240" w:before="240" w:after="283"/>
        <w:ind w:left="0" w:right="0" w:firstLine="1440"/>
        <w:jc w:val="both"/>
        <w:rPr/>
      </w:pPr>
      <w:r>
        <w:rPr>
          <w:rFonts w:ascii="Times New Roman;sans-serif" w:hAnsi="Times New Roman;sans-serif"/>
          <w:b w:val="false"/>
          <w:color w:val="000000"/>
          <w:sz w:val="24"/>
        </w:rPr>
        <w:t xml:space="preserve">SECTION 2.1. </w:t>
      </w:r>
      <w:r>
        <w:rPr>
          <w:rFonts w:ascii="Times New Roman;sans-serif" w:hAnsi="Times New Roman;sans-serif"/>
          <w:b/>
          <w:i/>
          <w:color w:val="000000"/>
          <w:sz w:val="24"/>
        </w:rPr>
        <w:t>Pledge</w:t>
      </w:r>
      <w:r>
        <w:rPr>
          <w:rFonts w:ascii="Times New Roman;sans-serif" w:hAnsi="Times New Roman;sans-serif"/>
          <w:b w:val="false"/>
          <w:i/>
          <w:color w:val="000000"/>
          <w:sz w:val="24"/>
        </w:rPr>
        <w:t xml:space="preserve">. </w:t>
      </w:r>
      <w:r>
        <w:rPr>
          <w:rFonts w:ascii="Times New Roman;sans-serif" w:hAnsi="Times New Roman;sans-serif"/>
          <w:b w:val="false"/>
          <w:color w:val="000000"/>
          <w:sz w:val="24"/>
        </w:rPr>
        <w:t>As security for the payment or performance when due (whether at the stated maturity, by acceleration or otherwise), as the case may be, in full of its Secured Obligations, each Pledgor hereby collaterally assigns, pledges and grants to the Collateral Agent, its permitted successors and permitted assigns, for the benefit of the Secured Parties, a security interest in all of such Pledgor’s right, title and interest in, to and under (whether now owned or hereafter acquired):</w:t>
      </w:r>
    </w:p>
    <w:p>
      <w:pPr>
        <w:pStyle w:val="TextBody"/>
        <w:bidi w:val="0"/>
        <w:spacing w:lineRule="auto" w:line="240" w:before="238" w:after="283"/>
        <w:ind w:left="0" w:right="0" w:firstLine="1440"/>
        <w:jc w:val="both"/>
        <w:rPr/>
      </w:pPr>
      <w:r>
        <w:rPr>
          <w:rFonts w:ascii="Times New Roman;sans-serif" w:hAnsi="Times New Roman;sans-serif"/>
          <w:b w:val="false"/>
          <w:color w:val="000000"/>
          <w:sz w:val="24"/>
        </w:rPr>
        <w:t xml:space="preserve">(a)all Equity Interests directly owned by it (including those listed on </w:t>
      </w:r>
      <w:r>
        <w:rPr>
          <w:rFonts w:ascii="Times New Roman;sans-serif" w:hAnsi="Times New Roman;sans-serif"/>
          <w:b w:val="false"/>
          <w:color w:val="000000"/>
          <w:sz w:val="24"/>
          <w:u w:val="single"/>
        </w:rPr>
        <w:t>Schedule</w:t>
      </w:r>
      <w:r>
        <w:rPr>
          <w:color w:val="000000"/>
        </w:rPr>
        <w:t xml:space="preserve"> </w:t>
      </w:r>
      <w:r>
        <w:rPr>
          <w:rFonts w:ascii="Times New Roman;sans-serif" w:hAnsi="Times New Roman;sans-serif"/>
          <w:b w:val="false"/>
          <w:color w:val="000000"/>
          <w:sz w:val="24"/>
          <w:u w:val="single"/>
        </w:rPr>
        <w:t>I</w:t>
      </w:r>
      <w:r>
        <w:rPr>
          <w:rFonts w:ascii="Times New Roman;sans-serif" w:hAnsi="Times New Roman;sans-serif"/>
          <w:b w:val="false"/>
          <w:color w:val="000000"/>
          <w:sz w:val="24"/>
        </w:rPr>
        <w:t>) on the Closing Date or in the future by such Pledgor and any certificates representing all such Equity Interests (any such Equity Interests, the “</w:t>
      </w:r>
      <w:r>
        <w:rPr>
          <w:rFonts w:ascii="Times New Roman;sans-serif" w:hAnsi="Times New Roman;sans-serif"/>
          <w:b/>
          <w:i/>
          <w:color w:val="000000"/>
          <w:sz w:val="24"/>
        </w:rPr>
        <w:t>Pledged Stock</w:t>
      </w:r>
      <w:r>
        <w:rPr>
          <w:color w:val="000000"/>
        </w:rPr>
        <w:t>”</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the Pledged Stock shall not include any Excluded Securities or Excluded Property;</w:t>
      </w:r>
    </w:p>
    <w:p>
      <w:pPr>
        <w:pStyle w:val="TextBody"/>
        <w:bidi w:val="0"/>
        <w:spacing w:lineRule="auto" w:line="240" w:before="241" w:after="283"/>
        <w:ind w:left="0" w:right="0" w:firstLine="1440"/>
        <w:jc w:val="both"/>
        <w:rPr/>
      </w:pPr>
      <w:r>
        <w:rPr>
          <w:rFonts w:ascii="Times New Roman;sans-serif" w:hAnsi="Times New Roman;sans-serif"/>
          <w:b w:val="false"/>
          <w:color w:val="000000"/>
          <w:sz w:val="24"/>
        </w:rPr>
        <w:t xml:space="preserve">(b)(i) the debt obligations owed to such Pledgor listed opposite the name of such Pledgor on </w:t>
      </w:r>
      <w:r>
        <w:rPr>
          <w:rFonts w:ascii="Times New Roman;sans-serif" w:hAnsi="Times New Roman;sans-serif"/>
          <w:b w:val="false"/>
          <w:color w:val="000000"/>
          <w:sz w:val="24"/>
          <w:u w:val="single"/>
        </w:rPr>
        <w:t>Schedule I</w:t>
      </w:r>
      <w:r>
        <w:rPr>
          <w:rFonts w:ascii="Times New Roman;sans-serif" w:hAnsi="Times New Roman;sans-serif"/>
          <w:b w:val="false"/>
          <w:i/>
          <w:color w:val="000000"/>
          <w:sz w:val="24"/>
        </w:rPr>
        <w:t xml:space="preserve">, </w:t>
      </w:r>
      <w:r>
        <w:rPr>
          <w:rFonts w:ascii="Times New Roman;sans-serif" w:hAnsi="Times New Roman;sans-serif"/>
          <w:b w:val="false"/>
          <w:color w:val="000000"/>
          <w:sz w:val="24"/>
        </w:rPr>
        <w:t>(ii) all other debt obligations existing on the Closing Date or in the future issued to such Pledgor and (iii) the certificates, promissory notes and any other instruments, if any, evidencing such debt obligations (the property described in clauses (b)(i), (ii) and (iii) above, the “</w:t>
      </w:r>
      <w:r>
        <w:rPr>
          <w:rFonts w:ascii="Times New Roman;sans-serif" w:hAnsi="Times New Roman;sans-serif"/>
          <w:b/>
          <w:i/>
          <w:color w:val="000000"/>
          <w:sz w:val="24"/>
        </w:rPr>
        <w:t>Pledged Debt</w:t>
      </w:r>
      <w:r>
        <w:rPr>
          <w:color w:val="000000"/>
        </w:rPr>
        <w:t>”</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the Pledged Debt shall not include any Excluded Securities or Excluded Property;</w:t>
      </w:r>
    </w:p>
    <w:p>
      <w:pPr>
        <w:pStyle w:val="TextBody"/>
        <w:bidi w:val="0"/>
        <w:spacing w:lineRule="auto" w:line="240" w:before="240" w:after="283"/>
        <w:ind w:left="0" w:right="0" w:firstLine="1440"/>
        <w:jc w:val="both"/>
        <w:rPr/>
      </w:pPr>
      <w:r>
        <w:rPr>
          <w:rFonts w:ascii="Times New Roman;sans-serif" w:hAnsi="Times New Roman;sans-serif"/>
          <w:b w:val="false"/>
          <w:color w:val="000000"/>
          <w:sz w:val="24"/>
        </w:rPr>
        <w:t xml:space="preserve">(c)subject to </w:t>
      </w:r>
      <w:r>
        <w:rPr>
          <w:rFonts w:ascii="Times New Roman;sans-serif" w:hAnsi="Times New Roman;sans-serif"/>
          <w:b w:val="false"/>
          <w:color w:val="000000"/>
          <w:sz w:val="24"/>
          <w:u w:val="single"/>
        </w:rPr>
        <w:t>Section 2.6</w:t>
      </w:r>
      <w:r>
        <w:rPr>
          <w:rFonts w:ascii="Times New Roman;sans-serif" w:hAnsi="Times New Roman;sans-serif"/>
          <w:b w:val="false"/>
          <w:color w:val="000000"/>
          <w:sz w:val="24"/>
        </w:rPr>
        <w:t>, all payments of principal or interest, dividends, cash, instruments and other property from time to time received, receivable or otherwise distributed in</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13">
                <wp:simplePos x="0" y="0"/>
                <wp:positionH relativeFrom="character">
                  <wp:align>left</wp:align>
                </wp:positionH>
                <wp:positionV relativeFrom="line">
                  <wp:posOffset>635</wp:posOffset>
                </wp:positionV>
                <wp:extent cx="6480175" cy="781050"/>
                <wp:effectExtent l="0" t="0" r="0" b="0"/>
                <wp:wrapNone/>
                <wp:docPr id="512" name="Frame511"/>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310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310</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jc w:val="both"/>
        <w:rPr>
          <w:rFonts w:ascii="Times New Roman;sans-serif" w:hAnsi="Times New Roman;sans-serif"/>
          <w:b w:val="false"/>
          <w:color w:val="000000"/>
          <w:sz w:val="24"/>
        </w:rPr>
      </w:pPr>
      <w:r>
        <w:rPr>
          <w:rFonts w:ascii="Times New Roman;sans-serif" w:hAnsi="Times New Roman;sans-serif"/>
          <w:b w:val="false"/>
          <w:color w:val="000000"/>
          <w:sz w:val="24"/>
        </w:rPr>
        <w:t>respect of, in exchange for or upon the conversion of, and all other Proceeds received in respect of the Pledged Stock and the Pledged Debt;</w:t>
      </w:r>
    </w:p>
    <w:p>
      <w:pPr>
        <w:pStyle w:val="TextBody"/>
        <w:bidi w:val="0"/>
        <w:spacing w:lineRule="auto" w:line="240" w:before="240" w:after="283"/>
        <w:ind w:left="0" w:right="0" w:firstLine="1440"/>
        <w:jc w:val="both"/>
        <w:rPr/>
      </w:pPr>
      <w:r>
        <w:rPr>
          <w:rFonts w:ascii="Times New Roman;sans-serif" w:hAnsi="Times New Roman;sans-serif"/>
          <w:b w:val="false"/>
          <w:color w:val="000000"/>
          <w:sz w:val="24"/>
        </w:rPr>
        <w:t xml:space="preserve">(d)subject to </w:t>
      </w:r>
      <w:r>
        <w:rPr>
          <w:rFonts w:ascii="Times New Roman;sans-serif" w:hAnsi="Times New Roman;sans-serif"/>
          <w:b w:val="false"/>
          <w:color w:val="000000"/>
          <w:sz w:val="24"/>
          <w:u w:val="single"/>
        </w:rPr>
        <w:t>Section 2.6</w:t>
      </w:r>
      <w:r>
        <w:rPr>
          <w:rFonts w:ascii="Times New Roman;sans-serif" w:hAnsi="Times New Roman;sans-serif"/>
          <w:b w:val="false"/>
          <w:color w:val="000000"/>
          <w:sz w:val="24"/>
        </w:rPr>
        <w:t>, all rights and privileges of such Pledgor with respect to the Pledged Stock, Pledged Debt and other property referred to in clause (c) above; and</w:t>
      </w:r>
    </w:p>
    <w:p>
      <w:pPr>
        <w:pStyle w:val="TextBody"/>
        <w:bidi w:val="0"/>
        <w:spacing w:lineRule="auto" w:line="240" w:before="240"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(e)all Proceeds of, and Security Entitlements in respect of, any of the foregoing (the Pledged Stock, Pledged Debt and other property referred to in this clause (e) and in clauses</w:t>
      </w:r>
    </w:p>
    <w:p>
      <w:pPr>
        <w:pStyle w:val="TextBody"/>
        <w:bidi w:val="0"/>
        <w:spacing w:lineRule="auto" w:line="240" w:before="0" w:after="0"/>
        <w:jc w:val="left"/>
        <w:rPr/>
      </w:pPr>
      <w:r>
        <w:rPr>
          <w:rFonts w:ascii="Times New Roman;sans-serif" w:hAnsi="Times New Roman;sans-serif"/>
          <w:b w:val="false"/>
          <w:color w:val="000000"/>
          <w:sz w:val="24"/>
        </w:rPr>
        <w:t>(f)and (d) above being collectively referred to as the “</w:t>
      </w:r>
      <w:r>
        <w:rPr>
          <w:rFonts w:ascii="Times New Roman;sans-serif" w:hAnsi="Times New Roman;sans-serif"/>
          <w:b/>
          <w:i/>
          <w:color w:val="000000"/>
          <w:sz w:val="24"/>
        </w:rPr>
        <w:t>Pledged Collateral</w:t>
      </w:r>
      <w:r>
        <w:rPr>
          <w:color w:val="000000"/>
        </w:rPr>
        <w:t>”</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the Pledged Collateral shall not include any Excluded Securities or Excluded Property;</w:t>
      </w:r>
    </w:p>
    <w:p>
      <w:pPr>
        <w:pStyle w:val="TextBody"/>
        <w:bidi w:val="0"/>
        <w:spacing w:lineRule="auto" w:line="240"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TO HAVE AND TO HOLD, the Pledged Collateral together with all right, title, interest, powers, privileges and preferences pertaining or incidental thereto, unto the Collateral Agent, its permitted successors and permitted assigns, for the benefit of the Secured Parties; subject, however, to the terms, covenants and conditions hereinafter set forth and in the Credit Agreement.</w:t>
      </w:r>
    </w:p>
    <w:p>
      <w:pPr>
        <w:pStyle w:val="TextBody"/>
        <w:bidi w:val="0"/>
        <w:spacing w:lineRule="auto" w:line="240" w:before="240" w:after="283"/>
        <w:ind w:left="0" w:right="0" w:firstLine="1440"/>
        <w:jc w:val="both"/>
        <w:rPr/>
      </w:pPr>
      <w:r>
        <w:rPr>
          <w:rFonts w:ascii="Times New Roman;sans-serif" w:hAnsi="Times New Roman;sans-serif"/>
          <w:b w:val="false"/>
          <w:color w:val="000000"/>
          <w:sz w:val="24"/>
        </w:rPr>
        <w:t xml:space="preserve">SECTION 2.2. </w:t>
      </w:r>
      <w:r>
        <w:rPr>
          <w:rFonts w:ascii="Times New Roman;sans-serif" w:hAnsi="Times New Roman;sans-serif"/>
          <w:b/>
          <w:i/>
          <w:color w:val="000000"/>
          <w:sz w:val="24"/>
        </w:rPr>
        <w:t>Delivery of the Pledged Collateral</w:t>
      </w:r>
      <w:r>
        <w:rPr>
          <w:rFonts w:ascii="Times New Roman;sans-serif" w:hAnsi="Times New Roman;sans-serif"/>
          <w:b w:val="false"/>
          <w:color w:val="000000"/>
          <w:sz w:val="24"/>
        </w:rPr>
        <w:t>. (a) Each Pledgor agrees promptly to deliver or cause to be delivered to the Collateral Agent (subject to the Certain Funds Provisions), for the benefit of the Secured Parties, any and all certificates or other instruments (if any) representing Pledged Securities, to the extent such Pledged Securities are either (i) Pledged Stock (other than any uncertificated securities) or (ii) in the case of promissory notes or other instruments evidencing Pledged Debt, are required to be delivered pursuant to paragraph (b) of this Section 2.2.</w:t>
      </w:r>
    </w:p>
    <w:p>
      <w:pPr>
        <w:pStyle w:val="TextBody"/>
        <w:bidi w:val="0"/>
        <w:spacing w:lineRule="auto" w:line="240" w:before="240"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(b)To the extent any Indebtedness for borrowed money constituting Pledged Collateral owed to any Pledgor is evidenced by a duly executed promissory note in an individual amount in excess of $10,000,000, such Pledgor shall promptly cause such promissory note to be pledged and delivered to the Collateral Agent, for the benefit of the Secured Parties, pursuant to the terms hereof (except to the extent that a pledge or delivery of such promissory note would violate applicable law).</w:t>
      </w:r>
    </w:p>
    <w:p>
      <w:pPr>
        <w:pStyle w:val="TextBody"/>
        <w:bidi w:val="0"/>
        <w:spacing w:lineRule="auto" w:line="240" w:before="239" w:after="283"/>
        <w:ind w:left="0" w:right="0" w:firstLine="1440"/>
        <w:jc w:val="both"/>
        <w:rPr/>
      </w:pPr>
      <w:r>
        <w:rPr>
          <w:rFonts w:ascii="Times New Roman;sans-serif" w:hAnsi="Times New Roman;sans-serif"/>
          <w:b w:val="false"/>
          <w:color w:val="000000"/>
          <w:sz w:val="24"/>
        </w:rPr>
        <w:t xml:space="preserve">(c)Upon delivery to the Collateral Agent, any Pledged Securities required to be delivered pursuant to the foregoing paragraphs (a) and (b) of this Section 2.2 shall be accompanied by undated stock powers or allonges, as applicable, duly executed by the applicable Pledgor in blank or other instruments of transfer reasonably satisfactory to the Collateral Agent, and by such other instruments and documents as the Collateral Agent may reasonably request. Each delivery of Pledged Securities shall be accompanied by a schedule describing the securities, which schedule shall be deemed to be attached hereto as </w:t>
      </w:r>
      <w:r>
        <w:rPr>
          <w:rFonts w:ascii="Times New Roman;sans-serif" w:hAnsi="Times New Roman;sans-serif"/>
          <w:b w:val="false"/>
          <w:color w:val="000000"/>
          <w:sz w:val="24"/>
          <w:u w:val="single"/>
        </w:rPr>
        <w:t>Schedule I</w:t>
      </w:r>
      <w:r>
        <w:rPr>
          <w:color w:val="000000"/>
        </w:rPr>
        <w:t xml:space="preserve"> </w:t>
      </w:r>
      <w:r>
        <w:rPr>
          <w:rFonts w:ascii="Times New Roman;sans-serif" w:hAnsi="Times New Roman;sans-serif"/>
          <w:b w:val="false"/>
          <w:color w:val="000000"/>
          <w:sz w:val="24"/>
        </w:rPr>
        <w:t xml:space="preserve">(or a supplement to </w:t>
      </w:r>
      <w:r>
        <w:rPr>
          <w:rFonts w:ascii="Times New Roman;sans-serif" w:hAnsi="Times New Roman;sans-serif"/>
          <w:b w:val="false"/>
          <w:color w:val="000000"/>
          <w:sz w:val="24"/>
          <w:u w:val="single"/>
        </w:rPr>
        <w:t>Schedule</w:t>
      </w:r>
      <w:r>
        <w:rPr>
          <w:color w:val="000000"/>
        </w:rPr>
        <w:t xml:space="preserve"> </w:t>
      </w:r>
      <w:r>
        <w:rPr>
          <w:rFonts w:ascii="Times New Roman;sans-serif" w:hAnsi="Times New Roman;sans-serif"/>
          <w:b w:val="false"/>
          <w:color w:val="000000"/>
          <w:sz w:val="24"/>
          <w:u w:val="single"/>
        </w:rPr>
        <w:t>I</w:t>
      </w:r>
      <w:r>
        <w:rPr>
          <w:rFonts w:ascii="Times New Roman;sans-serif" w:hAnsi="Times New Roman;sans-serif"/>
          <w:b w:val="false"/>
          <w:color w:val="000000"/>
          <w:sz w:val="24"/>
        </w:rPr>
        <w:t xml:space="preserve">, as applicable) and made a part hereof;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failure to attach any such schedule hereto shall not affect the validity of such pledge of such Pledged Securities. Each schedule so delivered shall supplement any prior schedules so delivered.</w:t>
      </w:r>
    </w:p>
    <w:p>
      <w:pPr>
        <w:pStyle w:val="TextBody"/>
        <w:bidi w:val="0"/>
        <w:spacing w:lineRule="auto" w:line="240" w:before="241" w:after="283"/>
        <w:ind w:left="0" w:right="0" w:firstLine="1440"/>
        <w:jc w:val="both"/>
        <w:rPr/>
      </w:pPr>
      <w:r>
        <w:rPr>
          <w:rFonts w:ascii="Times New Roman;sans-serif" w:hAnsi="Times New Roman;sans-serif"/>
          <w:b w:val="false"/>
          <w:color w:val="000000"/>
          <w:sz w:val="24"/>
        </w:rPr>
        <w:t xml:space="preserve">SECTION 2.3. </w:t>
      </w:r>
      <w:r>
        <w:rPr>
          <w:rFonts w:ascii="Times New Roman;sans-serif" w:hAnsi="Times New Roman;sans-serif"/>
          <w:b/>
          <w:i/>
          <w:color w:val="000000"/>
          <w:sz w:val="24"/>
        </w:rPr>
        <w:t>Representations, Warranties and Covenants</w:t>
      </w:r>
      <w:r>
        <w:rPr>
          <w:rFonts w:ascii="Times New Roman;sans-serif" w:hAnsi="Times New Roman;sans-serif"/>
          <w:b w:val="false"/>
          <w:i/>
          <w:color w:val="000000"/>
          <w:sz w:val="24"/>
        </w:rPr>
        <w:t xml:space="preserve">. </w:t>
      </w:r>
      <w:r>
        <w:rPr>
          <w:rFonts w:ascii="Times New Roman;sans-serif" w:hAnsi="Times New Roman;sans-serif"/>
          <w:b w:val="false"/>
          <w:color w:val="000000"/>
          <w:sz w:val="24"/>
        </w:rPr>
        <w:t>The Pledgors, jointly and severally, represent, warrant and covenant to and with the Collateral Agent, for the benefit of the Secured Parties, that:</w:t>
      </w:r>
    </w:p>
    <w:p>
      <w:pPr>
        <w:pStyle w:val="TextBody"/>
        <w:bidi w:val="0"/>
        <w:spacing w:lineRule="auto" w:line="240" w:before="240" w:after="283"/>
        <w:ind w:left="0" w:right="0" w:firstLine="720"/>
        <w:jc w:val="left"/>
        <w:rPr/>
      </w:pPr>
      <w:r>
        <w:rPr>
          <w:rFonts w:ascii="Times New Roman;sans-serif" w:hAnsi="Times New Roman;sans-serif"/>
          <w:b w:val="false"/>
          <w:color w:val="000000"/>
          <w:sz w:val="24"/>
        </w:rPr>
        <w:t>(i)</w:t>
      </w:r>
      <w:r>
        <w:rPr>
          <w:rFonts w:ascii="Times New Roman;sans-serif" w:hAnsi="Times New Roman;sans-serif"/>
          <w:b w:val="false"/>
          <w:color w:val="000000"/>
          <w:sz w:val="24"/>
          <w:u w:val="single"/>
        </w:rPr>
        <w:t>Schedule I</w:t>
      </w:r>
      <w:r>
        <w:rPr>
          <w:color w:val="000000"/>
        </w:rPr>
        <w:t xml:space="preserve"> </w:t>
      </w:r>
      <w:r>
        <w:rPr>
          <w:rFonts w:ascii="Times New Roman;sans-serif" w:hAnsi="Times New Roman;sans-serif"/>
          <w:b w:val="false"/>
          <w:color w:val="000000"/>
          <w:sz w:val="24"/>
        </w:rPr>
        <w:t>correctly sets forth (or, with respect to any Pledged Stock issued by an issuer that is not a subsidiary of the Borrower, correctly sets forth, to the knowledge</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14">
                <wp:simplePos x="0" y="0"/>
                <wp:positionH relativeFrom="character">
                  <wp:align>left</wp:align>
                </wp:positionH>
                <wp:positionV relativeFrom="line">
                  <wp:posOffset>635</wp:posOffset>
                </wp:positionV>
                <wp:extent cx="6480175" cy="781050"/>
                <wp:effectExtent l="0" t="0" r="0" b="0"/>
                <wp:wrapNone/>
                <wp:docPr id="513" name="Frame512"/>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311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311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60" w:after="283"/>
        <w:jc w:val="both"/>
        <w:rPr>
          <w:rFonts w:ascii="Times New Roman;sans-serif" w:hAnsi="Times New Roman;sans-serif"/>
          <w:b w:val="false"/>
          <w:color w:val="000000"/>
          <w:sz w:val="24"/>
        </w:rPr>
      </w:pPr>
      <w:r>
        <w:rPr>
          <w:rFonts w:ascii="Times New Roman;sans-serif" w:hAnsi="Times New Roman;sans-serif"/>
          <w:b w:val="false"/>
          <w:color w:val="000000"/>
          <w:sz w:val="24"/>
        </w:rPr>
        <w:t>of the relevant Pledgor), as of the Closing Date, the percentage of the issued and outstanding units of each class of the Equity Interests of the issuer thereof represented by the Pledged Stock and includes (i) all Equity Interests pledged hereunder and (ii) Pledged Debt pledged hereunder and in an individual principal amount in excess of $10,000,000;</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(ii)the Pledged Stock and Pledged Debt (with respect to any Pledged Stock or Pledged Debt issued by an issuer that is not a subsidiary of the Borrower, to the knowledge of the relevant Pledgor), as of the Closing Date, (x) have been duly and validly authorized and issued by the issuers thereof and (y) (i) in the case of Pledged Stock, are fully paid and, with respect to Equity Interests constituting capital stock of a corporation, nonassessable and (ii) in the case of Pledged Debt, are legal, valid and binding obligations of the issuers thereof, subject to the effects of bankruptcy, insolvency, fraudulent conveyance, reorganization, moratorium and other similar laws relating to or affecting creditors’ rights generally, general equitable principles (whether considered in a proceeding at law or in equity) and any implied covenant of good faith and fair dealing;</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 xml:space="preserve">(iii)except for the security interests granted hereunder (and other security interests not prohibited by the Credit Agreement Documents), each Pledgor (i) is and, subject to any transfers not in violation of the Credit Agreement, will continue to be the direct owner, beneficially and of record, of the Pledged Securities indicated on </w:t>
      </w:r>
      <w:r>
        <w:rPr>
          <w:rFonts w:ascii="Times New Roman;sans-serif" w:hAnsi="Times New Roman;sans-serif"/>
          <w:b w:val="false"/>
          <w:color w:val="000000"/>
          <w:sz w:val="24"/>
          <w:u w:val="single"/>
        </w:rPr>
        <w:t>Schedule I</w:t>
      </w:r>
      <w:r>
        <w:rPr>
          <w:color w:val="000000"/>
        </w:rPr>
        <w:t xml:space="preserve"> </w:t>
      </w:r>
      <w:r>
        <w:rPr>
          <w:rFonts w:ascii="Times New Roman;sans-serif" w:hAnsi="Times New Roman;sans-serif"/>
          <w:b w:val="false"/>
          <w:color w:val="000000"/>
          <w:sz w:val="24"/>
        </w:rPr>
        <w:t xml:space="preserve">(as may be supplemented from time to time pursuant to </w:t>
      </w:r>
      <w:r>
        <w:rPr>
          <w:rFonts w:ascii="Times New Roman;sans-serif" w:hAnsi="Times New Roman;sans-serif"/>
          <w:b w:val="false"/>
          <w:color w:val="000000"/>
          <w:sz w:val="24"/>
          <w:u w:val="single"/>
        </w:rPr>
        <w:t>Section 2.2(c)</w:t>
      </w:r>
      <w:r>
        <w:rPr>
          <w:rFonts w:ascii="Times New Roman;sans-serif" w:hAnsi="Times New Roman;sans-serif"/>
          <w:b w:val="false"/>
          <w:color w:val="000000"/>
          <w:sz w:val="24"/>
        </w:rPr>
        <w:t>) as owned by such Pledgor, (ii) holds the same free and clear of all Liens, other than Permitted Liens, (iii) will make no assignment, pledge, hypothecation or transfer of, or create or permit to exist any security interest in or other Lien on, the Pledged Collateral, other than pursuant to a transaction not prohibited by the Credit Agreement and other than Permitted Liens and</w:t>
      </w:r>
    </w:p>
    <w:p>
      <w:pPr>
        <w:pStyle w:val="TextBody"/>
        <w:bidi w:val="0"/>
        <w:spacing w:lineRule="auto" w:line="240" w:before="1" w:after="283"/>
        <w:jc w:val="both"/>
        <w:rPr>
          <w:rFonts w:ascii="Times New Roman;sans-serif" w:hAnsi="Times New Roman;sans-serif"/>
          <w:b w:val="false"/>
          <w:color w:val="000000"/>
          <w:sz w:val="24"/>
        </w:rPr>
      </w:pPr>
      <w:r>
        <w:rPr>
          <w:rFonts w:ascii="Times New Roman;sans-serif" w:hAnsi="Times New Roman;sans-serif"/>
          <w:b w:val="false"/>
          <w:color w:val="000000"/>
          <w:sz w:val="24"/>
        </w:rPr>
        <w:t>(iv)subject to the rights of such Pledgor under the Credit Agreement Documents to Dispose of Pledged Collateral, will use commercially reasonable efforts to defend its title or interest thereto or therein against any and all Liens (other than Permitted Liens), however arising, of all persons;</w:t>
      </w:r>
    </w:p>
    <w:p>
      <w:pPr>
        <w:pStyle w:val="TextBody"/>
        <w:bidi w:val="0"/>
        <w:spacing w:lineRule="auto" w:line="240" w:before="238"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(iv)other than as set forth in the Credit Agreement, and except for restrictions and limitations imposed by the Credit Agreement Documents or securities laws generally or otherwise not prohibited by the Credit Agreement, the Pledged Stock (other than partnership interests and interests in any Person that is not a Wholly-Owned Subsidiary) is and will continue to be freely transferable and assignable, and none of the Pledged Stock is or will be subject to any option, right of first refusal, shareholders agreement, charter, by-law, memorandum of association or articles of association provisions or contractual restriction of any nature that might prohibit, impair, delay or otherwise affect the pledge of such Pledged Stock hereunder, the Disposition thereof pursuant hereto or the exercise by the Collateral Agent of rights and remedies hereunder other than under applicable Requirements of Law;</w:t>
      </w:r>
    </w:p>
    <w:p>
      <w:pPr>
        <w:pStyle w:val="TextBody"/>
        <w:bidi w:val="0"/>
        <w:spacing w:lineRule="auto" w:line="240" w:before="241"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(v)each Pledgor has the power and authority to pledge the Pledged Collateral pledged by it hereunder in the manner hereby done or contemplated;</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(vi)other than as set forth in the Credit Agreement, as of the Closing Date, no consent or approval of any Governmental Authority, any securities exchange or any other</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15">
                <wp:simplePos x="0" y="0"/>
                <wp:positionH relativeFrom="character">
                  <wp:align>left</wp:align>
                </wp:positionH>
                <wp:positionV relativeFrom="line">
                  <wp:posOffset>635</wp:posOffset>
                </wp:positionV>
                <wp:extent cx="6480175" cy="781050"/>
                <wp:effectExtent l="0" t="0" r="0" b="0"/>
                <wp:wrapNone/>
                <wp:docPr id="514" name="Frame513"/>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312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312</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jc w:val="both"/>
        <w:rPr>
          <w:rFonts w:ascii="Times New Roman;sans-serif" w:hAnsi="Times New Roman;sans-serif"/>
          <w:b w:val="false"/>
          <w:color w:val="000000"/>
          <w:sz w:val="24"/>
        </w:rPr>
      </w:pPr>
      <w:r>
        <w:rPr>
          <w:rFonts w:ascii="Times New Roman;sans-serif" w:hAnsi="Times New Roman;sans-serif"/>
          <w:b w:val="false"/>
          <w:color w:val="000000"/>
          <w:sz w:val="24"/>
        </w:rPr>
        <w:t>person was or is necessary to the validity of the pledge effected hereby in the Pledged Collateral other than (x) such as have been obtained and are in full force and effect and (y) filings necessary to perfect the Liens on the Collateral granted by the Pledgors in favor of the Secured Parties;</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 xml:space="preserve">(vii)by virtue of the execution and delivery by the respective Pledgors of this Agreement or any supplement hereto, when any Pledged Securities are delivered to the Collateral Agent, for the benefit of the Secured Parties, in accordance with this Agreement (to the extent required hereunder) and financing statements naming the Collateral Agent as the secured party described in </w:t>
      </w:r>
      <w:r>
        <w:rPr>
          <w:rFonts w:ascii="Times New Roman;sans-serif" w:hAnsi="Times New Roman;sans-serif"/>
          <w:b w:val="false"/>
          <w:color w:val="000000"/>
          <w:sz w:val="24"/>
          <w:u w:val="single"/>
        </w:rPr>
        <w:t>Section 3.2</w:t>
      </w:r>
      <w:r>
        <w:rPr>
          <w:color w:val="000000"/>
        </w:rPr>
        <w:t xml:space="preserve"> </w:t>
      </w:r>
      <w:r>
        <w:rPr>
          <w:rFonts w:ascii="Times New Roman;sans-serif" w:hAnsi="Times New Roman;sans-serif"/>
          <w:b w:val="false"/>
          <w:color w:val="000000"/>
          <w:sz w:val="24"/>
        </w:rPr>
        <w:t>are filed in the appropriate filing office, the Collateral Agent will obtain, for the benefit of the Secured Parties, a legal, valid and perfected lien upon and security interest in the Pledged Collateral under the Uniform Commercial Code or its equivalent in any applicable jurisdiction to the extent such lien and security interest may be created and perfected by the taking of such actions under the Uniform Commercial Code, subject to Permitted Liens; and</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(viii)each Pledgor that is an issuer of the Pledged Securities, in order to establish the “control” of the Collateral Agent in respect of such Pledged Securities, confirms that it has received notice of the security interest granted hereunder and consents to such security interest and, subject to the terms of any applicable Intercreditor Agreement, agrees to comply with any instruction with respect to its Equity Interests from the Collateral Agent during the continuance of an Event of Default.</w:t>
      </w:r>
    </w:p>
    <w:p>
      <w:pPr>
        <w:pStyle w:val="TextBody"/>
        <w:bidi w:val="0"/>
        <w:spacing w:lineRule="auto" w:line="240" w:before="241" w:after="283"/>
        <w:ind w:left="0" w:right="0" w:firstLine="1440"/>
        <w:jc w:val="both"/>
        <w:rPr/>
      </w:pPr>
      <w:r>
        <w:rPr>
          <w:rFonts w:ascii="Times New Roman;sans-serif" w:hAnsi="Times New Roman;sans-serif"/>
          <w:b w:val="false"/>
          <w:color w:val="000000"/>
          <w:sz w:val="24"/>
        </w:rPr>
        <w:t xml:space="preserve">SECTION 2.4. </w:t>
      </w:r>
      <w:r>
        <w:rPr>
          <w:rFonts w:ascii="Times New Roman;sans-serif" w:hAnsi="Times New Roman;sans-serif"/>
          <w:b/>
          <w:i/>
          <w:color w:val="000000"/>
          <w:sz w:val="24"/>
        </w:rPr>
        <w:t>Certification of Limited Liability Company and Limited Partnership Interests</w:t>
      </w:r>
      <w:r>
        <w:rPr>
          <w:rFonts w:ascii="Times New Roman;sans-serif" w:hAnsi="Times New Roman;sans-serif"/>
          <w:b w:val="false"/>
          <w:i/>
          <w:color w:val="000000"/>
          <w:sz w:val="24"/>
        </w:rPr>
        <w:t>.</w:t>
      </w:r>
    </w:p>
    <w:p>
      <w:pPr>
        <w:pStyle w:val="TextBody"/>
        <w:bidi w:val="0"/>
        <w:spacing w:lineRule="auto" w:line="240" w:before="240" w:after="283"/>
        <w:ind w:left="0" w:right="0" w:firstLine="1440"/>
        <w:jc w:val="both"/>
        <w:rPr/>
      </w:pPr>
      <w:r>
        <w:rPr>
          <w:rFonts w:ascii="Times New Roman;sans-serif" w:hAnsi="Times New Roman;sans-serif"/>
          <w:b w:val="false"/>
          <w:color w:val="000000"/>
          <w:sz w:val="24"/>
        </w:rPr>
        <w:t xml:space="preserve">(a)As of the Closing Date, except as set forth on </w:t>
      </w:r>
      <w:r>
        <w:rPr>
          <w:rFonts w:ascii="Times New Roman;sans-serif" w:hAnsi="Times New Roman;sans-serif"/>
          <w:b w:val="false"/>
          <w:color w:val="000000"/>
          <w:sz w:val="24"/>
          <w:u w:val="single"/>
        </w:rPr>
        <w:t>Schedule I</w:t>
      </w:r>
      <w:r>
        <w:rPr>
          <w:rFonts w:ascii="Times New Roman;sans-serif" w:hAnsi="Times New Roman;sans-serif"/>
          <w:b w:val="false"/>
          <w:color w:val="000000"/>
          <w:sz w:val="24"/>
        </w:rPr>
        <w:t xml:space="preserve">, the Equity Interests in limited liability companies and limited partnerships that are pledged by the Pledgors hereunder and do not have a certificate described on </w:t>
      </w:r>
      <w:r>
        <w:rPr>
          <w:rFonts w:ascii="Times New Roman;sans-serif" w:hAnsi="Times New Roman;sans-serif"/>
          <w:b w:val="false"/>
          <w:color w:val="000000"/>
          <w:sz w:val="24"/>
          <w:u w:val="single"/>
        </w:rPr>
        <w:t>Schedule I</w:t>
      </w:r>
      <w:r>
        <w:rPr>
          <w:color w:val="000000"/>
        </w:rPr>
        <w:t xml:space="preserve"> </w:t>
      </w:r>
      <w:r>
        <w:rPr>
          <w:rFonts w:ascii="Times New Roman;sans-serif" w:hAnsi="Times New Roman;sans-serif"/>
          <w:b w:val="false"/>
          <w:color w:val="000000"/>
          <w:sz w:val="24"/>
        </w:rPr>
        <w:t>do not constitute a security under Section 8-103 of the Uniform Commercial Code or the corresponding code or statute of any other applicable jurisdiction.</w:t>
      </w:r>
    </w:p>
    <w:p>
      <w:pPr>
        <w:pStyle w:val="TextBody"/>
        <w:bidi w:val="0"/>
        <w:spacing w:lineRule="auto" w:line="240" w:before="238"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(b)The Pledgors shall at no time elect to treat any interest in any limited liability company or limited partnership constituting Pledged Stock and pledged hereunder as a “security” within the meaning of Article 8 of the Uniform Commercial Code or its equivalent in any jurisdiction or issue any certificate representing such interest, unless promptly thereafter (and in any event within thirty (30) Business Days or such longer period as the Collateral Agent may permit in its reasonable discretion) the applicable Pledgor provides notification to the Collateral Agent of such election and delivers, as applicable, any such certificate to the Collateral Agent pursuant to the terms hereof.</w:t>
      </w:r>
    </w:p>
    <w:p>
      <w:pPr>
        <w:pStyle w:val="TextBody"/>
        <w:bidi w:val="0"/>
        <w:spacing w:lineRule="auto" w:line="240" w:before="241" w:after="283"/>
        <w:ind w:left="0" w:right="0" w:firstLine="1440"/>
        <w:jc w:val="both"/>
        <w:rPr/>
      </w:pPr>
      <w:r>
        <w:rPr>
          <w:rFonts w:ascii="Times New Roman;sans-serif" w:hAnsi="Times New Roman;sans-serif"/>
          <w:b w:val="false"/>
          <w:color w:val="000000"/>
          <w:sz w:val="24"/>
        </w:rPr>
        <w:t xml:space="preserve">SECTION 2.5. </w:t>
      </w:r>
      <w:r>
        <w:rPr>
          <w:rFonts w:ascii="Times New Roman;sans-serif" w:hAnsi="Times New Roman;sans-serif"/>
          <w:b/>
          <w:i/>
          <w:color w:val="000000"/>
          <w:sz w:val="24"/>
        </w:rPr>
        <w:t>Registration in Nominee Name; Denominations</w:t>
      </w:r>
      <w:r>
        <w:rPr>
          <w:rFonts w:ascii="Times New Roman;sans-serif" w:hAnsi="Times New Roman;sans-serif"/>
          <w:b w:val="false"/>
          <w:i/>
          <w:color w:val="000000"/>
          <w:sz w:val="24"/>
        </w:rPr>
        <w:t xml:space="preserve">. </w:t>
      </w:r>
      <w:r>
        <w:rPr>
          <w:rFonts w:ascii="Times New Roman;sans-serif" w:hAnsi="Times New Roman;sans-serif"/>
          <w:b w:val="false"/>
          <w:color w:val="000000"/>
          <w:sz w:val="24"/>
        </w:rPr>
        <w:t>Subject to any applicable Intercreditor Agreement, the Collateral Agent, on behalf of the Secured Parties, shall have the right (in its sole and absolute discretion) to hold the Pledged Securities in the name of the applicable Pledgor, endorsed or assigned in blank or in favor of the Collateral Agent or, if an Event of Default shall have occurred and be continuing and upon written notice to the applicable Pledgor, in its own name as pledgee or the name of its nominee (as pledgee or as sub-agent). If an</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16">
                <wp:simplePos x="0" y="0"/>
                <wp:positionH relativeFrom="character">
                  <wp:align>left</wp:align>
                </wp:positionH>
                <wp:positionV relativeFrom="line">
                  <wp:posOffset>635</wp:posOffset>
                </wp:positionV>
                <wp:extent cx="6480175" cy="781050"/>
                <wp:effectExtent l="0" t="0" r="0" b="0"/>
                <wp:wrapNone/>
                <wp:docPr id="515" name="Frame514"/>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313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313</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jc w:val="both"/>
        <w:rPr/>
      </w:pPr>
      <w:r>
        <w:rPr>
          <w:rFonts w:ascii="Times New Roman;sans-serif" w:hAnsi="Times New Roman;sans-serif"/>
          <w:b w:val="false"/>
          <w:color w:val="000000"/>
          <w:sz w:val="24"/>
        </w:rPr>
        <w:t xml:space="preserve">Event of Default shall have occurred and be continuing, each Pledgor will promptly give to the Collateral Agent copies of any notices or other communications received by it with respect to Pledged Securities registered in the name of such Pledgor. If an Event of Default shall have occurred and be continuing, the Collateral Agent shall have the right (provided that the Collateral Agent gives notice to the Borrower of its intent to exercise such right (other than during an Event of Default under </w:t>
      </w:r>
      <w:r>
        <w:rPr>
          <w:rFonts w:ascii="Times New Roman;sans-serif" w:hAnsi="Times New Roman;sans-serif"/>
          <w:b w:val="false"/>
          <w:color w:val="000000"/>
          <w:sz w:val="24"/>
          <w:u w:val="single"/>
        </w:rPr>
        <w:t>Section 7.01(h)</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7.01(i)</w:t>
      </w:r>
      <w:r>
        <w:rPr>
          <w:color w:val="000000"/>
        </w:rPr>
        <w:t xml:space="preserve"> </w:t>
      </w:r>
      <w:r>
        <w:rPr>
          <w:rFonts w:ascii="Times New Roman;sans-serif" w:hAnsi="Times New Roman;sans-serif"/>
          <w:b w:val="false"/>
          <w:color w:val="000000"/>
          <w:sz w:val="24"/>
        </w:rPr>
        <w:t xml:space="preserve">of the Credit Agreement)) to exchange the certificates representing Pledged Securities held by it for certificates of smaller or larger denominations for any purpose consistent with this Agreement, subject to any applicable Intercreditor Agreement. Subject to any applicable Intercreditor Agreement, if an Event of Default shall have occurred and be continuing and Collateral Agent has given notice to the Borrower of its intent to exercise such right, each Pledgor shall cause any Subsidiary that is not a party to this Agreement to comply with a request by the Collateral Agent, pursuant to this </w:t>
      </w:r>
      <w:r>
        <w:rPr>
          <w:rFonts w:ascii="Times New Roman;sans-serif" w:hAnsi="Times New Roman;sans-serif"/>
          <w:b w:val="false"/>
          <w:color w:val="000000"/>
          <w:sz w:val="24"/>
          <w:u w:val="single"/>
        </w:rPr>
        <w:t>Section 2.5</w:t>
      </w:r>
      <w:r>
        <w:rPr>
          <w:rFonts w:ascii="Times New Roman;sans-serif" w:hAnsi="Times New Roman;sans-serif"/>
          <w:b w:val="false"/>
          <w:color w:val="000000"/>
          <w:sz w:val="24"/>
        </w:rPr>
        <w:t>, to exchange certificates representing Pledged Securities of such Subsidiary for certificates of smaller or larger denominations.</w:t>
      </w:r>
    </w:p>
    <w:p>
      <w:pPr>
        <w:pStyle w:val="TextBody"/>
        <w:bidi w:val="0"/>
        <w:spacing w:lineRule="auto" w:line="240" w:before="240" w:after="283"/>
        <w:ind w:left="0" w:right="0" w:firstLine="1440"/>
        <w:jc w:val="both"/>
        <w:rPr/>
      </w:pPr>
      <w:r>
        <w:rPr>
          <w:rFonts w:ascii="Times New Roman;sans-serif" w:hAnsi="Times New Roman;sans-serif"/>
          <w:b w:val="false"/>
          <w:color w:val="000000"/>
          <w:sz w:val="24"/>
        </w:rPr>
        <w:t xml:space="preserve">SECTION 2.6. </w:t>
      </w:r>
      <w:r>
        <w:rPr>
          <w:rFonts w:ascii="Times New Roman;sans-serif" w:hAnsi="Times New Roman;sans-serif"/>
          <w:b/>
          <w:i/>
          <w:color w:val="000000"/>
          <w:sz w:val="24"/>
        </w:rPr>
        <w:t xml:space="preserve">Voting Rights; Dividend and Interest, Etc. </w:t>
      </w:r>
      <w:r>
        <w:rPr>
          <w:rFonts w:ascii="Times New Roman;sans-serif" w:hAnsi="Times New Roman;sans-serif"/>
          <w:b w:val="false"/>
          <w:color w:val="000000"/>
          <w:sz w:val="24"/>
        </w:rPr>
        <w:t>(a) Unless and until an Event of Default shall have occurred and be continuing and the Collateral Agent shall have given at least one (1) Business Day’s advance written notice to the relevant Pledgors of the Collateral Agent’s intention to exercise its rights hereunder:</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 xml:space="preserve">(i)Each Pledgor shall be entitled to exercise any and all voting and/or other consensual rights and powers inuring to an owner of Pledged Collateral or any part thereof for any purpose not prohibited by the terms of this Agreement or the Credit Agreement Documents;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except as expressly permitted by the terms of the Credit Agreement, such rights and powers shall not be exercised in any manner that would materially and adversely affect the rights and remedies of the Collateral Agent or any other Secured Parties under this Agreement or any other Credit Agreement Document or the ability of the Secured Parties to exercise the same.</w:t>
      </w:r>
    </w:p>
    <w:p>
      <w:pPr>
        <w:pStyle w:val="TextBody"/>
        <w:bidi w:val="0"/>
        <w:spacing w:lineRule="auto" w:line="240" w:before="239"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(ii)The Collateral Agent shall promptly execute and deliver to each Pledgor, or cause to be executed and delivered to such Pledgor, all such proxies, powers of attorney and other instruments as such Pledgor may reasonably request for the purpose of enabling such Pledgor to exercise the voting and/or consensual rights and powers it is entitled to exercise pursuant to subparagraph (i) above.</w:t>
      </w:r>
    </w:p>
    <w:p>
      <w:pPr>
        <w:pStyle w:val="TextBody"/>
        <w:bidi w:val="0"/>
        <w:spacing w:lineRule="auto" w:line="240" w:before="241" w:after="283"/>
        <w:ind w:left="0" w:right="0" w:firstLine="720"/>
        <w:jc w:val="both"/>
        <w:rPr/>
      </w:pPr>
      <w:r>
        <w:rPr>
          <w:rFonts w:ascii="Times New Roman;sans-serif" w:hAnsi="Times New Roman;sans-serif"/>
          <w:b w:val="false"/>
          <w:color w:val="000000"/>
          <w:sz w:val="24"/>
        </w:rPr>
        <w:t xml:space="preserve">(iii)Each Pledgor shall be entitled to receive and retain any and all dividends, interest, principal and other distributions paid on or distributed in respect of the Pledged Collateral to the extent and only to the extent that such dividends, interest, principal and other distributions are not prohibited by, and otherwise paid or distributed in accordance with, the terms and conditions of the Credit Agreement Documents and applicable laws;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(A) any non-cash dividends, interest, principal or other distributions, payments or other consideration in respect thereof, including any rights to receive the same to the extent not so distributed or paid, that would constitute Pledged Securities, whether resulting from a subdivision, combination or reclassification of the outstanding Equity Interests of the issuer of any Pledged Securities, received in exchange for Pledged Securities or any part thereof, or in redemption thereof, as a result of any merger, consolidation, acquisition or other exchange of assets to which such issuer may be a party or otherwise or (B) any non-cash dividends and other distributions paid or payable in</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17">
                <wp:simplePos x="0" y="0"/>
                <wp:positionH relativeFrom="character">
                  <wp:align>left</wp:align>
                </wp:positionH>
                <wp:positionV relativeFrom="line">
                  <wp:posOffset>635</wp:posOffset>
                </wp:positionV>
                <wp:extent cx="6480175" cy="781050"/>
                <wp:effectExtent l="0" t="0" r="0" b="0"/>
                <wp:wrapNone/>
                <wp:docPr id="516" name="Frame515"/>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314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314</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jc w:val="both"/>
        <w:rPr/>
      </w:pPr>
      <w:r>
        <w:rPr>
          <w:rFonts w:ascii="Times New Roman;sans-serif" w:hAnsi="Times New Roman;sans-serif"/>
          <w:b w:val="false"/>
          <w:color w:val="000000"/>
          <w:sz w:val="24"/>
        </w:rPr>
        <w:t xml:space="preserve">respect of any Pledged Securities that would constitute Pledged Securities, in connection with a partial or total liquidation or dissolution or in connection with a reduction of capital, capital surplus or paid in surplus, shall be and become part of the Pledged Collateral and be promptly delivered to the Collateral Agent, for the benefit of the Secured Parties to the extent required by </w:t>
      </w:r>
      <w:r>
        <w:rPr>
          <w:rFonts w:ascii="Times New Roman;sans-serif" w:hAnsi="Times New Roman;sans-serif"/>
          <w:b w:val="false"/>
          <w:color w:val="000000"/>
          <w:sz w:val="24"/>
          <w:u w:val="single"/>
        </w:rPr>
        <w:t>Section 2.2(a)</w:t>
      </w:r>
      <w:r>
        <w:rPr>
          <w:color w:val="000000"/>
        </w:rPr>
        <w:t xml:space="preserve"> </w:t>
      </w:r>
      <w:r>
        <w:rPr>
          <w:rFonts w:ascii="Times New Roman;sans-serif" w:hAnsi="Times New Roman;sans-serif"/>
          <w:b w:val="false"/>
          <w:color w:val="000000"/>
          <w:sz w:val="24"/>
        </w:rPr>
        <w:t xml:space="preserve">or by any other Credit Agreement Document, in the same form as so received (endorsed in a manner reasonably satisfactory to the Collateral Agent). So long as no Event of Default has occurred and is continuing, the Collateral Agent shall promptly deliver to each Pledgor any Pledged Securities in its possession if requested to be delivered to the issuer thereof in connection with any exchange or redemption of such Pledged Securities permitted by the Credit Agreement Documents in accordance with this </w:t>
      </w:r>
      <w:r>
        <w:rPr>
          <w:rFonts w:ascii="Times New Roman;sans-serif" w:hAnsi="Times New Roman;sans-serif"/>
          <w:b w:val="false"/>
          <w:color w:val="000000"/>
          <w:sz w:val="24"/>
          <w:u w:val="single"/>
        </w:rPr>
        <w:t>Section 2.6(iii)</w:t>
      </w:r>
      <w:r>
        <w:rPr>
          <w:rFonts w:ascii="Times New Roman;sans-serif" w:hAnsi="Times New Roman;sans-serif"/>
          <w:b w:val="false"/>
          <w:color w:val="000000"/>
          <w:sz w:val="24"/>
        </w:rPr>
        <w:t>.</w:t>
      </w:r>
    </w:p>
    <w:p>
      <w:pPr>
        <w:pStyle w:val="TextBody"/>
        <w:bidi w:val="0"/>
        <w:spacing w:lineRule="auto" w:line="240" w:before="240" w:after="283"/>
        <w:ind w:left="0" w:right="0" w:firstLine="1440"/>
        <w:jc w:val="both"/>
        <w:rPr/>
      </w:pPr>
      <w:r>
        <w:rPr>
          <w:rFonts w:ascii="Times New Roman;sans-serif" w:hAnsi="Times New Roman;sans-serif"/>
          <w:b w:val="false"/>
          <w:color w:val="000000"/>
          <w:sz w:val="24"/>
        </w:rPr>
        <w:t xml:space="preserve">(b)Upon the occurrence and during the continuance of an Event of Default and after prior written notice by the Collateral Agent to the relevant Pledgor or Pledgors of the Collateral Agent’s intention to exercise its rights hereunder, all rights of any Pledgor to receive dividends, interest, principal or other distributions that such Pledgor is authorized to receive pursuant to paragraph (a)(iii) of this </w:t>
      </w:r>
      <w:r>
        <w:rPr>
          <w:rFonts w:ascii="Times New Roman;sans-serif" w:hAnsi="Times New Roman;sans-serif"/>
          <w:b w:val="false"/>
          <w:color w:val="000000"/>
          <w:sz w:val="24"/>
          <w:u w:val="single"/>
        </w:rPr>
        <w:t>Section 2.6</w:t>
      </w:r>
      <w:r>
        <w:rPr>
          <w:color w:val="000000"/>
        </w:rPr>
        <w:t xml:space="preserve"> </w:t>
      </w:r>
      <w:r>
        <w:rPr>
          <w:rFonts w:ascii="Times New Roman;sans-serif" w:hAnsi="Times New Roman;sans-serif"/>
          <w:b w:val="false"/>
          <w:color w:val="000000"/>
          <w:sz w:val="24"/>
        </w:rPr>
        <w:t xml:space="preserve">shall cease, and all such rights shall thereupon become vested, for the benefit of the Secured Parties, in the Collateral Agent which shall have the sole and exclusive right and authority to receive and retain such dividends, interest, principal or other distributions. All dividends, interest, principal or other distributions received by any Pledgor contrary to the provisions of this </w:t>
      </w:r>
      <w:r>
        <w:rPr>
          <w:rFonts w:ascii="Times New Roman;sans-serif" w:hAnsi="Times New Roman;sans-serif"/>
          <w:b w:val="false"/>
          <w:color w:val="000000"/>
          <w:sz w:val="24"/>
          <w:u w:val="single"/>
        </w:rPr>
        <w:t>Section 2.6</w:t>
      </w:r>
      <w:r>
        <w:rPr>
          <w:color w:val="000000"/>
        </w:rPr>
        <w:t xml:space="preserve"> </w:t>
      </w:r>
      <w:r>
        <w:rPr>
          <w:rFonts w:ascii="Times New Roman;sans-serif" w:hAnsi="Times New Roman;sans-serif"/>
          <w:b w:val="false"/>
          <w:color w:val="000000"/>
          <w:sz w:val="24"/>
        </w:rPr>
        <w:t xml:space="preserve">shall not be commingled by such Pledgor with any of its other funds or property but shall be held separate and apart therefrom, shall be held in trust for the benefit of the Collateral Agent, for the benefit of the Secured Parties, and shall be forthwith delivered to the Collateral Agent, for the benefit of the Secured Parties, in the same form as so received (endorsed in a manner reasonably satisfactory to the Collateral Agent). Any and all money and other property paid over to or received by the Collateral Agent pursuant to the provisions of this paragraph (b) shall be retained by the Collateral Agent in an account to be established by the Collateral Agent upon receipt of such money or other property and shall be applied in accordance with the provisions of </w:t>
      </w:r>
      <w:r>
        <w:rPr>
          <w:rFonts w:ascii="Times New Roman;sans-serif" w:hAnsi="Times New Roman;sans-serif"/>
          <w:b w:val="false"/>
          <w:color w:val="000000"/>
          <w:sz w:val="24"/>
          <w:u w:val="single"/>
        </w:rPr>
        <w:t>Section 4.2</w:t>
      </w:r>
      <w:r>
        <w:rPr>
          <w:rFonts w:ascii="Times New Roman;sans-serif" w:hAnsi="Times New Roman;sans-serif"/>
          <w:b w:val="false"/>
          <w:color w:val="000000"/>
          <w:sz w:val="24"/>
        </w:rPr>
        <w:t xml:space="preserve">. After all Events of Default have been cured or waived and the Borrower has delivered to the Collateral Agent a certificate of a Responsible Officer to that effect, the Collateral Agent shall promptly repay to each Pledgor (without interest) all dividends, interest, principal or other distributions that such Pledgor would otherwise be permitted to retain pursuant to the terms of paragraph (a)(iii) of this </w:t>
      </w:r>
      <w:r>
        <w:rPr>
          <w:rFonts w:ascii="Times New Roman;sans-serif" w:hAnsi="Times New Roman;sans-serif"/>
          <w:b w:val="false"/>
          <w:color w:val="000000"/>
          <w:sz w:val="24"/>
          <w:u w:val="single"/>
        </w:rPr>
        <w:t>Section 2.6</w:t>
      </w:r>
      <w:r>
        <w:rPr>
          <w:color w:val="000000"/>
        </w:rPr>
        <w:t xml:space="preserve"> </w:t>
      </w:r>
      <w:r>
        <w:rPr>
          <w:rFonts w:ascii="Times New Roman;sans-serif" w:hAnsi="Times New Roman;sans-serif"/>
          <w:b w:val="false"/>
          <w:color w:val="000000"/>
          <w:sz w:val="24"/>
        </w:rPr>
        <w:t>and that remain in such account.</w:t>
      </w:r>
    </w:p>
    <w:p>
      <w:pPr>
        <w:pStyle w:val="TextBody"/>
        <w:bidi w:val="0"/>
        <w:spacing w:lineRule="auto" w:line="240" w:before="240" w:after="283"/>
        <w:ind w:left="0" w:right="0" w:firstLine="1440"/>
        <w:jc w:val="both"/>
        <w:rPr/>
      </w:pPr>
      <w:r>
        <w:rPr>
          <w:rFonts w:ascii="Times New Roman;sans-serif" w:hAnsi="Times New Roman;sans-serif"/>
          <w:b w:val="false"/>
          <w:color w:val="000000"/>
          <w:sz w:val="24"/>
        </w:rPr>
        <w:t xml:space="preserve">(c)Upon the occurrence and during the continuance of an Event of Default and after prior written notice by the Collateral Agent to the Borrower of the Collateral Agent’s intention to exercise its rights hereunder, all rights of any Pledgor to exercise the voting and/or consensual rights and powers it is entitled to exercise pursuant to paragraph (a)(i) of this </w:t>
      </w:r>
      <w:r>
        <w:rPr>
          <w:rFonts w:ascii="Times New Roman;sans-serif" w:hAnsi="Times New Roman;sans-serif"/>
          <w:b w:val="false"/>
          <w:color w:val="000000"/>
          <w:sz w:val="24"/>
          <w:u w:val="single"/>
        </w:rPr>
        <w:t>Section</w:t>
      </w:r>
      <w:r>
        <w:rPr>
          <w:color w:val="000000"/>
        </w:rPr>
        <w:t xml:space="preserve"> </w:t>
      </w:r>
      <w:r>
        <w:rPr>
          <w:rFonts w:ascii="Times New Roman;sans-serif" w:hAnsi="Times New Roman;sans-serif"/>
          <w:b w:val="false"/>
          <w:color w:val="000000"/>
          <w:sz w:val="24"/>
          <w:u w:val="single"/>
        </w:rPr>
        <w:t>2.6</w:t>
      </w:r>
      <w:r>
        <w:rPr>
          <w:rFonts w:ascii="Times New Roman;sans-serif" w:hAnsi="Times New Roman;sans-serif"/>
          <w:b w:val="false"/>
          <w:color w:val="000000"/>
          <w:sz w:val="24"/>
        </w:rPr>
        <w:t xml:space="preserve">, and the obligations of the Collateral Agent under paragraph (a)(ii) of this </w:t>
      </w:r>
      <w:r>
        <w:rPr>
          <w:rFonts w:ascii="Times New Roman;sans-serif" w:hAnsi="Times New Roman;sans-serif"/>
          <w:b w:val="false"/>
          <w:color w:val="000000"/>
          <w:sz w:val="24"/>
          <w:u w:val="single"/>
        </w:rPr>
        <w:t>Section 2.6</w:t>
      </w:r>
      <w:r>
        <w:rPr>
          <w:rFonts w:ascii="Times New Roman;sans-serif" w:hAnsi="Times New Roman;sans-serif"/>
          <w:b w:val="false"/>
          <w:color w:val="000000"/>
          <w:sz w:val="24"/>
        </w:rPr>
        <w:t xml:space="preserve">, shall cease, and all such rights shall thereupon become vested in the Collateral Agent, for the benefit of the Secured Parties, which shall have the sole and exclusive right and authority to exercise such voting and consensual rights and powers;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the Collateral Agent shall have the right from time to time following and during the continuance of an Event of Default to permit the Pledgors to exercise such rights. After all Events of Default have been cured or waived and the Borrower has delivered to the Collateral Agent a certificate of a Responsible Officer to that effect, each Pledgor shall have the right to exercise the voting and/or consensual rights and powers that such Pledgor would otherwise be entitled to exercise pursuant to the terms of paragraph (a)(i) of</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18">
                <wp:simplePos x="0" y="0"/>
                <wp:positionH relativeFrom="character">
                  <wp:align>left</wp:align>
                </wp:positionH>
                <wp:positionV relativeFrom="line">
                  <wp:posOffset>635</wp:posOffset>
                </wp:positionV>
                <wp:extent cx="6480175" cy="781050"/>
                <wp:effectExtent l="0" t="0" r="0" b="0"/>
                <wp:wrapNone/>
                <wp:docPr id="517" name="Frame516"/>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315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315</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jc w:val="left"/>
        <w:rPr/>
      </w:pPr>
      <w:r>
        <w:rPr>
          <w:rFonts w:ascii="Times New Roman;sans-serif" w:hAnsi="Times New Roman;sans-serif"/>
          <w:b w:val="false"/>
          <w:color w:val="000000"/>
          <w:sz w:val="24"/>
        </w:rPr>
        <w:t xml:space="preserve">this </w:t>
      </w:r>
      <w:r>
        <w:rPr>
          <w:rFonts w:ascii="Times New Roman;sans-serif" w:hAnsi="Times New Roman;sans-serif"/>
          <w:b w:val="false"/>
          <w:color w:val="000000"/>
          <w:sz w:val="24"/>
          <w:u w:val="single"/>
        </w:rPr>
        <w:t>Section 2.6</w:t>
      </w:r>
      <w:r>
        <w:rPr>
          <w:color w:val="000000"/>
        </w:rPr>
        <w:t xml:space="preserve"> </w:t>
      </w:r>
      <w:r>
        <w:rPr>
          <w:rFonts w:ascii="Times New Roman;sans-serif" w:hAnsi="Times New Roman;sans-serif"/>
          <w:b w:val="false"/>
          <w:color w:val="000000"/>
          <w:sz w:val="24"/>
        </w:rPr>
        <w:t xml:space="preserve">and the obligations of the Collateral Agent under paragraph (a)(ii) of this </w:t>
      </w:r>
      <w:r>
        <w:rPr>
          <w:rFonts w:ascii="Times New Roman;sans-serif" w:hAnsi="Times New Roman;sans-serif"/>
          <w:b w:val="false"/>
          <w:color w:val="000000"/>
          <w:sz w:val="24"/>
          <w:u w:val="single"/>
        </w:rPr>
        <w:t>Section</w:t>
      </w:r>
    </w:p>
    <w:p>
      <w:pPr>
        <w:pStyle w:val="TextBody"/>
        <w:bidi w:val="0"/>
        <w:spacing w:lineRule="auto" w:line="240" w:before="0" w:after="0"/>
        <w:jc w:val="left"/>
        <w:rPr/>
      </w:pPr>
      <w:r>
        <w:rPr>
          <w:rFonts w:ascii="Times New Roman;sans-serif" w:hAnsi="Times New Roman;sans-serif"/>
          <w:b w:val="false"/>
          <w:color w:val="000000"/>
          <w:sz w:val="24"/>
          <w:u w:val="single"/>
        </w:rPr>
        <w:t>2.6</w:t>
      </w:r>
      <w:r>
        <w:rPr>
          <w:color w:val="000000"/>
        </w:rPr>
        <w:t xml:space="preserve"> </w:t>
      </w:r>
      <w:r>
        <w:rPr>
          <w:rFonts w:ascii="Times New Roman;sans-serif" w:hAnsi="Times New Roman;sans-serif"/>
          <w:b w:val="false"/>
          <w:color w:val="000000"/>
          <w:sz w:val="24"/>
        </w:rPr>
        <w:t>shall be in effect.</w:t>
      </w:r>
    </w:p>
    <w:p>
      <w:pPr>
        <w:pStyle w:val="TextBody"/>
        <w:bidi w:val="0"/>
        <w:spacing w:lineRule="auto" w:line="240" w:before="24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ARTICLE III</w:t>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Security Interests in Other Personal Property</w:t>
      </w:r>
    </w:p>
    <w:p>
      <w:pPr>
        <w:pStyle w:val="TextBody"/>
        <w:bidi w:val="0"/>
        <w:spacing w:lineRule="auto" w:line="240" w:before="240" w:after="283"/>
        <w:ind w:left="0" w:right="0" w:firstLine="1440"/>
        <w:jc w:val="both"/>
        <w:rPr/>
      </w:pPr>
      <w:r>
        <w:rPr>
          <w:rFonts w:ascii="Times New Roman;sans-serif" w:hAnsi="Times New Roman;sans-serif"/>
          <w:b w:val="false"/>
          <w:color w:val="000000"/>
          <w:sz w:val="24"/>
        </w:rPr>
        <w:t xml:space="preserve">SECTION 3.1. </w:t>
      </w:r>
      <w:r>
        <w:rPr>
          <w:rFonts w:ascii="Times New Roman;sans-serif" w:hAnsi="Times New Roman;sans-serif"/>
          <w:b/>
          <w:i/>
          <w:color w:val="000000"/>
          <w:sz w:val="24"/>
        </w:rPr>
        <w:t>Security Interest</w:t>
      </w:r>
      <w:r>
        <w:rPr>
          <w:rFonts w:ascii="Times New Roman;sans-serif" w:hAnsi="Times New Roman;sans-serif"/>
          <w:b w:val="false"/>
          <w:color w:val="000000"/>
          <w:sz w:val="24"/>
        </w:rPr>
        <w:t>. (a) As security for the payment or performance when due (whether at the stated maturity, by acceleration or otherwise), as the case may be, in full of its Secured Obligations, each Pledgor hereby collaterally assigns, pledges and grants to the Collateral Agent, its permitted successors and permitted assigns, for the benefit of the Secured Parties, a security interest (the “</w:t>
      </w:r>
      <w:r>
        <w:rPr>
          <w:rFonts w:ascii="Times New Roman;sans-serif" w:hAnsi="Times New Roman;sans-serif"/>
          <w:b/>
          <w:i/>
          <w:color w:val="000000"/>
          <w:sz w:val="24"/>
        </w:rPr>
        <w:t>Security Interest</w:t>
      </w:r>
      <w:r>
        <w:rPr>
          <w:color w:val="000000"/>
        </w:rPr>
        <w:t>”</w:t>
      </w:r>
      <w:r>
        <w:rPr>
          <w:rFonts w:ascii="Times New Roman;sans-serif" w:hAnsi="Times New Roman;sans-serif"/>
          <w:b w:val="false"/>
          <w:color w:val="000000"/>
          <w:sz w:val="24"/>
        </w:rPr>
        <w:t>) in all right, title and interest in, to and under any and all of the following assets and properties now owned or at any time hereafter acquired by such Pledgor or in which such Pledgor now has or at any time in the future may acquire any right, title or interest (collectively, the “</w:t>
      </w:r>
      <w:r>
        <w:rPr>
          <w:rFonts w:ascii="Times New Roman;sans-serif" w:hAnsi="Times New Roman;sans-serif"/>
          <w:b/>
          <w:i/>
          <w:color w:val="000000"/>
          <w:sz w:val="24"/>
        </w:rPr>
        <w:t>Article 9 Collateral</w:t>
      </w:r>
      <w:r>
        <w:rPr>
          <w:color w:val="000000"/>
        </w:rPr>
        <w:t>”</w:t>
      </w:r>
      <w:r>
        <w:rPr>
          <w:rFonts w:ascii="Times New Roman;sans-serif" w:hAnsi="Times New Roman;sans-serif"/>
          <w:b w:val="false"/>
          <w:color w:val="000000"/>
          <w:sz w:val="24"/>
        </w:rPr>
        <w:t>):</w:t>
      </w:r>
    </w:p>
    <w:p>
      <w:pPr>
        <w:pStyle w:val="TextBody"/>
        <w:bidi w:val="0"/>
        <w:spacing w:lineRule="auto" w:line="240" w:before="240" w:after="283"/>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(i)all Accounts;</w:t>
      </w:r>
    </w:p>
    <w:p>
      <w:pPr>
        <w:pStyle w:val="TextBody"/>
        <w:bidi w:val="0"/>
        <w:spacing w:lineRule="auto" w:line="240" w:before="240" w:after="283"/>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(ii)all Chattel Paper;</w:t>
      </w:r>
    </w:p>
    <w:p>
      <w:pPr>
        <w:pStyle w:val="TextBody"/>
        <w:bidi w:val="0"/>
        <w:spacing w:lineRule="auto" w:line="240" w:before="240" w:after="283"/>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(iii)all cash, Cash Equivalents and Deposit Accounts;</w:t>
      </w:r>
    </w:p>
    <w:p>
      <w:pPr>
        <w:pStyle w:val="TextBody"/>
        <w:bidi w:val="0"/>
        <w:spacing w:lineRule="auto" w:line="240" w:before="240" w:after="283"/>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(iv)all Documents;</w:t>
      </w:r>
    </w:p>
    <w:p>
      <w:pPr>
        <w:pStyle w:val="TextBody"/>
        <w:bidi w:val="0"/>
        <w:spacing w:lineRule="auto" w:line="240" w:before="240" w:after="283"/>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(v)all Equipment;</w:t>
      </w:r>
    </w:p>
    <w:p>
      <w:pPr>
        <w:pStyle w:val="TextBody"/>
        <w:bidi w:val="0"/>
        <w:spacing w:lineRule="auto" w:line="240" w:before="240" w:after="283"/>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(vi)all Fixtures;</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(vii)all General Intangibles (including, without limitation, all Intellectual Property and IP Agreements);</w:t>
      </w:r>
    </w:p>
    <w:p>
      <w:pPr>
        <w:pStyle w:val="TextBody"/>
        <w:bidi w:val="0"/>
        <w:spacing w:lineRule="auto" w:line="240" w:before="241" w:after="283"/>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(viii)all Instruments (other than Pledged Debt which is governed by Article II);</w:t>
      </w:r>
    </w:p>
    <w:p>
      <w:pPr>
        <w:pStyle w:val="TextBody"/>
        <w:bidi w:val="0"/>
        <w:spacing w:lineRule="auto" w:line="240" w:before="240" w:after="283"/>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(ix)all Inventory and all other Goods not otherwise described above;</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(x)all Investment Property (other than the Pledged Collateral and Pledged Debt, which are governed by Article II);</w:t>
      </w:r>
    </w:p>
    <w:p>
      <w:pPr>
        <w:pStyle w:val="TextBody"/>
        <w:bidi w:val="0"/>
        <w:spacing w:lineRule="auto" w:line="240" w:before="240" w:after="283"/>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(xi)all Letters of Credit and Letter of Credit Rights;</w:t>
      </w:r>
    </w:p>
    <w:p>
      <w:pPr>
        <w:pStyle w:val="TextBody"/>
        <w:bidi w:val="0"/>
        <w:spacing w:lineRule="auto" w:line="240" w:before="238" w:after="283"/>
        <w:ind w:left="0" w:right="0" w:firstLine="720"/>
        <w:jc w:val="both"/>
        <w:rPr/>
      </w:pPr>
      <w:r>
        <w:rPr>
          <w:rFonts w:ascii="Times New Roman;sans-serif" w:hAnsi="Times New Roman;sans-serif"/>
          <w:b w:val="false"/>
          <w:color w:val="000000"/>
          <w:sz w:val="24"/>
        </w:rPr>
        <w:t xml:space="preserve">(xii)all Commercial Tort Claims reasonably expected to result in a recovery greater than $20,000,000, as described on </w:t>
      </w:r>
      <w:r>
        <w:rPr>
          <w:rFonts w:ascii="Times New Roman;sans-serif" w:hAnsi="Times New Roman;sans-serif"/>
          <w:b w:val="false"/>
          <w:color w:val="000000"/>
          <w:sz w:val="24"/>
          <w:u w:val="single"/>
        </w:rPr>
        <w:t>Schedule III</w:t>
      </w:r>
      <w:r>
        <w:rPr>
          <w:color w:val="000000"/>
        </w:rPr>
        <w:t xml:space="preserve"> </w:t>
      </w:r>
      <w:r>
        <w:rPr>
          <w:rFonts w:ascii="Times New Roman;sans-serif" w:hAnsi="Times New Roman;sans-serif"/>
          <w:b w:val="false"/>
          <w:color w:val="000000"/>
          <w:sz w:val="24"/>
        </w:rPr>
        <w:t xml:space="preserve">(as may be supplemented from time to time pursuant to </w:t>
      </w:r>
      <w:r>
        <w:rPr>
          <w:rFonts w:ascii="Times New Roman;sans-serif" w:hAnsi="Times New Roman;sans-serif"/>
          <w:b w:val="false"/>
          <w:color w:val="000000"/>
          <w:sz w:val="24"/>
          <w:u w:val="single"/>
        </w:rPr>
        <w:t>Section 3.4</w:t>
      </w:r>
      <w:r>
        <w:rPr>
          <w:color w:val="000000"/>
        </w:rPr>
        <w:t xml:space="preserve"> </w:t>
      </w:r>
      <w:r>
        <w:rPr>
          <w:rFonts w:ascii="Times New Roman;sans-serif" w:hAnsi="Times New Roman;sans-serif"/>
          <w:b w:val="false"/>
          <w:color w:val="000000"/>
          <w:sz w:val="24"/>
        </w:rPr>
        <w:t xml:space="preserve">or the Supplement attached hereto in the form of </w:t>
      </w:r>
      <w:r>
        <w:rPr>
          <w:rFonts w:ascii="Times New Roman;sans-serif" w:hAnsi="Times New Roman;sans-serif"/>
          <w:b w:val="false"/>
          <w:color w:val="000000"/>
          <w:sz w:val="24"/>
          <w:u w:val="single"/>
        </w:rPr>
        <w:t>Exhibit I</w:t>
      </w:r>
      <w:r>
        <w:rPr>
          <w:rFonts w:ascii="Times New Roman;sans-serif" w:hAnsi="Times New Roman;sans-serif"/>
          <w:b w:val="false"/>
          <w:color w:val="000000"/>
          <w:sz w:val="24"/>
        </w:rPr>
        <w:t>);</w:t>
      </w:r>
    </w:p>
    <w:p>
      <w:pPr>
        <w:pStyle w:val="TextBody"/>
        <w:bidi w:val="0"/>
        <w:spacing w:lineRule="auto" w:line="240" w:before="241" w:after="283"/>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(xiii)all books and records pertaining to the Article 9 Collateral; and</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(xiv)to the extent not otherwise included, all Proceeds, Supporting Obligations and products of any and all of the foregoing and all collateral security and guarantees given by any person with respect to any of the foregoing.</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19">
                <wp:simplePos x="0" y="0"/>
                <wp:positionH relativeFrom="character">
                  <wp:align>left</wp:align>
                </wp:positionH>
                <wp:positionV relativeFrom="line">
                  <wp:posOffset>635</wp:posOffset>
                </wp:positionV>
                <wp:extent cx="6480175" cy="781050"/>
                <wp:effectExtent l="0" t="0" r="0" b="0"/>
                <wp:wrapNone/>
                <wp:docPr id="518" name="Frame517"/>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316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316</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jc w:val="both"/>
        <w:rPr/>
      </w:pPr>
      <w:r>
        <w:rPr>
          <w:rFonts w:ascii="Times New Roman;sans-serif" w:hAnsi="Times New Roman;sans-serif"/>
          <w:b w:val="false"/>
          <w:color w:val="000000"/>
          <w:sz w:val="24"/>
        </w:rPr>
        <w:t xml:space="preserve">Notwithstanding anything to the contrary in this Agreement or the other Credit Agreement Documents, this Agreement shall not constitute a grant of a security interest in (and the “Article 9 Collateral” and any component defined terms comprising thereof shall not include), the other provisions of the Credit Agreement Documents with respect to Collateral need not be satisfied with respect to, and no representation, warranty or covenant contained in this Agreement or any other Credit Agreement Document shall apply to, the Excluded Property or the Excluded Securities;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the Security Interest shall immediately attach to, and Article 9 Collateral shall immediately include, any such asset (or portion thereof) upon such asset (or portion thereof) ceasing to be Excluded Property or Excluded Securities.</w:t>
      </w:r>
    </w:p>
    <w:p>
      <w:pPr>
        <w:pStyle w:val="TextBody"/>
        <w:bidi w:val="0"/>
        <w:spacing w:lineRule="auto" w:line="240" w:before="240"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(b)Each Pledgor hereby irrevocably authorizes the Collateral Agent for the benefit of the Secured Parties at any time and from time to time to file in any relevant United States jurisdiction any initial financing statements (including fixture filings) with respect to the Article 9 Collateral and the Pledged Collateral or any part thereof and amendments thereto that contain the information required by Article 9 of the Uniform Commercial Code or its equivalent in each applicable United States jurisdiction for the filing of any financing statement or amendment, including (i) whether such Pledgor is an organization, the type of organization and any organizational identification number issued to such Pledgor, (ii) in the case of a financing statement filed as a fixture filing, a sufficient description of the real property to which such Article 9 Collateral relates and (iii) a description of collateral that describes such property in any other manner as the Collateral Agent may reasonably determine is necessary or advisable to ensure the perfection of the Security Interest in the Collateral granted under this Agreement, including describing such property as “all assets” or “all personal property” or words of similar effect. Each Pledgor agrees to provide such information to the Collateral Agent promptly upon request.</w:t>
      </w:r>
    </w:p>
    <w:p>
      <w:pPr>
        <w:pStyle w:val="TextBody"/>
        <w:bidi w:val="0"/>
        <w:spacing w:lineRule="auto" w:line="240" w:before="241" w:after="283"/>
        <w:jc w:val="both"/>
        <w:rPr>
          <w:rFonts w:ascii="Times New Roman;sans-serif" w:hAnsi="Times New Roman;sans-serif"/>
          <w:b w:val="false"/>
          <w:color w:val="000000"/>
          <w:sz w:val="24"/>
        </w:rPr>
      </w:pPr>
      <w:r>
        <w:rPr>
          <w:rFonts w:ascii="Times New Roman;sans-serif" w:hAnsi="Times New Roman;sans-serif"/>
          <w:b w:val="false"/>
          <w:color w:val="000000"/>
          <w:sz w:val="24"/>
        </w:rPr>
        <w:t>The Collateral Agent is further authorized to file with the United States Patent and Trademark Office or United States Copyright Office (or any successor office thereof) such documents as may be reasonably necessary or advisable for the purpose of perfecting, confirming, continuing, enforcing or protecting the Security Interest granted by each Pledgor in such Pledgor’s Patents, Trademarks and Copyrights, without the signature of such Pledgor (only if such signature cannot reasonably be obtained by the Collateral Agent), and naming such Pledgor or the Pledgors as debtors and the Collateral Agent as secured party.</w:t>
      </w:r>
    </w:p>
    <w:p>
      <w:pPr>
        <w:pStyle w:val="TextBody"/>
        <w:bidi w:val="0"/>
        <w:spacing w:lineRule="auto" w:line="240" w:before="239"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(c)The security interest granted hereunder is security only and shall not subject the Collateral Agent or any other Secured Party to, or in any way alter or modify, any obligation or liability of any Pledgor with respect to or arising out of the Collateral.</w:t>
      </w:r>
    </w:p>
    <w:p>
      <w:pPr>
        <w:pStyle w:val="TextBody"/>
        <w:bidi w:val="0"/>
        <w:spacing w:lineRule="auto" w:line="240" w:before="240"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(d)Notwithstanding anything to the contrary in this Agreement, in no event shall (A) any control agreements or control, lockbox or similar arrangements be required with respect to any Deposit Accounts, Securities Accounts, Commodities Accounts, Electronic Chattel Paper, Letter-of-Credit Rights or any other assets (other than the delivery of Pledged Securities to the Collateral Agent to the extent required by Article II), (B) any landlord, mortgagee and bailee waivers or consents be required, (C) notices be sent to account debtors or other contractual third parties unless an Event of Default has occurred and is continuing and (D) foreign-law governed security documents or perfection under foreign law be required.</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20">
                <wp:simplePos x="0" y="0"/>
                <wp:positionH relativeFrom="character">
                  <wp:align>left</wp:align>
                </wp:positionH>
                <wp:positionV relativeFrom="line">
                  <wp:posOffset>635</wp:posOffset>
                </wp:positionV>
                <wp:extent cx="6480175" cy="781050"/>
                <wp:effectExtent l="0" t="0" r="0" b="0"/>
                <wp:wrapNone/>
                <wp:docPr id="519" name="Frame518"/>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317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317</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ind w:left="0" w:right="0" w:firstLine="1440"/>
        <w:jc w:val="left"/>
        <w:rPr/>
      </w:pPr>
      <w:r>
        <w:rPr>
          <w:rFonts w:ascii="Times New Roman;sans-serif" w:hAnsi="Times New Roman;sans-serif"/>
          <w:b w:val="false"/>
          <w:color w:val="000000"/>
          <w:sz w:val="24"/>
        </w:rPr>
        <w:t>SECTION 3.2.    </w:t>
      </w:r>
      <w:r>
        <w:rPr>
          <w:rFonts w:ascii="Times New Roman;sans-serif" w:hAnsi="Times New Roman;sans-serif"/>
          <w:b/>
          <w:i/>
          <w:color w:val="000000"/>
          <w:sz w:val="24"/>
        </w:rPr>
        <w:t>Representations and Warranties</w:t>
      </w:r>
      <w:r>
        <w:rPr>
          <w:rFonts w:ascii="Times New Roman;sans-serif" w:hAnsi="Times New Roman;sans-serif"/>
          <w:b w:val="false"/>
          <w:color w:val="000000"/>
          <w:sz w:val="24"/>
        </w:rPr>
        <w:t>.    The Pledgors jointly and severally represent and warrant to the Collateral Agent, for the benefit of the Secured Parties, that:</w:t>
      </w:r>
    </w:p>
    <w:p>
      <w:pPr>
        <w:pStyle w:val="TextBody"/>
        <w:bidi w:val="0"/>
        <w:spacing w:lineRule="auto" w:line="240" w:before="240"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(a)Each Pledgor has good and valid rights in and title to the Collateral with respect to which it has purported to grant a security interest hereunder, except where the failure to have such rights and title would not reasonably be expected to have, individually or in the aggregate, a Material Adverse Effect, and has full power and authority to grant to the Collateral Agent the Security Interest in such Article 9 Collateral pursuant hereto, and to execute, deliver and perform its obligations in accordance with the terms of this Agreement (or any supplement hereto, as applicable), without the consent or approval of any other person as of the Closing Date other than any consent or approval that has been obtained and is in full force and effect or has otherwise been disclosed herein or in the Credit Agreement or any offering circular related thereto.</w:t>
      </w:r>
    </w:p>
    <w:p>
      <w:pPr>
        <w:pStyle w:val="TextBody"/>
        <w:bidi w:val="0"/>
        <w:spacing w:lineRule="auto" w:line="240" w:before="240" w:after="283"/>
        <w:ind w:left="0" w:right="0" w:firstLine="1440"/>
        <w:jc w:val="both"/>
        <w:rPr/>
      </w:pPr>
      <w:r>
        <w:rPr>
          <w:rFonts w:ascii="Times New Roman;sans-serif" w:hAnsi="Times New Roman;sans-serif"/>
          <w:b w:val="false"/>
          <w:color w:val="000000"/>
          <w:sz w:val="24"/>
        </w:rPr>
        <w:t xml:space="preserve">(b)The Perfection Certificate has been duly prepared, completed and executed and the information set forth therein, including the exact legal name of each Pledgor, is correct and complete, in all material respects, as of the Closing Date. The Uniform Commercial Code financing statements containing a description of the Collateral that have been prepared for filing in the filing office in each jurisdiction specified in the Perfection Certificate constitute all the filings, recordings and registrations that are necessary as of the Closing Date to establish a perfected security interest in favor of the Collateral Agent (for the benefit of the Secured Parties) in respect of all Collateral in which a security interest may be perfected by filing, recording or registration of a financing statement in the United States (or any political subdivision thereof) pursuant to the Uniform Commercial Code, and no further or subsequent filing, refiling, recording, rerecording, registration or reregistration is necessary in any such jurisdiction, except as provided under applicable law with respect to the filing of continuation statements or amendments, or due to any reorganization of a Pledgor that occur after the date hereof. Except as provided in </w:t>
      </w:r>
      <w:r>
        <w:rPr>
          <w:rFonts w:ascii="Times New Roman;sans-serif" w:hAnsi="Times New Roman;sans-serif"/>
          <w:b w:val="false"/>
          <w:color w:val="000000"/>
          <w:sz w:val="24"/>
          <w:u w:val="single"/>
        </w:rPr>
        <w:t>Section</w:t>
      </w:r>
    </w:p>
    <w:p>
      <w:pPr>
        <w:pStyle w:val="TextBody"/>
        <w:bidi w:val="0"/>
        <w:spacing w:lineRule="auto" w:line="240" w:before="1" w:after="283"/>
        <w:jc w:val="both"/>
        <w:rPr/>
      </w:pPr>
      <w:r>
        <w:rPr>
          <w:rFonts w:ascii="Times New Roman;sans-serif" w:hAnsi="Times New Roman;sans-serif"/>
          <w:b w:val="false"/>
          <w:color w:val="000000"/>
          <w:sz w:val="24"/>
          <w:u w:val="single"/>
        </w:rPr>
        <w:t>5.10</w:t>
      </w:r>
      <w:r>
        <w:rPr>
          <w:color w:val="000000"/>
        </w:rPr>
        <w:t xml:space="preserve"> </w:t>
      </w:r>
      <w:r>
        <w:rPr>
          <w:rFonts w:ascii="Times New Roman;sans-serif" w:hAnsi="Times New Roman;sans-serif"/>
          <w:b w:val="false"/>
          <w:color w:val="000000"/>
          <w:sz w:val="24"/>
        </w:rPr>
        <w:t>of the Credit Agreement, each Pledgor represents and warrants that the Notices of Grant of Security Interest in Intellectual Property executed by the applicable Pledgors containing descriptions of all Article 9 Collateral that consists of United States federally issued Patents (and Patents for which United States federal registration applications are pending), United States federally registered Trademarks (and Trademarks for which United States federal registration applications are pending) and United States federally registered Copyrights (and Copyrights for which United States federal registration applications are pending) (including exclusive licenses of registered Copyrights) have been delivered to the Collateral Agent for recording with the United States Patent and Trademark Office and the United States Copyright Office pursuant to 35 U.S.C.</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261, 15 U.S.C. § 1060 or 17 U.S.C. § 205 and the regulations thereunder, as applicable, and reasonably requested by the Collateral Agent, to protect the validity of and to establish a legal, valid and perfected security interest (or, in the case of Patents and Trademarks, notice thereof) in favor of the Collateral Agent, for the benefit of the Secured Parties, in respect of all Article 9 Collateral consisting of such Intellectual Property described in such Notices of Grant of Security Interest in Intellectual Property as of the Closing Date in which a security interest may be perfected by recording with the United States Patent and Trademark Office and the United States Copyright Office, and no further or subsequent filing, refiling, recording, rerecording, registration or reregistration is necessary (other than such actions as are necessary to perfect the Security Interest with respect to any Article 9 Collateral consisting of United States federally issued, registered or pending Patents, Trademarks and Copyrights acquired or developed (including registered Copyrights exclusively licensed) after the Closing Date).</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21">
                <wp:simplePos x="0" y="0"/>
                <wp:positionH relativeFrom="character">
                  <wp:align>left</wp:align>
                </wp:positionH>
                <wp:positionV relativeFrom="line">
                  <wp:posOffset>635</wp:posOffset>
                </wp:positionV>
                <wp:extent cx="6480175" cy="781050"/>
                <wp:effectExtent l="0" t="0" r="0" b="0"/>
                <wp:wrapNone/>
                <wp:docPr id="520" name="Frame519"/>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318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318</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(c)The Security Interest in Article 9 Collateral constitutes (i) a legally valid security interest in all the Article 9 Collateral securing the payment and performance of the Secured Obligations, as applicable, (ii) subject to the filings described in Section 3.2(b), as of the Closing Date a perfected security interest in all Article 9 Collateral in which a security interest may be perfected by filing, recording or registering a financing statement in the United States (or any political subdivision thereof) pursuant to the Uniform Commercial Code and (iii) a security interest that shall be perfected in all Article 9 Collateral in which a security interest may be perfected upon the receipt and recording of the Notices of Grant of Security Interest in Intellectual Property with the United States Patent and Trademark Office and the United States Copyright Office, as applicable. The Security Interest in Article 9 Collateral is and shall be prior to any other Lien on any of the Article 9 Collateral other than Permitted Liens. Notwithstanding the foregoing, nothing in this Agreement shall require any Pledgor to make any filings or take any other actions to record or perfect the Collateral Agent’s lien on and Security Interest in any Intellectual Property subsisting outside of the United States or to reimburse the Collateral Agent for any costs or expense incurred in connection with making such filings or taking any other such action.</w:t>
      </w:r>
    </w:p>
    <w:p>
      <w:pPr>
        <w:pStyle w:val="TextBody"/>
        <w:bidi w:val="0"/>
        <w:spacing w:lineRule="auto" w:line="240" w:before="240"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(d)As of the Closing Date, the Article 9 Collateral is owned by the Pledgors free and clear of any Lien, other than Permitted Liens.</w:t>
      </w:r>
    </w:p>
    <w:p>
      <w:pPr>
        <w:pStyle w:val="TextBody"/>
        <w:bidi w:val="0"/>
        <w:spacing w:lineRule="auto" w:line="240" w:before="240" w:after="283"/>
        <w:ind w:left="0" w:right="0" w:firstLine="1440"/>
        <w:jc w:val="both"/>
        <w:rPr/>
      </w:pPr>
      <w:r>
        <w:rPr>
          <w:rFonts w:ascii="Times New Roman;sans-serif" w:hAnsi="Times New Roman;sans-serif"/>
          <w:b w:val="false"/>
          <w:color w:val="000000"/>
          <w:sz w:val="24"/>
        </w:rPr>
        <w:t xml:space="preserve">(e)As of the Closing Date, no Pledgor holds any Commercial Tort Claim reasonably expected to result in a recovery greater than $20,000,000 except as indicated on </w:t>
      </w:r>
      <w:r>
        <w:rPr>
          <w:rFonts w:ascii="Times New Roman;sans-serif" w:hAnsi="Times New Roman;sans-serif"/>
          <w:b w:val="false"/>
          <w:color w:val="000000"/>
          <w:sz w:val="24"/>
          <w:u w:val="single"/>
        </w:rPr>
        <w:t>Schedule III</w:t>
      </w:r>
      <w:r>
        <w:rPr>
          <w:rFonts w:ascii="Times New Roman;sans-serif" w:hAnsi="Times New Roman;sans-serif"/>
          <w:b w:val="false"/>
          <w:color w:val="000000"/>
          <w:sz w:val="24"/>
        </w:rPr>
        <w:t>.</w:t>
      </w:r>
    </w:p>
    <w:p>
      <w:pPr>
        <w:pStyle w:val="TextBody"/>
        <w:bidi w:val="0"/>
        <w:spacing w:lineRule="auto" w:line="240" w:before="241" w:after="283"/>
        <w:ind w:left="0" w:right="0" w:firstLine="1440"/>
        <w:jc w:val="left"/>
        <w:rPr/>
      </w:pPr>
      <w:r>
        <w:rPr>
          <w:rFonts w:ascii="Times New Roman;sans-serif" w:hAnsi="Times New Roman;sans-serif"/>
          <w:b w:val="false"/>
          <w:color w:val="000000"/>
          <w:sz w:val="24"/>
        </w:rPr>
        <w:t>(f)As to itself and its Article 9 Collateral consisting of Intellectual Property and IP Agreements (the “</w:t>
      </w:r>
      <w:r>
        <w:rPr>
          <w:rFonts w:ascii="Times New Roman;sans-serif" w:hAnsi="Times New Roman;sans-serif"/>
          <w:b/>
          <w:i/>
          <w:color w:val="000000"/>
          <w:sz w:val="24"/>
        </w:rPr>
        <w:t>Intellectual Property Collateral</w:t>
      </w:r>
      <w:r>
        <w:rPr>
          <w:color w:val="000000"/>
        </w:rPr>
        <w:t>”</w:t>
      </w:r>
      <w:r>
        <w:rPr>
          <w:rFonts w:ascii="Times New Roman;sans-serif" w:hAnsi="Times New Roman;sans-serif"/>
          <w:b w:val="false"/>
          <w:color w:val="000000"/>
          <w:sz w:val="24"/>
        </w:rPr>
        <w:t>), to each Pledgor’s knowledge:</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 xml:space="preserve">(i)As of the Closing Date, the Intellectual Property Collateral set forth on </w:t>
      </w:r>
      <w:r>
        <w:rPr>
          <w:rFonts w:ascii="Times New Roman;sans-serif" w:hAnsi="Times New Roman;sans-serif"/>
          <w:b w:val="false"/>
          <w:color w:val="000000"/>
          <w:sz w:val="24"/>
          <w:u w:val="single"/>
        </w:rPr>
        <w:t>Schedule II</w:t>
      </w:r>
      <w:r>
        <w:rPr>
          <w:color w:val="000000"/>
        </w:rPr>
        <w:t xml:space="preserve"> </w:t>
      </w:r>
      <w:r>
        <w:rPr>
          <w:rFonts w:ascii="Times New Roman;sans-serif" w:hAnsi="Times New Roman;sans-serif"/>
          <w:b w:val="false"/>
          <w:color w:val="000000"/>
          <w:sz w:val="24"/>
        </w:rPr>
        <w:t>includes a true and complete list of all of the issued and applied for United States federal Patents, registered and applied for United States federal Trademarks and United States federal registered Copyrights owned by and registered Copyrights exclusively licensed to such Pledgor as of the date hereof (other than Excluded Property).</w:t>
      </w:r>
    </w:p>
    <w:p>
      <w:pPr>
        <w:pStyle w:val="TextBody"/>
        <w:bidi w:val="0"/>
        <w:spacing w:lineRule="auto" w:line="240" w:before="238"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(ii)The Intellectual Property Collateral is subsisting and has not been adjudged invalid or unenforceable in whole or in part and, to the best of such Pledgor’s knowledge, is valid and enforceable, except in each case as would not reasonably be expected to have a Material Adverse Effect. Such Pledgor is not aware of any current uses of any item of Intellectual Property Collateral that would be expected to lead to such item becoming invalid or unenforceable, except as would not reasonably be expected to have a Material Adverse Effect.</w:t>
      </w:r>
    </w:p>
    <w:p>
      <w:pPr>
        <w:pStyle w:val="TextBody"/>
        <w:bidi w:val="0"/>
        <w:spacing w:lineRule="auto" w:line="240" w:before="241"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(iii)Except as would not reasonably be expected to have a Material Adverse Effect, such Pledgor has made or performed all commercially reasonable acts, including, without limitation, filings, recordings and payment of all required fees and taxes, required to maintain and protect its interest in each and every item of Intellectual Property Collateral in full force and effect in the United States.</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22">
                <wp:simplePos x="0" y="0"/>
                <wp:positionH relativeFrom="character">
                  <wp:align>left</wp:align>
                </wp:positionH>
                <wp:positionV relativeFrom="line">
                  <wp:posOffset>635</wp:posOffset>
                </wp:positionV>
                <wp:extent cx="6480175" cy="781050"/>
                <wp:effectExtent l="0" t="0" r="0" b="0"/>
                <wp:wrapNone/>
                <wp:docPr id="521" name="Frame520"/>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319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(iv)With respect to each IP Agreement, the absence, termination or violation of which would reasonably be expected to have a Material Adverse Effect: (A) such Pledgor has not received any notice of termination or cancellation under such IP Agreements; (B) such Pledgor has not received a notice of breach or default under such IP Agreement, which breach or default has not been cured or waived; and (C) such Pledgor is not in breach or default thereof in any material respect, and no event has occurred that, with notice or lapse of time or both, would constitute such a breach or default or permit termination, modification or acceleration under such IP Agreement.</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(v)Except as would not reasonably be expected to have a Material Adverse Effect, no Intellectual Property Collateral is subject to any outstanding consent, settlement, decree, order, injunction, judgment or ruling restricting the use of any Intellectual Property Collateral or that would impair the validity or enforceability of such Intellectual Property Collateral.</w:t>
      </w:r>
    </w:p>
    <w:p>
      <w:pPr>
        <w:pStyle w:val="TextBody"/>
        <w:bidi w:val="0"/>
        <w:spacing w:lineRule="auto" w:line="240" w:before="240" w:after="283"/>
        <w:ind w:left="0" w:right="0" w:firstLine="1440"/>
        <w:jc w:val="both"/>
        <w:rPr/>
      </w:pPr>
      <w:r>
        <w:rPr>
          <w:rFonts w:ascii="Times New Roman;sans-serif" w:hAnsi="Times New Roman;sans-serif"/>
          <w:b w:val="false"/>
          <w:color w:val="000000"/>
          <w:sz w:val="24"/>
        </w:rPr>
        <w:t xml:space="preserve">SECTION 3.3. </w:t>
      </w:r>
      <w:r>
        <w:rPr>
          <w:rFonts w:ascii="Times New Roman;sans-serif" w:hAnsi="Times New Roman;sans-serif"/>
          <w:b/>
          <w:i/>
          <w:color w:val="000000"/>
          <w:sz w:val="24"/>
        </w:rPr>
        <w:t>Covenants</w:t>
      </w:r>
      <w:r>
        <w:rPr>
          <w:rFonts w:ascii="Times New Roman;sans-serif" w:hAnsi="Times New Roman;sans-serif"/>
          <w:b w:val="false"/>
          <w:i/>
          <w:color w:val="000000"/>
          <w:sz w:val="24"/>
        </w:rPr>
        <w:t xml:space="preserve">. </w:t>
      </w:r>
      <w:r>
        <w:rPr>
          <w:rFonts w:ascii="Times New Roman;sans-serif" w:hAnsi="Times New Roman;sans-serif"/>
          <w:b w:val="false"/>
          <w:color w:val="000000"/>
          <w:sz w:val="24"/>
        </w:rPr>
        <w:t>(a) Each Pledgor agrees promptly, and in any event within thirty (30) days of the change, to notify in writing the Collateral Agent of any change in</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(i) its corporate or organization name, (ii) its identity or type of organization, (iii) its organizational identification number or (iv) its jurisdiction of organization, which notice shall include certified copies of the organizational documents of the applicable Pledgor. Each Pledgor agrees to make (unless the Collateral Agent has agreed in writing after receipt of such notice to make), within any applicable statutory period under the Uniform Commercial Code or its equivalent in any applicable jurisdiction that are required in order for the Collateral Agent to continue following such change to have a valid and perfected security interest in all the Collateral in which a security interest may be perfected by such filing, for the benefit of the Secured Parties.</w:t>
      </w:r>
    </w:p>
    <w:p>
      <w:pPr>
        <w:pStyle w:val="TextBody"/>
        <w:bidi w:val="0"/>
        <w:spacing w:lineRule="auto" w:line="240" w:before="241"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(b)Subject to any rights of such Pledgor to Dispose of Collateral provided for in the Credit Agreement Documents, each Pledgor shall, at its own expense, use commercially reasonable efforts to defend title to the Collateral against all persons (subject to its reasonable business judgment) and to defend the security interest of the Collateral Agent granted hereunder, for the benefit of the Secured Parties, in the Collateral and the priority thereof against any Lien other than Permitted Liens and except as permitted by the Credit Agreement Documents and except with respect to Collateral that such Pledgor determines in its reasonable business judgment is no longer necessary or beneficial to the conduct of such Pledgor’s business.</w:t>
      </w:r>
    </w:p>
    <w:p>
      <w:pPr>
        <w:pStyle w:val="TextBody"/>
        <w:bidi w:val="0"/>
        <w:spacing w:lineRule="auto" w:line="240" w:before="239" w:after="283"/>
        <w:ind w:left="0" w:right="0" w:firstLine="1440"/>
        <w:jc w:val="both"/>
        <w:rPr/>
      </w:pPr>
      <w:r>
        <w:rPr>
          <w:rFonts w:ascii="Times New Roman;sans-serif" w:hAnsi="Times New Roman;sans-serif"/>
          <w:b w:val="false"/>
          <w:color w:val="000000"/>
          <w:sz w:val="24"/>
        </w:rPr>
        <w:t xml:space="preserve">(c)Each Pledgor agrees, at its own expense, to execute, acknowledge, deliver and cause to be duly filed all such further instruments and documents and take all such actions as the Collateral Agent may from time to time reasonably request to obtain, preserve, protect and perfect the security interest granted hereunder and the rights and remedies created hereby, including the payment of any fees and taxes together with any interest and penalties, if any, required in connection with the execution and delivery of this Agreement and the granting of the security interest granted hereunder and the filing of any financing statements (including fixture filings) or other documents in connection herewith or therewith, all in accordance with the terms hereof and the terms of the Credit Agreement. Without limiting the generality of the foregoing, each Pledgor hereby authorizes the Collateral Agent, with the consent of the relevant Pledgor (such consent not to be unreasonably withheld), to supplement this Agreement by supplementing </w:t>
      </w:r>
      <w:r>
        <w:rPr>
          <w:rFonts w:ascii="Times New Roman;sans-serif" w:hAnsi="Times New Roman;sans-serif"/>
          <w:b w:val="false"/>
          <w:color w:val="000000"/>
          <w:sz w:val="24"/>
          <w:u w:val="single"/>
        </w:rPr>
        <w:t>Schedule II</w:t>
      </w:r>
      <w:r>
        <w:rPr>
          <w:color w:val="000000"/>
        </w:rPr>
        <w:t xml:space="preserve"> </w:t>
      </w:r>
      <w:r>
        <w:rPr>
          <w:rFonts w:ascii="Times New Roman;sans-serif" w:hAnsi="Times New Roman;sans-serif"/>
          <w:b w:val="false"/>
          <w:color w:val="000000"/>
          <w:sz w:val="24"/>
        </w:rPr>
        <w:t>or adding additional schedules hereto to specifically identify any asset or item that</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23">
                <wp:simplePos x="0" y="0"/>
                <wp:positionH relativeFrom="character">
                  <wp:align>left</wp:align>
                </wp:positionH>
                <wp:positionV relativeFrom="line">
                  <wp:posOffset>635</wp:posOffset>
                </wp:positionV>
                <wp:extent cx="6480175" cy="781050"/>
                <wp:effectExtent l="0" t="0" r="0" b="0"/>
                <wp:wrapNone/>
                <wp:docPr id="522" name="Frame521"/>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320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320</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may constitute an issued or applied for United States federal Patent, registered or applied for United States Trademark or registered United States federal Copyright.</w:t>
      </w:r>
    </w:p>
    <w:p>
      <w:pPr>
        <w:pStyle w:val="TextBody"/>
        <w:bidi w:val="0"/>
        <w:spacing w:lineRule="auto" w:line="240" w:before="240" w:after="283"/>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(d)[Reserved].</w:t>
      </w:r>
    </w:p>
    <w:p>
      <w:pPr>
        <w:pStyle w:val="TextBody"/>
        <w:bidi w:val="0"/>
        <w:spacing w:lineRule="auto" w:line="240" w:before="240" w:after="283"/>
        <w:ind w:left="0" w:right="0" w:firstLine="1440"/>
        <w:jc w:val="both"/>
        <w:rPr/>
      </w:pPr>
      <w:r>
        <w:rPr>
          <w:rFonts w:ascii="Times New Roman;sans-serif" w:hAnsi="Times New Roman;sans-serif"/>
          <w:b w:val="false"/>
          <w:color w:val="000000"/>
          <w:sz w:val="24"/>
        </w:rPr>
        <w:t xml:space="preserve">(e)The Collateral Agent may discharge past due taxes, assessments, charges, fees, Liens, security interests or other encumbrances at any time levied or placed on the Collateral and not a Permitted Lien or otherwise permitted by the Credit Agreement Documents, and may pay for the maintenance and preservation of the Collateral to the extent any Pledgor fails to do so as required by the Credit Agreement or this Agreement or the other Credit Agreement Documents and within a reasonable period of time after the Collateral Agent has requested that it do so;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nothing in this </w:t>
      </w:r>
      <w:r>
        <w:rPr>
          <w:rFonts w:ascii="Times New Roman;sans-serif" w:hAnsi="Times New Roman;sans-serif"/>
          <w:b w:val="false"/>
          <w:color w:val="000000"/>
          <w:sz w:val="24"/>
          <w:u w:val="single"/>
        </w:rPr>
        <w:t>Section 3.3(e)</w:t>
      </w:r>
      <w:r>
        <w:rPr>
          <w:color w:val="000000"/>
        </w:rPr>
        <w:t xml:space="preserve"> </w:t>
      </w:r>
      <w:r>
        <w:rPr>
          <w:rFonts w:ascii="Times New Roman;sans-serif" w:hAnsi="Times New Roman;sans-serif"/>
          <w:b w:val="false"/>
          <w:color w:val="000000"/>
          <w:sz w:val="24"/>
        </w:rPr>
        <w:t>shall be interpreted as excusing any Pledgor from the performance of, or imposing any obligation on the Collateral Agent or any Secured Party to cure or perform, any covenants or other promises of any Pledgor with respect to taxes, assessments, charges, fees, Liens, security interests or other encumbrances and maintenance as set forth herein, in the other Credit Agreement Documents.</w:t>
      </w:r>
    </w:p>
    <w:p>
      <w:pPr>
        <w:pStyle w:val="TextBody"/>
        <w:bidi w:val="0"/>
        <w:spacing w:lineRule="auto" w:line="240" w:before="240" w:after="283"/>
        <w:ind w:left="0" w:right="0" w:firstLine="1440"/>
        <w:jc w:val="both"/>
        <w:rPr/>
      </w:pPr>
      <w:r>
        <w:rPr>
          <w:rFonts w:ascii="Times New Roman;sans-serif" w:hAnsi="Times New Roman;sans-serif"/>
          <w:b w:val="false"/>
          <w:color w:val="000000"/>
          <w:sz w:val="24"/>
        </w:rPr>
        <w:t xml:space="preserve">(f)Each Pledgor (rather than the Collateral Agent or any Secured Party) shall remain liable for the observance and performance of all the conditions and obligations to be observed and performed by it under each contract, agreement or instrument relating to the Collateral and, to the extent required by and subject to the terms under </w:t>
      </w:r>
      <w:r>
        <w:rPr>
          <w:rFonts w:ascii="Times New Roman;sans-serif" w:hAnsi="Times New Roman;sans-serif"/>
          <w:b w:val="false"/>
          <w:color w:val="000000"/>
          <w:sz w:val="24"/>
          <w:u w:val="single"/>
        </w:rPr>
        <w:t>Section 9.05</w:t>
      </w:r>
      <w:r>
        <w:rPr>
          <w:color w:val="000000"/>
        </w:rPr>
        <w:t xml:space="preserve"> </w:t>
      </w:r>
      <w:r>
        <w:rPr>
          <w:rFonts w:ascii="Times New Roman;sans-serif" w:hAnsi="Times New Roman;sans-serif"/>
          <w:b w:val="false"/>
          <w:color w:val="000000"/>
          <w:sz w:val="24"/>
        </w:rPr>
        <w:t>of the Credit Agreement, each Pledgor jointly and severally agrees to indemnify and hold harmless the Collateral Agent and the Secured Parties from and against any and all liability for such performance.</w:t>
      </w:r>
    </w:p>
    <w:p>
      <w:pPr>
        <w:pStyle w:val="TextBody"/>
        <w:bidi w:val="0"/>
        <w:spacing w:lineRule="auto" w:line="240" w:before="241"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(g)None of the Pledgors shall make or permit to be made an assignment, pledge or hypothecation of the Article 9 Collateral owned by it or in which it has an interest or shall grant any other Lien in respect of the Collateral owned by it or in which it has an interest, except as not prohibited by the Credit Agreement or any Intercreditor Agreement. None of the Pledgors shall make or permit to be made any transfer of the Collateral owned by it or in which it has an interest, except as not prohibited by the Credit Agreement or any Intercreditor Agreement.</w:t>
      </w:r>
    </w:p>
    <w:p>
      <w:pPr>
        <w:pStyle w:val="TextBody"/>
        <w:bidi w:val="0"/>
        <w:spacing w:lineRule="auto" w:line="240" w:before="238" w:after="283"/>
        <w:ind w:left="0" w:right="0" w:firstLine="1440"/>
        <w:jc w:val="both"/>
        <w:rPr/>
      </w:pPr>
      <w:r>
        <w:rPr>
          <w:rFonts w:ascii="Times New Roman;sans-serif" w:hAnsi="Times New Roman;sans-serif"/>
          <w:b w:val="false"/>
          <w:color w:val="000000"/>
          <w:sz w:val="24"/>
        </w:rPr>
        <w:t xml:space="preserve">(h)Each Pledgor irrevocably makes, constitutes and appoints the Collateral Agent (and all officers, employees or agents designated by the Collateral Agent) as such Pledgor’s true and lawful agent (and attorney-in-fact) for the purpose, during the continuance of an Event of Default of making, settling and adjusting claims in respect of the Collateral under policies of insurance, endorsing the name of such Pledgor on any check, draft, instrument or other item of payment for the proceeds of such policies of insurance and for making all determinations and decisions with respect thereto. In the event that any Pledgor at any time or times shall fail to obtain or maintain any of the policies of insurance required by the Credit Agreement Documents or to pay any premium in whole or part relating thereto, the Collateral Agent may, without waiving or releasing any obligation or liability of the Pledgors hereunder or any Event of Default, in its reasonable discretion, obtain and maintain such policies of insurance and pay such premium and take any other actions with respect thereto as the Collateral Agent reasonably deems advisable. All sums disbursed by the Collateral Agent in connection with this </w:t>
      </w:r>
      <w:r>
        <w:rPr>
          <w:rFonts w:ascii="Times New Roman;sans-serif" w:hAnsi="Times New Roman;sans-serif"/>
          <w:b w:val="false"/>
          <w:color w:val="000000"/>
          <w:sz w:val="24"/>
          <w:u w:val="single"/>
        </w:rPr>
        <w:t>Section 3.3(h)</w:t>
      </w:r>
      <w:r>
        <w:rPr>
          <w:rFonts w:ascii="Times New Roman;sans-serif" w:hAnsi="Times New Roman;sans-serif"/>
          <w:b w:val="false"/>
          <w:color w:val="000000"/>
          <w:sz w:val="24"/>
        </w:rPr>
        <w:t>, including reasonable and documented attorneys’ fees, court costs, expenses and other charges relating</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24">
                <wp:simplePos x="0" y="0"/>
                <wp:positionH relativeFrom="character">
                  <wp:align>left</wp:align>
                </wp:positionH>
                <wp:positionV relativeFrom="line">
                  <wp:posOffset>635</wp:posOffset>
                </wp:positionV>
                <wp:extent cx="6480175" cy="781050"/>
                <wp:effectExtent l="0" t="0" r="0" b="0"/>
                <wp:wrapNone/>
                <wp:docPr id="523" name="Frame522"/>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321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thereto, shall be payable, upon demand, by the Pledgors to the Collateral Agent and shall be additional Secured Obligations secured hereby.</w:t>
      </w:r>
    </w:p>
    <w:p>
      <w:pPr>
        <w:pStyle w:val="TextBody"/>
        <w:bidi w:val="0"/>
        <w:spacing w:lineRule="auto" w:line="240" w:before="240"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(i)Each Pledgor shall keep and maintain, in all material respects, complete, accurate and proper books and records with respect to the Collateral owned by such Pledgor, and, after the occurrence and during the continuance of an Event of Default, furnish to the Collateral Agent, such reports relating to the Collateral as the Collateral Agent shall from time to time reasonably request.</w:t>
      </w:r>
    </w:p>
    <w:p>
      <w:pPr>
        <w:pStyle w:val="TextBody"/>
        <w:bidi w:val="0"/>
        <w:spacing w:lineRule="auto" w:line="240" w:before="240" w:after="283"/>
        <w:ind w:left="0" w:right="0" w:firstLine="1440"/>
        <w:jc w:val="both"/>
        <w:rPr/>
      </w:pPr>
      <w:r>
        <w:rPr>
          <w:rFonts w:ascii="Times New Roman;sans-serif" w:hAnsi="Times New Roman;sans-serif"/>
          <w:b w:val="false"/>
          <w:color w:val="000000"/>
          <w:sz w:val="24"/>
        </w:rPr>
        <w:t xml:space="preserve">SECTION 3.4. </w:t>
      </w:r>
      <w:r>
        <w:rPr>
          <w:rFonts w:ascii="Times New Roman;sans-serif" w:hAnsi="Times New Roman;sans-serif"/>
          <w:b/>
          <w:i/>
          <w:color w:val="000000"/>
          <w:sz w:val="24"/>
        </w:rPr>
        <w:t>Other Actions</w:t>
      </w:r>
      <w:r>
        <w:rPr>
          <w:rFonts w:ascii="Times New Roman;sans-serif" w:hAnsi="Times New Roman;sans-serif"/>
          <w:b w:val="false"/>
          <w:i/>
          <w:color w:val="000000"/>
          <w:sz w:val="24"/>
        </w:rPr>
        <w:t xml:space="preserve">. </w:t>
      </w:r>
      <w:r>
        <w:rPr>
          <w:rFonts w:ascii="Times New Roman;sans-serif" w:hAnsi="Times New Roman;sans-serif"/>
          <w:b w:val="false"/>
          <w:color w:val="000000"/>
          <w:sz w:val="24"/>
        </w:rPr>
        <w:t>In order to further ensure the attachment, perfection and priority of, and the ability of the Collateral Agent to enforce, for the benefit of the Secured Parties, the Security Interest in the Article 9 Collateral, each Pledgor agrees, in each case at such Pledgor’s own expense, to take the following actions with respect to the following Article 9 Collateral:</w:t>
      </w:r>
    </w:p>
    <w:p>
      <w:pPr>
        <w:pStyle w:val="TextBody"/>
        <w:bidi w:val="0"/>
        <w:spacing w:lineRule="auto" w:line="240" w:before="240" w:after="283"/>
        <w:ind w:left="0" w:right="0" w:firstLine="1440"/>
        <w:jc w:val="both"/>
        <w:rPr/>
      </w:pPr>
      <w:r>
        <w:rPr>
          <w:rFonts w:ascii="Times New Roman;sans-serif" w:hAnsi="Times New Roman;sans-serif"/>
          <w:b w:val="false"/>
          <w:color w:val="000000"/>
          <w:sz w:val="24"/>
        </w:rPr>
        <w:t>(a)</w:t>
      </w:r>
      <w:r>
        <w:rPr>
          <w:rFonts w:ascii="Times New Roman;sans-serif" w:hAnsi="Times New Roman;sans-serif"/>
          <w:b/>
          <w:i/>
          <w:color w:val="000000"/>
          <w:sz w:val="24"/>
        </w:rPr>
        <w:t>Instruments and Tangible Chattel Paper</w:t>
      </w:r>
      <w:r>
        <w:rPr>
          <w:rFonts w:ascii="Times New Roman;sans-serif" w:hAnsi="Times New Roman;sans-serif"/>
          <w:b/>
          <w:color w:val="000000"/>
          <w:sz w:val="24"/>
        </w:rPr>
        <w:t xml:space="preserve">. </w:t>
      </w:r>
      <w:r>
        <w:rPr>
          <w:rFonts w:ascii="Times New Roman;sans-serif" w:hAnsi="Times New Roman;sans-serif"/>
          <w:b w:val="false"/>
          <w:color w:val="000000"/>
          <w:sz w:val="24"/>
        </w:rPr>
        <w:t>If any Pledgor shall at any time own or acquire any Instruments (other than debt obligations which constitute Pledged Debt which is governed by Article II and checks received and processed in the ordinary course of business) or Tangible Chattel Paper, in each case, constituting Collateral and evidencing an individual amount in excess of $10,000,000, such Pledgor shall promptly (and in any event within fifty (50) days of the date on which it was received by such Pledgor or such longer period as the Collateral Agent may permit in its reasonable discretion) deliver the same to the Collateral Agent for the benefit of the Secured Parties, accompanied by such instruments of transfer or assignment duly executed in blank as the Collateral Agent may from time to time reasonably request.</w:t>
      </w:r>
    </w:p>
    <w:p>
      <w:pPr>
        <w:pStyle w:val="TextBody"/>
        <w:bidi w:val="0"/>
        <w:spacing w:lineRule="auto" w:line="240" w:before="241" w:after="283"/>
        <w:ind w:left="0" w:right="0" w:firstLine="1440"/>
        <w:jc w:val="both"/>
        <w:rPr/>
      </w:pPr>
      <w:r>
        <w:rPr>
          <w:rFonts w:ascii="Times New Roman;sans-serif" w:hAnsi="Times New Roman;sans-serif"/>
          <w:b w:val="false"/>
          <w:color w:val="000000"/>
          <w:sz w:val="24"/>
        </w:rPr>
        <w:t>(b)</w:t>
      </w:r>
      <w:r>
        <w:rPr>
          <w:rFonts w:ascii="Times New Roman;sans-serif" w:hAnsi="Times New Roman;sans-serif"/>
          <w:b/>
          <w:i/>
          <w:color w:val="000000"/>
          <w:sz w:val="24"/>
        </w:rPr>
        <w:t>Commercial Tort Claims</w:t>
      </w:r>
      <w:r>
        <w:rPr>
          <w:rFonts w:ascii="Times New Roman;sans-serif" w:hAnsi="Times New Roman;sans-serif"/>
          <w:b/>
          <w:color w:val="000000"/>
          <w:sz w:val="24"/>
        </w:rPr>
        <w:t xml:space="preserve">. </w:t>
      </w:r>
      <w:r>
        <w:rPr>
          <w:rFonts w:ascii="Times New Roman;sans-serif" w:hAnsi="Times New Roman;sans-serif"/>
          <w:b w:val="false"/>
          <w:color w:val="000000"/>
          <w:sz w:val="24"/>
        </w:rPr>
        <w:t>If any Pledgor shall at any time hold or acquire a Commercial Tort Claim in an amount reasonably expected to result in a recovery greater than</w:t>
      </w:r>
    </w:p>
    <w:p>
      <w:pPr>
        <w:pStyle w:val="TextBody"/>
        <w:bidi w:val="0"/>
        <w:spacing w:lineRule="auto" w:line="240" w:before="0" w:after="0"/>
        <w:jc w:val="both"/>
        <w:rPr/>
      </w:pPr>
      <w:r>
        <w:rPr>
          <w:rFonts w:ascii="Times New Roman;sans-serif" w:hAnsi="Times New Roman;sans-serif"/>
          <w:b w:val="false"/>
          <w:color w:val="000000"/>
          <w:sz w:val="24"/>
        </w:rPr>
        <w:t xml:space="preserve">$20,000,000, such Pledgor shall promptly notify the Collateral Agent thereof in a writing signed by such Pledgor, including a summary description of such claim, and deliver to the Collateral Agent in writing a supplement to </w:t>
      </w:r>
      <w:r>
        <w:rPr>
          <w:rFonts w:ascii="Times New Roman;sans-serif" w:hAnsi="Times New Roman;sans-serif"/>
          <w:b w:val="false"/>
          <w:color w:val="000000"/>
          <w:sz w:val="24"/>
          <w:u w:val="single"/>
        </w:rPr>
        <w:t>Schedule III</w:t>
      </w:r>
      <w:r>
        <w:rPr>
          <w:color w:val="000000"/>
        </w:rPr>
        <w:t xml:space="preserve"> </w:t>
      </w:r>
      <w:r>
        <w:rPr>
          <w:rFonts w:ascii="Times New Roman;sans-serif" w:hAnsi="Times New Roman;sans-serif"/>
          <w:b w:val="false"/>
          <w:color w:val="000000"/>
          <w:sz w:val="24"/>
        </w:rPr>
        <w:t>including such description and shall grant to the Collateral Agent a security interest therein and in the proceeds thereof, all upon the terms of this Agreement.</w:t>
      </w:r>
    </w:p>
    <w:p>
      <w:pPr>
        <w:pStyle w:val="TextBody"/>
        <w:bidi w:val="0"/>
        <w:spacing w:lineRule="auto" w:line="240" w:before="238" w:after="283"/>
        <w:ind w:left="0" w:right="0" w:firstLine="1440"/>
        <w:jc w:val="left"/>
        <w:rPr/>
      </w:pPr>
      <w:r>
        <w:rPr>
          <w:rFonts w:ascii="Times New Roman;sans-serif" w:hAnsi="Times New Roman;sans-serif"/>
          <w:b w:val="false"/>
          <w:color w:val="000000"/>
          <w:sz w:val="24"/>
        </w:rPr>
        <w:t>SECTION 3.5.    </w:t>
      </w:r>
      <w:r>
        <w:rPr>
          <w:rFonts w:ascii="Times New Roman;sans-serif" w:hAnsi="Times New Roman;sans-serif"/>
          <w:b/>
          <w:color w:val="000000"/>
          <w:sz w:val="24"/>
        </w:rPr>
        <w:t xml:space="preserve">Covenants Regarding Patent, Trademark and Copyright Collateral. </w:t>
      </w:r>
      <w:r>
        <w:rPr>
          <w:rFonts w:ascii="Times New Roman;sans-serif" w:hAnsi="Times New Roman;sans-serif"/>
          <w:b w:val="false"/>
          <w:color w:val="000000"/>
          <w:sz w:val="24"/>
        </w:rPr>
        <w:t>Except as not prohibited by the Credit Agreement Documents:</w:t>
      </w:r>
    </w:p>
    <w:p>
      <w:pPr>
        <w:pStyle w:val="TextBody"/>
        <w:bidi w:val="0"/>
        <w:spacing w:lineRule="auto" w:line="240" w:before="241"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(a)Each Pledgor agrees that it will not knowingly do any act or omit to do any act whereby any Patent that is material to the normal conduct of such Pledgor’s business may be reasonably likely to become prematurely invalidated, abandoned, lapsed or dedicated to the public.</w:t>
      </w:r>
    </w:p>
    <w:p>
      <w:pPr>
        <w:pStyle w:val="TextBody"/>
        <w:bidi w:val="0"/>
        <w:spacing w:lineRule="auto" w:line="240" w:before="240"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(b)Each Pledgor will, for each material Trademark necessary to the normal conduct of such Pledgor’s business, (i) maintain such Trademark in full force free from any adjudication of abandonment or invalidity for non-use and (ii) maintain the quality of products and services offered under such Trademark in a manner consistent with the operation of such Pledgor’s business.</w:t>
      </w:r>
    </w:p>
    <w:p>
      <w:pPr>
        <w:pStyle w:val="TextBody"/>
        <w:bidi w:val="0"/>
        <w:spacing w:lineRule="auto" w:line="240" w:before="240"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(c)Each Pledgor shall notify the Collateral Agent promptly if it knows that any United States federally issued or applied for Patent, United States federally registered or applied</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25">
                <wp:simplePos x="0" y="0"/>
                <wp:positionH relativeFrom="character">
                  <wp:align>left</wp:align>
                </wp:positionH>
                <wp:positionV relativeFrom="line">
                  <wp:posOffset>635</wp:posOffset>
                </wp:positionV>
                <wp:extent cx="6480175" cy="781050"/>
                <wp:effectExtent l="0" t="0" r="0" b="0"/>
                <wp:wrapNone/>
                <wp:docPr id="524" name="Frame523"/>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322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322</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60" w:after="283"/>
        <w:jc w:val="both"/>
        <w:rPr>
          <w:rFonts w:ascii="Times New Roman;sans-serif" w:hAnsi="Times New Roman;sans-serif"/>
          <w:b w:val="false"/>
          <w:color w:val="000000"/>
          <w:sz w:val="24"/>
        </w:rPr>
      </w:pPr>
      <w:r>
        <w:rPr>
          <w:rFonts w:ascii="Times New Roman;sans-serif" w:hAnsi="Times New Roman;sans-serif"/>
          <w:b w:val="false"/>
          <w:color w:val="000000"/>
          <w:sz w:val="24"/>
        </w:rPr>
        <w:t>for Trademark or United States federally registered Copyright, in each case that is material to the normal conduct of such Pledgor’s business may imminently become abandoned, lapsed or dedicated to the public, or of any materially adverse determination or development, excluding office actions and similar determinations or developments in the United States Patent and Trademark Office, or United States Copyright Office regarding such Pledgor’s ownership of any such material Patent, Trademark or Copyright or its right to register or to maintain the same.</w:t>
      </w:r>
    </w:p>
    <w:p>
      <w:pPr>
        <w:pStyle w:val="TextBody"/>
        <w:bidi w:val="0"/>
        <w:spacing w:lineRule="auto" w:line="240" w:before="240" w:after="283"/>
        <w:ind w:left="0" w:right="0" w:firstLine="1440"/>
        <w:jc w:val="both"/>
        <w:rPr/>
      </w:pPr>
      <w:r>
        <w:rPr>
          <w:rFonts w:ascii="Times New Roman;sans-serif" w:hAnsi="Times New Roman;sans-serif"/>
          <w:b w:val="false"/>
          <w:color w:val="000000"/>
          <w:sz w:val="24"/>
        </w:rPr>
        <w:t xml:space="preserve">(d)Each Pledgor, either by itself or through any agent, employee, licensee or designee, shall (i) inform the Collateral Agent on an annual basis (at the time of delivery of an updated Perfection Certificate pursuant to </w:t>
      </w:r>
      <w:r>
        <w:rPr>
          <w:rFonts w:ascii="Times New Roman;sans-serif" w:hAnsi="Times New Roman;sans-serif"/>
          <w:b w:val="false"/>
          <w:color w:val="000000"/>
          <w:sz w:val="24"/>
          <w:u w:val="single"/>
        </w:rPr>
        <w:t>Section 5.04(e)</w:t>
      </w:r>
      <w:r>
        <w:rPr>
          <w:color w:val="000000"/>
        </w:rPr>
        <w:t xml:space="preserve"> </w:t>
      </w:r>
      <w:r>
        <w:rPr>
          <w:rFonts w:ascii="Times New Roman;sans-serif" w:hAnsi="Times New Roman;sans-serif"/>
          <w:b w:val="false"/>
          <w:color w:val="000000"/>
          <w:sz w:val="24"/>
        </w:rPr>
        <w:t xml:space="preserve">of the Credit Agreement) of each application for, or registration or issuance of, any Patent or Trademark with the United States Patent and Trademark Office and each registration of any Copyright with the United States Copyright Office filed by or on behalf of, or issued to, or acquired by, any Pledgor during the preceding 12-month period and (ii) upon the reasonable request of the Collateral Agent, execute, deliver and file with the United States Patent and Trademark Office and/or United States Copyright Office, as applicable, any and all agreements, instruments, documents and papers necessary, or as reasonably requested by the Collateral Agent, to evidence the Collateral Agent’s Security Interest in such Patent, Trademark or Copyright and the perfection thereof;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any such Patent, Trademark or Copyright created or acquired after the Closing Date shall automatically become subject to the Security Interest and constitute Collateral to the extent such would have constituted Collateral if owned on the Closing Date without further action by any party.</w:t>
      </w:r>
    </w:p>
    <w:p>
      <w:pPr>
        <w:pStyle w:val="TextBody"/>
        <w:bidi w:val="0"/>
        <w:spacing w:lineRule="auto" w:line="240" w:before="241"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(e)Each Pledgor shall exercise its reasonable business judgment consistent with its past practice in any proceeding before the United States Patent and Trademark Office or the United States Copyright Office with respect to maintaining and pursuing each application relating to any Patent, Trademark and/or Copyright (and obtaining the relevant grant or registration) material to the normal conduct of such Pledgor’s business and to maintain (i) each United States federally issued Patent that is material to the normal conduct of such Pledgor’s business and (ii) the registrations of each United States federally registered Trademark and each United States federally registered Copyright, in each case that is material to the normal conduct of such Pledgor’s business, including, when applicable and necessary in such Pledgor’s reasonable business judgment, timely filings of applications for renewal, affidavits of use, affidavits of incontestability and payment of maintenance fees, and, if any Pledgor believes necessary in its reasonable business judgment, to initiate opposition, interference and cancellation proceedings against third parties.</w:t>
      </w:r>
    </w:p>
    <w:p>
      <w:pPr>
        <w:pStyle w:val="TextBody"/>
        <w:bidi w:val="0"/>
        <w:spacing w:lineRule="auto" w:line="240" w:before="239"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(f)In the event that any Pledgor knows that any Article 9 Collateral consisting of a Patent, Trademark or Copyright that is material to the normal conduct of its business has been materially infringed, misappropriated or diluted by a third party, such Pledgor shall promptly notify the Collateral Agent and shall, if such Pledgor deems it necessary in its sole reasonable business judgment, promptly sue and recover any and all damages and take such other actions as are reasonably appropriate under the circumstances.</w:t>
      </w:r>
    </w:p>
    <w:p>
      <w:pPr>
        <w:pStyle w:val="TextBody"/>
        <w:bidi w:val="0"/>
        <w:spacing w:lineRule="auto" w:line="240" w:before="240"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(g)Upon and during the continuance of an Event of Default, at the request of the Collateral Agent, each Pledgor shall use commercially reasonable efforts to obtain all requisite consents or approvals from each licensor under each IP Agreement (and any other in-bound licenses for Intellectual Property that are material to the Pledgor, other than non-exclusive software</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26">
                <wp:simplePos x="0" y="0"/>
                <wp:positionH relativeFrom="character">
                  <wp:align>left</wp:align>
                </wp:positionH>
                <wp:positionV relativeFrom="line">
                  <wp:posOffset>635</wp:posOffset>
                </wp:positionV>
                <wp:extent cx="6480175" cy="781050"/>
                <wp:effectExtent l="0" t="0" r="0" b="0"/>
                <wp:wrapNone/>
                <wp:docPr id="525" name="Frame524"/>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323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323</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jc w:val="both"/>
        <w:rPr>
          <w:rFonts w:ascii="Times New Roman;sans-serif" w:hAnsi="Times New Roman;sans-serif"/>
          <w:b w:val="false"/>
          <w:color w:val="000000"/>
          <w:sz w:val="24"/>
        </w:rPr>
      </w:pPr>
      <w:r>
        <w:rPr>
          <w:rFonts w:ascii="Times New Roman;sans-serif" w:hAnsi="Times New Roman;sans-serif"/>
          <w:b w:val="false"/>
          <w:color w:val="000000"/>
          <w:sz w:val="24"/>
        </w:rPr>
        <w:t>licenses generally available to the public on standard terms) to effect the assignment or sub-license of all such Pledgor’s right, title and interest thereunder to (in the Collateral Agent’s reasonable discretion) the designee of the Collateral Agent or the Collateral Agent; provided, however, that nothing contained in this Section 3.5(g) should be construed as an obligation of any Pledgor to incur any costs or expenses in connection with obtaining such approval.</w:t>
      </w:r>
    </w:p>
    <w:p>
      <w:pPr>
        <w:pStyle w:val="TextBody"/>
        <w:bidi w:val="0"/>
        <w:spacing w:lineRule="auto" w:line="240" w:before="24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ARTICLE IV</w:t>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Remedies</w:t>
      </w:r>
    </w:p>
    <w:p>
      <w:pPr>
        <w:pStyle w:val="TextBody"/>
        <w:bidi w:val="0"/>
        <w:spacing w:lineRule="auto" w:line="240" w:before="240" w:after="283"/>
        <w:ind w:left="0" w:right="0" w:firstLine="1440"/>
        <w:jc w:val="both"/>
        <w:rPr/>
      </w:pPr>
      <w:r>
        <w:rPr>
          <w:rFonts w:ascii="Times New Roman;sans-serif" w:hAnsi="Times New Roman;sans-serif"/>
          <w:b w:val="false"/>
          <w:color w:val="000000"/>
          <w:sz w:val="24"/>
        </w:rPr>
        <w:t xml:space="preserve">SECTION 4.1. </w:t>
      </w:r>
      <w:r>
        <w:rPr>
          <w:rFonts w:ascii="Times New Roman;sans-serif" w:hAnsi="Times New Roman;sans-serif"/>
          <w:b/>
          <w:i/>
          <w:color w:val="000000"/>
          <w:sz w:val="24"/>
        </w:rPr>
        <w:t>Remedies Upon Default</w:t>
      </w:r>
      <w:r>
        <w:rPr>
          <w:rFonts w:ascii="Times New Roman;sans-serif" w:hAnsi="Times New Roman;sans-serif"/>
          <w:b w:val="false"/>
          <w:i/>
          <w:color w:val="000000"/>
          <w:sz w:val="24"/>
        </w:rPr>
        <w:t xml:space="preserve">. </w:t>
      </w:r>
      <w:r>
        <w:rPr>
          <w:rFonts w:ascii="Times New Roman;sans-serif" w:hAnsi="Times New Roman;sans-serif"/>
          <w:b w:val="false"/>
          <w:color w:val="000000"/>
          <w:sz w:val="24"/>
        </w:rPr>
        <w:t xml:space="preserve">In accordance with, and to the extent consistent with, the terms of any applicable Intercreditor Agreement, the Collateral Agent may take any action specified in this </w:t>
      </w:r>
      <w:r>
        <w:rPr>
          <w:rFonts w:ascii="Times New Roman;sans-serif" w:hAnsi="Times New Roman;sans-serif"/>
          <w:b w:val="false"/>
          <w:color w:val="000000"/>
          <w:sz w:val="24"/>
          <w:u w:val="single"/>
        </w:rPr>
        <w:t>Section 4.1</w:t>
      </w:r>
      <w:r>
        <w:rPr>
          <w:rFonts w:ascii="Times New Roman;sans-serif" w:hAnsi="Times New Roman;sans-serif"/>
          <w:b w:val="false"/>
          <w:color w:val="000000"/>
          <w:sz w:val="24"/>
        </w:rPr>
        <w:t xml:space="preserve">. Upon the occurrence and during the continuance of an Event of Default, it is agreed that the Collateral Agent shall have the right to take any of or all the following actions at the same or different times upon the occurrence and during the continuance of an Event of Default: (a) exercise those rights and remedies provided in this Agreement, the Credit Agreement or any other Credit Agreement Document;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the Collateral Agent shall provide the applicable Pledgor with notice thereof prior to or promptly after such exercise,</w:t>
      </w:r>
    </w:p>
    <w:p>
      <w:pPr>
        <w:pStyle w:val="TextBody"/>
        <w:bidi w:val="0"/>
        <w:spacing w:lineRule="auto" w:line="240" w:before="0" w:after="0"/>
        <w:jc w:val="both"/>
        <w:rPr/>
      </w:pPr>
      <w:r>
        <w:rPr>
          <w:rFonts w:ascii="Times New Roman;sans-serif" w:hAnsi="Times New Roman;sans-serif"/>
          <w:b w:val="false"/>
          <w:color w:val="000000"/>
          <w:sz w:val="24"/>
        </w:rPr>
        <w:t xml:space="preserve">(b) with respect to any Article 9 Collateral consisting of Intellectual Property, on demand, to cause the Security Interest to become an assignment, transfer and conveyance of any of or all such Article 9 Collateral by the applicable Pledgors to the Collateral Agent or to license or sublicense (subject to any such licensee’s obligation to maintain the quality of the goods and/or services provided under any Trademark consistent with the quality of such goods and/or services provided by the Pledgors immediately prior to the Event of Default), whether general, special or otherwise, and whether on an exclusive or a nonexclusive basis any such Article 9 Collateral throughout the world on such terms and conditions and in such manner as the Collateral Agent shall determine (other than in violation of any then-existing licensing or trademark co-existence arrangements to the extent that waivers thereunder cannot be obtained with the use of commercially reasonable efforts, which each Pledgor hereby agrees to use) and (c) subject to the mandatory requirements of applicable law and the notice requirements described below, with or without legal process and with or without prior notice or demand for performance, to take possession of the Article 9 Collateral and without liability for trespass to the applicable Pledgor to enter any premises where the Article 9 Collateral or any records relating to the Article 9 Collateral may be located for the purpose of taking possession of or removing the Article 9 Collateral (provided that the Collateral Agent shall provide the applicable Pledgor with notice thereof prior to or promptly after such entry) and, generally, to exercise any and all rights afforded to a secured party under the Uniform Commercial Code or other applicable law (including, without limitation, any law governing the exercise of a bank’s right of setoff or bankers’ lien) or in equity;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the Collateral Agent shall provide the applicable Pledgor with notice thereof prior to or promptly after such exercise. The Collateral Agent agrees and covenants not to exercise any of the rights or remedies set forth in the preceding sentence unless and until the occurrence and during the continuance of an Event of Default. Without limiting the generality of the foregoing, each Pledgor agrees that the Collateral Agent shall have the right, subject to the mandatory requirements of applicable law, to sell or otherwise Dispose of all or any part of the Collateral at a public or private sale or at any broker’s board or on any securities exchange, for cash, upon credit or for future delivery, as the Collateral Agent shall deem appropriate. The Collateral Agent shall be authorized in connection with any sale of a security (if it deems it advisable to do so) pursuant to the foregoing to restrict the</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27">
                <wp:simplePos x="0" y="0"/>
                <wp:positionH relativeFrom="character">
                  <wp:align>left</wp:align>
                </wp:positionH>
                <wp:positionV relativeFrom="line">
                  <wp:posOffset>635</wp:posOffset>
                </wp:positionV>
                <wp:extent cx="6480175" cy="781050"/>
                <wp:effectExtent l="0" t="0" r="0" b="0"/>
                <wp:wrapNone/>
                <wp:docPr id="526" name="Frame525"/>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324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324</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jc w:val="both"/>
        <w:rPr/>
      </w:pPr>
      <w:r>
        <w:rPr>
          <w:rFonts w:ascii="Times New Roman;sans-serif" w:hAnsi="Times New Roman;sans-serif"/>
          <w:b w:val="false"/>
          <w:color w:val="000000"/>
          <w:sz w:val="24"/>
        </w:rPr>
        <w:t xml:space="preserve">prospective bidders or purchasers to persons who represent and agree that they are purchasing such security for their own account, for investment and not with a view to the distribution or sale thereof. Upon consummation of any such Disposition of Collateral pursuant to this </w:t>
      </w:r>
      <w:r>
        <w:rPr>
          <w:rFonts w:ascii="Times New Roman;sans-serif" w:hAnsi="Times New Roman;sans-serif"/>
          <w:b w:val="false"/>
          <w:color w:val="000000"/>
          <w:sz w:val="24"/>
          <w:u w:val="single"/>
        </w:rPr>
        <w:t>Section 4.1</w:t>
      </w:r>
      <w:r>
        <w:rPr>
          <w:color w:val="000000"/>
        </w:rPr>
        <w:t xml:space="preserve"> </w:t>
      </w:r>
      <w:r>
        <w:rPr>
          <w:rFonts w:ascii="Times New Roman;sans-serif" w:hAnsi="Times New Roman;sans-serif"/>
          <w:b w:val="false"/>
          <w:color w:val="000000"/>
          <w:sz w:val="24"/>
        </w:rPr>
        <w:t>the Collateral Agent shall have the right to assign, transfer, license and deliver to the purchaser or purchasers thereof the Collateral so sold (other than in violation of any then-existing licensing or trademark co-existence arrangements to the extent that waivers thereunder cannot be obtained with the use of commercially reasonable efforts, which each Pledgor hereby agrees to use). Each such purchaser at any such Disposition shall hold the property sold absolutely, free from any claim or right on the part of any Pledgor, and each Pledgor hereby waives and releases (to the extent permitted by law) all rights of redemption, stay, valuation and appraisal that such Pledgor now has or may at any time in the future have under any rule of law or statute now existing or hereafter enacted.</w:t>
      </w:r>
    </w:p>
    <w:p>
      <w:pPr>
        <w:pStyle w:val="TextBody"/>
        <w:bidi w:val="0"/>
        <w:spacing w:lineRule="auto" w:line="240" w:before="240" w:after="283"/>
        <w:ind w:left="0" w:right="0" w:firstLine="1440"/>
        <w:jc w:val="both"/>
        <w:rPr/>
      </w:pPr>
      <w:r>
        <w:rPr>
          <w:rFonts w:ascii="Times New Roman;sans-serif" w:hAnsi="Times New Roman;sans-serif"/>
          <w:b w:val="false"/>
          <w:color w:val="000000"/>
          <w:sz w:val="24"/>
        </w:rPr>
        <w:t xml:space="preserve">The Collateral Agent shall give the applicable Pledgors ten (10) Business Days’ written notice (which each Pledgor agrees is reasonable notice within the meaning of Section 9-611 of the Uniform Commercial Code or its equivalent in other jurisdictions) of the Collateral Agent’s intention to make any sale of Collateral. Such notice, in the case of a public sale, shall state the time and place for such sale and, in the case of a sale at a broker’s board or on a securities exchange, shall state the board or exchange at which such sale is to be made and the day on which the Collateral, or portion thereof, will first be offered for sale at such board or exchange. Any such public sale shall be held at such time or times within ordinary business hours and at such place or places as the Collateral Agent may fix and state in the notice (if any) of such sale, and each Pledgor agrees that the internet shall constitute a “place” for purposes of Section 9-610(b) of the Uniform Commercial Code or its equivalent in any applicable jurisdiction. At any such sale, the Collateral, or the portion thereof, to be sold may be sold in one lot as an entirety or in separate parcels, as the Collateral Agent may (in its sole and absolute discretion) determine. The Collateral Agent shall not be obligated to make any sale of any Collateral if it shall determine not to do so, regardless of the fact that notice of sale of such Collateral shall have been given. The Collateral Agent may, without notice or publication, adjourn any public or private sale or cause the same to be adjourned from time to time by announcement at the time and place fixed for sale, and such sale may, without further notice, be made at the time and place to which the same was so adjourned. In the case of any sale of all or any part of the Collateral made on credit or for future delivery, the Collateral so sold may be retained by the Collateral Agent until the sale price is paid by the purchaser or purchasers thereof, but the Collateral Agent shall not incur any liability in the event that any such purchaser or purchasers shall fail to take up and pay for the Collateral so sold and, in the case of any such failure, such Collateral may be sold again upon notice given in accordance with provisions above. At any public (or, to the extent permitted by law, private) sale made pursuant to this </w:t>
      </w:r>
      <w:r>
        <w:rPr>
          <w:rFonts w:ascii="Times New Roman;sans-serif" w:hAnsi="Times New Roman;sans-serif"/>
          <w:b w:val="false"/>
          <w:color w:val="000000"/>
          <w:sz w:val="24"/>
          <w:u w:val="single"/>
        </w:rPr>
        <w:t>Section 4.1</w:t>
      </w:r>
      <w:r>
        <w:rPr>
          <w:rFonts w:ascii="Times New Roman;sans-serif" w:hAnsi="Times New Roman;sans-serif"/>
          <w:b w:val="false"/>
          <w:color w:val="000000"/>
          <w:sz w:val="24"/>
        </w:rPr>
        <w:t xml:space="preserve">, any Secured Party may bid for or purchase for cash, free (to the extent permitted by law) from any right of redemption, stay, valuation or appraisal on the part of any Pledgor (all such rights being also hereby waived and released to the extent permitted by law), the Collateral or any part thereof offered for sale and such Secured Party may, upon compliance with the terms of sale, hold, retain and Dispose of such property in accordance with </w:t>
      </w:r>
      <w:r>
        <w:rPr>
          <w:rFonts w:ascii="Times New Roman;sans-serif" w:hAnsi="Times New Roman;sans-serif"/>
          <w:b w:val="false"/>
          <w:color w:val="000000"/>
          <w:sz w:val="24"/>
          <w:u w:val="single"/>
        </w:rPr>
        <w:t>Section 4.2</w:t>
      </w:r>
      <w:r>
        <w:rPr>
          <w:color w:val="000000"/>
        </w:rPr>
        <w:t xml:space="preserve"> </w:t>
      </w:r>
      <w:r>
        <w:rPr>
          <w:rFonts w:ascii="Times New Roman;sans-serif" w:hAnsi="Times New Roman;sans-serif"/>
          <w:b w:val="false"/>
          <w:color w:val="000000"/>
          <w:sz w:val="24"/>
        </w:rPr>
        <w:t>without further accountability to any Pledgor therefor. For purposes hereof, a written agreement to purchase the Collateral or any portion thereof shall be treated as a sale thereof; the Collateral Agent shall be free to carry out such sale pursuant to such agreement and no Pledgor shall be entitled to the return of the Collateral or any portion thereof subject thereto, notwithstanding the fact that after the Collateral Agent shall have entered into such an agreement all Events of Default shall have been</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28">
                <wp:simplePos x="0" y="0"/>
                <wp:positionH relativeFrom="character">
                  <wp:align>left</wp:align>
                </wp:positionH>
                <wp:positionV relativeFrom="line">
                  <wp:posOffset>635</wp:posOffset>
                </wp:positionV>
                <wp:extent cx="6480175" cy="781050"/>
                <wp:effectExtent l="0" t="0" r="0" b="0"/>
                <wp:wrapNone/>
                <wp:docPr id="527" name="Frame526"/>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325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325</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jc w:val="both"/>
        <w:rPr/>
      </w:pPr>
      <w:r>
        <w:rPr>
          <w:rFonts w:ascii="Times New Roman;sans-serif" w:hAnsi="Times New Roman;sans-serif"/>
          <w:b w:val="false"/>
          <w:color w:val="000000"/>
          <w:sz w:val="24"/>
        </w:rPr>
        <w:t xml:space="preserve">remedied and the Secured Obligations paid in full. As an alternative to exercising the power of sale herein conferred upon it, the Collateral Agent may proceed by a suit or suits at law or in equity to foreclose this Agreement and to sell the Collateral or any portion thereof pursuant to a judgment or decree of a court or courts having competent jurisdiction or pursuant to a proceeding by a court- appointed receiver. To the extent permitted by applicable law, any sale pursuant to the provisions of this </w:t>
      </w:r>
      <w:r>
        <w:rPr>
          <w:rFonts w:ascii="Times New Roman;sans-serif" w:hAnsi="Times New Roman;sans-serif"/>
          <w:b w:val="false"/>
          <w:color w:val="000000"/>
          <w:sz w:val="24"/>
          <w:u w:val="single"/>
        </w:rPr>
        <w:t>Section 4.1</w:t>
      </w:r>
      <w:r>
        <w:rPr>
          <w:color w:val="000000"/>
        </w:rPr>
        <w:t xml:space="preserve"> </w:t>
      </w:r>
      <w:r>
        <w:rPr>
          <w:rFonts w:ascii="Times New Roman;sans-serif" w:hAnsi="Times New Roman;sans-serif"/>
          <w:b w:val="false"/>
          <w:color w:val="000000"/>
          <w:sz w:val="24"/>
        </w:rPr>
        <w:t>shall be deemed to conform to the commercially reasonable standards as provided in Section 9-610(b) of the Uniform Commercial Code or its equivalent in other jurisdictions.</w:t>
      </w:r>
    </w:p>
    <w:p>
      <w:pPr>
        <w:pStyle w:val="TextBody"/>
        <w:bidi w:val="0"/>
        <w:spacing w:lineRule="auto" w:line="240" w:before="240" w:after="283"/>
        <w:ind w:left="0" w:right="0" w:firstLine="1440"/>
        <w:jc w:val="both"/>
        <w:rPr/>
      </w:pPr>
      <w:r>
        <w:rPr>
          <w:rFonts w:ascii="Times New Roman;sans-serif" w:hAnsi="Times New Roman;sans-serif"/>
          <w:b w:val="false"/>
          <w:color w:val="000000"/>
          <w:sz w:val="24"/>
        </w:rPr>
        <w:t xml:space="preserve">SECTION 4.2. </w:t>
      </w:r>
      <w:r>
        <w:rPr>
          <w:rFonts w:ascii="Times New Roman;sans-serif" w:hAnsi="Times New Roman;sans-serif"/>
          <w:b/>
          <w:i/>
          <w:color w:val="000000"/>
          <w:sz w:val="24"/>
        </w:rPr>
        <w:t>Application of Proceeds</w:t>
      </w:r>
      <w:r>
        <w:rPr>
          <w:rFonts w:ascii="Times New Roman;sans-serif" w:hAnsi="Times New Roman;sans-serif"/>
          <w:b w:val="false"/>
          <w:i/>
          <w:color w:val="000000"/>
          <w:sz w:val="24"/>
        </w:rPr>
        <w:t xml:space="preserve">. </w:t>
      </w:r>
      <w:r>
        <w:rPr>
          <w:rFonts w:ascii="Times New Roman;sans-serif" w:hAnsi="Times New Roman;sans-serif"/>
          <w:b w:val="false"/>
          <w:color w:val="000000"/>
          <w:sz w:val="24"/>
        </w:rPr>
        <w:t xml:space="preserve">The Collateral Agent shall, subject to any applicable Intercreditor Agreement, promptly apply the proceeds, moneys or balances of any collection or sale of Collateral realized through the exercise by the Collateral Agent of its remedies hereunder, as well as any Collateral consisting of cash at any time when remedies are being exercised hereunder, as set forth in </w:t>
      </w:r>
      <w:r>
        <w:rPr>
          <w:rFonts w:ascii="Times New Roman;sans-serif" w:hAnsi="Times New Roman;sans-serif"/>
          <w:b w:val="false"/>
          <w:color w:val="000000"/>
          <w:sz w:val="24"/>
          <w:u w:val="single"/>
        </w:rPr>
        <w:t>Section 7.03</w:t>
      </w:r>
      <w:r>
        <w:rPr>
          <w:color w:val="000000"/>
        </w:rPr>
        <w:t xml:space="preserve"> </w:t>
      </w:r>
      <w:r>
        <w:rPr>
          <w:rFonts w:ascii="Times New Roman;sans-serif" w:hAnsi="Times New Roman;sans-serif"/>
          <w:b w:val="false"/>
          <w:color w:val="000000"/>
          <w:sz w:val="24"/>
        </w:rPr>
        <w:t>of the Credit Agreement.</w:t>
      </w:r>
    </w:p>
    <w:p>
      <w:pPr>
        <w:pStyle w:val="TextBody"/>
        <w:bidi w:val="0"/>
        <w:spacing w:lineRule="auto" w:line="240" w:before="240"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The Collateral Agent shall have, subject to any applicable Intercreditor Agreement, absolute discretion as to the time of application of any such proceeds, moneys or balances in accordance with this Agreement. Upon any sale of Collateral by the Collateral Agent (including pursuant to a power of sale granted by statute or under a judicial proceeding), the receipt of the purchase money by the Collateral Agent or of the officer making the sale shall be a sufficient discharge to the purchaser or purchasers of the Collateral so sold and such purchaser or purchasers shall not be obligated to see to the application of any part of the purchase money paid over to the Collateral Agent or such officer or be answerable in any way for the misapplication thereof.</w:t>
      </w:r>
    </w:p>
    <w:p>
      <w:pPr>
        <w:pStyle w:val="TextBody"/>
        <w:bidi w:val="0"/>
        <w:spacing w:lineRule="auto" w:line="240" w:before="241" w:after="283"/>
        <w:ind w:left="0" w:right="0" w:firstLine="1440"/>
        <w:jc w:val="both"/>
        <w:rPr/>
      </w:pPr>
      <w:r>
        <w:rPr>
          <w:rFonts w:ascii="Times New Roman;sans-serif" w:hAnsi="Times New Roman;sans-serif"/>
          <w:b w:val="false"/>
          <w:color w:val="000000"/>
          <w:sz w:val="24"/>
        </w:rPr>
        <w:t xml:space="preserve">SECTION 4.3. </w:t>
      </w:r>
      <w:r>
        <w:rPr>
          <w:rFonts w:ascii="Times New Roman;sans-serif" w:hAnsi="Times New Roman;sans-serif"/>
          <w:b/>
          <w:i/>
          <w:color w:val="000000"/>
          <w:sz w:val="24"/>
        </w:rPr>
        <w:t>Securities Act, Etc</w:t>
      </w:r>
      <w:r>
        <w:rPr>
          <w:rFonts w:ascii="Times New Roman;sans-serif" w:hAnsi="Times New Roman;sans-serif"/>
          <w:b w:val="false"/>
          <w:i/>
          <w:color w:val="000000"/>
          <w:sz w:val="24"/>
        </w:rPr>
        <w:t xml:space="preserve">. </w:t>
      </w:r>
      <w:r>
        <w:rPr>
          <w:rFonts w:ascii="Times New Roman;sans-serif" w:hAnsi="Times New Roman;sans-serif"/>
          <w:b w:val="false"/>
          <w:color w:val="000000"/>
          <w:sz w:val="24"/>
        </w:rPr>
        <w:t>In view of the position of the Pledgors in relation to the Pledged Collateral, or because of other current or future circumstances, a question may arise under the Securities Act of 1933, as amended, or any similar federal statute hereafter enacted analogous in purpose or effect (such Act and any such similar statute as from time to time in effect being called the “</w:t>
      </w:r>
      <w:r>
        <w:rPr>
          <w:rFonts w:ascii="Times New Roman;sans-serif" w:hAnsi="Times New Roman;sans-serif"/>
          <w:b/>
          <w:i/>
          <w:color w:val="000000"/>
          <w:sz w:val="24"/>
        </w:rPr>
        <w:t>Federal Securities Laws</w:t>
      </w:r>
      <w:r>
        <w:rPr>
          <w:color w:val="000000"/>
        </w:rPr>
        <w:t>”</w:t>
      </w:r>
      <w:r>
        <w:rPr>
          <w:rFonts w:ascii="Times New Roman;sans-serif" w:hAnsi="Times New Roman;sans-serif"/>
          <w:b w:val="false"/>
          <w:color w:val="000000"/>
          <w:sz w:val="24"/>
        </w:rPr>
        <w:t>) with respect to any Disposition of the Pledged Collateral permitted hereunder. Each Pledgor understands that compliance with the Federal Securities Laws might very strictly limit the course of conduct of the Collateral Agent if the Collateral Agent were to attempt to Dispose of all or any part of the Pledged Collateral, and might also limit the extent to which or the manner in which any subsequent transferee of any Pledged Collateral could Dispose of the same. Similarly, there may be other legal restrictions or limitations affecting the Collateral Agent in any attempt to Dispose of all or part of the Pledged Collateral under applicable Blue Sky or other state securities laws or similar laws analogous in purpose or effect. Each Pledgor acknowledges and agrees that in light of such restrictions and limitations, the Collateral Agent, subject to the terms of any applicable Intercreditor Agreement, in its reasonable discretion, (a) may proceed to make such a sale whether or not a registration statement for the purpose of registering the sale of such Pledged Collateral or part thereof shall have been filed under the Federal Securities Laws or, to the extent applicable, Blue Sky or other state securities laws and (b) may approach and negotiate with a single potential purchaser to effect such sale. Each Pledgor acknowledges and agrees that any such sale might result in prices and other terms less favorable to the seller than if such sale were a public sale without such restrictions. In the event of any such sale, the Collateral Agent shall incur no responsibility or liability for selling all or any part of the Pledged Collateral at a price that the Collateral Agent, subject to the terms of any applicable Intercreditor Agreement, in its reasonable discretion, may in good faith</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29">
                <wp:simplePos x="0" y="0"/>
                <wp:positionH relativeFrom="character">
                  <wp:align>left</wp:align>
                </wp:positionH>
                <wp:positionV relativeFrom="line">
                  <wp:posOffset>635</wp:posOffset>
                </wp:positionV>
                <wp:extent cx="6480175" cy="781050"/>
                <wp:effectExtent l="0" t="0" r="0" b="0"/>
                <wp:wrapNone/>
                <wp:docPr id="528" name="Frame527"/>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326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326</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jc w:val="both"/>
        <w:rPr/>
      </w:pPr>
      <w:r>
        <w:rPr>
          <w:rFonts w:ascii="Times New Roman;sans-serif" w:hAnsi="Times New Roman;sans-serif"/>
          <w:b w:val="false"/>
          <w:color w:val="000000"/>
          <w:sz w:val="24"/>
        </w:rPr>
        <w:t xml:space="preserve">deem reasonable under the circumstances, notwithstanding the possibility that a substantially higher price might have been realized if the sale were deferred until after registration as aforesaid or if more than a single purchaser were approached. The provisions of this </w:t>
      </w:r>
      <w:r>
        <w:rPr>
          <w:rFonts w:ascii="Times New Roman;sans-serif" w:hAnsi="Times New Roman;sans-serif"/>
          <w:b w:val="false"/>
          <w:color w:val="000000"/>
          <w:sz w:val="24"/>
          <w:u w:val="single"/>
        </w:rPr>
        <w:t>Section 4.3</w:t>
      </w:r>
      <w:r>
        <w:rPr>
          <w:color w:val="000000"/>
        </w:rPr>
        <w:t xml:space="preserve"> </w:t>
      </w:r>
      <w:r>
        <w:rPr>
          <w:rFonts w:ascii="Times New Roman;sans-serif" w:hAnsi="Times New Roman;sans-serif"/>
          <w:b w:val="false"/>
          <w:color w:val="000000"/>
          <w:sz w:val="24"/>
        </w:rPr>
        <w:t>will apply notwithstanding the existence of a public or private market upon which the quotations or sales prices may exceed substantially the price at which the Collateral Agent sells.</w:t>
      </w:r>
    </w:p>
    <w:p>
      <w:pPr>
        <w:pStyle w:val="TextBody"/>
        <w:bidi w:val="0"/>
        <w:spacing w:lineRule="auto" w:line="240" w:before="240" w:after="283"/>
        <w:ind w:left="0" w:right="0" w:firstLine="1440"/>
        <w:jc w:val="both"/>
        <w:rPr/>
      </w:pPr>
      <w:r>
        <w:rPr>
          <w:rFonts w:ascii="Times New Roman;sans-serif" w:hAnsi="Times New Roman;sans-serif"/>
          <w:b w:val="false"/>
          <w:color w:val="000000"/>
          <w:sz w:val="24"/>
        </w:rPr>
        <w:t xml:space="preserve">SECTION 4.4. </w:t>
      </w:r>
      <w:r>
        <w:rPr>
          <w:rFonts w:ascii="Times New Roman;sans-serif" w:hAnsi="Times New Roman;sans-serif"/>
          <w:b/>
          <w:i/>
          <w:color w:val="000000"/>
          <w:sz w:val="24"/>
        </w:rPr>
        <w:t>Collection of Receivables Assets</w:t>
      </w:r>
      <w:r>
        <w:rPr>
          <w:rFonts w:ascii="Times New Roman;sans-serif" w:hAnsi="Times New Roman;sans-serif"/>
          <w:b w:val="false"/>
          <w:i/>
          <w:color w:val="000000"/>
          <w:sz w:val="24"/>
        </w:rPr>
        <w:t xml:space="preserve">. </w:t>
      </w:r>
      <w:r>
        <w:rPr>
          <w:rFonts w:ascii="Times New Roman;sans-serif" w:hAnsi="Times New Roman;sans-serif"/>
          <w:b w:val="false"/>
          <w:color w:val="000000"/>
          <w:sz w:val="24"/>
        </w:rPr>
        <w:t xml:space="preserve">Subject to any Intercreditor Agreement, the Collateral Agent may at any time after the occurrence and during the continuance of an Event of Default, by giving each Pledgor prior written notice, elect to require that any Accounts of any Pledgor be paid directly to the Collateral Agent for the benefit of the Secured Parties. In such event, each such Pledgor shall, and shall permit the Collateral Agent to, promptly notify the account debtors or obligors under the Accounts owned by such Pledgor of the Collateral Agent’s interest therein and direct such account debtors or obligors to make payment of all amounts then or thereafter due under such Accounts directly to the Collateral Agent. Upon receipt of any such notice from the Collateral Agent, each Pledgor shall, so long as an Event of Default is continuing, thereafter hold in trust for the Collateral Agent, on behalf of the Secured Parties, all amounts and proceeds received by it with respect to the Accounts and other Collateral and promptly deliver to the Collateral Agent all such amounts and proceeds in the same form as so received, whether by cash, check, draft or otherwise, with any necessary endorsements. The Collateral Agent shall hold and apply funds so received as provided by the terms of </w:t>
      </w:r>
      <w:r>
        <w:rPr>
          <w:rFonts w:ascii="Times New Roman;sans-serif" w:hAnsi="Times New Roman;sans-serif"/>
          <w:b w:val="false"/>
          <w:color w:val="000000"/>
          <w:sz w:val="24"/>
          <w:u w:val="single"/>
        </w:rPr>
        <w:t>Sections 4.2</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4.5</w:t>
      </w:r>
      <w:r>
        <w:rPr>
          <w:rFonts w:ascii="Times New Roman;sans-serif" w:hAnsi="Times New Roman;sans-serif"/>
          <w:b w:val="false"/>
          <w:color w:val="000000"/>
          <w:sz w:val="24"/>
        </w:rPr>
        <w:t>.</w:t>
      </w:r>
    </w:p>
    <w:p>
      <w:pPr>
        <w:pStyle w:val="TextBody"/>
        <w:bidi w:val="0"/>
        <w:spacing w:lineRule="auto" w:line="240" w:before="241" w:after="283"/>
        <w:ind w:left="0" w:right="0" w:firstLine="1440"/>
        <w:jc w:val="both"/>
        <w:rPr/>
      </w:pPr>
      <w:r>
        <w:rPr>
          <w:rFonts w:ascii="Times New Roman;sans-serif" w:hAnsi="Times New Roman;sans-serif"/>
          <w:b w:val="false"/>
          <w:color w:val="000000"/>
          <w:sz w:val="24"/>
        </w:rPr>
        <w:t xml:space="preserve">SECTION 4.5. </w:t>
      </w:r>
      <w:r>
        <w:rPr>
          <w:rFonts w:ascii="Times New Roman;sans-serif" w:hAnsi="Times New Roman;sans-serif"/>
          <w:b/>
          <w:i/>
          <w:color w:val="000000"/>
          <w:sz w:val="24"/>
        </w:rPr>
        <w:t>Special Collateral Account</w:t>
      </w:r>
      <w:r>
        <w:rPr>
          <w:rFonts w:ascii="Times New Roman;sans-serif" w:hAnsi="Times New Roman;sans-serif"/>
          <w:b w:val="false"/>
          <w:i/>
          <w:color w:val="000000"/>
          <w:sz w:val="24"/>
        </w:rPr>
        <w:t xml:space="preserve">. </w:t>
      </w:r>
      <w:r>
        <w:rPr>
          <w:rFonts w:ascii="Times New Roman;sans-serif" w:hAnsi="Times New Roman;sans-serif"/>
          <w:b w:val="false"/>
          <w:color w:val="000000"/>
          <w:sz w:val="24"/>
        </w:rPr>
        <w:t xml:space="preserve">Subject to any Intercreditor Agreement, the Collateral Agent may, at any time after the occurrence and during the continuation of an Event of Default, require all cash proceeds of the Collateral to be deposited in a special non- interest bearing cash collateral account with the Collateral Agent promptly after receipt thereof by a Pledgor and held in such cash collateral account as security for its Secured Obligations. No Pledgor shall have any control whatsoever over such cash collateral account;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the Collateral Agent shall at the request of the Borrower, release all funds in such cash collateral account (less any amounts that have been applied in accordance with the immediately following sentence) to the applicable Pledgor promptly upon the cure or waiver of all Events of Default. Subject to any Intercreditor Agreement, the Collateral Agent may (and shall, at the direction of the Required Lenders), from time to time, apply the collected balances in said cash collateral account to the payment of the Secured Obligations then due in accordance with the terms of </w:t>
      </w:r>
      <w:r>
        <w:rPr>
          <w:rFonts w:ascii="Times New Roman;sans-serif" w:hAnsi="Times New Roman;sans-serif"/>
          <w:b w:val="false"/>
          <w:color w:val="000000"/>
          <w:sz w:val="24"/>
          <w:u w:val="single"/>
        </w:rPr>
        <w:t>Section 4.2</w:t>
      </w:r>
      <w:r>
        <w:rPr>
          <w:color w:val="000000"/>
        </w:rPr>
        <w:t xml:space="preserve"> </w:t>
      </w:r>
      <w:r>
        <w:rPr>
          <w:rFonts w:ascii="Times New Roman;sans-serif" w:hAnsi="Times New Roman;sans-serif"/>
          <w:b w:val="false"/>
          <w:color w:val="000000"/>
          <w:sz w:val="24"/>
        </w:rPr>
        <w:t>hereof and the terms of any applicable Intercreditor Agreement.</w:t>
      </w:r>
    </w:p>
    <w:p>
      <w:pPr>
        <w:pStyle w:val="TextBody"/>
        <w:bidi w:val="0"/>
        <w:spacing w:lineRule="auto" w:line="240" w:before="239" w:after="283"/>
        <w:ind w:left="0" w:right="0" w:firstLine="1440"/>
        <w:jc w:val="both"/>
        <w:rPr/>
      </w:pPr>
      <w:r>
        <w:rPr>
          <w:rFonts w:ascii="Times New Roman;sans-serif" w:hAnsi="Times New Roman;sans-serif"/>
          <w:b w:val="false"/>
          <w:color w:val="000000"/>
          <w:sz w:val="24"/>
        </w:rPr>
        <w:t xml:space="preserve">SECTION 4.6. </w:t>
      </w:r>
      <w:r>
        <w:rPr>
          <w:rFonts w:ascii="Times New Roman;sans-serif" w:hAnsi="Times New Roman;sans-serif"/>
          <w:b/>
          <w:i/>
          <w:color w:val="000000"/>
          <w:sz w:val="24"/>
        </w:rPr>
        <w:t xml:space="preserve">Pledgors’ Obligations Upon Event of Default. </w:t>
      </w:r>
      <w:r>
        <w:rPr>
          <w:rFonts w:ascii="Times New Roman;sans-serif" w:hAnsi="Times New Roman;sans-serif"/>
          <w:b w:val="false"/>
          <w:color w:val="000000"/>
          <w:sz w:val="24"/>
        </w:rPr>
        <w:t>Upon the request of the Collateral Agent after the occurrence and during the continuance of an Event of Default, each Pledgor will:</w:t>
      </w:r>
    </w:p>
    <w:p>
      <w:pPr>
        <w:pStyle w:val="TextBody"/>
        <w:bidi w:val="0"/>
        <w:spacing w:lineRule="auto" w:line="240" w:before="240" w:after="283"/>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i/>
          <w:color w:val="000000"/>
          <w:sz w:val="24"/>
          <w:u w:val="single"/>
        </w:rPr>
        <w:t>Assembly of Collateral</w:t>
      </w:r>
      <w:r>
        <w:rPr>
          <w:rFonts w:ascii="Times New Roman;sans-serif" w:hAnsi="Times New Roman;sans-serif"/>
          <w:b w:val="false"/>
          <w:color w:val="000000"/>
          <w:sz w:val="24"/>
        </w:rPr>
        <w:t>. Assemble and make available to the Collateral Agent the Collateral at a place or places specified by the Collateral Agent that is reasonably convenient to the Collateral Agent and such Pledgor.</w:t>
      </w:r>
    </w:p>
    <w:p>
      <w:pPr>
        <w:pStyle w:val="TextBody"/>
        <w:bidi w:val="0"/>
        <w:spacing w:lineRule="auto" w:line="240" w:before="240" w:after="283"/>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i/>
          <w:color w:val="000000"/>
          <w:sz w:val="24"/>
          <w:u w:val="single"/>
        </w:rPr>
        <w:t>Secured Party Access</w:t>
      </w:r>
      <w:r>
        <w:rPr>
          <w:rFonts w:ascii="Times New Roman;sans-serif" w:hAnsi="Times New Roman;sans-serif"/>
          <w:b w:val="false"/>
          <w:color w:val="000000"/>
          <w:sz w:val="24"/>
        </w:rPr>
        <w:t>. Permit the Collateral Agent, by the Collateral Agent’s representatives and agents, to enter, occupy and use any premises owned or, to the extent lawful and permitted, leased by any of the Pledgors where all or any part of the Collateral is</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30">
                <wp:simplePos x="0" y="0"/>
                <wp:positionH relativeFrom="character">
                  <wp:align>left</wp:align>
                </wp:positionH>
                <wp:positionV relativeFrom="line">
                  <wp:posOffset>635</wp:posOffset>
                </wp:positionV>
                <wp:extent cx="6480175" cy="781050"/>
                <wp:effectExtent l="0" t="0" r="0" b="0"/>
                <wp:wrapNone/>
                <wp:docPr id="529" name="Frame528"/>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327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327</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jc w:val="both"/>
        <w:rPr/>
      </w:pPr>
      <w:r>
        <w:rPr>
          <w:rFonts w:ascii="Times New Roman;sans-serif" w:hAnsi="Times New Roman;sans-serif"/>
          <w:b w:val="false"/>
          <w:color w:val="000000"/>
          <w:sz w:val="24"/>
        </w:rPr>
        <w:t xml:space="preserve">located, to take possession of all or any part of the Collateral, to remove all or any part of the Collateral and to conduct sales of the Collateral, without any obligation to pay the Pledgor for such use and occupancy;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the Collateral Agent shall provide the applicable Pledgor with notice thereof prior to such occupancy or use.</w:t>
      </w:r>
    </w:p>
    <w:p>
      <w:pPr>
        <w:pStyle w:val="TextBody"/>
        <w:bidi w:val="0"/>
        <w:spacing w:lineRule="auto" w:line="240" w:before="24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ARTICLE V</w:t>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Miscellaneous</w:t>
      </w:r>
    </w:p>
    <w:p>
      <w:pPr>
        <w:pStyle w:val="TextBody"/>
        <w:bidi w:val="0"/>
        <w:spacing w:lineRule="auto" w:line="240" w:before="240" w:after="283"/>
        <w:ind w:left="0" w:right="0" w:firstLine="1440"/>
        <w:jc w:val="both"/>
        <w:rPr/>
      </w:pPr>
      <w:r>
        <w:rPr>
          <w:rFonts w:ascii="Times New Roman;sans-serif" w:hAnsi="Times New Roman;sans-serif"/>
          <w:b w:val="false"/>
          <w:color w:val="000000"/>
          <w:sz w:val="24"/>
        </w:rPr>
        <w:t xml:space="preserve">SECTION 5.1. </w:t>
      </w:r>
      <w:r>
        <w:rPr>
          <w:rFonts w:ascii="Times New Roman;sans-serif" w:hAnsi="Times New Roman;sans-serif"/>
          <w:b/>
          <w:i/>
          <w:color w:val="000000"/>
          <w:sz w:val="24"/>
        </w:rPr>
        <w:t>Notices</w:t>
      </w:r>
      <w:r>
        <w:rPr>
          <w:rFonts w:ascii="Times New Roman;sans-serif" w:hAnsi="Times New Roman;sans-serif"/>
          <w:b w:val="false"/>
          <w:i/>
          <w:color w:val="000000"/>
          <w:sz w:val="24"/>
        </w:rPr>
        <w:t xml:space="preserve">. </w:t>
      </w:r>
      <w:r>
        <w:rPr>
          <w:rFonts w:ascii="Times New Roman;sans-serif" w:hAnsi="Times New Roman;sans-serif"/>
          <w:b w:val="false"/>
          <w:color w:val="000000"/>
          <w:sz w:val="24"/>
        </w:rPr>
        <w:t xml:space="preserve">All communications and notices hereunder shall (except as otherwise expressly permitted herein) be in writing and given as provided in </w:t>
      </w:r>
      <w:r>
        <w:rPr>
          <w:rFonts w:ascii="Times New Roman;sans-serif" w:hAnsi="Times New Roman;sans-serif"/>
          <w:b w:val="false"/>
          <w:color w:val="000000"/>
          <w:sz w:val="24"/>
          <w:u w:val="single"/>
        </w:rPr>
        <w:t>Section</w:t>
      </w:r>
    </w:p>
    <w:p>
      <w:pPr>
        <w:pStyle w:val="TextBody"/>
        <w:bidi w:val="0"/>
        <w:spacing w:lineRule="auto" w:line="240" w:before="0" w:after="0"/>
        <w:jc w:val="both"/>
        <w:rPr/>
      </w:pPr>
      <w:r>
        <w:rPr>
          <w:rFonts w:ascii="Times New Roman;sans-serif" w:hAnsi="Times New Roman;sans-serif"/>
          <w:b w:val="false"/>
          <w:color w:val="000000"/>
          <w:sz w:val="24"/>
          <w:u w:val="single"/>
        </w:rPr>
        <w:t>9.01</w:t>
      </w:r>
      <w:r>
        <w:rPr>
          <w:color w:val="000000"/>
        </w:rPr>
        <w:t xml:space="preserve"> </w:t>
      </w:r>
      <w:r>
        <w:rPr>
          <w:rFonts w:ascii="Times New Roman;sans-serif" w:hAnsi="Times New Roman;sans-serif"/>
          <w:b w:val="false"/>
          <w:color w:val="000000"/>
          <w:sz w:val="24"/>
        </w:rPr>
        <w:t xml:space="preserve">of the Credit Agreement. All communications and notices hereunder to any Pledgor shall be given to it in care of the Borrower, with such notice to be given as provided in </w:t>
      </w:r>
      <w:r>
        <w:rPr>
          <w:rFonts w:ascii="Times New Roman;sans-serif" w:hAnsi="Times New Roman;sans-serif"/>
          <w:b w:val="false"/>
          <w:color w:val="000000"/>
          <w:sz w:val="24"/>
          <w:u w:val="single"/>
        </w:rPr>
        <w:t>Section 9.01</w:t>
      </w:r>
      <w:r>
        <w:rPr>
          <w:color w:val="000000"/>
        </w:rPr>
        <w:t xml:space="preserve"> </w:t>
      </w:r>
      <w:r>
        <w:rPr>
          <w:rFonts w:ascii="Times New Roman;sans-serif" w:hAnsi="Times New Roman;sans-serif"/>
          <w:b w:val="false"/>
          <w:color w:val="000000"/>
          <w:sz w:val="24"/>
        </w:rPr>
        <w:t>of the Credit Agreement.</w:t>
      </w:r>
    </w:p>
    <w:p>
      <w:pPr>
        <w:pStyle w:val="TextBody"/>
        <w:bidi w:val="0"/>
        <w:spacing w:lineRule="auto" w:line="240" w:before="240" w:after="283"/>
        <w:ind w:left="0" w:right="0" w:firstLine="1440"/>
        <w:jc w:val="both"/>
        <w:rPr/>
      </w:pPr>
      <w:r>
        <w:rPr>
          <w:rFonts w:ascii="Times New Roman;sans-serif" w:hAnsi="Times New Roman;sans-serif"/>
          <w:b w:val="false"/>
          <w:color w:val="000000"/>
          <w:sz w:val="24"/>
        </w:rPr>
        <w:t xml:space="preserve">SECTION 5.2. </w:t>
      </w:r>
      <w:r>
        <w:rPr>
          <w:rFonts w:ascii="Times New Roman;sans-serif" w:hAnsi="Times New Roman;sans-serif"/>
          <w:b/>
          <w:i/>
          <w:color w:val="000000"/>
          <w:sz w:val="24"/>
        </w:rPr>
        <w:t>Security Interest Absolute</w:t>
      </w:r>
      <w:r>
        <w:rPr>
          <w:rFonts w:ascii="Times New Roman;sans-serif" w:hAnsi="Times New Roman;sans-serif"/>
          <w:b w:val="false"/>
          <w:color w:val="000000"/>
          <w:sz w:val="24"/>
        </w:rPr>
        <w:t>. To the extent permitted by law, all rights of the Collateral Agent hereunder, the Security Interest in the Article 9 Collateral, the security interest in the Pledged Collateral and all obligations of each Pledgor hereunder shall be absolute and unconditional irrespective of (a) any lack of validity or enforceability of any Credit Agreement Document, any other agreement with respect to any of the Secured Obligations or any other agreement or instrument relating to any of the foregoing, (b) any change in the time, manner or place of payment of, or in any other term of, all or any of the Secured Obligations, or any other amendment or waiver of or any consent to any departure from any Credit Agreement Document, any Intercreditor Agreement or any other agreement or instrument, (c) any exchange, release or non-perfection of any Lien on other collateral, or any release or amendment or waiver of or consent under or departure from any guarantee, securing or guaranteeing all or any of the Secured Obligations or (d) any other circumstance that might otherwise constitute a defense available to, or a discharge of, any Pledgor in respect of the Secured Obligations or this Agreement (other than a defense of payment or performance of such Secured Obligations (other than contingent indemnification and reimbursement obligations for which no claim has been made)).</w:t>
      </w:r>
    </w:p>
    <w:p>
      <w:pPr>
        <w:pStyle w:val="TextBody"/>
        <w:bidi w:val="0"/>
        <w:spacing w:lineRule="auto" w:line="240" w:before="239" w:after="283"/>
        <w:ind w:left="0" w:right="0" w:firstLine="1440"/>
        <w:jc w:val="both"/>
        <w:rPr/>
      </w:pPr>
      <w:r>
        <w:rPr>
          <w:rFonts w:ascii="Times New Roman;sans-serif" w:hAnsi="Times New Roman;sans-serif"/>
          <w:b w:val="false"/>
          <w:color w:val="000000"/>
          <w:sz w:val="24"/>
        </w:rPr>
        <w:t xml:space="preserve">SECTION 5.3. </w:t>
      </w:r>
      <w:r>
        <w:rPr>
          <w:rFonts w:ascii="Times New Roman;sans-serif" w:hAnsi="Times New Roman;sans-serif"/>
          <w:b/>
          <w:i/>
          <w:color w:val="000000"/>
          <w:sz w:val="24"/>
        </w:rPr>
        <w:t>Limitation By Law</w:t>
      </w:r>
      <w:r>
        <w:rPr>
          <w:rFonts w:ascii="Times New Roman;sans-serif" w:hAnsi="Times New Roman;sans-serif"/>
          <w:b w:val="false"/>
          <w:i/>
          <w:color w:val="000000"/>
          <w:sz w:val="24"/>
        </w:rPr>
        <w:t xml:space="preserve">. </w:t>
      </w:r>
      <w:r>
        <w:rPr>
          <w:rFonts w:ascii="Times New Roman;sans-serif" w:hAnsi="Times New Roman;sans-serif"/>
          <w:b w:val="false"/>
          <w:color w:val="000000"/>
          <w:sz w:val="24"/>
        </w:rPr>
        <w:t>All rights, remedies and powers provided in this Agreement may be exercised only to the extent that the exercise thereof does not violate any applicable provision of law, and all the provisions of this Agreement are intended to be subject to all applicable mandatory provisions of law that may be controlling and to be limited to the extent necessary so that they shall not render this Agreement invalid, unenforceable, in whole or in part, or not entitled to be recorded, registered or filed under the provisions of any applicable law.</w:t>
      </w:r>
    </w:p>
    <w:p>
      <w:pPr>
        <w:pStyle w:val="TextBody"/>
        <w:bidi w:val="0"/>
        <w:spacing w:lineRule="auto" w:line="240" w:before="241" w:after="283"/>
        <w:ind w:left="0" w:right="0" w:firstLine="1440"/>
        <w:jc w:val="both"/>
        <w:rPr/>
      </w:pPr>
      <w:r>
        <w:rPr>
          <w:rFonts w:ascii="Times New Roman;sans-serif" w:hAnsi="Times New Roman;sans-serif"/>
          <w:b w:val="false"/>
          <w:color w:val="000000"/>
          <w:sz w:val="24"/>
        </w:rPr>
        <w:t xml:space="preserve">SECTION 5.4. </w:t>
      </w:r>
      <w:r>
        <w:rPr>
          <w:rFonts w:ascii="Times New Roman;sans-serif" w:hAnsi="Times New Roman;sans-serif"/>
          <w:b/>
          <w:i/>
          <w:color w:val="000000"/>
          <w:sz w:val="24"/>
        </w:rPr>
        <w:t>Binding Effect; Several Agreements</w:t>
      </w:r>
      <w:r>
        <w:rPr>
          <w:rFonts w:ascii="Times New Roman;sans-serif" w:hAnsi="Times New Roman;sans-serif"/>
          <w:b w:val="false"/>
          <w:i/>
          <w:color w:val="000000"/>
          <w:sz w:val="24"/>
        </w:rPr>
        <w:t xml:space="preserve">. </w:t>
      </w:r>
      <w:r>
        <w:rPr>
          <w:rFonts w:ascii="Times New Roman;sans-serif" w:hAnsi="Times New Roman;sans-serif"/>
          <w:b w:val="false"/>
          <w:color w:val="000000"/>
          <w:sz w:val="24"/>
        </w:rPr>
        <w:t>This Agreement shall become effective as to any party to this Agreement when a counterpart hereof executed on behalf of such party shall have been delivered to the Collateral Agent and a counterpart hereof shall have been executed on behalf of the Collateral Agent, and thereafter shall be binding upon such party and the Collateral Agent and their respective permitted successors and permitted assigns, and shall inure to the benefit of such party, the Collateral Agent and the other Secured Parties and their respective permitted successors and permitted assigns, except that no party shall have the right to assign or transfer its rights or obligations hereunder or any interest herein or in the Collateral (and any such assignment or transfer shall be void) except as permitted under this Agreement and the</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31">
                <wp:simplePos x="0" y="0"/>
                <wp:positionH relativeFrom="character">
                  <wp:align>left</wp:align>
                </wp:positionH>
                <wp:positionV relativeFrom="line">
                  <wp:posOffset>635</wp:posOffset>
                </wp:positionV>
                <wp:extent cx="6480175" cy="781050"/>
                <wp:effectExtent l="0" t="0" r="0" b="0"/>
                <wp:wrapNone/>
                <wp:docPr id="530" name="Frame529"/>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328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328</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jc w:val="both"/>
        <w:rPr/>
      </w:pPr>
      <w:r>
        <w:rPr>
          <w:rFonts w:ascii="Times New Roman;sans-serif" w:hAnsi="Times New Roman;sans-serif"/>
          <w:b w:val="false"/>
          <w:color w:val="000000"/>
          <w:sz w:val="24"/>
        </w:rPr>
        <w:t xml:space="preserve">Credit Agreement. This Agreement shall be construed as a separate agreement with respect to each party and may be amended, modified, supplemented, waived or released in accordance with </w:t>
      </w:r>
      <w:r>
        <w:rPr>
          <w:rFonts w:ascii="Times New Roman;sans-serif" w:hAnsi="Times New Roman;sans-serif"/>
          <w:b w:val="false"/>
          <w:color w:val="000000"/>
          <w:sz w:val="24"/>
          <w:u w:val="single"/>
        </w:rPr>
        <w:t>Section 5.9</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5.15</w:t>
      </w:r>
      <w:r>
        <w:rPr>
          <w:rFonts w:ascii="Times New Roman;sans-serif" w:hAnsi="Times New Roman;sans-serif"/>
          <w:b w:val="false"/>
          <w:color w:val="000000"/>
          <w:sz w:val="24"/>
        </w:rPr>
        <w:t>, as applicable.</w:t>
      </w:r>
    </w:p>
    <w:p>
      <w:pPr>
        <w:pStyle w:val="TextBody"/>
        <w:bidi w:val="0"/>
        <w:spacing w:lineRule="auto" w:line="240" w:before="240" w:after="283"/>
        <w:ind w:left="0" w:right="0" w:firstLine="1440"/>
        <w:jc w:val="both"/>
        <w:rPr/>
      </w:pPr>
      <w:r>
        <w:rPr>
          <w:rFonts w:ascii="Times New Roman;sans-serif" w:hAnsi="Times New Roman;sans-serif"/>
          <w:b w:val="false"/>
          <w:color w:val="000000"/>
          <w:sz w:val="24"/>
        </w:rPr>
        <w:t xml:space="preserve">SECTION 5.5. </w:t>
      </w:r>
      <w:r>
        <w:rPr>
          <w:rFonts w:ascii="Times New Roman;sans-serif" w:hAnsi="Times New Roman;sans-serif"/>
          <w:b/>
          <w:i/>
          <w:color w:val="000000"/>
          <w:sz w:val="24"/>
        </w:rPr>
        <w:t>Successors and Assigns</w:t>
      </w:r>
      <w:r>
        <w:rPr>
          <w:rFonts w:ascii="Times New Roman;sans-serif" w:hAnsi="Times New Roman;sans-serif"/>
          <w:b w:val="false"/>
          <w:i/>
          <w:color w:val="000000"/>
          <w:sz w:val="24"/>
        </w:rPr>
        <w:t xml:space="preserve">. </w:t>
      </w:r>
      <w:r>
        <w:rPr>
          <w:rFonts w:ascii="Times New Roman;sans-serif" w:hAnsi="Times New Roman;sans-serif"/>
          <w:b w:val="false"/>
          <w:color w:val="000000"/>
          <w:sz w:val="24"/>
        </w:rPr>
        <w:t xml:space="preserve">Whenever in this Agreement any of the parties hereto is referred to, such reference shall be deemed to include the permitted successors and permitted assigns of such party and all covenants, promises and agreements by or on behalf of any Pledgor or the Collateral Agent that are contained in this Agreement shall bind and inure to the benefit of their respective permitted successors and permitted assigns,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no Pledgor may assign, transfer or delegate any of its rights or obligations under this Agreement except as permitted by </w:t>
      </w:r>
      <w:r>
        <w:rPr>
          <w:rFonts w:ascii="Times New Roman;sans-serif" w:hAnsi="Times New Roman;sans-serif"/>
          <w:b w:val="false"/>
          <w:color w:val="000000"/>
          <w:sz w:val="24"/>
          <w:u w:val="single"/>
        </w:rPr>
        <w:t>Section 5.4</w:t>
      </w:r>
      <w:r>
        <w:rPr>
          <w:color w:val="000000"/>
        </w:rPr>
        <w:t xml:space="preserve"> </w:t>
      </w:r>
      <w:r>
        <w:rPr>
          <w:rFonts w:ascii="Times New Roman;sans-serif" w:hAnsi="Times New Roman;sans-serif"/>
          <w:b w:val="false"/>
          <w:color w:val="000000"/>
          <w:sz w:val="24"/>
        </w:rPr>
        <w:t>or the other Credit Agreement Documents.</w:t>
      </w:r>
    </w:p>
    <w:p>
      <w:pPr>
        <w:pStyle w:val="TextBody"/>
        <w:bidi w:val="0"/>
        <w:spacing w:lineRule="auto" w:line="240" w:before="240" w:after="283"/>
        <w:jc w:val="left"/>
        <w:rPr/>
      </w:pPr>
      <w:r>
        <w:rPr>
          <w:rFonts w:ascii="Times New Roman;sans-serif" w:hAnsi="Times New Roman;sans-serif"/>
          <w:b w:val="false"/>
          <w:color w:val="000000"/>
          <w:sz w:val="24"/>
        </w:rPr>
        <w:t>SECTION 5.6.    </w:t>
      </w:r>
      <w:r>
        <w:rPr>
          <w:rFonts w:ascii="Times New Roman;sans-serif" w:hAnsi="Times New Roman;sans-serif"/>
          <w:b/>
          <w:i/>
          <w:color w:val="000000"/>
          <w:sz w:val="24"/>
        </w:rPr>
        <w:t>Collateral Agent’s Fees and Expenses; Indemnification</w:t>
      </w:r>
      <w:r>
        <w:rPr>
          <w:rFonts w:ascii="Times New Roman;sans-serif" w:hAnsi="Times New Roman;sans-serif"/>
          <w:b w:val="false"/>
          <w:color w:val="000000"/>
          <w:sz w:val="24"/>
        </w:rPr>
        <w:t>.</w:t>
      </w:r>
    </w:p>
    <w:p>
      <w:pPr>
        <w:pStyle w:val="TextBody"/>
        <w:bidi w:val="0"/>
        <w:spacing w:lineRule="auto" w:line="240" w:before="240" w:after="283"/>
        <w:ind w:left="0" w:right="0" w:firstLine="1440"/>
        <w:jc w:val="both"/>
        <w:rPr/>
      </w:pPr>
      <w:r>
        <w:rPr>
          <w:rFonts w:ascii="Times New Roman;sans-serif" w:hAnsi="Times New Roman;sans-serif"/>
          <w:b w:val="false"/>
          <w:color w:val="000000"/>
          <w:sz w:val="24"/>
        </w:rPr>
        <w:t xml:space="preserve">(a)The parties hereto agree that the Collateral Agent shall be entitled to reimbursement of its expenses incurred hereunder by the Pledgors, and the Collateral Agent and other Indemnitees shall be indemnified by the Pledgors, in each case of this clause (a), </w:t>
      </w:r>
      <w:r>
        <w:rPr>
          <w:rFonts w:ascii="Times New Roman;sans-serif" w:hAnsi="Times New Roman;sans-serif"/>
          <w:b w:val="false"/>
          <w:i/>
          <w:color w:val="000000"/>
          <w:sz w:val="24"/>
        </w:rPr>
        <w:t>mutatis mutandis</w:t>
      </w:r>
      <w:r>
        <w:rPr>
          <w:rFonts w:ascii="Times New Roman;sans-serif" w:hAnsi="Times New Roman;sans-serif"/>
          <w:b w:val="false"/>
          <w:color w:val="000000"/>
          <w:sz w:val="24"/>
        </w:rPr>
        <w:t xml:space="preserve">, as provided in </w:t>
      </w:r>
      <w:r>
        <w:rPr>
          <w:rFonts w:ascii="Times New Roman;sans-serif" w:hAnsi="Times New Roman;sans-serif"/>
          <w:b w:val="false"/>
          <w:color w:val="000000"/>
          <w:sz w:val="24"/>
          <w:u w:val="single"/>
        </w:rPr>
        <w:t>Section 9.05</w:t>
      </w:r>
      <w:r>
        <w:rPr>
          <w:color w:val="000000"/>
        </w:rPr>
        <w:t xml:space="preserve"> </w:t>
      </w:r>
      <w:r>
        <w:rPr>
          <w:rFonts w:ascii="Times New Roman;sans-serif" w:hAnsi="Times New Roman;sans-serif"/>
          <w:b w:val="false"/>
          <w:color w:val="000000"/>
          <w:sz w:val="24"/>
        </w:rPr>
        <w:t>of the Credit Agreement.</w:t>
      </w:r>
    </w:p>
    <w:p>
      <w:pPr>
        <w:pStyle w:val="TextBody"/>
        <w:bidi w:val="0"/>
        <w:spacing w:lineRule="auto" w:line="240" w:before="240"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(b)Any such amounts payable as provided hereunder shall be additional Secured Obligations secured hereby and by the other Security Documents. The provisions of this Section 5.6 shall remain operative and in full force and effect regardless of the resignation of the Collateral Agent, the termination of this Agreement or any other Credit Agreement Document, the consummation of the transactions contemplated hereby or thereby, the repayment of any of the Secured Obligations, the invalidity or unenforceability of any term or provision of this Agreement or any other Credit Agreement Document or any investigation made by or on behalf of the Collateral Agent or any other Secured Party.</w:t>
      </w:r>
    </w:p>
    <w:p>
      <w:pPr>
        <w:pStyle w:val="TextBody"/>
        <w:bidi w:val="0"/>
        <w:spacing w:lineRule="auto" w:line="240" w:before="241" w:after="283"/>
        <w:ind w:left="0" w:right="0" w:firstLine="1440"/>
        <w:jc w:val="both"/>
        <w:rPr/>
      </w:pPr>
      <w:r>
        <w:rPr>
          <w:rFonts w:ascii="Times New Roman;sans-serif" w:hAnsi="Times New Roman;sans-serif"/>
          <w:b w:val="false"/>
          <w:color w:val="000000"/>
          <w:sz w:val="24"/>
        </w:rPr>
        <w:t xml:space="preserve">SECTION 5.7. </w:t>
      </w:r>
      <w:r>
        <w:rPr>
          <w:rFonts w:ascii="Times New Roman;sans-serif" w:hAnsi="Times New Roman;sans-serif"/>
          <w:b/>
          <w:i/>
          <w:color w:val="000000"/>
          <w:sz w:val="24"/>
        </w:rPr>
        <w:t>Collateral Agent Appointed Attorney-in-Fact</w:t>
      </w:r>
      <w:r>
        <w:rPr>
          <w:rFonts w:ascii="Times New Roman;sans-serif" w:hAnsi="Times New Roman;sans-serif"/>
          <w:b w:val="false"/>
          <w:i/>
          <w:color w:val="000000"/>
          <w:sz w:val="24"/>
        </w:rPr>
        <w:t xml:space="preserve">. </w:t>
      </w:r>
      <w:r>
        <w:rPr>
          <w:rFonts w:ascii="Times New Roman;sans-serif" w:hAnsi="Times New Roman;sans-serif"/>
          <w:b w:val="false"/>
          <w:color w:val="000000"/>
          <w:sz w:val="24"/>
        </w:rPr>
        <w:t>Subject to the Intercreditor Agreements, each Pledgor hereby appoints the Collateral Agent as the attorney-in- fact of such Pledgor for the purpose of carrying out the provisions of this Agreement and taking any action and executing any instrument that the Collateral Agent may deem necessary or advisable to accomplish the purposes hereof, in each case upon the occurrence and during the continuance of an Event of Default, which appointment is irrevocable (until termination of this Agreement) and coupled with an interest. Without limiting the generality of the foregoing, subject to applicable Requirements of Law and any Intercreditor Agreements, the Collateral Agent shall have the right, upon the occurrence and during the continuance of an Event of Default and reasonable notice by the Collateral Agent to the Borrower of its intent to exercise such rights, with full power of substitution either in the Collateral Agent’s name or in the name of such Pledgor,</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 to receive, endorse, assign or deliver any and all notes, acceptances, checks, drafts, money orders or other evidences of payment relating to the Collateral or any part thereof; (b) to demand, collect, receive payment of, give receipt for and give discharges and releases of all or any of the Collateral; (c) to ask for, demand, sue for, collect, receive and give acquittance for any and all moneys due or to become due under and by virtue of any Collateral; (d) to sign the name of any Pledgor on any invoice or bill of lading relating to any of the Collateral; (e) to send verifications of Accounts to any Account Debtor; (f) to commence and prosecute any and all suits, actions or proceedings at law or in equity in any court of competent jurisdiction to collect or otherwise,</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32">
                <wp:simplePos x="0" y="0"/>
                <wp:positionH relativeFrom="character">
                  <wp:align>left</wp:align>
                </wp:positionH>
                <wp:positionV relativeFrom="line">
                  <wp:posOffset>635</wp:posOffset>
                </wp:positionV>
                <wp:extent cx="6480175" cy="781050"/>
                <wp:effectExtent l="0" t="0" r="0" b="0"/>
                <wp:wrapNone/>
                <wp:docPr id="531" name="Frame530"/>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329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329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jc w:val="both"/>
        <w:rPr/>
      </w:pPr>
      <w:r>
        <w:rPr>
          <w:rFonts w:ascii="Times New Roman;sans-serif" w:hAnsi="Times New Roman;sans-serif"/>
          <w:b w:val="false"/>
          <w:color w:val="000000"/>
          <w:sz w:val="24"/>
        </w:rPr>
        <w:t xml:space="preserve">realize on all or any of the Collateral or to enforce any rights in respect of any Collateral; (g) to settle, compromise, compound, adjust or defend any actions, suits or proceedings relating to all or any of the Collateral; (h) to notify, or to require any Pledgor to notify, Account Debtors to make payment directly to the Collateral Agent as contemplated by Section 4.4; and (i) to use, sell, assign, transfer, pledge, make any agreement with respect to or otherwise deal with all or any of the Collateral, and to do all other acts and things necessary to carry out the purposes of this Agreement, as fully and completely as though the Collateral Agent were the absolute owner of the Collateral for all purposes;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nothing herein contained shall be construed as requiring or obligating the Collateral Agent to make any commitment or to make any inquiry as to the nature or sufficiency of any payment received by the Collateral Agent, or to present or file any claim or notice, or to take any action with respect to the Collateral or any part thereof or the moneys due or to become due in respect thereof or any property covered thereby. Notwithstanding anything in this </w:t>
      </w:r>
      <w:r>
        <w:rPr>
          <w:rFonts w:ascii="Times New Roman;sans-serif" w:hAnsi="Times New Roman;sans-serif"/>
          <w:b w:val="false"/>
          <w:color w:val="000000"/>
          <w:sz w:val="24"/>
          <w:u w:val="single"/>
        </w:rPr>
        <w:t>Section 5.7</w:t>
      </w:r>
      <w:r>
        <w:rPr>
          <w:color w:val="000000"/>
        </w:rPr>
        <w:t xml:space="preserve"> </w:t>
      </w:r>
      <w:r>
        <w:rPr>
          <w:rFonts w:ascii="Times New Roman;sans-serif" w:hAnsi="Times New Roman;sans-serif"/>
          <w:b w:val="false"/>
          <w:color w:val="000000"/>
          <w:sz w:val="24"/>
        </w:rPr>
        <w:t xml:space="preserve">to the contrary, the Collateral Agent agrees that it will not exercise any rights under the power of attorney provided for in this </w:t>
      </w:r>
      <w:r>
        <w:rPr>
          <w:rFonts w:ascii="Times New Roman;sans-serif" w:hAnsi="Times New Roman;sans-serif"/>
          <w:b w:val="false"/>
          <w:color w:val="000000"/>
          <w:sz w:val="24"/>
          <w:u w:val="single"/>
        </w:rPr>
        <w:t>Section 5.7</w:t>
      </w:r>
      <w:r>
        <w:rPr>
          <w:color w:val="000000"/>
        </w:rPr>
        <w:t xml:space="preserve"> </w:t>
      </w:r>
      <w:r>
        <w:rPr>
          <w:rFonts w:ascii="Times New Roman;sans-serif" w:hAnsi="Times New Roman;sans-serif"/>
          <w:b w:val="false"/>
          <w:color w:val="000000"/>
          <w:sz w:val="24"/>
        </w:rPr>
        <w:t xml:space="preserve">unless an Event of Default shall have occurred and be continuing. The Collateral Agent and the other Secured Parties shall be accountable only for amounts actually received as a result of the exercise of the powers granted to them herein, and neither they nor their officers, directors, employees or agents shall be responsible to any Pledgor for any act or failure to act hereunder, except for their own or their Related Parties’ gross negligence, bad faith or willful misconduct, as determined by a court of competent jurisdiction in a final and non-appealable judgment. For the avoidance of doubt, </w:t>
      </w:r>
      <w:r>
        <w:rPr>
          <w:rFonts w:ascii="Times New Roman;sans-serif" w:hAnsi="Times New Roman;sans-serif"/>
          <w:b w:val="false"/>
          <w:color w:val="000000"/>
          <w:sz w:val="24"/>
          <w:u w:val="single"/>
        </w:rPr>
        <w:t>Section 8.03</w:t>
      </w:r>
      <w:r>
        <w:rPr>
          <w:color w:val="000000"/>
        </w:rPr>
        <w:t xml:space="preserve"> </w:t>
      </w:r>
      <w:r>
        <w:rPr>
          <w:rFonts w:ascii="Times New Roman;sans-serif" w:hAnsi="Times New Roman;sans-serif"/>
          <w:b w:val="false"/>
          <w:color w:val="000000"/>
          <w:sz w:val="24"/>
        </w:rPr>
        <w:t>of the Credit Agreement shall apply to the Collateral Agent as agent for the Secured Parties hereunder.</w:t>
      </w:r>
    </w:p>
    <w:p>
      <w:pPr>
        <w:pStyle w:val="TextBody"/>
        <w:bidi w:val="0"/>
        <w:spacing w:lineRule="auto" w:line="240" w:before="241" w:after="283"/>
        <w:ind w:left="0" w:right="0" w:firstLine="1440"/>
        <w:jc w:val="both"/>
        <w:rPr/>
      </w:pPr>
      <w:r>
        <w:rPr>
          <w:rFonts w:ascii="Times New Roman;sans-serif" w:hAnsi="Times New Roman;sans-serif"/>
          <w:b w:val="false"/>
          <w:color w:val="000000"/>
          <w:sz w:val="24"/>
        </w:rPr>
        <w:t xml:space="preserve">SECTION 5.8. </w:t>
      </w:r>
      <w:r>
        <w:rPr>
          <w:rFonts w:ascii="Times New Roman;sans-serif" w:hAnsi="Times New Roman;sans-serif"/>
          <w:b/>
          <w:i/>
          <w:color w:val="000000"/>
          <w:sz w:val="24"/>
        </w:rPr>
        <w:t xml:space="preserve">Governing Law. </w:t>
      </w:r>
      <w:r>
        <w:rPr>
          <w:rFonts w:ascii="Times New Roman;sans-serif" w:hAnsi="Times New Roman;sans-serif"/>
          <w:b/>
          <w:color w:val="000000"/>
          <w:sz w:val="24"/>
        </w:rPr>
        <w:t>THIS AGREEMENT AND ANY CLAIMS, CONTROVERSY, DISPUTE OR CAUSES OF ACTION (WHETHER IN CONTRACT OR TORT OR OTHERWISE) BASED UPON, ARISING OUT OF OR RELATING TO THIS AGREEMENT SHALL BE CONSTRUED IN ACCORDANCE WITH AND GOVERNED BY THE LAWS OF THE STATE OF NEW YORK.</w:t>
      </w:r>
    </w:p>
    <w:p>
      <w:pPr>
        <w:pStyle w:val="TextBody"/>
        <w:bidi w:val="0"/>
        <w:spacing w:lineRule="auto" w:line="240" w:before="238" w:after="283"/>
        <w:ind w:left="0" w:right="0" w:firstLine="1440"/>
        <w:jc w:val="both"/>
        <w:rPr/>
      </w:pPr>
      <w:r>
        <w:rPr>
          <w:rFonts w:ascii="Times New Roman;sans-serif" w:hAnsi="Times New Roman;sans-serif"/>
          <w:b w:val="false"/>
          <w:color w:val="000000"/>
          <w:sz w:val="24"/>
        </w:rPr>
        <w:t xml:space="preserve">SECTION 5.9. </w:t>
      </w:r>
      <w:r>
        <w:rPr>
          <w:rFonts w:ascii="Times New Roman;sans-serif" w:hAnsi="Times New Roman;sans-serif"/>
          <w:b/>
          <w:i/>
          <w:color w:val="000000"/>
          <w:sz w:val="24"/>
        </w:rPr>
        <w:t>Waivers; Amendment</w:t>
      </w:r>
      <w:r>
        <w:rPr>
          <w:rFonts w:ascii="Times New Roman;sans-serif" w:hAnsi="Times New Roman;sans-serif"/>
          <w:b w:val="false"/>
          <w:i/>
          <w:color w:val="000000"/>
          <w:sz w:val="24"/>
        </w:rPr>
        <w:t xml:space="preserve">. </w:t>
      </w:r>
      <w:r>
        <w:rPr>
          <w:rFonts w:ascii="Times New Roman;sans-serif" w:hAnsi="Times New Roman;sans-serif"/>
          <w:b w:val="false"/>
          <w:color w:val="000000"/>
          <w:sz w:val="24"/>
        </w:rPr>
        <w:t xml:space="preserve">(a) No failure or delay by the Collateral Agent or any other Secured Party in exercising any right, power or remedy hereunder or under any other Credit Agreement Document shall operate as a waiver thereof, nor shall any single or partial exercise of any such right, power or remedy, or any abandonment or discontinuance of steps to enforce such a right, power or remedy, preclude any other or further exercise thereof or the exercise of any other right, power or remedy. The rights, powers and remedies of the Collateral Agent and the other Secured Parties hereunder and under the other Credit Agreement Documents are cumulative and are not exclusive of any rights, powers or remedies that they would otherwise have. No waiver of any provision of this Agreement or consent to any departure by any Pledgor therefrom shall in any event be effective unless the same shall be permitted by paragraph (b) of this </w:t>
      </w:r>
      <w:r>
        <w:rPr>
          <w:rFonts w:ascii="Times New Roman;sans-serif" w:hAnsi="Times New Roman;sans-serif"/>
          <w:b w:val="false"/>
          <w:color w:val="000000"/>
          <w:sz w:val="24"/>
          <w:u w:val="single"/>
        </w:rPr>
        <w:t>Section 5.9</w:t>
      </w:r>
      <w:r>
        <w:rPr>
          <w:rFonts w:ascii="Times New Roman;sans-serif" w:hAnsi="Times New Roman;sans-serif"/>
          <w:b w:val="false"/>
          <w:color w:val="000000"/>
          <w:sz w:val="24"/>
        </w:rPr>
        <w:t>, and then such waiver or consent shall be effective only in the specific instance and for the purpose for which given. Without limiting the generality of the foregoing, the making of a Loan or the issuance of a Letter of Credit shall not be construed as a waiver of any Default or Event of Default, regardless of whether the Collateral Agent or any other Secured Party may have had notice or knowledge of such Default or Event of Default at the time. No notice or demand on any Pledgor in any case shall entitle any Pledgor to any other or further notice or demand in similar or other circumstances.</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33">
                <wp:simplePos x="0" y="0"/>
                <wp:positionH relativeFrom="character">
                  <wp:align>left</wp:align>
                </wp:positionH>
                <wp:positionV relativeFrom="line">
                  <wp:posOffset>635</wp:posOffset>
                </wp:positionV>
                <wp:extent cx="6480175" cy="781050"/>
                <wp:effectExtent l="0" t="0" r="0" b="0"/>
                <wp:wrapNone/>
                <wp:docPr id="532" name="Frame531"/>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330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330</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ind w:left="0" w:right="0" w:firstLine="1440"/>
        <w:jc w:val="both"/>
        <w:rPr/>
      </w:pPr>
      <w:r>
        <w:rPr>
          <w:rFonts w:ascii="Times New Roman;sans-serif" w:hAnsi="Times New Roman;sans-serif"/>
          <w:b w:val="false"/>
          <w:color w:val="000000"/>
          <w:sz w:val="24"/>
        </w:rPr>
        <w:t xml:space="preserve">(b)Neither this Agreement nor any provision hereof may be waived, amended or modified except pursuant to an agreement or agreements in writing entered into by the Collateral Agent and the Pledgor or Pledgors with respect to which such waiver, amendment or modification is to apply, subject to any consent required in accordance with </w:t>
      </w:r>
      <w:r>
        <w:rPr>
          <w:rFonts w:ascii="Times New Roman;sans-serif" w:hAnsi="Times New Roman;sans-serif"/>
          <w:b w:val="false"/>
          <w:color w:val="000000"/>
          <w:sz w:val="24"/>
          <w:u w:val="single"/>
        </w:rPr>
        <w:t>Section 9.08</w:t>
      </w:r>
      <w:r>
        <w:rPr>
          <w:color w:val="000000"/>
        </w:rPr>
        <w:t xml:space="preserve"> </w:t>
      </w:r>
      <w:r>
        <w:rPr>
          <w:rFonts w:ascii="Times New Roman;sans-serif" w:hAnsi="Times New Roman;sans-serif"/>
          <w:b w:val="false"/>
          <w:color w:val="000000"/>
          <w:sz w:val="24"/>
        </w:rPr>
        <w:t xml:space="preserve">of the Credit Agreement, and except as otherwise provided in any applicable Intercreditor Agreement. For the avoidance of doubt, the Collateral Agent is authorized to amend, supplement or otherwise modify this Agreement without further consent of any Lender in the circumstances expressly contemplated by the definitions of “Junior Liens” or “Other First Liens” in the Credit Agreement. The Collateral Agent may conclusively rely on a certificate of an officer of the Borrower as to whether any amendment contemplated by this </w:t>
      </w:r>
      <w:r>
        <w:rPr>
          <w:rFonts w:ascii="Times New Roman;sans-serif" w:hAnsi="Times New Roman;sans-serif"/>
          <w:b w:val="false"/>
          <w:color w:val="000000"/>
          <w:sz w:val="24"/>
          <w:u w:val="single"/>
        </w:rPr>
        <w:t>Section 5.9(b)</w:t>
      </w:r>
      <w:r>
        <w:rPr>
          <w:color w:val="000000"/>
        </w:rPr>
        <w:t xml:space="preserve"> </w:t>
      </w:r>
      <w:r>
        <w:rPr>
          <w:rFonts w:ascii="Times New Roman;sans-serif" w:hAnsi="Times New Roman;sans-serif"/>
          <w:b w:val="false"/>
          <w:color w:val="000000"/>
          <w:sz w:val="24"/>
        </w:rPr>
        <w:t>is permitted.</w:t>
      </w:r>
    </w:p>
    <w:p>
      <w:pPr>
        <w:pStyle w:val="TextBody"/>
        <w:bidi w:val="0"/>
        <w:spacing w:lineRule="auto" w:line="240" w:before="240"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(c)Notwithstanding anything to the contrary contained herein, the Collateral Agent may (in its reasonable discretion) grant extensions of time or waivers of the requirement for the creation or perfection of security interests in or the obtaining of insurance (including title insurance) or surveys with respect to particular assets (including extensions beyond the Closing Date for the perfection of security interests in the assets of the Pledgors on such date) where it reasonably determines, in consultation with the Borrower, that perfection or obtaining of such items cannot be accomplished without undue effort or expense by the time or times at which it would otherwise be required by this Agreement or the other Credit Agreement Documents.</w:t>
      </w:r>
    </w:p>
    <w:p>
      <w:pPr>
        <w:pStyle w:val="TextBody"/>
        <w:bidi w:val="0"/>
        <w:spacing w:lineRule="auto" w:line="240" w:before="240" w:after="283"/>
        <w:ind w:left="0" w:right="0" w:firstLine="1440"/>
        <w:jc w:val="both"/>
        <w:rPr/>
      </w:pPr>
      <w:r>
        <w:rPr>
          <w:rFonts w:ascii="Times New Roman;sans-serif" w:hAnsi="Times New Roman;sans-serif"/>
          <w:b w:val="false"/>
          <w:color w:val="000000"/>
          <w:sz w:val="24"/>
        </w:rPr>
        <w:t xml:space="preserve">SECTION 5.10. </w:t>
      </w:r>
      <w:r>
        <w:rPr>
          <w:rFonts w:ascii="Times New Roman;sans-serif" w:hAnsi="Times New Roman;sans-serif"/>
          <w:b/>
          <w:i/>
          <w:color w:val="000000"/>
          <w:sz w:val="24"/>
        </w:rPr>
        <w:t>WAIVER OF JURY TRIAL</w:t>
      </w:r>
      <w:r>
        <w:rPr>
          <w:rFonts w:ascii="Times New Roman;sans-serif" w:hAnsi="Times New Roman;sans-serif"/>
          <w:b w:val="false"/>
          <w:color w:val="000000"/>
          <w:sz w:val="24"/>
        </w:rPr>
        <w:t xml:space="preserve">. </w:t>
      </w:r>
      <w:r>
        <w:rPr>
          <w:rFonts w:ascii="Times New Roman;sans-serif" w:hAnsi="Times New Roman;sans-serif"/>
          <w:b/>
          <w:color w:val="000000"/>
          <w:sz w:val="24"/>
        </w:rPr>
        <w:t xml:space="preserve">EACH PARTY HERETO HEREBY WAIVES, TO THE FULLEST EXTENT PERMITTED BY APPLICABLE LAW, ANY RIGHT IT MAY HAVE TO A TRIAL BY JURY IN ANY LEGAL PROCEEDING DIRECTLY OR INDIRECTLY ARISING OUT OF, UNDER OR IN CONNECTION WITH THIS AGREEMENT OR ANY OTHER CREDIT AGREEMENT DOCUMENT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w:t>
      </w:r>
      <w:r>
        <w:rPr>
          <w:rFonts w:ascii="Times New Roman;sans-serif" w:hAnsi="Times New Roman;sans-serif"/>
          <w:b/>
          <w:color w:val="000000"/>
          <w:sz w:val="24"/>
          <w:u w:val="single"/>
        </w:rPr>
        <w:t>SECTION 5.10</w:t>
      </w:r>
      <w:r>
        <w:rPr>
          <w:rFonts w:ascii="Times New Roman;sans-serif" w:hAnsi="Times New Roman;sans-serif"/>
          <w:b/>
          <w:color w:val="000000"/>
          <w:sz w:val="24"/>
        </w:rPr>
        <w:t>.</w:t>
      </w:r>
    </w:p>
    <w:p>
      <w:pPr>
        <w:pStyle w:val="TextBody"/>
        <w:bidi w:val="0"/>
        <w:spacing w:lineRule="auto" w:line="240" w:before="240" w:after="283"/>
        <w:ind w:left="0" w:right="0" w:firstLine="1440"/>
        <w:jc w:val="both"/>
        <w:rPr/>
      </w:pPr>
      <w:r>
        <w:rPr>
          <w:rFonts w:ascii="Times New Roman;sans-serif" w:hAnsi="Times New Roman;sans-serif"/>
          <w:b w:val="false"/>
          <w:color w:val="000000"/>
          <w:sz w:val="24"/>
        </w:rPr>
        <w:t xml:space="preserve">SECTION 5.11. </w:t>
      </w:r>
      <w:r>
        <w:rPr>
          <w:rFonts w:ascii="Times New Roman;sans-serif" w:hAnsi="Times New Roman;sans-serif"/>
          <w:b/>
          <w:i/>
          <w:color w:val="000000"/>
          <w:sz w:val="24"/>
        </w:rPr>
        <w:t>Severability</w:t>
      </w:r>
      <w:r>
        <w:rPr>
          <w:rFonts w:ascii="Times New Roman;sans-serif" w:hAnsi="Times New Roman;sans-serif"/>
          <w:b w:val="false"/>
          <w:i/>
          <w:color w:val="000000"/>
          <w:sz w:val="24"/>
        </w:rPr>
        <w:t xml:space="preserve">. </w:t>
      </w:r>
      <w:r>
        <w:rPr>
          <w:rFonts w:ascii="Times New Roman;sans-serif" w:hAnsi="Times New Roman;sans-serif"/>
          <w:b w:val="false"/>
          <w:color w:val="000000"/>
          <w:sz w:val="24"/>
        </w:rPr>
        <w:t>In the event any one or more of the provisions contained in this Agreement or any other Credit Agreement Document should be held invalid, illegal or unenforceable in any respect in any jurisdiction, the validity, legality and enforceability of the remaining provisions contained herein and therein shall not in any way be affected or impaired thereby as to such jurisdiction, and the invalidity of a particular provision in a particular jurisdiction shall not invalidate such provision in any other jurisdiction. The parties shall endeavor in good-faith negotiations to replace the invalid, illegal or unenforceable provisions with valid provisions the economic effect of which comes as close as possible to that of the invalid, illegal or unenforceable provisions.</w:t>
      </w:r>
    </w:p>
    <w:p>
      <w:pPr>
        <w:pStyle w:val="TextBody"/>
        <w:bidi w:val="0"/>
        <w:spacing w:lineRule="auto" w:line="240" w:before="240" w:after="283"/>
        <w:ind w:left="0" w:right="0" w:firstLine="1440"/>
        <w:jc w:val="both"/>
        <w:rPr/>
      </w:pPr>
      <w:r>
        <w:rPr>
          <w:rFonts w:ascii="Times New Roman;sans-serif" w:hAnsi="Times New Roman;sans-serif"/>
          <w:b w:val="false"/>
          <w:color w:val="000000"/>
          <w:sz w:val="24"/>
        </w:rPr>
        <w:t xml:space="preserve">SECTION 5.12. </w:t>
      </w:r>
      <w:r>
        <w:rPr>
          <w:rFonts w:ascii="Times New Roman;sans-serif" w:hAnsi="Times New Roman;sans-serif"/>
          <w:b/>
          <w:i/>
          <w:color w:val="000000"/>
          <w:sz w:val="24"/>
        </w:rPr>
        <w:t>Counterparts</w:t>
      </w:r>
      <w:r>
        <w:rPr>
          <w:rFonts w:ascii="Times New Roman;sans-serif" w:hAnsi="Times New Roman;sans-serif"/>
          <w:b w:val="false"/>
          <w:i/>
          <w:color w:val="000000"/>
          <w:sz w:val="24"/>
        </w:rPr>
        <w:t xml:space="preserve">. </w:t>
      </w:r>
      <w:r>
        <w:rPr>
          <w:rFonts w:ascii="Times New Roman;sans-serif" w:hAnsi="Times New Roman;sans-serif"/>
          <w:b w:val="false"/>
          <w:color w:val="000000"/>
          <w:sz w:val="24"/>
        </w:rPr>
        <w:t>This Agreement may be executed in any number of counterparts, each of which shall be deemed an original and all of which, when taken together, shall constitute one agreement. Delivery of an executed counterpart of a signature page of this</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34">
                <wp:simplePos x="0" y="0"/>
                <wp:positionH relativeFrom="character">
                  <wp:align>left</wp:align>
                </wp:positionH>
                <wp:positionV relativeFrom="line">
                  <wp:posOffset>635</wp:posOffset>
                </wp:positionV>
                <wp:extent cx="6480175" cy="781050"/>
                <wp:effectExtent l="0" t="0" r="0" b="0"/>
                <wp:wrapNone/>
                <wp:docPr id="533" name="Frame532"/>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331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331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jc w:val="both"/>
        <w:rPr>
          <w:rFonts w:ascii="Times New Roman;sans-serif" w:hAnsi="Times New Roman;sans-serif"/>
          <w:b w:val="false"/>
          <w:color w:val="000000"/>
          <w:sz w:val="24"/>
        </w:rPr>
      </w:pPr>
      <w:r>
        <w:rPr>
          <w:rFonts w:ascii="Times New Roman;sans-serif" w:hAnsi="Times New Roman;sans-serif"/>
          <w:b w:val="false"/>
          <w:color w:val="000000"/>
          <w:sz w:val="24"/>
        </w:rPr>
        <w:t>Agreement by facsimile transmission, electronic mail (including pdf) or any electronic signature complying with the U.S. Federal ESIGN Act of 2000 or the New York Electronic Signature and Records Act or other transmission method shall be deemed to have been duly and validly delivered and be valid and effective for all purposes to the fullest extent permitted by applicable law. Each party hereto represents and warrants to the other parties hereto that it has the corporate capacity and authority to execute this Agreement through electronic means and there are no restrictions for doing so in such party’s constitutive documents.</w:t>
      </w:r>
    </w:p>
    <w:p>
      <w:pPr>
        <w:pStyle w:val="TextBody"/>
        <w:bidi w:val="0"/>
        <w:spacing w:lineRule="auto" w:line="240" w:before="240" w:after="283"/>
        <w:ind w:left="0" w:right="0" w:firstLine="1440"/>
        <w:jc w:val="both"/>
        <w:rPr/>
      </w:pPr>
      <w:r>
        <w:rPr>
          <w:rFonts w:ascii="Times New Roman;sans-serif" w:hAnsi="Times New Roman;sans-serif"/>
          <w:b w:val="false"/>
          <w:color w:val="000000"/>
          <w:sz w:val="24"/>
        </w:rPr>
        <w:t xml:space="preserve">SECTION 5.13. </w:t>
      </w:r>
      <w:r>
        <w:rPr>
          <w:rFonts w:ascii="Times New Roman;sans-serif" w:hAnsi="Times New Roman;sans-serif"/>
          <w:b/>
          <w:i/>
          <w:color w:val="000000"/>
          <w:sz w:val="24"/>
        </w:rPr>
        <w:t>Headings</w:t>
      </w:r>
      <w:r>
        <w:rPr>
          <w:rFonts w:ascii="Times New Roman;sans-serif" w:hAnsi="Times New Roman;sans-serif"/>
          <w:b w:val="false"/>
          <w:i/>
          <w:color w:val="000000"/>
          <w:sz w:val="24"/>
        </w:rPr>
        <w:t xml:space="preserve">. </w:t>
      </w:r>
      <w:r>
        <w:rPr>
          <w:rFonts w:ascii="Times New Roman;sans-serif" w:hAnsi="Times New Roman;sans-serif"/>
          <w:b w:val="false"/>
          <w:color w:val="000000"/>
          <w:sz w:val="24"/>
        </w:rPr>
        <w:t>Article and Section headings and the Table of Contents used herein are for convenience of reference only, are not part of this Agreement and are not to affect the construction of, or to be taken into consideration in interpreting, this Agreement.</w:t>
      </w:r>
    </w:p>
    <w:p>
      <w:pPr>
        <w:pStyle w:val="TextBody"/>
        <w:bidi w:val="0"/>
        <w:spacing w:lineRule="auto" w:line="240" w:before="240" w:after="283"/>
        <w:ind w:left="0" w:right="0" w:firstLine="1440"/>
        <w:jc w:val="both"/>
        <w:rPr/>
      </w:pPr>
      <w:r>
        <w:rPr>
          <w:rFonts w:ascii="Times New Roman;sans-serif" w:hAnsi="Times New Roman;sans-serif"/>
          <w:b w:val="false"/>
          <w:color w:val="000000"/>
          <w:sz w:val="24"/>
        </w:rPr>
        <w:t xml:space="preserve">SECTION 5.14. </w:t>
      </w:r>
      <w:r>
        <w:rPr>
          <w:rFonts w:ascii="Times New Roman;sans-serif" w:hAnsi="Times New Roman;sans-serif"/>
          <w:b/>
          <w:i/>
          <w:color w:val="000000"/>
          <w:sz w:val="24"/>
        </w:rPr>
        <w:t>Jurisdiction; Consent to Service of Process</w:t>
      </w:r>
      <w:r>
        <w:rPr>
          <w:rFonts w:ascii="Times New Roman;sans-serif" w:hAnsi="Times New Roman;sans-serif"/>
          <w:b w:val="false"/>
          <w:i/>
          <w:color w:val="000000"/>
          <w:sz w:val="24"/>
        </w:rPr>
        <w:t xml:space="preserve">. </w:t>
      </w:r>
      <w:r>
        <w:rPr>
          <w:rFonts w:ascii="Times New Roman;sans-serif" w:hAnsi="Times New Roman;sans-serif"/>
          <w:b w:val="false"/>
          <w:color w:val="000000"/>
          <w:sz w:val="24"/>
        </w:rPr>
        <w:t>(a) Each Pledgor hereby irrevocably and unconditionally agrees that it will not commence any action, litigation or proceeding of any kind or description, whether in law or equity, whether in contract or in tort or otherwise, against any other party to this Agreement or any Affiliate thereof, in any way relating to this Agreement, any other Credit Agreement Document or the transactions relating hereto or thereto, in any forum other than the courts of the State of New York sitting in New York County, Borough of Manhattan, and of the United States District Court of the Southern District of New York, sitting in New York County, Borough of Manhattan,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 Nothing in this Agreement or any other Credit Agreement Document shall affect any right that the Collateral Agent or any other Secured Party may otherwise have to bring any action or proceeding relating to this Agreement or any other Credit Agreement Document against any Pledgor or its properties in the courts of any jurisdiction.</w:t>
      </w:r>
    </w:p>
    <w:p>
      <w:pPr>
        <w:pStyle w:val="TextBody"/>
        <w:bidi w:val="0"/>
        <w:spacing w:lineRule="auto" w:line="240" w:before="239" w:after="283"/>
        <w:ind w:left="0" w:right="0" w:firstLine="1440"/>
        <w:jc w:val="both"/>
        <w:rPr/>
      </w:pPr>
      <w:r>
        <w:rPr>
          <w:rFonts w:ascii="Times New Roman;sans-serif" w:hAnsi="Times New Roman;sans-serif"/>
          <w:b w:val="false"/>
          <w:color w:val="000000"/>
          <w:sz w:val="24"/>
        </w:rPr>
        <w:t xml:space="preserve">(b)Each party to this Agreement hereby irrevocably and unconditionally waives, to the fullest extent it may legally and effectively do so, any objection which it may now or hereafter have to the laying of venue of any suit, action or proceeding arising out of or relating to this Agreement or any other Credit Agreement Document in any court referred to in paragraph (a) of this </w:t>
      </w:r>
      <w:r>
        <w:rPr>
          <w:rFonts w:ascii="Times New Roman;sans-serif" w:hAnsi="Times New Roman;sans-serif"/>
          <w:b w:val="false"/>
          <w:color w:val="000000"/>
          <w:sz w:val="24"/>
          <w:u w:val="single"/>
        </w:rPr>
        <w:t>Section 5.14</w:t>
      </w:r>
      <w:r>
        <w:rPr>
          <w:rFonts w:ascii="Times New Roman;sans-serif" w:hAnsi="Times New Roman;sans-serif"/>
          <w:b w:val="false"/>
          <w:color w:val="000000"/>
          <w:sz w:val="24"/>
        </w:rPr>
        <w:t>. Each of the parties hereto hereby irrevocably waives, to the fullest extent permitted by law, the defense of an inconvenient forum to the maintenance of such action or proceeding in any such court.</w:t>
      </w:r>
    </w:p>
    <w:p>
      <w:pPr>
        <w:pStyle w:val="TextBody"/>
        <w:bidi w:val="0"/>
        <w:spacing w:lineRule="auto" w:line="240" w:before="241" w:after="283"/>
        <w:ind w:left="0" w:right="0" w:firstLine="1440"/>
        <w:jc w:val="both"/>
        <w:rPr/>
      </w:pPr>
      <w:r>
        <w:rPr>
          <w:rFonts w:ascii="Times New Roman;sans-serif" w:hAnsi="Times New Roman;sans-serif"/>
          <w:b w:val="false"/>
          <w:color w:val="000000"/>
          <w:sz w:val="24"/>
        </w:rPr>
        <w:t xml:space="preserve">(c)Each party to this Agreement irrevocably consents to service of process in the manner provided for notices in </w:t>
      </w:r>
      <w:r>
        <w:rPr>
          <w:rFonts w:ascii="Times New Roman;sans-serif" w:hAnsi="Times New Roman;sans-serif"/>
          <w:b w:val="false"/>
          <w:color w:val="000000"/>
          <w:sz w:val="24"/>
          <w:u w:val="single"/>
        </w:rPr>
        <w:t>Section 5.1</w:t>
      </w:r>
      <w:r>
        <w:rPr>
          <w:rFonts w:ascii="Times New Roman;sans-serif" w:hAnsi="Times New Roman;sans-serif"/>
          <w:b w:val="false"/>
          <w:color w:val="000000"/>
          <w:sz w:val="24"/>
        </w:rPr>
        <w:t>. Nothing in this Agreement or any other Credit Agreement Document will affect the right of any party to this Agreement or any other Credit Agreement Document to serve process in any other manner permitted by law.</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35">
                <wp:simplePos x="0" y="0"/>
                <wp:positionH relativeFrom="character">
                  <wp:align>left</wp:align>
                </wp:positionH>
                <wp:positionV relativeFrom="line">
                  <wp:posOffset>635</wp:posOffset>
                </wp:positionV>
                <wp:extent cx="6480175" cy="781050"/>
                <wp:effectExtent l="0" t="0" r="0" b="0"/>
                <wp:wrapNone/>
                <wp:docPr id="534" name="Frame533"/>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332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332</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jc w:val="left"/>
        <w:rPr/>
      </w:pPr>
      <w:r>
        <w:rPr>
          <w:rFonts w:ascii="Times New Roman;sans-serif" w:hAnsi="Times New Roman;sans-serif"/>
          <w:b w:val="false"/>
          <w:color w:val="000000"/>
          <w:sz w:val="24"/>
        </w:rPr>
        <w:t>SECTION 5.15.    </w:t>
      </w:r>
      <w:r>
        <w:rPr>
          <w:rFonts w:ascii="Times New Roman;sans-serif" w:hAnsi="Times New Roman;sans-serif"/>
          <w:b/>
          <w:i/>
          <w:color w:val="000000"/>
          <w:sz w:val="24"/>
        </w:rPr>
        <w:t>Termination or Release</w:t>
      </w:r>
      <w:r>
        <w:rPr>
          <w:rFonts w:ascii="Times New Roman;sans-serif" w:hAnsi="Times New Roman;sans-serif"/>
          <w:b w:val="false"/>
          <w:i/>
          <w:color w:val="000000"/>
          <w:sz w:val="24"/>
        </w:rPr>
        <w:t>.</w:t>
      </w:r>
    </w:p>
    <w:p>
      <w:pPr>
        <w:pStyle w:val="TextBody"/>
        <w:bidi w:val="0"/>
        <w:spacing w:lineRule="auto" w:line="240" w:before="240"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(a)This Agreement and the pledges made by the Pledgors herein and all other security interests granted by the Pledgors hereby shall automatically terminate and be released upon the occurrence of the Termination Date.</w:t>
      </w:r>
    </w:p>
    <w:p>
      <w:pPr>
        <w:pStyle w:val="TextBody"/>
        <w:bidi w:val="0"/>
        <w:spacing w:lineRule="auto" w:line="240" w:before="240" w:after="283"/>
        <w:ind w:left="0" w:right="0" w:firstLine="1440"/>
        <w:jc w:val="both"/>
        <w:rPr/>
      </w:pPr>
      <w:r>
        <w:rPr>
          <w:rFonts w:ascii="Times New Roman;sans-serif" w:hAnsi="Times New Roman;sans-serif"/>
          <w:b w:val="false"/>
          <w:color w:val="000000"/>
          <w:sz w:val="24"/>
        </w:rPr>
        <w:t xml:space="preserve">(b)(i) A Pledgor shall automatically be released from its obligations hereunder if such Pledgor is released from its obligations under the Subsidiary Guarantee Agreement in accordance with </w:t>
      </w:r>
      <w:r>
        <w:rPr>
          <w:rFonts w:ascii="Times New Roman;sans-serif" w:hAnsi="Times New Roman;sans-serif"/>
          <w:b w:val="false"/>
          <w:color w:val="000000"/>
          <w:sz w:val="24"/>
          <w:u w:val="single"/>
        </w:rPr>
        <w:t>Section 9.18(b)</w:t>
      </w:r>
      <w:r>
        <w:rPr>
          <w:color w:val="000000"/>
        </w:rPr>
        <w:t xml:space="preserve"> </w:t>
      </w:r>
      <w:r>
        <w:rPr>
          <w:rFonts w:ascii="Times New Roman;sans-serif" w:hAnsi="Times New Roman;sans-serif"/>
          <w:b w:val="false"/>
          <w:color w:val="000000"/>
          <w:sz w:val="24"/>
        </w:rPr>
        <w:t xml:space="preserve">of the Credit Agreement and/or (ii) the Security Interest in any portion of the Collateral shall be automatically released upon the occurrence of any of the circumstances set forth in </w:t>
      </w:r>
      <w:r>
        <w:rPr>
          <w:rFonts w:ascii="Times New Roman;sans-serif" w:hAnsi="Times New Roman;sans-serif"/>
          <w:b w:val="false"/>
          <w:color w:val="000000"/>
          <w:sz w:val="24"/>
          <w:u w:val="single"/>
        </w:rPr>
        <w:t xml:space="preserve">Section 9.18(a) </w:t>
      </w:r>
      <w:r>
        <w:rPr>
          <w:rFonts w:ascii="Times New Roman;sans-serif" w:hAnsi="Times New Roman;sans-serif"/>
          <w:b w:val="false"/>
          <w:color w:val="000000"/>
          <w:sz w:val="24"/>
        </w:rPr>
        <w:t>of the Credit Agreement with respect to such portion of the Collateral, in the case of each of preceding clauses (i) and (ii), in accordance with the requirements of such Section (or clause thereof, as applicable), and all rights to the applicable Collateral shall revert to any applicable Pledgor.</w:t>
      </w:r>
    </w:p>
    <w:p>
      <w:pPr>
        <w:pStyle w:val="TextBody"/>
        <w:bidi w:val="0"/>
        <w:spacing w:lineRule="auto" w:line="240" w:before="240"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(c)The Security Interest in any portion of the Collateral shall be automatically released upon such portion of the Collateral becoming Excluded Property or Excluded Securities (and the Collateral Agent may rely conclusively on a certificate to that effect provided to it by any Pledgor upon its reasonable request without any further inquiry).</w:t>
      </w:r>
    </w:p>
    <w:p>
      <w:pPr>
        <w:pStyle w:val="TextBody"/>
        <w:bidi w:val="0"/>
        <w:spacing w:lineRule="auto" w:line="240" w:before="240" w:after="283"/>
        <w:ind w:left="0" w:right="0" w:firstLine="1440"/>
        <w:jc w:val="both"/>
        <w:rPr/>
      </w:pPr>
      <w:r>
        <w:rPr>
          <w:rFonts w:ascii="Times New Roman;sans-serif" w:hAnsi="Times New Roman;sans-serif"/>
          <w:b w:val="false"/>
          <w:color w:val="000000"/>
          <w:sz w:val="24"/>
        </w:rPr>
        <w:t xml:space="preserve">(d)In connection with any termination or release pursuant to this </w:t>
      </w:r>
      <w:r>
        <w:rPr>
          <w:rFonts w:ascii="Times New Roman;sans-serif" w:hAnsi="Times New Roman;sans-serif"/>
          <w:b w:val="false"/>
          <w:color w:val="000000"/>
          <w:sz w:val="24"/>
          <w:u w:val="single"/>
        </w:rPr>
        <w:t>Section 5.15</w:t>
      </w:r>
      <w:r>
        <w:rPr>
          <w:rFonts w:ascii="Times New Roman;sans-serif" w:hAnsi="Times New Roman;sans-serif"/>
          <w:b w:val="false"/>
          <w:color w:val="000000"/>
          <w:sz w:val="24"/>
        </w:rPr>
        <w:t xml:space="preserve">, the Collateral Agent shall execute and deliver to and authorize the filing by any Pledgor, at such Pledgor’s expense, all documents that such Pledgor shall reasonably request to evidence such termination or release (including Uniform Commercial Code termination statements), and will duly assign and transfer to such Pledgor, any of such released Collateral that is in the possession of the Collateral Agent and has not theretofore been sold or otherwise applied or released pursuant to this Agreement;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the Collateral Agent shall not be required to execute any such document on terms which, in the Collateral Agent’s reasonable opinion, would expose the Collateral Agent to liability or create any obligation or entail any consequence other than such termination or release without representation or warranty. Any execution and delivery of documents pursuant to this </w:t>
      </w:r>
      <w:r>
        <w:rPr>
          <w:rFonts w:ascii="Times New Roman;sans-serif" w:hAnsi="Times New Roman;sans-serif"/>
          <w:b w:val="false"/>
          <w:color w:val="000000"/>
          <w:sz w:val="24"/>
          <w:u w:val="single"/>
        </w:rPr>
        <w:t>Section 5.15</w:t>
      </w:r>
      <w:r>
        <w:rPr>
          <w:color w:val="000000"/>
        </w:rPr>
        <w:t xml:space="preserve"> </w:t>
      </w:r>
      <w:r>
        <w:rPr>
          <w:rFonts w:ascii="Times New Roman;sans-serif" w:hAnsi="Times New Roman;sans-serif"/>
          <w:b w:val="false"/>
          <w:color w:val="000000"/>
          <w:sz w:val="24"/>
        </w:rPr>
        <w:t xml:space="preserve">shall be made without recourse to or warranty by the Collateral Agent. In connection with any release pursuant to this </w:t>
      </w:r>
      <w:r>
        <w:rPr>
          <w:rFonts w:ascii="Times New Roman;sans-serif" w:hAnsi="Times New Roman;sans-serif"/>
          <w:b w:val="false"/>
          <w:color w:val="000000"/>
          <w:sz w:val="24"/>
          <w:u w:val="single"/>
        </w:rPr>
        <w:t>Section 5.15</w:t>
      </w:r>
      <w:r>
        <w:rPr>
          <w:rFonts w:ascii="Times New Roman;sans-serif" w:hAnsi="Times New Roman;sans-serif"/>
          <w:b w:val="false"/>
          <w:color w:val="000000"/>
          <w:sz w:val="24"/>
        </w:rPr>
        <w:t xml:space="preserve">, the applicable Pledgor shall be permitted to take any action in connection therewith consistent with such release including, without limitation, the filing of Uniform Commercial Code partial release amendments or termination statements, as applicable, in each case, as may be reasonably acceptable to the Collateral Agent with respect to the released portion of the Collateral. Upon the receipt of any necessary or proper instruments of termination, satisfaction or release prepared by the Borrower, the Collateral Agent shall execute, deliver or acknowledge such instruments or releases to evidence the release of any Collateral permitted to be released pursuant to this Agreement;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the Collateral Agent shall not be required to execute, deliver or acknowledge any such document on terms which, in the Collateral Agent’s reasonable opinion, would expose the Collateral Agent to liability or create any obligation or entail any consequence other than such termination or release without representation or warranty. The Pledgors agree to pay all reasonable and documented out- of-pocket expenses incurred by the Collateral Agent (and its representatives and counsel) in connection with the execution and delivery of such release documents or instruments.</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36">
                <wp:simplePos x="0" y="0"/>
                <wp:positionH relativeFrom="character">
                  <wp:align>left</wp:align>
                </wp:positionH>
                <wp:positionV relativeFrom="line">
                  <wp:posOffset>635</wp:posOffset>
                </wp:positionV>
                <wp:extent cx="6480175" cy="781050"/>
                <wp:effectExtent l="0" t="0" r="0" b="0"/>
                <wp:wrapNone/>
                <wp:docPr id="535" name="Frame534"/>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333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333</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ind w:left="0" w:right="0" w:firstLine="1440"/>
        <w:jc w:val="both"/>
        <w:rPr/>
      </w:pPr>
      <w:r>
        <w:rPr>
          <w:rFonts w:ascii="Times New Roman;sans-serif" w:hAnsi="Times New Roman;sans-serif"/>
          <w:b w:val="false"/>
          <w:color w:val="000000"/>
          <w:sz w:val="24"/>
        </w:rPr>
        <w:t xml:space="preserve">SECTION 5.16. </w:t>
      </w:r>
      <w:r>
        <w:rPr>
          <w:rFonts w:ascii="Times New Roman;sans-serif" w:hAnsi="Times New Roman;sans-serif"/>
          <w:b/>
          <w:i/>
          <w:color w:val="000000"/>
          <w:sz w:val="24"/>
        </w:rPr>
        <w:t>Additional Subsidiaries</w:t>
      </w:r>
      <w:r>
        <w:rPr>
          <w:rFonts w:ascii="Times New Roman;sans-serif" w:hAnsi="Times New Roman;sans-serif"/>
          <w:b w:val="false"/>
          <w:i/>
          <w:color w:val="000000"/>
          <w:sz w:val="24"/>
        </w:rPr>
        <w:t xml:space="preserve">. </w:t>
      </w:r>
      <w:r>
        <w:rPr>
          <w:rFonts w:ascii="Times New Roman;sans-serif" w:hAnsi="Times New Roman;sans-serif"/>
          <w:b w:val="false"/>
          <w:color w:val="000000"/>
          <w:sz w:val="24"/>
        </w:rPr>
        <w:t xml:space="preserve">Upon execution and delivery by any Subsidiary that is required or permitted to become a party hereto by </w:t>
      </w:r>
      <w:r>
        <w:rPr>
          <w:rFonts w:ascii="Times New Roman;sans-serif" w:hAnsi="Times New Roman;sans-serif"/>
          <w:b w:val="false"/>
          <w:color w:val="000000"/>
          <w:sz w:val="24"/>
          <w:u w:val="single"/>
        </w:rPr>
        <w:t>Section 5.10</w:t>
      </w:r>
      <w:r>
        <w:rPr>
          <w:color w:val="000000"/>
        </w:rPr>
        <w:t xml:space="preserve"> </w:t>
      </w:r>
      <w:r>
        <w:rPr>
          <w:rFonts w:ascii="Times New Roman;sans-serif" w:hAnsi="Times New Roman;sans-serif"/>
          <w:b w:val="false"/>
          <w:color w:val="000000"/>
          <w:sz w:val="24"/>
        </w:rPr>
        <w:t xml:space="preserve">of the Credit Agreement or the Collateral and Guarantee Requirement of the Credit Agreement of an instrument substantially in the form of </w:t>
      </w:r>
      <w:r>
        <w:rPr>
          <w:rFonts w:ascii="Times New Roman;sans-serif" w:hAnsi="Times New Roman;sans-serif"/>
          <w:b w:val="false"/>
          <w:color w:val="000000"/>
          <w:sz w:val="24"/>
          <w:u w:val="single"/>
        </w:rPr>
        <w:t>Exhibit I</w:t>
      </w:r>
      <w:r>
        <w:rPr>
          <w:color w:val="000000"/>
        </w:rPr>
        <w:t xml:space="preserve"> </w:t>
      </w:r>
      <w:r>
        <w:rPr>
          <w:rFonts w:ascii="Times New Roman;sans-serif" w:hAnsi="Times New Roman;sans-serif"/>
          <w:b w:val="false"/>
          <w:color w:val="000000"/>
          <w:sz w:val="24"/>
        </w:rPr>
        <w:t>hereto (or another instrument reasonably satisfactory to the Collateral Agent and the Borrower), such subsidiary shall become a Pledgor hereunder with the same force and effect as if originally named as a Pledgor herein. The execution and delivery of any such instrument shall not require the consent of any other party to this Agreement. The rights and obligations of each party to this Agreement shall remain in full force and effect notwithstanding the addition of any new party to this Agreement.</w:t>
      </w:r>
    </w:p>
    <w:p>
      <w:pPr>
        <w:pStyle w:val="TextBody"/>
        <w:bidi w:val="0"/>
        <w:spacing w:lineRule="auto" w:line="240" w:before="240" w:after="283"/>
        <w:ind w:left="0" w:right="0" w:firstLine="1440"/>
        <w:jc w:val="both"/>
        <w:rPr/>
      </w:pPr>
      <w:r>
        <w:rPr>
          <w:rFonts w:ascii="Times New Roman;sans-serif" w:hAnsi="Times New Roman;sans-serif"/>
          <w:b w:val="false"/>
          <w:color w:val="000000"/>
          <w:sz w:val="24"/>
        </w:rPr>
        <w:t xml:space="preserve">SECTION 5.17. </w:t>
      </w:r>
      <w:r>
        <w:rPr>
          <w:rFonts w:ascii="Times New Roman;sans-serif" w:hAnsi="Times New Roman;sans-serif"/>
          <w:b/>
          <w:i/>
          <w:color w:val="000000"/>
          <w:sz w:val="24"/>
        </w:rPr>
        <w:t>General Authority of the Collateral Agent</w:t>
      </w:r>
      <w:r>
        <w:rPr>
          <w:rFonts w:ascii="Times New Roman;sans-serif" w:hAnsi="Times New Roman;sans-serif"/>
          <w:b w:val="false"/>
          <w:color w:val="000000"/>
          <w:sz w:val="24"/>
        </w:rPr>
        <w:t>. (a) By acceptance of the benefits of this Agreement and any other Security Documents, each Secured Party (whether or not a signatory hereto) shall be deemed irrevocably (i) to consent to the appointment of the Collateral Agent as its agent hereunder and under such other Security Documents, (ii) to confirm that the Collateral Agent shall have the authority to act as the exclusive agent of such Secured Party for the enforcement of any provision of this Agreement and such other Security Documents against any Pledgor, the exercise of remedies hereunder or thereunder and the giving or withholding of any consent or approval hereunder thereunder relating to any Collateral or any Pledgor’s obligations with respect thereto, (iii) to agree that it shall not take any action to enforce any provisions of this Agreement or any other Security Document against any Pledgor, to exercise any remedy hereunder or thereunder or to give any consents or approvals hereunder or thereunder except as expressly provided in this Agreement or any other Security Document and (iv) to agree to be bound by the terms of this Agreement and any other Security Documents and any applicable Intercreditor Agreement then in effect.</w:t>
      </w:r>
    </w:p>
    <w:p>
      <w:pPr>
        <w:pStyle w:val="TextBody"/>
        <w:bidi w:val="0"/>
        <w:spacing w:lineRule="auto" w:line="240" w:before="241"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(b)Each Pledgor acknowledges that the rights and responsibilities of the Collateral Agent under this Agreement with respect to any action taken by the Collateral Agent or the exercise or non-exercise by the Collateral Agent of any option, voting right, request, judgment or other right or remedy provided for herein or resulting or arising out of this Agreement shall, as between the Collateral Agent and the Secured Parties, be governed by Article VIII of the Credit Agreement, any Permitted First Lien Intercreditor Agreement and such other agreements with respect thereto as may exist from time to time among them, but, as between the Collateral Agent and the Pledgors, the Collateral Agent shall be conclusively presumed to be acting as agent for the applicable Secured Parties with full and valid authority so to act or refrain from acting, and no Pledgor shall be under any obligation, or entitlement, to make any inquiry respecting such authority.</w:t>
      </w:r>
    </w:p>
    <w:p>
      <w:pPr>
        <w:pStyle w:val="TextBody"/>
        <w:bidi w:val="0"/>
        <w:spacing w:lineRule="auto" w:line="240" w:before="239"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(c)It is expressly understood and agreed that the obligations of the Collateral Agent as holder of the Collateral and interests therein and with respect to the disposition thereof, and otherwise under this Agreement, are only those expressly set forth in this Agreement and Article VIII of the Credit Agreement. The Collateral Agent shall act hereunder on the terms and conditions set forth herein and in Article VIII of the Credit Agreement.</w:t>
      </w:r>
    </w:p>
    <w:p>
      <w:pPr>
        <w:pStyle w:val="TextBody"/>
        <w:bidi w:val="0"/>
        <w:spacing w:lineRule="auto" w:line="240" w:before="240" w:after="283"/>
        <w:ind w:left="0" w:right="0" w:firstLine="1440"/>
        <w:jc w:val="both"/>
        <w:rPr/>
      </w:pPr>
      <w:r>
        <w:rPr>
          <w:rFonts w:ascii="Times New Roman;sans-serif" w:hAnsi="Times New Roman;sans-serif"/>
          <w:b w:val="false"/>
          <w:color w:val="000000"/>
          <w:sz w:val="24"/>
        </w:rPr>
        <w:t xml:space="preserve">SECTION 5.18. </w:t>
      </w:r>
      <w:r>
        <w:rPr>
          <w:rFonts w:ascii="Times New Roman;sans-serif" w:hAnsi="Times New Roman;sans-serif"/>
          <w:b/>
          <w:i/>
          <w:color w:val="000000"/>
          <w:sz w:val="24"/>
        </w:rPr>
        <w:t>Subject to Intercreditor Agreements; Conflicts</w:t>
      </w:r>
      <w:r>
        <w:rPr>
          <w:rFonts w:ascii="Times New Roman;sans-serif" w:hAnsi="Times New Roman;sans-serif"/>
          <w:b w:val="false"/>
          <w:color w:val="000000"/>
          <w:sz w:val="24"/>
        </w:rPr>
        <w:t>. Notwithstanding anything herein to the contrary, (i) the Liens and security interests granted to the Collateral Agent for the benefit of the Secured Parties pursuant to this Agreement and (ii) the exercise of any right or remedy by the Collateral Agent hereunder or the application of proceeds</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37">
                <wp:simplePos x="0" y="0"/>
                <wp:positionH relativeFrom="character">
                  <wp:align>left</wp:align>
                </wp:positionH>
                <wp:positionV relativeFrom="line">
                  <wp:posOffset>635</wp:posOffset>
                </wp:positionV>
                <wp:extent cx="6480175" cy="781050"/>
                <wp:effectExtent l="0" t="0" r="0" b="0"/>
                <wp:wrapNone/>
                <wp:docPr id="536" name="Frame535"/>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334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334</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jc w:val="both"/>
        <w:rPr>
          <w:rFonts w:ascii="Times New Roman;sans-serif" w:hAnsi="Times New Roman;sans-serif"/>
          <w:b w:val="false"/>
          <w:color w:val="000000"/>
          <w:sz w:val="24"/>
        </w:rPr>
      </w:pPr>
      <w:r>
        <w:rPr>
          <w:rFonts w:ascii="Times New Roman;sans-serif" w:hAnsi="Times New Roman;sans-serif"/>
          <w:b w:val="false"/>
          <w:color w:val="000000"/>
          <w:sz w:val="24"/>
        </w:rPr>
        <w:t>(including insurance and condemnation proceeds) of any Collateral, in each case, are subject to the limitations and provisions of any applicable Intercreditor Agreement to the extent provided therein. In the event of any conflict between the terms of such applicable Intercreditor Agreement and the terms of this Agreement, the terms of such applicable Intercreditor Agreement shall govern.</w:t>
      </w:r>
    </w:p>
    <w:p>
      <w:pPr>
        <w:pStyle w:val="TextBody"/>
        <w:bidi w:val="0"/>
        <w:spacing w:lineRule="auto" w:line="240" w:before="240" w:after="283"/>
        <w:jc w:val="left"/>
        <w:rPr/>
      </w:pPr>
      <w:r>
        <w:rPr>
          <w:rFonts w:ascii="Times New Roman;sans-serif" w:hAnsi="Times New Roman;sans-serif"/>
          <w:b w:val="false"/>
          <w:color w:val="000000"/>
          <w:sz w:val="24"/>
        </w:rPr>
        <w:t>SECTION 5.19.    [Intentionally Omitted]</w:t>
      </w:r>
      <w:r>
        <w:rPr>
          <w:rFonts w:ascii="Times New Roman;sans-serif" w:hAnsi="Times New Roman;sans-serif"/>
          <w:b w:val="false"/>
          <w:i/>
          <w:color w:val="000000"/>
          <w:sz w:val="24"/>
        </w:rPr>
        <w:t>.</w:t>
      </w:r>
    </w:p>
    <w:p>
      <w:pPr>
        <w:pStyle w:val="TextBody"/>
        <w:bidi w:val="0"/>
        <w:spacing w:lineRule="auto" w:line="240" w:before="240" w:after="283"/>
        <w:ind w:left="0" w:right="0" w:firstLine="1440"/>
        <w:jc w:val="both"/>
        <w:rPr/>
      </w:pPr>
      <w:r>
        <w:rPr>
          <w:rFonts w:ascii="Times New Roman;sans-serif" w:hAnsi="Times New Roman;sans-serif"/>
          <w:b w:val="false"/>
          <w:color w:val="000000"/>
          <w:sz w:val="24"/>
        </w:rPr>
        <w:t xml:space="preserve">SECTION 5.20. </w:t>
      </w:r>
      <w:r>
        <w:rPr>
          <w:rFonts w:ascii="Times New Roman;sans-serif" w:hAnsi="Times New Roman;sans-serif"/>
          <w:b/>
          <w:i/>
          <w:color w:val="000000"/>
          <w:sz w:val="24"/>
        </w:rPr>
        <w:t>Person Serving as Collateral Agent</w:t>
      </w:r>
      <w:r>
        <w:rPr>
          <w:rFonts w:ascii="Times New Roman;sans-serif" w:hAnsi="Times New Roman;sans-serif"/>
          <w:b w:val="false"/>
          <w:i/>
          <w:color w:val="000000"/>
          <w:sz w:val="24"/>
        </w:rPr>
        <w:t xml:space="preserve">. </w:t>
      </w:r>
      <w:r>
        <w:rPr>
          <w:rFonts w:ascii="Times New Roman;sans-serif" w:hAnsi="Times New Roman;sans-serif"/>
          <w:b w:val="false"/>
          <w:color w:val="000000"/>
          <w:sz w:val="24"/>
        </w:rPr>
        <w:t xml:space="preserve">On the Closing Date, the Collateral Agent hereunder is the Revolving Facility Administrative Agent. Written notice of resignation by the Revolving Facility Administrative Agent under (and as defined in) the Credit Agreement pursuant to the Credit Agreement shall also constitute notice of resignation as the Collateral Agent under this Agreement. Upon the acceptance of any appointment as the Revolving Facility Administrative Agent under (and as defined in) the Credit Agreement by a successor, that successor shall thereupon succeed to and become vested with all the rights, powers, privileges and duties of the retiring Collateral Agent pursuant hereto. The Collateral Agent immediately prior to any change in Collateral Agent pursuant to this </w:t>
      </w:r>
      <w:r>
        <w:rPr>
          <w:rFonts w:ascii="Times New Roman;sans-serif" w:hAnsi="Times New Roman;sans-serif"/>
          <w:b w:val="false"/>
          <w:color w:val="000000"/>
          <w:sz w:val="24"/>
          <w:u w:val="single"/>
        </w:rPr>
        <w:t>Section 5.20</w:t>
      </w:r>
      <w:r>
        <w:rPr>
          <w:color w:val="000000"/>
        </w:rPr>
        <w:t xml:space="preserve"> </w:t>
      </w:r>
      <w:r>
        <w:rPr>
          <w:rFonts w:ascii="Times New Roman;sans-serif" w:hAnsi="Times New Roman;sans-serif"/>
          <w:b w:val="false"/>
          <w:color w:val="000000"/>
          <w:sz w:val="24"/>
        </w:rPr>
        <w:t>(the “</w:t>
      </w:r>
      <w:r>
        <w:rPr>
          <w:rFonts w:ascii="Times New Roman;sans-serif" w:hAnsi="Times New Roman;sans-serif"/>
          <w:b/>
          <w:i/>
          <w:color w:val="000000"/>
          <w:sz w:val="24"/>
        </w:rPr>
        <w:t>Prior Collateral Agent</w:t>
      </w:r>
      <w:r>
        <w:rPr>
          <w:color w:val="000000"/>
        </w:rPr>
        <w:t>”</w:t>
      </w:r>
      <w:r>
        <w:rPr>
          <w:rFonts w:ascii="Times New Roman;sans-serif" w:hAnsi="Times New Roman;sans-serif"/>
          <w:b w:val="false"/>
          <w:color w:val="000000"/>
          <w:sz w:val="24"/>
        </w:rPr>
        <w:t xml:space="preserve">) shall be deemed to have assigned all of its rights, powers and duties hereunder to the successor Collateral Agent determined in accordance with this </w:t>
      </w:r>
      <w:r>
        <w:rPr>
          <w:rFonts w:ascii="Times New Roman;sans-serif" w:hAnsi="Times New Roman;sans-serif"/>
          <w:b w:val="false"/>
          <w:color w:val="000000"/>
          <w:sz w:val="24"/>
          <w:u w:val="single"/>
        </w:rPr>
        <w:t>Section 5.20</w:t>
      </w:r>
      <w:r>
        <w:rPr>
          <w:color w:val="000000"/>
        </w:rPr>
        <w:t xml:space="preserve"> </w:t>
      </w:r>
      <w:r>
        <w:rPr>
          <w:rFonts w:ascii="Times New Roman;sans-serif" w:hAnsi="Times New Roman;sans-serif"/>
          <w:b w:val="false"/>
          <w:color w:val="000000"/>
          <w:sz w:val="24"/>
        </w:rPr>
        <w:t>(the “</w:t>
      </w:r>
      <w:r>
        <w:rPr>
          <w:rFonts w:ascii="Times New Roman;sans-serif" w:hAnsi="Times New Roman;sans-serif"/>
          <w:b/>
          <w:i/>
          <w:color w:val="000000"/>
          <w:sz w:val="24"/>
        </w:rPr>
        <w:t>Successor Collateral Agent</w:t>
      </w:r>
      <w:r>
        <w:rPr>
          <w:color w:val="000000"/>
        </w:rPr>
        <w:t>”</w:t>
      </w:r>
      <w:r>
        <w:rPr>
          <w:rFonts w:ascii="Times New Roman;sans-serif" w:hAnsi="Times New Roman;sans-serif"/>
          <w:b w:val="false"/>
          <w:color w:val="000000"/>
          <w:sz w:val="24"/>
        </w:rPr>
        <w:t>) and the Successor Collateral Agent shall be deemed to have accepted, assumed and succeeded to such rights, powers and duties. The Prior Collateral Agent shall cooperate with the Pledgors and such Successor Collateral Agent to ensure that all actions are taken that are necessary or reasonably requested by the Successor Collateral Agent to vest in such Successor Collateral Agent the rights granted to the Prior Collateral Agent hereunder with respect to the Collateral, including (a) the filing of amended financing statements in the appropriate filing offices, (b) to the extent that the Prior Collateral Agent holds, or a third party holds on its behalf, physical possession of or “control” (as defined in the New York UCC or the Uniform Commercial Code or its equivalent in any other applicable jurisdiction) (or any similar concept under foreign law) over Collateral pursuant to this Agreement or any other Security Document, the delivery to the Successor Collateral Agent of the Collateral in its possession or control together with any necessary endorsements to the extent required by this Agreement and (c) the execution and delivery of any further documents, financing statements or agreements and the taking of all such further action that may be required under any applicable law, or that the Successor Collateral Agent may reasonably request, all without recourse to, or representation or warranty by, the Collateral Agent, and at the sole cost and expense of the Pledgors.</w:t>
      </w:r>
    </w:p>
    <w:p>
      <w:pPr>
        <w:pStyle w:val="TextBody"/>
        <w:bidi w:val="0"/>
        <w:spacing w:lineRule="auto" w:line="240" w:before="240" w:after="283"/>
        <w:jc w:val="left"/>
        <w:rPr/>
      </w:pPr>
      <w:r>
        <w:rPr>
          <w:rFonts w:ascii="Times New Roman;sans-serif" w:hAnsi="Times New Roman;sans-serif"/>
          <w:b w:val="false"/>
          <w:color w:val="000000"/>
          <w:sz w:val="24"/>
        </w:rPr>
        <w:t>SECTION 5.21.    </w:t>
      </w:r>
      <w:r>
        <w:rPr>
          <w:rFonts w:ascii="Times New Roman;sans-serif" w:hAnsi="Times New Roman;sans-serif"/>
          <w:b/>
          <w:i/>
          <w:color w:val="000000"/>
          <w:sz w:val="24"/>
        </w:rPr>
        <w:t>[Reserved]</w:t>
      </w:r>
      <w:r>
        <w:rPr>
          <w:rFonts w:ascii="Times New Roman;sans-serif" w:hAnsi="Times New Roman;sans-serif"/>
          <w:b w:val="false"/>
          <w:color w:val="000000"/>
          <w:sz w:val="24"/>
        </w:rPr>
        <w:t>.</w:t>
      </w:r>
    </w:p>
    <w:p>
      <w:pPr>
        <w:pStyle w:val="TextBody"/>
        <w:bidi w:val="0"/>
        <w:spacing w:lineRule="auto" w:line="240" w:before="240" w:after="283"/>
        <w:ind w:left="0" w:right="0" w:firstLine="1440"/>
        <w:jc w:val="both"/>
        <w:rPr/>
      </w:pPr>
      <w:r>
        <w:rPr>
          <w:rFonts w:ascii="Times New Roman;sans-serif" w:hAnsi="Times New Roman;sans-serif"/>
          <w:b w:val="false"/>
          <w:color w:val="000000"/>
          <w:sz w:val="24"/>
        </w:rPr>
        <w:t xml:space="preserve">SECTION 5.22. </w:t>
      </w:r>
      <w:r>
        <w:rPr>
          <w:rFonts w:ascii="Times New Roman;sans-serif" w:hAnsi="Times New Roman;sans-serif"/>
          <w:b/>
          <w:i/>
          <w:color w:val="000000"/>
          <w:sz w:val="24"/>
        </w:rPr>
        <w:t>Secured Cash Management Agreements and Secured Hedge Agreements</w:t>
      </w:r>
      <w:r>
        <w:rPr>
          <w:rFonts w:ascii="Times New Roman;sans-serif" w:hAnsi="Times New Roman;sans-serif"/>
          <w:b w:val="false"/>
          <w:i/>
          <w:color w:val="000000"/>
          <w:sz w:val="24"/>
        </w:rPr>
        <w:t xml:space="preserve">. </w:t>
      </w:r>
      <w:r>
        <w:rPr>
          <w:rFonts w:ascii="Times New Roman;sans-serif" w:hAnsi="Times New Roman;sans-serif"/>
          <w:b w:val="false"/>
          <w:color w:val="000000"/>
          <w:sz w:val="24"/>
        </w:rPr>
        <w:t>No Secured Party that obtains the benefit of this Agreement shall have any right to notice of any action or to consent to, direct or object to, any action hereunder or otherwise in respect of the Collateral (including, without limitation, the release or impairment of any Collateral) other than in its capacity as a Lender, an Issuing Bank or the Administrative Agent, and, in any such case, only to the extent expressly provided in the Credit Agreement Documents, including without limitation Article VIII of the Credit Agreement. Each Secured Party not a party to the Credit Agreement that obtains the benefit of this Agreement shall be deemed to have acknowledged and accepted the appointment of the Administrative Agent pursuant to the terms of</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38">
                <wp:simplePos x="0" y="0"/>
                <wp:positionH relativeFrom="character">
                  <wp:align>left</wp:align>
                </wp:positionH>
                <wp:positionV relativeFrom="line">
                  <wp:posOffset>635</wp:posOffset>
                </wp:positionV>
                <wp:extent cx="6480175" cy="781050"/>
                <wp:effectExtent l="0" t="0" r="0" b="0"/>
                <wp:wrapNone/>
                <wp:docPr id="537" name="Frame536"/>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335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335</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the Credit Agreement, including, without limitation, under Article VIII of the Credit Agreement and the appointment.</w:t>
      </w:r>
    </w:p>
    <w:p>
      <w:pPr>
        <w:pStyle w:val="TextBody"/>
        <w:bidi w:val="0"/>
        <w:spacing w:lineRule="auto" w:line="240" w:before="24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Pages Follow]</w:t>
      </w:r>
    </w:p>
    <w:p>
      <w:pPr>
        <w:pStyle w:val="TextBody"/>
        <w:bidi w:val="0"/>
        <w:spacing w:before="0" w:after="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39">
                <wp:simplePos x="0" y="0"/>
                <wp:positionH relativeFrom="character">
                  <wp:align>left</wp:align>
                </wp:positionH>
                <wp:positionV relativeFrom="line">
                  <wp:posOffset>635</wp:posOffset>
                </wp:positionV>
                <wp:extent cx="6480175" cy="781050"/>
                <wp:effectExtent l="0" t="0" r="0" b="0"/>
                <wp:wrapNone/>
                <wp:docPr id="538" name="Frame537"/>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336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336</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40" w:before="6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IN WITNESS WHEREOF, the parties have duly executed this Agreement as of the day and year first above written.</w:t>
      </w:r>
    </w:p>
    <w:p>
      <w:pPr>
        <w:pStyle w:val="TextBody"/>
        <w:bidi w:val="0"/>
        <w:spacing w:before="240" w:after="283"/>
        <w:jc w:val="left"/>
        <w:rPr/>
      </w:pPr>
      <w:r>
        <w:rPr/>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MAGNITE, INC.</w:t>
      </w:r>
    </w:p>
    <w:p>
      <w:pPr>
        <w:pStyle w:val="TextBody"/>
        <w:bidi w:val="0"/>
        <w:spacing w:before="204" w:after="283"/>
        <w:jc w:val="left"/>
        <w:rPr/>
      </w:pPr>
      <w:r>
        <w:rPr/>
      </w:r>
    </w:p>
    <w:p>
      <w:pPr>
        <w:pStyle w:val="TextBody"/>
        <w:bidi w:val="0"/>
        <w:spacing w:lineRule="auto" w:line="285" w:before="0" w:after="0"/>
        <w:ind w:left="0" w:right="0" w:hanging="813"/>
        <w:jc w:val="left"/>
        <w:rPr/>
      </w:pPr>
      <w:r>
        <w:rPr>
          <w:rFonts w:ascii="Times New Roman;sans-serif" w:hAnsi="Times New Roman;sans-serif"/>
          <w:b w:val="false"/>
          <w:color w:val="000000"/>
          <w:sz w:val="24"/>
        </w:rPr>
        <w:t>By:    </w:t>
      </w:r>
      <w:r>
        <w:rPr>
          <w:color w:val="000000"/>
          <w:u w:val="single"/>
        </w:rPr>
        <w:t>        </w:t>
      </w:r>
      <w:r>
        <w:rPr>
          <w:color w:val="000000"/>
        </w:rPr>
        <w:t xml:space="preserve"> </w:t>
      </w:r>
      <w:r>
        <w:rPr>
          <w:rFonts w:ascii="Times New Roman;sans-serif" w:hAnsi="Times New Roman;sans-serif"/>
          <w:b w:val="false"/>
          <w:color w:val="000000"/>
          <w:sz w:val="24"/>
        </w:rPr>
        <w:t>Name:</w:t>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Title: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1" w:after="283"/>
        <w:jc w:val="left"/>
        <w:rPr/>
      </w:pPr>
      <w:r>
        <w:rPr/>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to Collateral Agreement]</w:t>
      </w:r>
    </w:p>
    <w:p>
      <w:pPr>
        <w:pStyle w:val="TextBody"/>
        <w:bidi w:val="0"/>
        <w:spacing w:before="0" w:after="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40">
                <wp:simplePos x="0" y="0"/>
                <wp:positionH relativeFrom="character">
                  <wp:align>left</wp:align>
                </wp:positionH>
                <wp:positionV relativeFrom="line">
                  <wp:posOffset>635</wp:posOffset>
                </wp:positionV>
                <wp:extent cx="6480175" cy="781050"/>
                <wp:effectExtent l="0" t="0" r="0" b="0"/>
                <wp:wrapNone/>
                <wp:docPr id="539" name="Frame538"/>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337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337</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40" w:before="6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CITIBANK, N.A., as Collateral Agent</w:t>
      </w:r>
    </w:p>
    <w:p>
      <w:pPr>
        <w:pStyle w:val="TextBody"/>
        <w:bidi w:val="0"/>
        <w:spacing w:before="204" w:after="283"/>
        <w:jc w:val="left"/>
        <w:rPr/>
      </w:pPr>
      <w:r>
        <w:rPr/>
      </w:r>
    </w:p>
    <w:p>
      <w:pPr>
        <w:pStyle w:val="TextBody"/>
        <w:bidi w:val="0"/>
        <w:spacing w:lineRule="auto" w:line="285" w:before="0" w:after="0"/>
        <w:ind w:left="0" w:right="0" w:hanging="578"/>
        <w:jc w:val="left"/>
        <w:rPr/>
      </w:pPr>
      <w:r>
        <w:rPr>
          <w:rFonts w:ascii="Times New Roman;sans-serif" w:hAnsi="Times New Roman;sans-serif"/>
          <w:b w:val="false"/>
          <w:color w:val="000000"/>
          <w:sz w:val="24"/>
        </w:rPr>
        <w:t xml:space="preserve">By: </w:t>
      </w:r>
      <w:r>
        <w:rPr>
          <w:color w:val="000000"/>
          <w:u w:val="single"/>
        </w:rPr>
        <w:t>        </w:t>
      </w:r>
      <w:r>
        <w:rPr>
          <w:color w:val="000000"/>
        </w:rPr>
        <w:t xml:space="preserve"> </w:t>
      </w:r>
      <w:r>
        <w:rPr>
          <w:rFonts w:ascii="Times New Roman;sans-serif" w:hAnsi="Times New Roman;sans-serif"/>
          <w:b w:val="false"/>
          <w:color w:val="000000"/>
          <w:sz w:val="24"/>
        </w:rPr>
        <w:t>Name:</w:t>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Title: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1" w:after="283"/>
        <w:jc w:val="left"/>
        <w:rPr/>
      </w:pPr>
      <w:r>
        <w:rPr/>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to Collateral Agreement]</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41">
                <wp:simplePos x="0" y="0"/>
                <wp:positionH relativeFrom="character">
                  <wp:align>left</wp:align>
                </wp:positionH>
                <wp:positionV relativeFrom="line">
                  <wp:posOffset>635</wp:posOffset>
                </wp:positionV>
                <wp:extent cx="6480175" cy="781050"/>
                <wp:effectExtent l="0" t="0" r="0" b="0"/>
                <wp:wrapNone/>
                <wp:docPr id="540" name="Frame539"/>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338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338</w:t>
                            </w:r>
                          </w:p>
                        </w:tc>
                      </w:tr>
                    </w:tbl>
                    <w:p>
                      <w:pPr>
                        <w:pStyle w:val="TextBody"/>
                        <w:bidi w:val="0"/>
                        <w:spacing w:before="0" w:after="283"/>
                        <w:jc w:val="left"/>
                        <w:rPr/>
                      </w:pPr>
                      <w:r>
                        <w:rPr/>
                      </w:r>
                    </w:p>
                  </w:txbxContent>
                </v:textbox>
                <w10:wrap type="none"/>
              </v:rect>
            </w:pict>
          </mc:Fallback>
        </mc:AlternateContent>
      </w:r>
    </w:p>
    <w:p>
      <w:pPr>
        <w:pStyle w:val="TextBody"/>
        <w:bidi w:val="0"/>
        <w:spacing w:before="43" w:after="283"/>
        <w:jc w:val="left"/>
        <w:rPr/>
      </w:pPr>
      <w:r>
        <w:rPr/>
      </w:r>
    </w:p>
    <w:p>
      <w:pPr>
        <w:pStyle w:val="TextBody"/>
        <w:bidi w:val="0"/>
        <w:spacing w:lineRule="auto" w:line="240" w:before="0" w:after="240"/>
        <w:jc w:val="right"/>
        <w:rPr>
          <w:rFonts w:ascii="Times New Roman;sans-serif" w:hAnsi="Times New Roman;sans-serif"/>
          <w:b w:val="false"/>
          <w:color w:val="000000"/>
          <w:sz w:val="24"/>
        </w:rPr>
      </w:pPr>
      <w:r>
        <w:rPr>
          <w:rFonts w:ascii="Times New Roman;sans-serif" w:hAnsi="Times New Roman;sans-serif"/>
          <w:b w:val="false"/>
          <w:color w:val="000000"/>
          <w:sz w:val="24"/>
        </w:rPr>
        <w:t xml:space="preserve">Schedule I to the </w:t>
        <w:br/>
        <w:t>Collateral Agreement</w:t>
      </w:r>
    </w:p>
    <w:p>
      <w:pPr>
        <w:pStyle w:val="TextBody"/>
        <w:bidi w:val="0"/>
        <w:spacing w:lineRule="auto" w:line="240" w:before="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t>Pledged Stock; Pledged Debt</w:t>
      </w:r>
    </w:p>
    <w:p>
      <w:pPr>
        <w:pStyle w:val="TextBody"/>
        <w:bidi w:val="0"/>
        <w:spacing w:lineRule="auto" w:line="240" w:before="0" w:after="0"/>
        <w:ind w:left="0" w:right="0" w:hanging="720"/>
        <w:jc w:val="left"/>
        <w:rPr>
          <w:rFonts w:ascii="Times New Roman;sans-serif" w:hAnsi="Times New Roman;sans-serif"/>
          <w:b/>
          <w:color w:val="000000"/>
          <w:sz w:val="24"/>
        </w:rPr>
      </w:pPr>
      <w:r>
        <w:rPr>
          <w:rFonts w:ascii="Times New Roman;sans-serif" w:hAnsi="Times New Roman;sans-serif"/>
          <w:b/>
          <w:color w:val="000000"/>
          <w:sz w:val="24"/>
        </w:rPr>
        <w:t>A.    Pledged Stock</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66"/>
        <w:gridCol w:w="234"/>
        <w:gridCol w:w="236"/>
        <w:gridCol w:w="409"/>
        <w:gridCol w:w="409"/>
        <w:gridCol w:w="411"/>
        <w:gridCol w:w="458"/>
        <w:gridCol w:w="458"/>
        <w:gridCol w:w="459"/>
        <w:gridCol w:w="491"/>
        <w:gridCol w:w="491"/>
        <w:gridCol w:w="493"/>
        <w:gridCol w:w="842"/>
        <w:gridCol w:w="842"/>
        <w:gridCol w:w="844"/>
        <w:gridCol w:w="836"/>
        <w:gridCol w:w="836"/>
        <w:gridCol w:w="1190"/>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op w:val="single" w:sz="4" w:space="0" w:color="000000"/>
              <w:left w:val="single" w:sz="4" w:space="0" w:color="000000"/>
            </w:tcBorders>
            <w:shd w:fill="BFBFBF" w:val="clear"/>
            <w:tcMar>
              <w:top w:w="30" w:type="dxa"/>
              <w:left w:w="127"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Issuer</w:t>
            </w:r>
          </w:p>
        </w:tc>
        <w:tc>
          <w:tcPr>
            <w:tcW w:w="1229" w:type="dxa"/>
            <w:gridSpan w:val="3"/>
            <w:tcBorders>
              <w:top w:val="single" w:sz="4" w:space="0" w:color="000000"/>
              <w:left w:val="single" w:sz="4" w:space="0" w:color="000000"/>
            </w:tcBorders>
            <w:shd w:fill="BFBFBF" w:val="clear"/>
            <w:tcMar>
              <w:top w:w="3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Record Owner</w:t>
            </w:r>
          </w:p>
        </w:tc>
        <w:tc>
          <w:tcPr>
            <w:tcW w:w="1375" w:type="dxa"/>
            <w:gridSpan w:val="3"/>
            <w:tcBorders>
              <w:top w:val="single" w:sz="4" w:space="0" w:color="000000"/>
              <w:left w:val="single" w:sz="4" w:space="0" w:color="000000"/>
            </w:tcBorders>
            <w:shd w:fill="BFBFBF" w:val="clear"/>
            <w:tcMar>
              <w:top w:w="3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Certificate No.</w:t>
            </w:r>
          </w:p>
        </w:tc>
        <w:tc>
          <w:tcPr>
            <w:tcW w:w="1475" w:type="dxa"/>
            <w:gridSpan w:val="3"/>
            <w:tcBorders>
              <w:top w:val="single" w:sz="4" w:space="0" w:color="000000"/>
              <w:left w:val="single" w:sz="4" w:space="0" w:color="000000"/>
            </w:tcBorders>
            <w:shd w:fill="BFBFBF" w:val="clear"/>
            <w:tcMar>
              <w:top w:w="3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Number and Class</w:t>
            </w:r>
          </w:p>
        </w:tc>
        <w:tc>
          <w:tcPr>
            <w:tcW w:w="2528" w:type="dxa"/>
            <w:gridSpan w:val="3"/>
            <w:tcBorders>
              <w:top w:val="single" w:sz="4" w:space="0" w:color="000000"/>
              <w:left w:val="single" w:sz="4" w:space="0" w:color="000000"/>
            </w:tcBorders>
            <w:shd w:fill="BFBFBF" w:val="clear"/>
            <w:tcMar>
              <w:top w:w="30" w:type="dxa"/>
              <w:bottom w:w="0" w:type="dxa"/>
              <w:right w:w="0" w:type="dxa"/>
            </w:tcMar>
            <w:vAlign w:val="center"/>
          </w:tcPr>
          <w:p>
            <w:pPr>
              <w:pStyle w:val="TableContents"/>
              <w:bidi w:val="0"/>
              <w:spacing w:lineRule="auto" w:line="314" w:before="0" w:after="0"/>
              <w:jc w:val="left"/>
              <w:rPr>
                <w:rFonts w:ascii="Times New Roman;sans-serif" w:hAnsi="Times New Roman;sans-serif"/>
                <w:b/>
                <w:color w:val="000000"/>
                <w:sz w:val="24"/>
              </w:rPr>
            </w:pPr>
            <w:r>
              <w:rPr>
                <w:rFonts w:ascii="Times New Roman;sans-serif" w:hAnsi="Times New Roman;sans-serif"/>
                <w:b/>
                <w:color w:val="000000"/>
                <w:sz w:val="24"/>
              </w:rPr>
              <w:t>Percentage of Equity Interest Owned</w:t>
            </w:r>
          </w:p>
        </w:tc>
        <w:tc>
          <w:tcPr>
            <w:tcW w:w="2862" w:type="dxa"/>
            <w:gridSpan w:val="3"/>
            <w:tcBorders>
              <w:top w:val="single" w:sz="4" w:space="0" w:color="000000"/>
              <w:left w:val="single" w:sz="4" w:space="0" w:color="000000"/>
              <w:right w:val="single" w:sz="4" w:space="0" w:color="000000"/>
            </w:tcBorders>
            <w:shd w:fill="BFBFBF" w:val="clear"/>
            <w:tcMar>
              <w:top w:w="30" w:type="dxa"/>
              <w:bottom w:w="0" w:type="dxa"/>
            </w:tcMar>
            <w:vAlign w:val="center"/>
          </w:tcPr>
          <w:p>
            <w:pPr>
              <w:pStyle w:val="TableContents"/>
              <w:bidi w:val="0"/>
              <w:spacing w:lineRule="auto" w:line="314" w:before="0" w:after="0"/>
              <w:jc w:val="left"/>
              <w:rPr>
                <w:rFonts w:ascii="Times New Roman;sans-serif" w:hAnsi="Times New Roman;sans-serif"/>
                <w:b/>
                <w:color w:val="000000"/>
                <w:sz w:val="24"/>
              </w:rPr>
            </w:pPr>
            <w:r>
              <w:rPr>
                <w:rFonts w:ascii="Times New Roman;sans-serif" w:hAnsi="Times New Roman;sans-serif"/>
                <w:b/>
                <w:color w:val="000000"/>
                <w:sz w:val="24"/>
              </w:rPr>
              <w:t>Percent (of Owned Equity Interests) Pledged</w:t>
            </w:r>
          </w:p>
        </w:tc>
      </w:tr>
      <w:tr>
        <w:trPr/>
        <w:tc>
          <w:tcPr>
            <w:tcW w:w="736"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single" w:sz="6" w:space="0" w:color="000000"/>
              <w:left w:val="single" w:sz="4" w:space="0" w:color="000000"/>
              <w:bottom w:val="single" w:sz="6" w:space="0" w:color="000000"/>
            </w:tcBorders>
            <w:tcMar>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op w:val="single" w:sz="6" w:space="0" w:color="000000"/>
              <w:left w:val="single" w:sz="4" w:space="0" w:color="000000"/>
              <w:bottom w:val="single" w:sz="6" w:space="0" w:color="000000"/>
            </w:tcBorders>
            <w:tcMar>
              <w:right w:w="0" w:type="dxa"/>
            </w:tcMar>
            <w:vAlign w:val="center"/>
          </w:tcPr>
          <w:p>
            <w:pPr>
              <w:pStyle w:val="TableContents"/>
              <w:bidi w:val="0"/>
              <w:spacing w:before="0" w:after="283"/>
              <w:jc w:val="left"/>
              <w:rPr>
                <w:sz w:val="4"/>
                <w:szCs w:val="4"/>
              </w:rPr>
            </w:pPr>
            <w:r>
              <w:rPr>
                <w:sz w:val="4"/>
                <w:szCs w:val="4"/>
              </w:rPr>
            </w:r>
          </w:p>
        </w:tc>
        <w:tc>
          <w:tcPr>
            <w:tcW w:w="2528"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2862"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245" w:after="283"/>
        <w:jc w:val="left"/>
        <w:rPr/>
      </w:pPr>
      <w:r>
        <w:rPr/>
      </w:r>
    </w:p>
    <w:p>
      <w:pPr>
        <w:pStyle w:val="TextBody"/>
        <w:bidi w:val="0"/>
        <w:spacing w:lineRule="auto" w:line="240" w:before="0" w:after="0"/>
        <w:ind w:left="0" w:right="0" w:hanging="721"/>
        <w:jc w:val="left"/>
        <w:rPr>
          <w:rFonts w:ascii="Times New Roman;sans-serif" w:hAnsi="Times New Roman;sans-serif"/>
          <w:b/>
          <w:color w:val="000000"/>
          <w:sz w:val="24"/>
        </w:rPr>
      </w:pPr>
      <w:r>
        <w:rPr>
          <w:rFonts w:ascii="Times New Roman;sans-serif" w:hAnsi="Times New Roman;sans-serif"/>
          <w:b/>
          <w:color w:val="000000"/>
          <w:sz w:val="24"/>
        </w:rPr>
        <w:t>B.Pledged Debt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42">
                <wp:simplePos x="0" y="0"/>
                <wp:positionH relativeFrom="character">
                  <wp:align>left</wp:align>
                </wp:positionH>
                <wp:positionV relativeFrom="line">
                  <wp:posOffset>635</wp:posOffset>
                </wp:positionV>
                <wp:extent cx="6480175" cy="781050"/>
                <wp:effectExtent l="0" t="0" r="0" b="0"/>
                <wp:wrapNone/>
                <wp:docPr id="541" name="Frame540"/>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339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339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jc w:val="right"/>
        <w:rPr>
          <w:rFonts w:ascii="Times New Roman;sans-serif" w:hAnsi="Times New Roman;sans-serif"/>
          <w:b w:val="false"/>
          <w:color w:val="000000"/>
          <w:sz w:val="24"/>
        </w:rPr>
      </w:pPr>
      <w:r>
        <w:rPr>
          <w:rFonts w:ascii="Times New Roman;sans-serif" w:hAnsi="Times New Roman;sans-serif"/>
          <w:b w:val="false"/>
          <w:color w:val="000000"/>
          <w:sz w:val="24"/>
        </w:rPr>
        <w:t xml:space="preserve">Schedule II to the </w:t>
        <w:br/>
        <w:t>Collateral Agreement</w:t>
      </w:r>
    </w:p>
    <w:p>
      <w:pPr>
        <w:pStyle w:val="TextBody"/>
        <w:bidi w:val="0"/>
        <w:spacing w:lineRule="auto" w:line="240" w:before="0" w:after="0"/>
        <w:jc w:val="center"/>
        <w:rPr>
          <w:rFonts w:ascii="Times New Roman;sans-serif" w:hAnsi="Times New Roman;sans-serif"/>
          <w:b/>
          <w:color w:val="000000"/>
          <w:sz w:val="24"/>
          <w:u w:val="single"/>
        </w:rPr>
      </w:pPr>
      <w:r>
        <w:rPr>
          <w:rFonts w:ascii="Times New Roman;sans-serif" w:hAnsi="Times New Roman;sans-serif"/>
          <w:b/>
          <w:color w:val="000000"/>
          <w:sz w:val="24"/>
          <w:u w:val="single"/>
        </w:rPr>
        <w:t>Intellectual Property</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ind w:left="0" w:right="0" w:hanging="720"/>
        <w:jc w:val="left"/>
        <w:rPr/>
      </w:pPr>
      <w:r>
        <w:rPr>
          <w:rFonts w:ascii="Times New Roman;sans-serif" w:hAnsi="Times New Roman;sans-serif"/>
          <w:b/>
          <w:color w:val="000000"/>
          <w:sz w:val="24"/>
        </w:rPr>
        <w:t>A.</w:t>
      </w:r>
      <w:r>
        <w:rPr>
          <w:rFonts w:ascii="Times New Roman;sans-serif" w:hAnsi="Times New Roman;sans-serif"/>
          <w:b/>
          <w:color w:val="000000"/>
          <w:sz w:val="24"/>
          <w:u w:val="single"/>
        </w:rPr>
        <w:t>U.S. Federally Issued or Applied for Patents.</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Registrations:</w:t>
      </w:r>
    </w:p>
    <w:p>
      <w:pPr>
        <w:pStyle w:val="TextBody"/>
        <w:bidi w:val="0"/>
        <w:spacing w:before="46" w:after="283"/>
        <w:jc w:val="left"/>
        <w:rPr/>
      </w:pPr>
      <w:r>
        <w:rPr/>
      </w:r>
    </w:p>
    <w:tbl>
      <w:tblPr>
        <w:tblW w:w="6061" w:type="dxa"/>
        <w:jc w:val="left"/>
        <w:tblInd w:w="0" w:type="dxa"/>
        <w:tblLayout w:type="fixed"/>
        <w:tblCellMar>
          <w:top w:w="28" w:type="dxa"/>
          <w:left w:w="28" w:type="dxa"/>
          <w:bottom w:w="28" w:type="dxa"/>
          <w:right w:w="28" w:type="dxa"/>
        </w:tblCellMar>
      </w:tblPr>
      <w:tblGrid>
        <w:gridCol w:w="386"/>
        <w:gridCol w:w="339"/>
        <w:gridCol w:w="341"/>
        <w:gridCol w:w="1049"/>
        <w:gridCol w:w="1049"/>
        <w:gridCol w:w="1051"/>
        <w:gridCol w:w="540"/>
        <w:gridCol w:w="540"/>
        <w:gridCol w:w="766"/>
      </w:tblGrid>
      <w:tr>
        <w:trPr/>
        <w:tc>
          <w:tcPr>
            <w:tcW w:w="38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top w:val="single" w:sz="4" w:space="0" w:color="000000"/>
              <w:left w:val="single" w:sz="4" w:space="0" w:color="000000"/>
            </w:tcBorders>
            <w:shd w:fill="BFBFBF" w:val="clear"/>
            <w:tcMar>
              <w:top w:w="30" w:type="dxa"/>
              <w:left w:w="127"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OWNER</w:t>
            </w:r>
          </w:p>
        </w:tc>
        <w:tc>
          <w:tcPr>
            <w:tcW w:w="3149" w:type="dxa"/>
            <w:gridSpan w:val="3"/>
            <w:tcBorders>
              <w:top w:val="single" w:sz="4" w:space="0" w:color="000000"/>
              <w:left w:val="single" w:sz="4" w:space="0" w:color="000000"/>
            </w:tcBorders>
            <w:shd w:fill="BFBFBF" w:val="clear"/>
            <w:tcMar>
              <w:top w:w="30" w:type="dxa"/>
              <w:bottom w:w="0" w:type="dxa"/>
              <w:right w:w="0" w:type="dxa"/>
            </w:tcMar>
            <w:vAlign w:val="center"/>
          </w:tcPr>
          <w:p>
            <w:pPr>
              <w:pStyle w:val="TableContents"/>
              <w:bidi w:val="0"/>
              <w:spacing w:lineRule="auto" w:line="314" w:before="0" w:after="0"/>
              <w:jc w:val="left"/>
              <w:rPr>
                <w:rFonts w:ascii="Times New Roman;sans-serif" w:hAnsi="Times New Roman;sans-serif"/>
                <w:b/>
                <w:color w:val="000000"/>
                <w:sz w:val="24"/>
              </w:rPr>
            </w:pPr>
            <w:r>
              <w:rPr>
                <w:rFonts w:ascii="Times New Roman;sans-serif" w:hAnsi="Times New Roman;sans-serif"/>
                <w:b/>
                <w:color w:val="000000"/>
                <w:sz w:val="24"/>
              </w:rPr>
              <w:t>REGISTRATION NUMBER</w:t>
            </w:r>
          </w:p>
        </w:tc>
        <w:tc>
          <w:tcPr>
            <w:tcW w:w="1846" w:type="dxa"/>
            <w:gridSpan w:val="3"/>
            <w:tcBorders>
              <w:top w:val="single" w:sz="4" w:space="0" w:color="000000"/>
              <w:left w:val="single" w:sz="4" w:space="0" w:color="000000"/>
              <w:right w:val="single" w:sz="4" w:space="0" w:color="000000"/>
            </w:tcBorders>
            <w:shd w:fill="BFBFBF" w:val="clear"/>
            <w:tcMar>
              <w:top w:w="30" w:type="dxa"/>
              <w:left w:w="128" w:type="dxa"/>
              <w:bottom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DESCRIPTION</w:t>
            </w:r>
          </w:p>
        </w:tc>
      </w:tr>
      <w:tr>
        <w:trPr/>
        <w:tc>
          <w:tcPr>
            <w:tcW w:w="1066"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1846"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1" w:after="283"/>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Applications:</w:t>
      </w:r>
    </w:p>
    <w:p>
      <w:pPr>
        <w:pStyle w:val="TextBody"/>
        <w:bidi w:val="0"/>
        <w:spacing w:before="46" w:after="283"/>
        <w:jc w:val="left"/>
        <w:rPr/>
      </w:pPr>
      <w:r>
        <w:rPr/>
      </w:r>
    </w:p>
    <w:tbl>
      <w:tblPr>
        <w:tblW w:w="5881" w:type="dxa"/>
        <w:jc w:val="left"/>
        <w:tblInd w:w="0" w:type="dxa"/>
        <w:tblLayout w:type="fixed"/>
        <w:tblCellMar>
          <w:top w:w="28" w:type="dxa"/>
          <w:left w:w="28" w:type="dxa"/>
          <w:bottom w:w="28" w:type="dxa"/>
          <w:right w:w="28" w:type="dxa"/>
        </w:tblCellMar>
      </w:tblPr>
      <w:tblGrid>
        <w:gridCol w:w="386"/>
        <w:gridCol w:w="339"/>
        <w:gridCol w:w="341"/>
        <w:gridCol w:w="989"/>
        <w:gridCol w:w="989"/>
        <w:gridCol w:w="991"/>
        <w:gridCol w:w="540"/>
        <w:gridCol w:w="540"/>
        <w:gridCol w:w="766"/>
      </w:tblGrid>
      <w:tr>
        <w:trPr/>
        <w:tc>
          <w:tcPr>
            <w:tcW w:w="38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top w:val="single" w:sz="4" w:space="0" w:color="000000"/>
              <w:left w:val="single" w:sz="4" w:space="0" w:color="000000"/>
            </w:tcBorders>
            <w:shd w:fill="BFBFBF" w:val="clear"/>
            <w:tcMar>
              <w:top w:w="30" w:type="dxa"/>
              <w:left w:w="127"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OWNER</w:t>
            </w:r>
          </w:p>
        </w:tc>
        <w:tc>
          <w:tcPr>
            <w:tcW w:w="2969" w:type="dxa"/>
            <w:gridSpan w:val="3"/>
            <w:tcBorders>
              <w:top w:val="single" w:sz="4" w:space="0" w:color="000000"/>
              <w:left w:val="single" w:sz="4" w:space="0" w:color="000000"/>
            </w:tcBorders>
            <w:shd w:fill="BFBFBF" w:val="clear"/>
            <w:tcMar>
              <w:top w:w="30" w:type="dxa"/>
              <w:bottom w:w="0" w:type="dxa"/>
              <w:right w:w="0" w:type="dxa"/>
            </w:tcMar>
            <w:vAlign w:val="center"/>
          </w:tcPr>
          <w:p>
            <w:pPr>
              <w:pStyle w:val="TableContents"/>
              <w:bidi w:val="0"/>
              <w:spacing w:lineRule="auto" w:line="254" w:before="0" w:after="0"/>
              <w:jc w:val="left"/>
              <w:rPr>
                <w:rFonts w:ascii="Times New Roman;sans-serif" w:hAnsi="Times New Roman;sans-serif"/>
                <w:b/>
                <w:color w:val="000000"/>
                <w:sz w:val="24"/>
              </w:rPr>
            </w:pPr>
            <w:r>
              <w:rPr>
                <w:rFonts w:ascii="Times New Roman;sans-serif" w:hAnsi="Times New Roman;sans-serif"/>
                <w:b/>
                <w:color w:val="000000"/>
                <w:sz w:val="24"/>
              </w:rPr>
              <w:t>APPLICATION NUMBER</w:t>
            </w:r>
          </w:p>
        </w:tc>
        <w:tc>
          <w:tcPr>
            <w:tcW w:w="1846" w:type="dxa"/>
            <w:gridSpan w:val="3"/>
            <w:tcBorders>
              <w:top w:val="single" w:sz="4" w:space="0" w:color="000000"/>
              <w:left w:val="single" w:sz="4" w:space="0" w:color="000000"/>
              <w:right w:val="single" w:sz="4" w:space="0" w:color="000000"/>
            </w:tcBorders>
            <w:shd w:fill="BFBFBF" w:val="clear"/>
            <w:tcMar>
              <w:top w:w="30" w:type="dxa"/>
              <w:left w:w="128" w:type="dxa"/>
              <w:bottom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DESCRIPTION</w:t>
            </w:r>
          </w:p>
        </w:tc>
      </w:tr>
      <w:tr>
        <w:trPr/>
        <w:tc>
          <w:tcPr>
            <w:tcW w:w="1066"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2969"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1846"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1" w:after="283"/>
        <w:jc w:val="left"/>
        <w:rPr/>
      </w:pPr>
      <w:r>
        <w:rPr/>
      </w:r>
    </w:p>
    <w:p>
      <w:pPr>
        <w:pStyle w:val="TextBody"/>
        <w:bidi w:val="0"/>
        <w:spacing w:lineRule="auto" w:line="240" w:before="0" w:after="0"/>
        <w:ind w:left="0" w:right="0" w:hanging="720"/>
        <w:jc w:val="left"/>
        <w:rPr/>
      </w:pPr>
      <w:r>
        <w:rPr>
          <w:rFonts w:ascii="Times New Roman;sans-serif" w:hAnsi="Times New Roman;sans-serif"/>
          <w:b/>
          <w:color w:val="000000"/>
          <w:sz w:val="24"/>
        </w:rPr>
        <w:t>B.</w:t>
      </w:r>
      <w:r>
        <w:rPr>
          <w:rFonts w:ascii="Times New Roman;sans-serif" w:hAnsi="Times New Roman;sans-serif"/>
          <w:b/>
          <w:color w:val="000000"/>
          <w:sz w:val="24"/>
          <w:u w:val="single"/>
        </w:rPr>
        <w:t>U.S. Federally Registered Copyrights.</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Registrations: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Applications:</w:t>
      </w:r>
    </w:p>
    <w:p>
      <w:pPr>
        <w:pStyle w:val="TextBody"/>
        <w:bidi w:val="0"/>
        <w:spacing w:before="275" w:after="283"/>
        <w:jc w:val="left"/>
        <w:rPr/>
      </w:pPr>
      <w:r>
        <w:rPr/>
      </w:r>
    </w:p>
    <w:p>
      <w:pPr>
        <w:pStyle w:val="TextBody"/>
        <w:bidi w:val="0"/>
        <w:spacing w:lineRule="auto" w:line="240" w:before="0" w:after="0"/>
        <w:ind w:left="0" w:right="0" w:hanging="720"/>
        <w:jc w:val="left"/>
        <w:rPr/>
      </w:pPr>
      <w:r>
        <w:rPr>
          <w:rFonts w:ascii="Times New Roman;sans-serif" w:hAnsi="Times New Roman;sans-serif"/>
          <w:b/>
          <w:color w:val="000000"/>
          <w:sz w:val="24"/>
        </w:rPr>
        <w:t>C.</w:t>
      </w:r>
      <w:r>
        <w:rPr>
          <w:rFonts w:ascii="Times New Roman;sans-serif" w:hAnsi="Times New Roman;sans-serif"/>
          <w:b/>
          <w:color w:val="000000"/>
          <w:sz w:val="24"/>
          <w:u w:val="single"/>
        </w:rPr>
        <w:t>U.S. Federally Registered or Applied for Trademarks.</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Registrations:</w:t>
      </w:r>
    </w:p>
    <w:p>
      <w:pPr>
        <w:pStyle w:val="TextBody"/>
        <w:bidi w:val="0"/>
        <w:spacing w:before="46" w:after="283"/>
        <w:jc w:val="left"/>
        <w:rPr/>
      </w:pPr>
      <w:r>
        <w:rPr/>
      </w:r>
    </w:p>
    <w:tbl>
      <w:tblPr>
        <w:tblW w:w="6001" w:type="dxa"/>
        <w:jc w:val="left"/>
        <w:tblInd w:w="0" w:type="dxa"/>
        <w:tblLayout w:type="fixed"/>
        <w:tblCellMar>
          <w:top w:w="28" w:type="dxa"/>
          <w:left w:w="28" w:type="dxa"/>
          <w:bottom w:w="28" w:type="dxa"/>
          <w:right w:w="28" w:type="dxa"/>
        </w:tblCellMar>
      </w:tblPr>
      <w:tblGrid>
        <w:gridCol w:w="386"/>
        <w:gridCol w:w="339"/>
        <w:gridCol w:w="341"/>
        <w:gridCol w:w="1049"/>
        <w:gridCol w:w="1049"/>
        <w:gridCol w:w="1051"/>
        <w:gridCol w:w="523"/>
        <w:gridCol w:w="523"/>
        <w:gridCol w:w="740"/>
      </w:tblGrid>
      <w:tr>
        <w:trPr/>
        <w:tc>
          <w:tcPr>
            <w:tcW w:w="38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top w:val="single" w:sz="4" w:space="0" w:color="000000"/>
              <w:left w:val="single" w:sz="4" w:space="0" w:color="000000"/>
            </w:tcBorders>
            <w:shd w:fill="BFBFBF" w:val="clear"/>
            <w:tcMar>
              <w:top w:w="30" w:type="dxa"/>
              <w:left w:w="127"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OWNER</w:t>
            </w:r>
          </w:p>
        </w:tc>
        <w:tc>
          <w:tcPr>
            <w:tcW w:w="3149" w:type="dxa"/>
            <w:gridSpan w:val="3"/>
            <w:tcBorders>
              <w:top w:val="single" w:sz="4" w:space="0" w:color="000000"/>
              <w:left w:val="single" w:sz="4" w:space="0" w:color="000000"/>
            </w:tcBorders>
            <w:shd w:fill="BFBFBF" w:val="clear"/>
            <w:tcMar>
              <w:top w:w="30" w:type="dxa"/>
              <w:bottom w:w="0" w:type="dxa"/>
              <w:right w:w="0" w:type="dxa"/>
            </w:tcMar>
            <w:vAlign w:val="center"/>
          </w:tcPr>
          <w:p>
            <w:pPr>
              <w:pStyle w:val="TableContents"/>
              <w:bidi w:val="0"/>
              <w:spacing w:lineRule="auto" w:line="314" w:before="0" w:after="0"/>
              <w:jc w:val="left"/>
              <w:rPr>
                <w:rFonts w:ascii="Times New Roman;sans-serif" w:hAnsi="Times New Roman;sans-serif"/>
                <w:b/>
                <w:color w:val="000000"/>
                <w:sz w:val="24"/>
              </w:rPr>
            </w:pPr>
            <w:r>
              <w:rPr>
                <w:rFonts w:ascii="Times New Roman;sans-serif" w:hAnsi="Times New Roman;sans-serif"/>
                <w:b/>
                <w:color w:val="000000"/>
                <w:sz w:val="24"/>
              </w:rPr>
              <w:t>REGISTRATION NUMBER</w:t>
            </w:r>
          </w:p>
        </w:tc>
        <w:tc>
          <w:tcPr>
            <w:tcW w:w="1786" w:type="dxa"/>
            <w:gridSpan w:val="3"/>
            <w:tcBorders>
              <w:top w:val="single" w:sz="4" w:space="0" w:color="000000"/>
              <w:left w:val="single" w:sz="4" w:space="0" w:color="000000"/>
              <w:right w:val="single" w:sz="4" w:space="0" w:color="000000"/>
            </w:tcBorders>
            <w:shd w:fill="BFBFBF" w:val="clear"/>
            <w:tcMar>
              <w:top w:w="30" w:type="dxa"/>
              <w:left w:w="128" w:type="dxa"/>
              <w:bottom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TRADEMARK</w:t>
            </w:r>
          </w:p>
        </w:tc>
      </w:tr>
      <w:tr>
        <w:trPr/>
        <w:tc>
          <w:tcPr>
            <w:tcW w:w="1066"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1" w:after="283"/>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Applications:</w:t>
      </w:r>
    </w:p>
    <w:p>
      <w:pPr>
        <w:pStyle w:val="TextBody"/>
        <w:bidi w:val="0"/>
        <w:spacing w:before="46" w:after="283"/>
        <w:jc w:val="left"/>
        <w:rPr/>
      </w:pPr>
      <w:r>
        <w:rPr/>
      </w:r>
    </w:p>
    <w:tbl>
      <w:tblPr>
        <w:tblW w:w="5881" w:type="dxa"/>
        <w:jc w:val="left"/>
        <w:tblInd w:w="0" w:type="dxa"/>
        <w:tblLayout w:type="fixed"/>
        <w:tblCellMar>
          <w:top w:w="28" w:type="dxa"/>
          <w:left w:w="28" w:type="dxa"/>
          <w:bottom w:w="28" w:type="dxa"/>
          <w:right w:w="28" w:type="dxa"/>
        </w:tblCellMar>
      </w:tblPr>
      <w:tblGrid>
        <w:gridCol w:w="386"/>
        <w:gridCol w:w="339"/>
        <w:gridCol w:w="341"/>
        <w:gridCol w:w="989"/>
        <w:gridCol w:w="989"/>
        <w:gridCol w:w="991"/>
        <w:gridCol w:w="540"/>
        <w:gridCol w:w="540"/>
        <w:gridCol w:w="766"/>
      </w:tblGrid>
      <w:tr>
        <w:trPr/>
        <w:tc>
          <w:tcPr>
            <w:tcW w:w="38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top w:val="single" w:sz="4" w:space="0" w:color="000000"/>
              <w:left w:val="single" w:sz="4" w:space="0" w:color="000000"/>
            </w:tcBorders>
            <w:shd w:fill="BFBFBF" w:val="clear"/>
            <w:tcMar>
              <w:top w:w="30" w:type="dxa"/>
              <w:left w:w="127"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OWNER</w:t>
            </w:r>
          </w:p>
        </w:tc>
        <w:tc>
          <w:tcPr>
            <w:tcW w:w="2969" w:type="dxa"/>
            <w:gridSpan w:val="3"/>
            <w:tcBorders>
              <w:top w:val="single" w:sz="4" w:space="0" w:color="000000"/>
              <w:left w:val="single" w:sz="4" w:space="0" w:color="000000"/>
            </w:tcBorders>
            <w:shd w:fill="BFBFBF" w:val="clear"/>
            <w:tcMar>
              <w:top w:w="30" w:type="dxa"/>
              <w:bottom w:w="0" w:type="dxa"/>
              <w:right w:w="0" w:type="dxa"/>
            </w:tcMar>
            <w:vAlign w:val="center"/>
          </w:tcPr>
          <w:p>
            <w:pPr>
              <w:pStyle w:val="TableContents"/>
              <w:bidi w:val="0"/>
              <w:spacing w:lineRule="auto" w:line="254" w:before="1" w:after="283"/>
              <w:jc w:val="left"/>
              <w:rPr>
                <w:rFonts w:ascii="Times New Roman;sans-serif" w:hAnsi="Times New Roman;sans-serif"/>
                <w:b/>
                <w:color w:val="000000"/>
                <w:sz w:val="24"/>
              </w:rPr>
            </w:pPr>
            <w:r>
              <w:rPr>
                <w:rFonts w:ascii="Times New Roman;sans-serif" w:hAnsi="Times New Roman;sans-serif"/>
                <w:b/>
                <w:color w:val="000000"/>
                <w:sz w:val="24"/>
              </w:rPr>
              <w:t>APPLICATION NUMBER</w:t>
            </w:r>
          </w:p>
        </w:tc>
        <w:tc>
          <w:tcPr>
            <w:tcW w:w="1846" w:type="dxa"/>
            <w:gridSpan w:val="3"/>
            <w:tcBorders>
              <w:top w:val="single" w:sz="4" w:space="0" w:color="000000"/>
              <w:left w:val="single" w:sz="4" w:space="0" w:color="000000"/>
              <w:right w:val="single" w:sz="4" w:space="0" w:color="000000"/>
            </w:tcBorders>
            <w:shd w:fill="BFBFBF" w:val="clear"/>
            <w:tcMar>
              <w:top w:w="30" w:type="dxa"/>
              <w:left w:w="128" w:type="dxa"/>
              <w:bottom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DESCRIPTION</w:t>
            </w:r>
          </w:p>
        </w:tc>
      </w:tr>
      <w:tr>
        <w:trPr/>
        <w:tc>
          <w:tcPr>
            <w:tcW w:w="1066"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2969"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1846"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1" w:after="283"/>
        <w:jc w:val="left"/>
        <w:rPr/>
      </w:pPr>
      <w:r>
        <w:rPr/>
      </w:r>
    </w:p>
    <w:p>
      <w:pPr>
        <w:pStyle w:val="TextBody"/>
        <w:bidi w:val="0"/>
        <w:spacing w:lineRule="auto" w:line="240" w:before="0" w:after="0"/>
        <w:ind w:left="0" w:right="0" w:hanging="719"/>
        <w:jc w:val="left"/>
        <w:rPr/>
      </w:pPr>
      <w:r>
        <w:rPr>
          <w:rFonts w:ascii="Times New Roman;sans-serif" w:hAnsi="Times New Roman;sans-serif"/>
          <w:b w:val="false"/>
          <w:color w:val="000000"/>
          <w:sz w:val="24"/>
        </w:rPr>
        <w:t>D.</w:t>
      </w:r>
      <w:r>
        <w:rPr>
          <w:rFonts w:ascii="Times New Roman;sans-serif" w:hAnsi="Times New Roman;sans-serif"/>
          <w:b/>
          <w:color w:val="000000"/>
          <w:sz w:val="24"/>
          <w:u w:val="single"/>
        </w:rPr>
        <w:t>U.S. Patent Licenses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43">
                <wp:simplePos x="0" y="0"/>
                <wp:positionH relativeFrom="character">
                  <wp:align>left</wp:align>
                </wp:positionH>
                <wp:positionV relativeFrom="line">
                  <wp:posOffset>635</wp:posOffset>
                </wp:positionV>
                <wp:extent cx="6480175" cy="781050"/>
                <wp:effectExtent l="0" t="0" r="0" b="0"/>
                <wp:wrapNone/>
                <wp:docPr id="542" name="Frame541"/>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340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340</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240"/>
        <w:jc w:val="right"/>
        <w:rPr>
          <w:rFonts w:ascii="Times New Roman;sans-serif" w:hAnsi="Times New Roman;sans-serif"/>
          <w:b w:val="false"/>
          <w:color w:val="000000"/>
          <w:sz w:val="24"/>
        </w:rPr>
      </w:pPr>
      <w:r>
        <w:rPr>
          <w:rFonts w:ascii="Times New Roman;sans-serif" w:hAnsi="Times New Roman;sans-serif"/>
          <w:b w:val="false"/>
          <w:color w:val="000000"/>
          <w:sz w:val="24"/>
        </w:rPr>
        <w:t xml:space="preserve">Schedule III to the </w:t>
        <w:br/>
        <w:t>Collateral Agreement</w:t>
      </w:r>
    </w:p>
    <w:p>
      <w:pPr>
        <w:pStyle w:val="TextBody"/>
        <w:bidi w:val="0"/>
        <w:spacing w:lineRule="auto" w:line="240" w:before="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t>Commercial Tort Claims</w:t>
      </w:r>
    </w:p>
    <w:p>
      <w:pPr>
        <w:pStyle w:val="TextBody"/>
        <w:bidi w:val="0"/>
        <w:spacing w:before="0" w:after="0"/>
        <w:jc w:val="left"/>
        <w:rPr/>
      </w:pPr>
      <w:r>
        <w:rPr/>
      </w:r>
      <w:r>
        <mc:AlternateContent>
          <mc:Choice Requires="wps">
            <w:drawing>
              <wp:anchor behindDoc="0" distT="0" distB="0" distL="0" distR="0" simplePos="0" locked="0" layoutInCell="1" allowOverlap="1" relativeHeight="544">
                <wp:simplePos x="0" y="0"/>
                <wp:positionH relativeFrom="character">
                  <wp:align>left</wp:align>
                </wp:positionH>
                <wp:positionV relativeFrom="line">
                  <wp:posOffset>635</wp:posOffset>
                </wp:positionV>
                <wp:extent cx="6480175" cy="781050"/>
                <wp:effectExtent l="0" t="0" r="0" b="0"/>
                <wp:wrapNone/>
                <wp:docPr id="543" name="Frame542"/>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341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341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60" w:after="283"/>
        <w:ind w:left="0" w:right="0" w:firstLine="625"/>
        <w:jc w:val="right"/>
        <w:rPr>
          <w:rFonts w:ascii="Times New Roman;sans-serif" w:hAnsi="Times New Roman;sans-serif"/>
          <w:b w:val="false"/>
          <w:color w:val="000000"/>
          <w:sz w:val="24"/>
        </w:rPr>
      </w:pPr>
      <w:r>
        <w:rPr>
          <w:rFonts w:ascii="Times New Roman;sans-serif" w:hAnsi="Times New Roman;sans-serif"/>
          <w:b w:val="false"/>
          <w:color w:val="000000"/>
          <w:sz w:val="24"/>
        </w:rPr>
        <w:t>Exhibit I to the Collateral Agreement</w:t>
      </w:r>
    </w:p>
    <w:p>
      <w:pPr>
        <w:pStyle w:val="TextBody"/>
        <w:bidi w:val="0"/>
        <w:spacing w:lineRule="auto" w:line="240" w:before="240" w:after="283"/>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Form of Supplement to the Collateral Agreement</w:t>
      </w:r>
    </w:p>
    <w:p>
      <w:pPr>
        <w:pStyle w:val="TextBody"/>
        <w:bidi w:val="0"/>
        <w:spacing w:lineRule="auto" w:line="240" w:before="240" w:after="283"/>
        <w:jc w:val="both"/>
        <w:rPr/>
      </w:pPr>
      <w:r>
        <w:rPr>
          <w:rFonts w:ascii="Times New Roman;sans-serif" w:hAnsi="Times New Roman;sans-serif"/>
          <w:b w:val="false"/>
          <w:color w:val="000000"/>
          <w:sz w:val="24"/>
        </w:rPr>
        <w:t>SUPPLEMENT NO. [●] (this “</w:t>
      </w:r>
      <w:r>
        <w:rPr>
          <w:rFonts w:ascii="Times New Roman;sans-serif" w:hAnsi="Times New Roman;sans-serif"/>
          <w:b/>
          <w:i/>
          <w:color w:val="000000"/>
          <w:sz w:val="24"/>
        </w:rPr>
        <w:t>Supplement</w:t>
      </w:r>
      <w:r>
        <w:rPr>
          <w:color w:val="000000"/>
        </w:rPr>
        <w:t>”</w:t>
      </w:r>
      <w:r>
        <w:rPr>
          <w:rFonts w:ascii="Times New Roman;sans-serif" w:hAnsi="Times New Roman;sans-serif"/>
          <w:b w:val="false"/>
          <w:color w:val="000000"/>
          <w:sz w:val="24"/>
        </w:rPr>
        <w:t>), dated as of [●], 20[●] to the Collateral Agreement dated as of February 6, 2024 (as amended, restated, supplemented or otherwise modified from time to time, the “</w:t>
      </w:r>
      <w:r>
        <w:rPr>
          <w:rFonts w:ascii="Times New Roman;sans-serif" w:hAnsi="Times New Roman;sans-serif"/>
          <w:b/>
          <w:i/>
          <w:color w:val="000000"/>
          <w:sz w:val="24"/>
        </w:rPr>
        <w:t>Collateral Agreement</w:t>
      </w:r>
      <w:r>
        <w:rPr>
          <w:color w:val="000000"/>
        </w:rPr>
        <w:t>”</w:t>
      </w:r>
      <w:r>
        <w:rPr>
          <w:rFonts w:ascii="Times New Roman;sans-serif" w:hAnsi="Times New Roman;sans-serif"/>
          <w:b w:val="false"/>
          <w:color w:val="000000"/>
          <w:sz w:val="24"/>
        </w:rPr>
        <w:t>), among MAGNITE, INC., a Delaware corporation (the “</w:t>
      </w:r>
      <w:r>
        <w:rPr>
          <w:rFonts w:ascii="Times New Roman;sans-serif" w:hAnsi="Times New Roman;sans-serif"/>
          <w:b/>
          <w:i/>
          <w:color w:val="000000"/>
          <w:sz w:val="24"/>
        </w:rPr>
        <w:t>Borrower</w:t>
      </w:r>
      <w:r>
        <w:rPr>
          <w:color w:val="000000"/>
        </w:rPr>
        <w:t>”</w:t>
      </w:r>
      <w:r>
        <w:rPr>
          <w:rFonts w:ascii="Times New Roman;sans-serif" w:hAnsi="Times New Roman;sans-serif"/>
          <w:b w:val="false"/>
          <w:color w:val="000000"/>
          <w:sz w:val="24"/>
        </w:rPr>
        <w:t>), each Subsidiary Loan Party that becomes a party thereto after the date thereof (all such Subsidiary Loan Parties, together with the Borrower, the “</w:t>
      </w:r>
      <w:r>
        <w:rPr>
          <w:rFonts w:ascii="Times New Roman;sans-serif" w:hAnsi="Times New Roman;sans-serif"/>
          <w:b/>
          <w:i/>
          <w:color w:val="000000"/>
          <w:sz w:val="24"/>
        </w:rPr>
        <w:t>Pledgors</w:t>
      </w:r>
      <w:r>
        <w:rPr>
          <w:color w:val="000000"/>
        </w:rPr>
        <w:t>”</w:t>
      </w:r>
      <w:r>
        <w:rPr>
          <w:rFonts w:ascii="Times New Roman;sans-serif" w:hAnsi="Times New Roman;sans-serif"/>
          <w:b w:val="false"/>
          <w:color w:val="000000"/>
          <w:sz w:val="24"/>
        </w:rPr>
        <w:t>) and CITIBANK, N.A., as collateral agent (together with its permitted successors and permitted assigns in such capacity, the “</w:t>
      </w:r>
      <w:r>
        <w:rPr>
          <w:rFonts w:ascii="Times New Roman;sans-serif" w:hAnsi="Times New Roman;sans-serif"/>
          <w:b/>
          <w:i/>
          <w:color w:val="000000"/>
          <w:sz w:val="24"/>
        </w:rPr>
        <w:t>Collateral Agent</w:t>
      </w:r>
      <w:r>
        <w:rPr>
          <w:color w:val="000000"/>
        </w:rPr>
        <w:t>”</w:t>
      </w:r>
      <w:r>
        <w:rPr>
          <w:rFonts w:ascii="Times New Roman;sans-serif" w:hAnsi="Times New Roman;sans-serif"/>
          <w:b w:val="false"/>
          <w:color w:val="000000"/>
          <w:sz w:val="24"/>
        </w:rPr>
        <w:t>) for the Secured Parties (as defined therein).</w:t>
      </w:r>
    </w:p>
    <w:p>
      <w:pPr>
        <w:pStyle w:val="TextBody"/>
        <w:bidi w:val="0"/>
        <w:spacing w:lineRule="auto" w:line="240" w:before="240" w:after="283"/>
        <w:jc w:val="both"/>
        <w:rPr/>
      </w:pPr>
      <w:r>
        <w:rPr>
          <w:rFonts w:ascii="Times New Roman;sans-serif" w:hAnsi="Times New Roman;sans-serif"/>
          <w:b w:val="false"/>
          <w:color w:val="000000"/>
          <w:sz w:val="24"/>
        </w:rPr>
        <w:t>A.Reference is made to the Credit Agreement, dated as of February 6, 2024 (as amended, restated, supplemented or otherwise modified from time to time, the “</w:t>
      </w:r>
      <w:r>
        <w:rPr>
          <w:rFonts w:ascii="Times New Roman;sans-serif" w:hAnsi="Times New Roman;sans-serif"/>
          <w:b/>
          <w:i/>
          <w:color w:val="000000"/>
          <w:sz w:val="24"/>
        </w:rPr>
        <w:t>Credit Agreement</w:t>
      </w:r>
      <w:r>
        <w:rPr>
          <w:color w:val="000000"/>
        </w:rPr>
        <w:t>”</w:t>
      </w:r>
      <w:r>
        <w:rPr>
          <w:rFonts w:ascii="Times New Roman;sans-serif" w:hAnsi="Times New Roman;sans-serif"/>
          <w:b w:val="false"/>
          <w:color w:val="000000"/>
          <w:sz w:val="24"/>
        </w:rPr>
        <w:t>), among the Borrower, the Lenders party thereto from time to time, the Issuing Banks party thereto from time to time, Morgan Stanley Senior Funding, Inc., as term facility administrative agent, Citibank, N.A., as revolving facility administrative agent and collateral agent, and the other parties party thereto.</w:t>
      </w:r>
    </w:p>
    <w:p>
      <w:pPr>
        <w:pStyle w:val="TextBody"/>
        <w:bidi w:val="0"/>
        <w:spacing w:lineRule="auto" w:line="240"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B.Capitalized terms used herein and not otherwise defined herein shall have the meanings assigned to such terms in the Collateral Agreement.</w:t>
      </w:r>
    </w:p>
    <w:p>
      <w:pPr>
        <w:pStyle w:val="TextBody"/>
        <w:bidi w:val="0"/>
        <w:spacing w:lineRule="auto" w:line="240" w:before="240" w:after="283"/>
        <w:jc w:val="both"/>
        <w:rPr/>
      </w:pPr>
      <w:r>
        <w:rPr>
          <w:rFonts w:ascii="Times New Roman;sans-serif" w:hAnsi="Times New Roman;sans-serif"/>
          <w:b w:val="false"/>
          <w:color w:val="000000"/>
          <w:sz w:val="24"/>
        </w:rPr>
        <w:t xml:space="preserve">C.The Pledgors have entered into the Collateral Agreement pursuant to the requirements set forth in the Credit Agreement. </w:t>
      </w:r>
      <w:r>
        <w:rPr>
          <w:rFonts w:ascii="Times New Roman;sans-serif" w:hAnsi="Times New Roman;sans-serif"/>
          <w:b w:val="false"/>
          <w:color w:val="000000"/>
          <w:sz w:val="24"/>
          <w:u w:val="single"/>
        </w:rPr>
        <w:t>Section 5.16</w:t>
      </w:r>
      <w:r>
        <w:rPr>
          <w:color w:val="000000"/>
        </w:rPr>
        <w:t xml:space="preserve"> </w:t>
      </w:r>
      <w:r>
        <w:rPr>
          <w:rFonts w:ascii="Times New Roman;sans-serif" w:hAnsi="Times New Roman;sans-serif"/>
          <w:b w:val="false"/>
          <w:color w:val="000000"/>
          <w:sz w:val="24"/>
        </w:rPr>
        <w:t>of the Collateral Agreement provides that [additional] Subsidiary Loan Parties may become Pledgors under the Collateral Agreement by execution and delivery of an instrument in the form of this Supplement. The undersigned Subsidiary (the “</w:t>
      </w:r>
      <w:r>
        <w:rPr>
          <w:rFonts w:ascii="Times New Roman;sans-serif" w:hAnsi="Times New Roman;sans-serif"/>
          <w:b/>
          <w:i/>
          <w:color w:val="000000"/>
          <w:sz w:val="24"/>
        </w:rPr>
        <w:t>New Subsidiary</w:t>
      </w:r>
      <w:r>
        <w:rPr>
          <w:color w:val="000000"/>
        </w:rPr>
        <w:t>”</w:t>
      </w:r>
      <w:r>
        <w:rPr>
          <w:rFonts w:ascii="Times New Roman;sans-serif" w:hAnsi="Times New Roman;sans-serif"/>
          <w:b w:val="false"/>
          <w:color w:val="000000"/>
          <w:sz w:val="24"/>
        </w:rPr>
        <w:t xml:space="preserve">) is executing this Supplement in accordance with the requirements of </w:t>
      </w:r>
      <w:r>
        <w:rPr>
          <w:rFonts w:ascii="Times New Roman;sans-serif" w:hAnsi="Times New Roman;sans-serif"/>
          <w:b w:val="false"/>
          <w:color w:val="000000"/>
          <w:sz w:val="24"/>
          <w:u w:val="single"/>
        </w:rPr>
        <w:t>Section 5.10</w:t>
      </w:r>
      <w:r>
        <w:rPr>
          <w:color w:val="000000"/>
        </w:rPr>
        <w:t xml:space="preserve"> </w:t>
      </w:r>
      <w:r>
        <w:rPr>
          <w:rFonts w:ascii="Times New Roman;sans-serif" w:hAnsi="Times New Roman;sans-serif"/>
          <w:b w:val="false"/>
          <w:color w:val="000000"/>
          <w:sz w:val="24"/>
        </w:rPr>
        <w:t>of the Credit Agreement to become a Pledgor under the Collateral Agreement.</w:t>
      </w:r>
    </w:p>
    <w:p>
      <w:pPr>
        <w:pStyle w:val="TextBody"/>
        <w:bidi w:val="0"/>
        <w:spacing w:lineRule="auto" w:line="240" w:before="241" w:after="283"/>
        <w:jc w:val="both"/>
        <w:rPr>
          <w:rFonts w:ascii="Times New Roman;sans-serif" w:hAnsi="Times New Roman;sans-serif"/>
          <w:b w:val="false"/>
          <w:color w:val="000000"/>
          <w:sz w:val="24"/>
        </w:rPr>
      </w:pPr>
      <w:r>
        <w:rPr>
          <w:rFonts w:ascii="Times New Roman;sans-serif" w:hAnsi="Times New Roman;sans-serif"/>
          <w:b w:val="false"/>
          <w:color w:val="000000"/>
          <w:sz w:val="24"/>
        </w:rPr>
        <w:t>Accordingly, the New Subsidiary agrees as follows:</w:t>
      </w:r>
    </w:p>
    <w:p>
      <w:pPr>
        <w:pStyle w:val="TextBody"/>
        <w:bidi w:val="0"/>
        <w:spacing w:lineRule="auto" w:line="240" w:before="238" w:after="283"/>
        <w:jc w:val="both"/>
        <w:rPr/>
      </w:pPr>
      <w:r>
        <w:rPr>
          <w:rFonts w:ascii="Times New Roman;sans-serif" w:hAnsi="Times New Roman;sans-serif"/>
          <w:b w:val="false"/>
          <w:color w:val="000000"/>
          <w:sz w:val="24"/>
        </w:rPr>
        <w:t xml:space="preserve">SECTION 1. In accordance with </w:t>
      </w:r>
      <w:r>
        <w:rPr>
          <w:rFonts w:ascii="Times New Roman;sans-serif" w:hAnsi="Times New Roman;sans-serif"/>
          <w:b w:val="false"/>
          <w:color w:val="000000"/>
          <w:sz w:val="24"/>
          <w:u w:val="single"/>
        </w:rPr>
        <w:t>Section 5.16</w:t>
      </w:r>
      <w:r>
        <w:rPr>
          <w:color w:val="000000"/>
        </w:rPr>
        <w:t xml:space="preserve"> </w:t>
      </w:r>
      <w:r>
        <w:rPr>
          <w:rFonts w:ascii="Times New Roman;sans-serif" w:hAnsi="Times New Roman;sans-serif"/>
          <w:b w:val="false"/>
          <w:color w:val="000000"/>
          <w:sz w:val="24"/>
        </w:rPr>
        <w:t>of the Collateral Agreement, the New Subsidiary by its signature below becomes a Pledgor under the Collateral Agreement with the same force and effect as if originally named therein as a Pledgor and the New Subsidiary hereby (a) agrees to all the terms and provisions of the Collateral Agreement applicable to it as a Pledgor thereunder and</w:t>
      </w:r>
    </w:p>
    <w:p>
      <w:pPr>
        <w:pStyle w:val="TextBody"/>
        <w:bidi w:val="0"/>
        <w:spacing w:lineRule="auto" w:line="240" w:before="1" w:after="283"/>
        <w:jc w:val="both"/>
        <w:rPr/>
      </w:pPr>
      <w:r>
        <w:rPr>
          <w:rFonts w:ascii="Times New Roman;sans-serif" w:hAnsi="Times New Roman;sans-serif"/>
          <w:b w:val="false"/>
          <w:color w:val="000000"/>
          <w:sz w:val="24"/>
        </w:rPr>
        <w:t xml:space="preserve">(b) represents and warrants that the representations and warranties made by it as a Pledgor thereunder are true and correct in all material respects on and as of the date hereof. In furtherance of the foregoing, the New Subsidiary, as security for the payment and performance in full of its Secured Obligations, does hereby create and grant to the Collateral Agent, its permitted successors and permitted assigns, for the benefit of the Secured Parties, their permitted successors and permitted assigns, a security interest in and lien on all of the New Subsidiary’s right, title and interest in and to the Collateral (as defined in the Collateral Agreement) of the New Subsidiary, whether now owned or at any time hereafter acquired by the New Subsidiary;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for the avoidance of doubt, the Collateral shall not include any Excluded Property or Excluded Securities. Each reference to a “Pledgor” in the Collateral Agreement shall be deemed to include the New Subsidiary. The Collateral Agreement is hereby incorporated herein by reference.</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45">
                <wp:simplePos x="0" y="0"/>
                <wp:positionH relativeFrom="character">
                  <wp:align>left</wp:align>
                </wp:positionH>
                <wp:positionV relativeFrom="line">
                  <wp:posOffset>635</wp:posOffset>
                </wp:positionV>
                <wp:extent cx="6480175" cy="781050"/>
                <wp:effectExtent l="0" t="0" r="0" b="0"/>
                <wp:wrapNone/>
                <wp:docPr id="544" name="Frame543"/>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342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342</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jc w:val="both"/>
        <w:rPr>
          <w:rFonts w:ascii="Times New Roman;sans-serif" w:hAnsi="Times New Roman;sans-serif"/>
          <w:b w:val="false"/>
          <w:color w:val="000000"/>
          <w:sz w:val="24"/>
        </w:rPr>
      </w:pPr>
      <w:r>
        <w:rPr>
          <w:rFonts w:ascii="Times New Roman;sans-serif" w:hAnsi="Times New Roman;sans-serif"/>
          <w:b w:val="false"/>
          <w:color w:val="000000"/>
          <w:sz w:val="24"/>
        </w:rPr>
        <w:t>SECTION 2. The New Subsidiary represents and warrants to the Collateral Agent and the other Secured Parties that this Supplement has been duly authorized, executed and delivered by it and constitutes its legal, valid and binding obligation, enforceable against it in accordance with its terms, subject to (i) the effects of bankruptcy, insolvency, fraudulent conveyance or other similar laws affecting creditors’ rights generally, (ii) general principles of equity (regardless of whether such enforceability is considered in a proceeding in equity or at law) and (iii) implied covenants of good faith and fair dealing.</w:t>
      </w:r>
    </w:p>
    <w:p>
      <w:pPr>
        <w:pStyle w:val="TextBody"/>
        <w:bidi w:val="0"/>
        <w:spacing w:lineRule="auto" w:line="240"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SECTION 3. This Supplement may be executed in any number of counterparts, each of which shall be deemed an original and all of which, when taken together, shall constitute one agreement. Delivery of an executed counterpart of a signature page of this Supplement by facsimile transmission, electronic mail (including pdf) or any electronic signature complying with the U.S. Federal ESIGN Act of 2000 or the New York Electronic Signature and Records Act or other transmission method shall be deemed to have been duly and validly delivered and be valid and effective for all purposes to the fullest extent permitted by applicable law. Each party hereto represents and warrants to the other parties hereto that it has the corporate capacity and authority to execute this Supplement through electronic means and there are no restrictions for doing so in such party’s constitutive documents</w:t>
      </w:r>
    </w:p>
    <w:p>
      <w:pPr>
        <w:pStyle w:val="TextBody"/>
        <w:bidi w:val="0"/>
        <w:spacing w:lineRule="auto" w:line="240"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SECTION 4. The New Subsidiary hereby represents and warrants that, as of the date hereof,</w:t>
      </w:r>
    </w:p>
    <w:p>
      <w:pPr>
        <w:pStyle w:val="TextBody"/>
        <w:bidi w:val="0"/>
        <w:spacing w:lineRule="auto" w:line="240" w:before="0" w:after="0"/>
        <w:jc w:val="both"/>
        <w:rPr/>
      </w:pPr>
      <w:r>
        <w:rPr>
          <w:rFonts w:ascii="Times New Roman;sans-serif" w:hAnsi="Times New Roman;sans-serif"/>
          <w:b w:val="false"/>
          <w:color w:val="000000"/>
          <w:sz w:val="24"/>
        </w:rPr>
        <w:t xml:space="preserve">(a) set forth on </w:t>
      </w:r>
      <w:r>
        <w:rPr>
          <w:rFonts w:ascii="Times New Roman;sans-serif" w:hAnsi="Times New Roman;sans-serif"/>
          <w:b w:val="false"/>
          <w:color w:val="000000"/>
          <w:sz w:val="24"/>
          <w:u w:val="single"/>
        </w:rPr>
        <w:t>Schedule I</w:t>
      </w:r>
      <w:r>
        <w:rPr>
          <w:color w:val="000000"/>
        </w:rPr>
        <w:t xml:space="preserve"> </w:t>
      </w:r>
      <w:r>
        <w:rPr>
          <w:rFonts w:ascii="Times New Roman;sans-serif" w:hAnsi="Times New Roman;sans-serif"/>
          <w:b w:val="false"/>
          <w:color w:val="000000"/>
          <w:sz w:val="24"/>
        </w:rPr>
        <w:t xml:space="preserve">attached hereto is a true and correct schedule of (and, with respect to any Pledged Stock issued by an issuer that is not a subsidiary of the Borrower, correctly sets forth, to the knowledge of the New Subsidiary) the percentage of the issued and outstanding units of each class of the Equity Interests of the issuer thereof represented by the Pledged Stock and includes (i) all Equity Interests pledged hereunder and (ii) all Pledged Debt pledged hereunder now owned by the New Subsidiary required to be pledged in order to satisfy the Collateral and Guarantee Requirement or delivered pursuant to </w:t>
      </w:r>
      <w:r>
        <w:rPr>
          <w:rFonts w:ascii="Times New Roman;sans-serif" w:hAnsi="Times New Roman;sans-serif"/>
          <w:b w:val="false"/>
          <w:color w:val="000000"/>
          <w:sz w:val="24"/>
          <w:u w:val="single"/>
        </w:rPr>
        <w:t>Section 2.2(a)</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2.2(b)</w:t>
      </w:r>
      <w:r>
        <w:rPr>
          <w:color w:val="000000"/>
        </w:rPr>
        <w:t xml:space="preserve"> </w:t>
      </w:r>
      <w:r>
        <w:rPr>
          <w:rFonts w:ascii="Times New Roman;sans-serif" w:hAnsi="Times New Roman;sans-serif"/>
          <w:b w:val="false"/>
          <w:color w:val="000000"/>
          <w:sz w:val="24"/>
        </w:rPr>
        <w:t xml:space="preserve">of the Collateral Agreement, (b) set forth on </w:t>
      </w:r>
      <w:r>
        <w:rPr>
          <w:rFonts w:ascii="Times New Roman;sans-serif" w:hAnsi="Times New Roman;sans-serif"/>
          <w:b w:val="false"/>
          <w:color w:val="000000"/>
          <w:sz w:val="24"/>
          <w:u w:val="single"/>
        </w:rPr>
        <w:t>Schedule II</w:t>
      </w:r>
      <w:r>
        <w:rPr>
          <w:color w:val="000000"/>
        </w:rPr>
        <w:t xml:space="preserve"> </w:t>
      </w:r>
      <w:r>
        <w:rPr>
          <w:rFonts w:ascii="Times New Roman;sans-serif" w:hAnsi="Times New Roman;sans-serif"/>
          <w:b w:val="false"/>
          <w:color w:val="000000"/>
          <w:sz w:val="24"/>
        </w:rPr>
        <w:t xml:space="preserve">attached hereto is a list of any and all Intellectual Property now owned by the New Subsidiary consisting of Patents and Trademarks applied for or registered with the United States Patent and Trademark Office and Copyrights registered with the United States Copyright Office, (c) set forth on </w:t>
      </w:r>
      <w:r>
        <w:rPr>
          <w:rFonts w:ascii="Times New Roman;sans-serif" w:hAnsi="Times New Roman;sans-serif"/>
          <w:b w:val="false"/>
          <w:color w:val="000000"/>
          <w:sz w:val="24"/>
          <w:u w:val="single"/>
        </w:rPr>
        <w:t>Schedule III</w:t>
      </w:r>
      <w:r>
        <w:rPr>
          <w:color w:val="000000"/>
        </w:rPr>
        <w:t xml:space="preserve"> </w:t>
      </w:r>
      <w:r>
        <w:rPr>
          <w:rFonts w:ascii="Times New Roman;sans-serif" w:hAnsi="Times New Roman;sans-serif"/>
          <w:b w:val="false"/>
          <w:color w:val="000000"/>
          <w:sz w:val="24"/>
        </w:rPr>
        <w:t xml:space="preserve">hereto is a list of any and all Commercial Tort Claims reasonably expected to result in a recovery greater than $20,000,000 and (d) set forth under its signature hereto is the true and correct legal name of the New Subsidiary, its jurisdiction of organization and the location of its chief executive office. </w:t>
      </w:r>
      <w:r>
        <w:rPr>
          <w:rFonts w:ascii="Times New Roman;sans-serif" w:hAnsi="Times New Roman;sans-serif"/>
          <w:b w:val="false"/>
          <w:color w:val="000000"/>
          <w:sz w:val="24"/>
          <w:u w:val="single"/>
        </w:rPr>
        <w:t>Schedule III</w:t>
      </w:r>
      <w:r>
        <w:rPr>
          <w:color w:val="000000"/>
        </w:rPr>
        <w:t xml:space="preserve"> </w:t>
      </w:r>
      <w:r>
        <w:rPr>
          <w:rFonts w:ascii="Times New Roman;sans-serif" w:hAnsi="Times New Roman;sans-serif"/>
          <w:b w:val="false"/>
          <w:color w:val="000000"/>
          <w:sz w:val="24"/>
        </w:rPr>
        <w:t>hereto shall supplement Schedule III to the Collateral Agreement.</w:t>
      </w:r>
    </w:p>
    <w:p>
      <w:pPr>
        <w:pStyle w:val="TextBody"/>
        <w:bidi w:val="0"/>
        <w:spacing w:lineRule="auto" w:line="240"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SECTION 5. Except as expressly supplemented hereby, the Collateral Agreement shall remain in full force and effect.</w:t>
      </w:r>
    </w:p>
    <w:p>
      <w:pPr>
        <w:pStyle w:val="TextBody"/>
        <w:bidi w:val="0"/>
        <w:spacing w:lineRule="auto" w:line="240" w:before="240" w:after="283"/>
        <w:jc w:val="both"/>
        <w:rPr>
          <w:rFonts w:ascii="Times New Roman;sans-serif" w:hAnsi="Times New Roman;sans-serif"/>
          <w:b/>
          <w:color w:val="000000"/>
          <w:sz w:val="24"/>
        </w:rPr>
      </w:pPr>
      <w:r>
        <w:rPr>
          <w:rFonts w:ascii="Times New Roman;sans-serif" w:hAnsi="Times New Roman;sans-serif"/>
          <w:b/>
          <w:color w:val="000000"/>
          <w:sz w:val="24"/>
        </w:rPr>
        <w:t>SECTION 6. THIS SUPPLEMENT AND ANY CLAIMS, CONTROVERSY, DISPUTE OR CAUSES OF ACTION (WHETHER IN CONTRACT OR TORT OR OTHERWISE) BASED UPON, ARISING OUT OF OR RELATING TO THIS SUPPLEMENT SHALL BE CONSTRUED IN ACCORDANCE WITH AND GOVERNED BY THE LAWS OF THE STATE OF NEW YORK.</w:t>
      </w:r>
    </w:p>
    <w:p>
      <w:pPr>
        <w:pStyle w:val="TextBody"/>
        <w:bidi w:val="0"/>
        <w:spacing w:lineRule="auto" w:line="240"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SECTION 7. In case any one or more of the provisions contained in this Supplement should be held invalid, illegal or unenforceable in any respect, the validity, legality and enforceability of the</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46">
                <wp:simplePos x="0" y="0"/>
                <wp:positionH relativeFrom="character">
                  <wp:align>left</wp:align>
                </wp:positionH>
                <wp:positionV relativeFrom="line">
                  <wp:posOffset>635</wp:posOffset>
                </wp:positionV>
                <wp:extent cx="6480175" cy="781050"/>
                <wp:effectExtent l="0" t="0" r="0" b="0"/>
                <wp:wrapNone/>
                <wp:docPr id="545" name="Frame544"/>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343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343</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jc w:val="both"/>
        <w:rPr>
          <w:rFonts w:ascii="Times New Roman;sans-serif" w:hAnsi="Times New Roman;sans-serif"/>
          <w:b w:val="false"/>
          <w:color w:val="000000"/>
          <w:sz w:val="24"/>
        </w:rPr>
      </w:pPr>
      <w:r>
        <w:rPr>
          <w:rFonts w:ascii="Times New Roman;sans-serif" w:hAnsi="Times New Roman;sans-serif"/>
          <w:b w:val="false"/>
          <w:color w:val="000000"/>
          <w:sz w:val="24"/>
        </w:rPr>
        <w:t>remaining provisions contained herein and in the Collateral Agreement shall not in any way be affected or impaired thereby (it being understood that the invalidity of a particular provision in a particular jurisdiction shall not in and of itself affect the validity of such provision in any other jurisdiction). The parties hereto shall endeavor in good-faith negotiations to replace the invalid, illegal or unenforceable provisions with valid provisions the economic effect of which comes as close as possible to that of the invalid, illegal or unenforceable provisions.</w:t>
      </w:r>
    </w:p>
    <w:p>
      <w:pPr>
        <w:pStyle w:val="TextBody"/>
        <w:bidi w:val="0"/>
        <w:spacing w:lineRule="auto" w:line="240" w:before="240" w:after="283"/>
        <w:jc w:val="both"/>
        <w:rPr/>
      </w:pPr>
      <w:r>
        <w:rPr>
          <w:rFonts w:ascii="Times New Roman;sans-serif" w:hAnsi="Times New Roman;sans-serif"/>
          <w:b w:val="false"/>
          <w:color w:val="000000"/>
          <w:sz w:val="24"/>
        </w:rPr>
        <w:t xml:space="preserve">SECTION 8. All communications and notices hereunder shall (except as otherwise expressly permitted by the Collateral Agreement) be in writing and given as provided in </w:t>
      </w:r>
      <w:r>
        <w:rPr>
          <w:rFonts w:ascii="Times New Roman;sans-serif" w:hAnsi="Times New Roman;sans-serif"/>
          <w:b w:val="false"/>
          <w:color w:val="000000"/>
          <w:sz w:val="24"/>
          <w:u w:val="single"/>
        </w:rPr>
        <w:t>Section 5.1</w:t>
      </w:r>
      <w:r>
        <w:rPr>
          <w:color w:val="000000"/>
        </w:rPr>
        <w:t xml:space="preserve"> </w:t>
      </w:r>
      <w:r>
        <w:rPr>
          <w:rFonts w:ascii="Times New Roman;sans-serif" w:hAnsi="Times New Roman;sans-serif"/>
          <w:b w:val="false"/>
          <w:color w:val="000000"/>
          <w:sz w:val="24"/>
        </w:rPr>
        <w:t>of the Collateral Agreement.</w:t>
      </w:r>
    </w:p>
    <w:p>
      <w:pPr>
        <w:pStyle w:val="TextBody"/>
        <w:bidi w:val="0"/>
        <w:spacing w:lineRule="auto" w:line="240" w:before="24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Follows]</w:t>
      </w:r>
    </w:p>
    <w:p>
      <w:pPr>
        <w:pStyle w:val="TextBody"/>
        <w:bidi w:val="0"/>
        <w:spacing w:before="0" w:after="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47">
                <wp:simplePos x="0" y="0"/>
                <wp:positionH relativeFrom="character">
                  <wp:align>left</wp:align>
                </wp:positionH>
                <wp:positionV relativeFrom="line">
                  <wp:posOffset>635</wp:posOffset>
                </wp:positionV>
                <wp:extent cx="6480175" cy="781050"/>
                <wp:effectExtent l="0" t="0" r="0" b="0"/>
                <wp:wrapNone/>
                <wp:docPr id="546" name="Frame545"/>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344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344</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40" w:before="6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IN WITNESS WHEREOF, the New Subsidiary has duly executed this Supplement to the Collateral Agreement as of the day and year first above written.</w:t>
      </w:r>
    </w:p>
    <w:p>
      <w:pPr>
        <w:pStyle w:val="TextBody"/>
        <w:bidi w:val="0"/>
        <w:spacing w:lineRule="auto" w:line="240" w:before="24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 OF NEW SUBSIDIARY]</w:t>
      </w:r>
    </w:p>
    <w:p>
      <w:pPr>
        <w:pStyle w:val="TextBody"/>
        <w:bidi w:val="0"/>
        <w:spacing w:before="204" w:after="283"/>
        <w:jc w:val="left"/>
        <w:rPr/>
      </w:pPr>
      <w:r>
        <w:rPr/>
      </w:r>
    </w:p>
    <w:p>
      <w:pPr>
        <w:pStyle w:val="TextBody"/>
        <w:bidi w:val="0"/>
        <w:spacing w:lineRule="auto" w:line="285" w:before="0" w:after="0"/>
        <w:ind w:left="0" w:right="0" w:hanging="813"/>
        <w:jc w:val="left"/>
        <w:rPr/>
      </w:pPr>
      <w:r>
        <w:rPr>
          <w:rFonts w:ascii="Times New Roman;sans-serif" w:hAnsi="Times New Roman;sans-serif"/>
          <w:b w:val="false"/>
          <w:color w:val="000000"/>
          <w:sz w:val="24"/>
        </w:rPr>
        <w:t>By:    </w:t>
      </w:r>
      <w:r>
        <w:rPr>
          <w:color w:val="000000"/>
          <w:u w:val="single"/>
        </w:rPr>
        <w:t>        </w:t>
      </w:r>
      <w:r>
        <w:rPr>
          <w:color w:val="000000"/>
        </w:rPr>
        <w:t xml:space="preserve"> </w:t>
      </w:r>
      <w:r>
        <w:rPr>
          <w:rFonts w:ascii="Times New Roman;sans-serif" w:hAnsi="Times New Roman;sans-serif"/>
          <w:b w:val="false"/>
          <w:color w:val="000000"/>
          <w:sz w:val="24"/>
        </w:rPr>
        <w:t>Name:</w:t>
      </w:r>
    </w:p>
    <w:p>
      <w:pPr>
        <w:pStyle w:val="TextBody"/>
        <w:bidi w:val="0"/>
        <w:spacing w:lineRule="auto" w:line="240" w:before="0" w:after="0"/>
        <w:ind w:left="0" w:right="0" w:firstLine="790"/>
        <w:jc w:val="left"/>
        <w:rPr>
          <w:rFonts w:ascii="Times New Roman;sans-serif" w:hAnsi="Times New Roman;sans-serif"/>
          <w:b w:val="false"/>
          <w:color w:val="000000"/>
          <w:sz w:val="24"/>
        </w:rPr>
      </w:pPr>
      <w:r>
        <w:rPr>
          <w:rFonts w:ascii="Times New Roman;sans-serif" w:hAnsi="Times New Roman;sans-serif"/>
          <w:b w:val="false"/>
          <w:color w:val="000000"/>
          <w:sz w:val="24"/>
        </w:rPr>
        <w:t>Title: Address:</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Legal Name:</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Jurisdiction of Formation: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270" w:after="283"/>
        <w:jc w:val="left"/>
        <w:rPr/>
      </w:pPr>
      <w:r>
        <w:rPr/>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to Supplement to Collateral Agreement]</w:t>
      </w:r>
    </w:p>
    <w:p>
      <w:pPr>
        <w:pStyle w:val="TextBody"/>
        <w:bidi w:val="0"/>
        <w:spacing w:before="0" w:after="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48">
                <wp:simplePos x="0" y="0"/>
                <wp:positionH relativeFrom="character">
                  <wp:align>left</wp:align>
                </wp:positionH>
                <wp:positionV relativeFrom="line">
                  <wp:posOffset>635</wp:posOffset>
                </wp:positionV>
                <wp:extent cx="6480175" cy="781050"/>
                <wp:effectExtent l="0" t="0" r="0" b="0"/>
                <wp:wrapNone/>
                <wp:docPr id="547" name="Frame546"/>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345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345</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40" w:before="60" w:after="283"/>
        <w:ind w:left="0" w:right="0" w:firstLine="1435"/>
        <w:jc w:val="right"/>
        <w:rPr/>
      </w:pPr>
      <w:r>
        <w:rPr>
          <w:rFonts w:ascii="Times New Roman;sans-serif" w:hAnsi="Times New Roman;sans-serif"/>
          <w:b w:val="false"/>
          <w:color w:val="000000"/>
          <w:sz w:val="24"/>
        </w:rPr>
        <w:t>Schedule I to Supplement No.</w:t>
      </w:r>
      <w:r>
        <w:rPr>
          <w:color w:val="000000"/>
          <w:u w:val="single"/>
        </w:rPr>
        <w:t>    </w:t>
      </w:r>
      <w:r>
        <w:rPr>
          <w:rFonts w:ascii="Times New Roman;sans-serif" w:hAnsi="Times New Roman;sans-serif"/>
          <w:b w:val="false"/>
          <w:color w:val="000000"/>
          <w:sz w:val="24"/>
        </w:rPr>
        <w:t>to the Collateral Agreement</w:t>
      </w:r>
    </w:p>
    <w:p>
      <w:pPr>
        <w:pStyle w:val="TextBody"/>
        <w:bidi w:val="0"/>
        <w:spacing w:before="240" w:after="283"/>
        <w:jc w:val="left"/>
        <w:rPr/>
      </w:pPr>
      <w:r>
        <w:rPr/>
      </w:r>
    </w:p>
    <w:p>
      <w:pPr>
        <w:pStyle w:val="TextBody"/>
        <w:bidi w:val="0"/>
        <w:spacing w:lineRule="auto" w:line="240" w:before="0" w:after="0"/>
        <w:jc w:val="center"/>
        <w:rPr>
          <w:rFonts w:ascii="Times New Roman;sans-serif" w:hAnsi="Times New Roman;sans-serif"/>
          <w:b/>
          <w:color w:val="000000"/>
          <w:sz w:val="24"/>
          <w:u w:val="single"/>
        </w:rPr>
      </w:pPr>
      <w:r>
        <w:rPr>
          <w:rFonts w:ascii="Times New Roman;sans-serif" w:hAnsi="Times New Roman;sans-serif"/>
          <w:b/>
          <w:color w:val="000000"/>
          <w:sz w:val="24"/>
          <w:u w:val="single"/>
        </w:rPr>
        <w:t>Pledged Stock; Pledged Debt</w:t>
      </w:r>
    </w:p>
    <w:p>
      <w:pPr>
        <w:pStyle w:val="TextBody"/>
        <w:bidi w:val="0"/>
        <w:spacing w:lineRule="auto" w:line="240" w:before="240" w:after="283"/>
        <w:ind w:left="0" w:right="0" w:hanging="720"/>
        <w:jc w:val="left"/>
        <w:rPr>
          <w:rFonts w:ascii="Times New Roman;sans-serif" w:hAnsi="Times New Roman;sans-serif"/>
          <w:b/>
          <w:color w:val="000000"/>
          <w:sz w:val="24"/>
        </w:rPr>
      </w:pPr>
      <w:r>
        <w:rPr>
          <w:rFonts w:ascii="Times New Roman;sans-serif" w:hAnsi="Times New Roman;sans-serif"/>
          <w:b/>
          <w:color w:val="000000"/>
          <w:sz w:val="24"/>
        </w:rPr>
        <w:t>A.Pledged Stock</w:t>
      </w:r>
    </w:p>
    <w:p>
      <w:pPr>
        <w:pStyle w:val="TextBody"/>
        <w:bidi w:val="0"/>
        <w:spacing w:before="46" w:after="283"/>
        <w:jc w:val="left"/>
        <w:rPr/>
      </w:pPr>
      <w:r>
        <w:rPr/>
      </w:r>
    </w:p>
    <w:tbl>
      <w:tblPr>
        <w:tblW w:w="10205" w:type="dxa"/>
        <w:jc w:val="left"/>
        <w:tblInd w:w="0" w:type="dxa"/>
        <w:tblLayout w:type="fixed"/>
        <w:tblCellMar>
          <w:top w:w="28" w:type="dxa"/>
          <w:left w:w="28" w:type="dxa"/>
          <w:bottom w:w="28" w:type="dxa"/>
          <w:right w:w="28" w:type="dxa"/>
        </w:tblCellMar>
      </w:tblPr>
      <w:tblGrid>
        <w:gridCol w:w="266"/>
        <w:gridCol w:w="234"/>
        <w:gridCol w:w="236"/>
        <w:gridCol w:w="475"/>
        <w:gridCol w:w="475"/>
        <w:gridCol w:w="477"/>
        <w:gridCol w:w="494"/>
        <w:gridCol w:w="494"/>
        <w:gridCol w:w="496"/>
        <w:gridCol w:w="582"/>
        <w:gridCol w:w="582"/>
        <w:gridCol w:w="584"/>
        <w:gridCol w:w="1070"/>
        <w:gridCol w:w="1070"/>
        <w:gridCol w:w="1073"/>
        <w:gridCol w:w="465"/>
        <w:gridCol w:w="465"/>
        <w:gridCol w:w="667"/>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op w:val="single" w:sz="4" w:space="0" w:color="000000"/>
              <w:left w:val="single" w:sz="4" w:space="0" w:color="000000"/>
            </w:tcBorders>
            <w:shd w:fill="BFBFBF" w:val="clear"/>
            <w:tcMar>
              <w:top w:w="30" w:type="dxa"/>
              <w:left w:w="127"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Issuer</w:t>
            </w:r>
          </w:p>
        </w:tc>
        <w:tc>
          <w:tcPr>
            <w:tcW w:w="1427" w:type="dxa"/>
            <w:gridSpan w:val="3"/>
            <w:tcBorders>
              <w:top w:val="single" w:sz="4" w:space="0" w:color="000000"/>
              <w:left w:val="single" w:sz="4" w:space="0" w:color="000000"/>
            </w:tcBorders>
            <w:shd w:fill="BFBFBF" w:val="clear"/>
            <w:tcMar>
              <w:top w:w="3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Record Owner</w:t>
            </w:r>
          </w:p>
        </w:tc>
        <w:tc>
          <w:tcPr>
            <w:tcW w:w="1484" w:type="dxa"/>
            <w:gridSpan w:val="3"/>
            <w:tcBorders>
              <w:top w:val="single" w:sz="4" w:space="0" w:color="000000"/>
              <w:left w:val="single" w:sz="4" w:space="0" w:color="000000"/>
            </w:tcBorders>
            <w:shd w:fill="BFBFBF" w:val="clear"/>
            <w:tcMar>
              <w:top w:w="3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Certificate No.</w:t>
            </w:r>
          </w:p>
        </w:tc>
        <w:tc>
          <w:tcPr>
            <w:tcW w:w="1748" w:type="dxa"/>
            <w:gridSpan w:val="3"/>
            <w:tcBorders>
              <w:top w:val="single" w:sz="4" w:space="0" w:color="000000"/>
              <w:left w:val="single" w:sz="4" w:space="0" w:color="000000"/>
            </w:tcBorders>
            <w:shd w:fill="BFBFBF" w:val="clear"/>
            <w:tcMar>
              <w:top w:w="3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Number and Class</w:t>
            </w:r>
          </w:p>
        </w:tc>
        <w:tc>
          <w:tcPr>
            <w:tcW w:w="3213" w:type="dxa"/>
            <w:gridSpan w:val="3"/>
            <w:tcBorders>
              <w:top w:val="single" w:sz="4" w:space="0" w:color="000000"/>
              <w:left w:val="single" w:sz="4" w:space="0" w:color="000000"/>
            </w:tcBorders>
            <w:shd w:fill="BFBFBF" w:val="clear"/>
            <w:tcMar>
              <w:top w:w="30" w:type="dxa"/>
              <w:bottom w:w="0" w:type="dxa"/>
              <w:right w:w="0" w:type="dxa"/>
            </w:tcMar>
            <w:vAlign w:val="center"/>
          </w:tcPr>
          <w:p>
            <w:pPr>
              <w:pStyle w:val="TableContents"/>
              <w:bidi w:val="0"/>
              <w:spacing w:lineRule="auto" w:line="314" w:before="0" w:after="0"/>
              <w:jc w:val="left"/>
              <w:rPr>
                <w:rFonts w:ascii="Times New Roman;sans-serif" w:hAnsi="Times New Roman;sans-serif"/>
                <w:b/>
                <w:color w:val="000000"/>
                <w:sz w:val="24"/>
              </w:rPr>
            </w:pPr>
            <w:r>
              <w:rPr>
                <w:rFonts w:ascii="Times New Roman;sans-serif" w:hAnsi="Times New Roman;sans-serif"/>
                <w:b/>
                <w:color w:val="000000"/>
                <w:sz w:val="24"/>
              </w:rPr>
              <w:t>Percentage of Equity Interest Owned</w:t>
            </w:r>
          </w:p>
        </w:tc>
        <w:tc>
          <w:tcPr>
            <w:tcW w:w="1597" w:type="dxa"/>
            <w:gridSpan w:val="3"/>
            <w:tcBorders>
              <w:top w:val="single" w:sz="4" w:space="0" w:color="000000"/>
              <w:left w:val="single" w:sz="4" w:space="0" w:color="000000"/>
              <w:right w:val="single" w:sz="4" w:space="0" w:color="000000"/>
            </w:tcBorders>
            <w:shd w:fill="BFBFBF" w:val="clear"/>
            <w:tcMar>
              <w:top w:w="30" w:type="dxa"/>
              <w:bottom w:w="0" w:type="dxa"/>
            </w:tcMar>
            <w:vAlign w:val="center"/>
          </w:tcPr>
          <w:p>
            <w:pPr>
              <w:pStyle w:val="TableContents"/>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Percent Pledged</w:t>
            </w:r>
          </w:p>
        </w:tc>
      </w:tr>
      <w:tr>
        <w:trPr/>
        <w:tc>
          <w:tcPr>
            <w:tcW w:w="736"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1748"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3213"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1" w:after="283"/>
        <w:jc w:val="left"/>
        <w:rPr/>
      </w:pPr>
      <w:r>
        <w:rPr/>
      </w:r>
    </w:p>
    <w:p>
      <w:pPr>
        <w:pStyle w:val="TextBody"/>
        <w:bidi w:val="0"/>
        <w:spacing w:lineRule="auto" w:line="240" w:before="0" w:after="0"/>
        <w:ind w:left="0" w:right="0" w:hanging="720"/>
        <w:jc w:val="left"/>
        <w:rPr>
          <w:rFonts w:ascii="Times New Roman;sans-serif" w:hAnsi="Times New Roman;sans-serif"/>
          <w:b/>
          <w:color w:val="000000"/>
          <w:sz w:val="24"/>
        </w:rPr>
      </w:pPr>
      <w:r>
        <w:rPr>
          <w:rFonts w:ascii="Times New Roman;sans-serif" w:hAnsi="Times New Roman;sans-serif"/>
          <w:b/>
          <w:color w:val="000000"/>
          <w:sz w:val="24"/>
        </w:rPr>
        <w:t>B.Pledged Debt</w:t>
      </w:r>
    </w:p>
    <w:p>
      <w:pPr>
        <w:pStyle w:val="TextBody"/>
        <w:bidi w:val="0"/>
        <w:spacing w:before="46" w:after="283"/>
        <w:jc w:val="left"/>
        <w:rPr/>
      </w:pPr>
      <w:r>
        <w:rPr/>
      </w:r>
    </w:p>
    <w:tbl>
      <w:tblPr>
        <w:tblW w:w="5852" w:type="dxa"/>
        <w:jc w:val="left"/>
        <w:tblInd w:w="0" w:type="dxa"/>
        <w:tblLayout w:type="fixed"/>
        <w:tblCellMar>
          <w:top w:w="28" w:type="dxa"/>
          <w:left w:w="28" w:type="dxa"/>
          <w:bottom w:w="28" w:type="dxa"/>
          <w:right w:w="28" w:type="dxa"/>
        </w:tblCellMar>
      </w:tblPr>
      <w:tblGrid>
        <w:gridCol w:w="261"/>
        <w:gridCol w:w="229"/>
        <w:gridCol w:w="231"/>
        <w:gridCol w:w="240"/>
        <w:gridCol w:w="240"/>
        <w:gridCol w:w="241"/>
        <w:gridCol w:w="345"/>
        <w:gridCol w:w="345"/>
        <w:gridCol w:w="346"/>
        <w:gridCol w:w="589"/>
        <w:gridCol w:w="589"/>
        <w:gridCol w:w="591"/>
        <w:gridCol w:w="470"/>
        <w:gridCol w:w="470"/>
        <w:gridCol w:w="665"/>
      </w:tblGrid>
      <w:tr>
        <w:trPr/>
        <w:tc>
          <w:tcPr>
            <w:tcW w:w="26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top w:val="single" w:sz="4" w:space="0" w:color="000000"/>
              <w:left w:val="single" w:sz="4" w:space="0" w:color="000000"/>
            </w:tcBorders>
            <w:shd w:fill="BFBFBF" w:val="clear"/>
            <w:tcMar>
              <w:top w:w="30" w:type="dxa"/>
              <w:left w:w="127"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Payee</w:t>
            </w:r>
          </w:p>
        </w:tc>
        <w:tc>
          <w:tcPr>
            <w:tcW w:w="721" w:type="dxa"/>
            <w:gridSpan w:val="3"/>
            <w:tcBorders>
              <w:top w:val="single" w:sz="4" w:space="0" w:color="000000"/>
              <w:left w:val="single" w:sz="4" w:space="0" w:color="000000"/>
            </w:tcBorders>
            <w:shd w:fill="BFBFBF" w:val="clear"/>
            <w:tcMar>
              <w:top w:w="30" w:type="dxa"/>
              <w:left w:w="126"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Payor</w:t>
            </w:r>
          </w:p>
        </w:tc>
        <w:tc>
          <w:tcPr>
            <w:tcW w:w="1036" w:type="dxa"/>
            <w:gridSpan w:val="3"/>
            <w:tcBorders>
              <w:top w:val="single" w:sz="4" w:space="0" w:color="000000"/>
              <w:left w:val="single" w:sz="4" w:space="0" w:color="000000"/>
            </w:tcBorders>
            <w:shd w:fill="BFBFBF" w:val="clear"/>
            <w:tcMar>
              <w:top w:w="30" w:type="dxa"/>
              <w:left w:w="127"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Principal</w:t>
            </w:r>
          </w:p>
        </w:tc>
        <w:tc>
          <w:tcPr>
            <w:tcW w:w="1769" w:type="dxa"/>
            <w:gridSpan w:val="3"/>
            <w:tcBorders>
              <w:top w:val="single" w:sz="4" w:space="0" w:color="000000"/>
              <w:left w:val="single" w:sz="4" w:space="0" w:color="000000"/>
            </w:tcBorders>
            <w:shd w:fill="BFBFBF" w:val="clear"/>
            <w:tcMar>
              <w:top w:w="30" w:type="dxa"/>
              <w:bottom w:w="0" w:type="dxa"/>
              <w:right w:w="0" w:type="dxa"/>
            </w:tcMar>
            <w:vAlign w:val="center"/>
          </w:tcPr>
          <w:p>
            <w:pPr>
              <w:pStyle w:val="TableContents"/>
              <w:bidi w:val="0"/>
              <w:spacing w:lineRule="auto" w:line="314" w:before="0" w:after="0"/>
              <w:jc w:val="left"/>
              <w:rPr>
                <w:rFonts w:ascii="Times New Roman;sans-serif" w:hAnsi="Times New Roman;sans-serif"/>
                <w:b/>
                <w:color w:val="000000"/>
                <w:sz w:val="24"/>
              </w:rPr>
            </w:pPr>
            <w:r>
              <w:rPr>
                <w:rFonts w:ascii="Times New Roman;sans-serif" w:hAnsi="Times New Roman;sans-serif"/>
                <w:b/>
                <w:color w:val="000000"/>
                <w:sz w:val="24"/>
              </w:rPr>
              <w:t>Date of Issuance</w:t>
            </w:r>
          </w:p>
        </w:tc>
        <w:tc>
          <w:tcPr>
            <w:tcW w:w="1605" w:type="dxa"/>
            <w:gridSpan w:val="3"/>
            <w:tcBorders>
              <w:top w:val="single" w:sz="4" w:space="0" w:color="000000"/>
              <w:left w:val="single" w:sz="4" w:space="0" w:color="000000"/>
              <w:right w:val="single" w:sz="4" w:space="0" w:color="000000"/>
            </w:tcBorders>
            <w:shd w:fill="BFBFBF" w:val="clear"/>
            <w:tcMar>
              <w:top w:w="30" w:type="dxa"/>
              <w:bottom w:w="0" w:type="dxa"/>
            </w:tcMar>
            <w:vAlign w:val="center"/>
          </w:tcPr>
          <w:p>
            <w:pPr>
              <w:pStyle w:val="TableContents"/>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Maturity Date</w:t>
            </w:r>
          </w:p>
        </w:tc>
      </w:tr>
      <w:tr>
        <w:trPr/>
        <w:tc>
          <w:tcPr>
            <w:tcW w:w="721"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49">
                <wp:simplePos x="0" y="0"/>
                <wp:positionH relativeFrom="character">
                  <wp:align>left</wp:align>
                </wp:positionH>
                <wp:positionV relativeFrom="line">
                  <wp:posOffset>635</wp:posOffset>
                </wp:positionV>
                <wp:extent cx="6480175" cy="781050"/>
                <wp:effectExtent l="0" t="0" r="0" b="0"/>
                <wp:wrapNone/>
                <wp:docPr id="548" name="Frame547"/>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346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346</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ind w:left="0" w:right="0" w:hanging="360"/>
        <w:jc w:val="left"/>
        <w:rPr/>
      </w:pPr>
      <w:r>
        <w:rPr/>
      </w:r>
    </w:p>
    <w:p>
      <w:pPr>
        <w:pStyle w:val="TextBody"/>
        <w:bidi w:val="0"/>
        <w:spacing w:lineRule="auto" w:line="240" w:before="0" w:after="240"/>
        <w:jc w:val="right"/>
        <w:rPr/>
      </w:pPr>
      <w:r>
        <w:rPr>
          <w:rFonts w:ascii="Times New Roman;sans-serif" w:hAnsi="Times New Roman;sans-serif"/>
          <w:b w:val="false"/>
          <w:color w:val="000000"/>
          <w:sz w:val="24"/>
        </w:rPr>
        <w:t xml:space="preserve">Schedule II to </w:t>
        <w:br/>
        <w:t>Supplement No.</w:t>
      </w:r>
      <w:r>
        <w:rPr>
          <w:color w:val="000000"/>
          <w:u w:val="single"/>
        </w:rPr>
        <w:t xml:space="preserve">     </w:t>
      </w:r>
      <w:r>
        <w:rPr>
          <w:rFonts w:ascii="Times New Roman;sans-serif" w:hAnsi="Times New Roman;sans-serif"/>
          <w:b w:val="false"/>
          <w:color w:val="000000"/>
          <w:sz w:val="24"/>
        </w:rPr>
        <w:t xml:space="preserve">to the </w:t>
        <w:br/>
        <w:t>Collateral Agreement</w:t>
      </w:r>
    </w:p>
    <w:p>
      <w:pPr>
        <w:pStyle w:val="TextBody"/>
        <w:bidi w:val="0"/>
        <w:spacing w:lineRule="auto" w:line="240" w:before="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t>Intellectual Property</w:t>
      </w:r>
    </w:p>
    <w:p>
      <w:pPr>
        <w:pStyle w:val="TextBody"/>
        <w:bidi w:val="0"/>
        <w:spacing w:before="0" w:after="0"/>
        <w:jc w:val="left"/>
        <w:rPr/>
      </w:pPr>
      <w:r>
        <w:rPr/>
      </w:r>
    </w:p>
    <w:p>
      <w:pPr>
        <w:pStyle w:val="TextBody"/>
        <w:bidi w:val="0"/>
        <w:spacing w:lineRule="auto" w:line="240" w:before="0" w:after="0"/>
        <w:ind w:left="0" w:right="0" w:hanging="720"/>
        <w:jc w:val="left"/>
        <w:rPr/>
      </w:pPr>
      <w:r>
        <w:rPr>
          <w:rFonts w:ascii="Times New Roman;sans-serif" w:hAnsi="Times New Roman;sans-serif"/>
          <w:b/>
          <w:color w:val="000000"/>
          <w:sz w:val="24"/>
        </w:rPr>
        <w:t>A.</w:t>
      </w:r>
      <w:r>
        <w:rPr>
          <w:rFonts w:ascii="Times New Roman;sans-serif" w:hAnsi="Times New Roman;sans-serif"/>
          <w:b/>
          <w:color w:val="000000"/>
          <w:sz w:val="24"/>
          <w:u w:val="single"/>
        </w:rPr>
        <w:t>U.S. Federally Issued or Applied for Patents Owned by [New Subsidiary]</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i/>
          <w:color w:val="000000"/>
          <w:sz w:val="24"/>
        </w:rPr>
      </w:pPr>
      <w:r>
        <w:rPr>
          <w:rFonts w:ascii="Times New Roman;sans-serif" w:hAnsi="Times New Roman;sans-serif"/>
          <w:b w:val="false"/>
          <w:i/>
          <w:color w:val="000000"/>
          <w:sz w:val="24"/>
        </w:rPr>
        <w:t>U.S. Patent Registrations</w:t>
      </w:r>
    </w:p>
    <w:p>
      <w:pPr>
        <w:pStyle w:val="TextBody"/>
        <w:bidi w:val="0"/>
        <w:spacing w:before="10" w:after="283"/>
        <w:jc w:val="left"/>
        <w:rPr/>
      </w:pPr>
      <w:r>
        <w:rPr/>
      </w:r>
    </w:p>
    <w:tbl>
      <w:tblPr>
        <w:tblW w:w="2969" w:type="dxa"/>
        <w:jc w:val="left"/>
        <w:tblInd w:w="0" w:type="dxa"/>
        <w:tblLayout w:type="fixed"/>
        <w:tblCellMar>
          <w:top w:w="28" w:type="dxa"/>
          <w:left w:w="28" w:type="dxa"/>
          <w:bottom w:w="28" w:type="dxa"/>
          <w:right w:w="28" w:type="dxa"/>
        </w:tblCellMar>
      </w:tblPr>
      <w:tblGrid>
        <w:gridCol w:w="212"/>
        <w:gridCol w:w="186"/>
        <w:gridCol w:w="188"/>
        <w:gridCol w:w="394"/>
        <w:gridCol w:w="394"/>
        <w:gridCol w:w="396"/>
        <w:gridCol w:w="350"/>
        <w:gridCol w:w="350"/>
        <w:gridCol w:w="499"/>
      </w:tblGrid>
      <w:tr>
        <w:trPr/>
        <w:tc>
          <w:tcPr>
            <w:tcW w:w="21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op w:val="single" w:sz="4" w:space="0" w:color="000000"/>
              <w:left w:val="single" w:sz="4" w:space="0" w:color="000000"/>
            </w:tcBorders>
            <w:shd w:fill="BFBFBF" w:val="clear"/>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Title</w:t>
            </w:r>
          </w:p>
        </w:tc>
        <w:tc>
          <w:tcPr>
            <w:tcW w:w="1184" w:type="dxa"/>
            <w:gridSpan w:val="3"/>
            <w:tcBorders>
              <w:top w:val="single" w:sz="4" w:space="0" w:color="000000"/>
              <w:left w:val="single" w:sz="4" w:space="0" w:color="000000"/>
            </w:tcBorders>
            <w:shd w:fill="BFBFBF" w:val="clear"/>
            <w:tcMar>
              <w:top w:w="3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Patent No.</w:t>
            </w:r>
          </w:p>
        </w:tc>
        <w:tc>
          <w:tcPr>
            <w:tcW w:w="1199" w:type="dxa"/>
            <w:gridSpan w:val="3"/>
            <w:tcBorders>
              <w:top w:val="single" w:sz="4" w:space="0" w:color="000000"/>
              <w:left w:val="single" w:sz="4" w:space="0" w:color="000000"/>
              <w:right w:val="single" w:sz="4" w:space="0" w:color="000000"/>
            </w:tcBorders>
            <w:shd w:fill="BFBFBF" w:val="clear"/>
            <w:tcMar>
              <w:top w:w="30" w:type="dxa"/>
              <w:bottom w:w="0" w:type="dxa"/>
            </w:tcMar>
            <w:vAlign w:val="center"/>
          </w:tcPr>
          <w:p>
            <w:pPr>
              <w:pStyle w:val="TableContents"/>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Issue Date</w:t>
            </w:r>
          </w:p>
        </w:tc>
      </w:tr>
      <w:tr>
        <w:trPr/>
        <w:tc>
          <w:tcPr>
            <w:tcW w:w="586"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241" w:after="283"/>
        <w:jc w:val="left"/>
        <w:rPr/>
      </w:pPr>
      <w:r>
        <w:rPr/>
      </w:r>
    </w:p>
    <w:p>
      <w:pPr>
        <w:pStyle w:val="TextBody"/>
        <w:bidi w:val="0"/>
        <w:spacing w:lineRule="auto" w:line="240" w:before="0" w:after="0"/>
        <w:jc w:val="left"/>
        <w:rPr>
          <w:rFonts w:ascii="Times New Roman;sans-serif" w:hAnsi="Times New Roman;sans-serif"/>
          <w:b w:val="false"/>
          <w:i/>
          <w:color w:val="000000"/>
          <w:sz w:val="24"/>
        </w:rPr>
      </w:pPr>
      <w:r>
        <w:rPr>
          <w:rFonts w:ascii="Times New Roman;sans-serif" w:hAnsi="Times New Roman;sans-serif"/>
          <w:b w:val="false"/>
          <w:i/>
          <w:color w:val="000000"/>
          <w:sz w:val="24"/>
        </w:rPr>
        <w:t>U.S. Patent Applications</w:t>
      </w:r>
    </w:p>
    <w:p>
      <w:pPr>
        <w:pStyle w:val="TextBody"/>
        <w:bidi w:val="0"/>
        <w:spacing w:before="10" w:after="283"/>
        <w:jc w:val="left"/>
        <w:rPr/>
      </w:pPr>
      <w:r>
        <w:rPr/>
      </w:r>
    </w:p>
    <w:tbl>
      <w:tblPr>
        <w:tblW w:w="3569" w:type="dxa"/>
        <w:jc w:val="left"/>
        <w:tblInd w:w="0" w:type="dxa"/>
        <w:tblLayout w:type="fixed"/>
        <w:tblCellMar>
          <w:top w:w="28" w:type="dxa"/>
          <w:left w:w="28" w:type="dxa"/>
          <w:bottom w:w="28" w:type="dxa"/>
          <w:right w:w="28" w:type="dxa"/>
        </w:tblCellMar>
      </w:tblPr>
      <w:tblGrid>
        <w:gridCol w:w="212"/>
        <w:gridCol w:w="186"/>
        <w:gridCol w:w="188"/>
        <w:gridCol w:w="569"/>
        <w:gridCol w:w="569"/>
        <w:gridCol w:w="571"/>
        <w:gridCol w:w="372"/>
        <w:gridCol w:w="372"/>
        <w:gridCol w:w="530"/>
      </w:tblGrid>
      <w:tr>
        <w:trPr/>
        <w:tc>
          <w:tcPr>
            <w:tcW w:w="21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op w:val="single" w:sz="4" w:space="0" w:color="000000"/>
              <w:left w:val="single" w:sz="4" w:space="0" w:color="000000"/>
            </w:tcBorders>
            <w:shd w:fill="BFBFBF" w:val="clear"/>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Title</w:t>
            </w:r>
          </w:p>
        </w:tc>
        <w:tc>
          <w:tcPr>
            <w:tcW w:w="1709" w:type="dxa"/>
            <w:gridSpan w:val="3"/>
            <w:tcBorders>
              <w:top w:val="single" w:sz="4" w:space="0" w:color="000000"/>
              <w:left w:val="single" w:sz="4" w:space="0" w:color="000000"/>
            </w:tcBorders>
            <w:shd w:fill="BFBFBF" w:val="clear"/>
            <w:tcMar>
              <w:top w:w="3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Application No.</w:t>
            </w:r>
          </w:p>
        </w:tc>
        <w:tc>
          <w:tcPr>
            <w:tcW w:w="1274" w:type="dxa"/>
            <w:gridSpan w:val="3"/>
            <w:tcBorders>
              <w:top w:val="single" w:sz="4" w:space="0" w:color="000000"/>
              <w:left w:val="single" w:sz="4" w:space="0" w:color="000000"/>
              <w:right w:val="single" w:sz="4" w:space="0" w:color="000000"/>
            </w:tcBorders>
            <w:shd w:fill="BFBFBF" w:val="clear"/>
            <w:tcMar>
              <w:top w:w="30" w:type="dxa"/>
              <w:bottom w:w="0" w:type="dxa"/>
            </w:tcMar>
            <w:vAlign w:val="center"/>
          </w:tcPr>
          <w:p>
            <w:pPr>
              <w:pStyle w:val="TableContents"/>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Filing Date</w:t>
            </w:r>
          </w:p>
        </w:tc>
      </w:tr>
      <w:tr>
        <w:trPr/>
        <w:tc>
          <w:tcPr>
            <w:tcW w:w="586"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50">
                <wp:simplePos x="0" y="0"/>
                <wp:positionH relativeFrom="character">
                  <wp:align>left</wp:align>
                </wp:positionH>
                <wp:positionV relativeFrom="line">
                  <wp:posOffset>635</wp:posOffset>
                </wp:positionV>
                <wp:extent cx="6480175" cy="781050"/>
                <wp:effectExtent l="0" t="0" r="0" b="0"/>
                <wp:wrapNone/>
                <wp:docPr id="549" name="Frame548"/>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347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347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60" w:after="283"/>
        <w:ind w:left="0" w:right="0" w:hanging="720"/>
        <w:jc w:val="left"/>
        <w:rPr/>
      </w:pPr>
      <w:r>
        <w:rPr>
          <w:rFonts w:ascii="Times New Roman;sans-serif" w:hAnsi="Times New Roman;sans-serif"/>
          <w:b/>
          <w:color w:val="000000"/>
          <w:sz w:val="24"/>
        </w:rPr>
        <w:t>B.</w:t>
      </w:r>
      <w:r>
        <w:rPr>
          <w:rFonts w:ascii="Times New Roman;sans-serif" w:hAnsi="Times New Roman;sans-serif"/>
          <w:b/>
          <w:color w:val="000000"/>
          <w:sz w:val="24"/>
          <w:u w:val="single"/>
        </w:rPr>
        <w:t>U.S. Federally Registered Copyrights Owned by [New Subsidiary]</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i/>
          <w:color w:val="000000"/>
          <w:sz w:val="24"/>
        </w:rPr>
      </w:pPr>
      <w:r>
        <w:rPr>
          <w:rFonts w:ascii="Times New Roman;sans-serif" w:hAnsi="Times New Roman;sans-serif"/>
          <w:b w:val="false"/>
          <w:i/>
          <w:color w:val="000000"/>
          <w:sz w:val="24"/>
        </w:rPr>
        <w:t>U.S. Copyright Registrations</w:t>
      </w:r>
    </w:p>
    <w:p>
      <w:pPr>
        <w:pStyle w:val="TextBody"/>
        <w:bidi w:val="0"/>
        <w:spacing w:before="10" w:after="283"/>
        <w:jc w:val="left"/>
        <w:rPr/>
      </w:pPr>
      <w:r>
        <w:rPr/>
      </w:r>
    </w:p>
    <w:tbl>
      <w:tblPr>
        <w:tblW w:w="4290" w:type="dxa"/>
        <w:jc w:val="left"/>
        <w:tblInd w:w="0" w:type="dxa"/>
        <w:tblLayout w:type="fixed"/>
        <w:tblCellMar>
          <w:top w:w="28" w:type="dxa"/>
          <w:left w:w="28" w:type="dxa"/>
          <w:bottom w:w="28" w:type="dxa"/>
          <w:right w:w="28" w:type="dxa"/>
        </w:tblCellMar>
      </w:tblPr>
      <w:tblGrid>
        <w:gridCol w:w="212"/>
        <w:gridCol w:w="186"/>
        <w:gridCol w:w="188"/>
        <w:gridCol w:w="589"/>
        <w:gridCol w:w="589"/>
        <w:gridCol w:w="591"/>
        <w:gridCol w:w="567"/>
        <w:gridCol w:w="567"/>
        <w:gridCol w:w="801"/>
      </w:tblGrid>
      <w:tr>
        <w:trPr/>
        <w:tc>
          <w:tcPr>
            <w:tcW w:w="21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op w:val="single" w:sz="4" w:space="0" w:color="000000"/>
              <w:left w:val="single" w:sz="4" w:space="0" w:color="000000"/>
            </w:tcBorders>
            <w:shd w:fill="BFBFBF" w:val="clear"/>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Title</w:t>
            </w:r>
          </w:p>
        </w:tc>
        <w:tc>
          <w:tcPr>
            <w:tcW w:w="1769" w:type="dxa"/>
            <w:gridSpan w:val="3"/>
            <w:tcBorders>
              <w:top w:val="single" w:sz="4" w:space="0" w:color="000000"/>
              <w:left w:val="single" w:sz="4" w:space="0" w:color="000000"/>
            </w:tcBorders>
            <w:shd w:fill="BFBFBF" w:val="clear"/>
            <w:tcMar>
              <w:top w:w="3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Registration No.</w:t>
            </w:r>
          </w:p>
        </w:tc>
        <w:tc>
          <w:tcPr>
            <w:tcW w:w="1935" w:type="dxa"/>
            <w:gridSpan w:val="3"/>
            <w:tcBorders>
              <w:top w:val="single" w:sz="4" w:space="0" w:color="000000"/>
              <w:left w:val="single" w:sz="4" w:space="0" w:color="000000"/>
              <w:right w:val="single" w:sz="4" w:space="0" w:color="000000"/>
            </w:tcBorders>
            <w:shd w:fill="BFBFBF" w:val="clear"/>
            <w:tcMar>
              <w:top w:w="30" w:type="dxa"/>
              <w:bottom w:w="0" w:type="dxa"/>
            </w:tcMar>
            <w:vAlign w:val="center"/>
          </w:tcPr>
          <w:p>
            <w:pPr>
              <w:pStyle w:val="TableContents"/>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Registration Date</w:t>
            </w:r>
          </w:p>
        </w:tc>
      </w:tr>
      <w:tr>
        <w:trPr/>
        <w:tc>
          <w:tcPr>
            <w:tcW w:w="586"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51">
                <wp:simplePos x="0" y="0"/>
                <wp:positionH relativeFrom="character">
                  <wp:align>left</wp:align>
                </wp:positionH>
                <wp:positionV relativeFrom="line">
                  <wp:posOffset>635</wp:posOffset>
                </wp:positionV>
                <wp:extent cx="6480175" cy="781050"/>
                <wp:effectExtent l="0" t="0" r="0" b="0"/>
                <wp:wrapNone/>
                <wp:docPr id="550" name="Frame549"/>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348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348</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60" w:after="283"/>
        <w:ind w:left="0" w:right="0" w:hanging="720"/>
        <w:jc w:val="left"/>
        <w:rPr/>
      </w:pPr>
      <w:r>
        <w:rPr>
          <w:rFonts w:ascii="Times New Roman;sans-serif" w:hAnsi="Times New Roman;sans-serif"/>
          <w:b/>
          <w:color w:val="000000"/>
          <w:sz w:val="24"/>
        </w:rPr>
        <w:t>C.</w:t>
      </w:r>
      <w:r>
        <w:rPr>
          <w:rFonts w:ascii="Times New Roman;sans-serif" w:hAnsi="Times New Roman;sans-serif"/>
          <w:b/>
          <w:color w:val="000000"/>
          <w:sz w:val="24"/>
          <w:u w:val="single"/>
        </w:rPr>
        <w:t>U.S. Federally Registered or Applied for Trademarks Owned by [New Subsidiary].</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i/>
          <w:color w:val="000000"/>
          <w:sz w:val="24"/>
        </w:rPr>
      </w:pPr>
      <w:r>
        <w:rPr>
          <w:rFonts w:ascii="Times New Roman;sans-serif" w:hAnsi="Times New Roman;sans-serif"/>
          <w:b w:val="false"/>
          <w:i/>
          <w:color w:val="000000"/>
          <w:sz w:val="24"/>
        </w:rPr>
        <w:t>U.S. Trademark Registrations</w:t>
      </w:r>
    </w:p>
    <w:p>
      <w:pPr>
        <w:pStyle w:val="TextBody"/>
        <w:bidi w:val="0"/>
        <w:spacing w:before="10" w:after="283"/>
        <w:jc w:val="left"/>
        <w:rPr/>
      </w:pPr>
      <w:r>
        <w:rPr/>
      </w:r>
    </w:p>
    <w:tbl>
      <w:tblPr>
        <w:tblW w:w="4290" w:type="dxa"/>
        <w:jc w:val="left"/>
        <w:tblInd w:w="0" w:type="dxa"/>
        <w:tblLayout w:type="fixed"/>
        <w:tblCellMar>
          <w:top w:w="28" w:type="dxa"/>
          <w:left w:w="28" w:type="dxa"/>
          <w:bottom w:w="28" w:type="dxa"/>
          <w:right w:w="28" w:type="dxa"/>
        </w:tblCellMar>
      </w:tblPr>
      <w:tblGrid>
        <w:gridCol w:w="212"/>
        <w:gridCol w:w="186"/>
        <w:gridCol w:w="188"/>
        <w:gridCol w:w="589"/>
        <w:gridCol w:w="589"/>
        <w:gridCol w:w="591"/>
        <w:gridCol w:w="567"/>
        <w:gridCol w:w="567"/>
        <w:gridCol w:w="801"/>
      </w:tblGrid>
      <w:tr>
        <w:trPr/>
        <w:tc>
          <w:tcPr>
            <w:tcW w:w="21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op w:val="single" w:sz="4" w:space="0" w:color="000000"/>
              <w:left w:val="single" w:sz="4" w:space="0" w:color="000000"/>
            </w:tcBorders>
            <w:shd w:fill="BFBFBF" w:val="clear"/>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Title</w:t>
            </w:r>
          </w:p>
        </w:tc>
        <w:tc>
          <w:tcPr>
            <w:tcW w:w="1769" w:type="dxa"/>
            <w:gridSpan w:val="3"/>
            <w:tcBorders>
              <w:top w:val="single" w:sz="4" w:space="0" w:color="000000"/>
              <w:left w:val="single" w:sz="4" w:space="0" w:color="000000"/>
            </w:tcBorders>
            <w:shd w:fill="BFBFBF" w:val="clear"/>
            <w:tcMar>
              <w:top w:w="3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Registration No.</w:t>
            </w:r>
          </w:p>
        </w:tc>
        <w:tc>
          <w:tcPr>
            <w:tcW w:w="1935" w:type="dxa"/>
            <w:gridSpan w:val="3"/>
            <w:tcBorders>
              <w:top w:val="single" w:sz="4" w:space="0" w:color="000000"/>
              <w:left w:val="single" w:sz="4" w:space="0" w:color="000000"/>
              <w:right w:val="single" w:sz="4" w:space="0" w:color="000000"/>
            </w:tcBorders>
            <w:shd w:fill="BFBFBF" w:val="clear"/>
            <w:tcMar>
              <w:top w:w="30" w:type="dxa"/>
              <w:bottom w:w="0" w:type="dxa"/>
            </w:tcMar>
            <w:vAlign w:val="center"/>
          </w:tcPr>
          <w:p>
            <w:pPr>
              <w:pStyle w:val="TableContents"/>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Registration Date</w:t>
            </w:r>
          </w:p>
        </w:tc>
      </w:tr>
      <w:tr>
        <w:trPr/>
        <w:tc>
          <w:tcPr>
            <w:tcW w:w="586"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241" w:after="283"/>
        <w:jc w:val="left"/>
        <w:rPr/>
      </w:pPr>
      <w:r>
        <w:rPr/>
      </w:r>
    </w:p>
    <w:p>
      <w:pPr>
        <w:pStyle w:val="TextBody"/>
        <w:bidi w:val="0"/>
        <w:spacing w:lineRule="auto" w:line="240" w:before="0" w:after="0"/>
        <w:jc w:val="left"/>
        <w:rPr>
          <w:rFonts w:ascii="Times New Roman;sans-serif" w:hAnsi="Times New Roman;sans-serif"/>
          <w:b w:val="false"/>
          <w:i/>
          <w:color w:val="000000"/>
          <w:sz w:val="24"/>
        </w:rPr>
      </w:pPr>
      <w:r>
        <w:rPr>
          <w:rFonts w:ascii="Times New Roman;sans-serif" w:hAnsi="Times New Roman;sans-serif"/>
          <w:b w:val="false"/>
          <w:i/>
          <w:color w:val="000000"/>
          <w:sz w:val="24"/>
        </w:rPr>
        <w:t>U.S. Trademark Applications</w:t>
      </w:r>
    </w:p>
    <w:p>
      <w:pPr>
        <w:pStyle w:val="TextBody"/>
        <w:bidi w:val="0"/>
        <w:spacing w:before="10" w:after="283"/>
        <w:jc w:val="left"/>
        <w:rPr/>
      </w:pPr>
      <w:r>
        <w:rPr/>
      </w:r>
    </w:p>
    <w:tbl>
      <w:tblPr>
        <w:tblW w:w="3569" w:type="dxa"/>
        <w:jc w:val="left"/>
        <w:tblInd w:w="0" w:type="dxa"/>
        <w:tblLayout w:type="fixed"/>
        <w:tblCellMar>
          <w:top w:w="28" w:type="dxa"/>
          <w:left w:w="28" w:type="dxa"/>
          <w:bottom w:w="28" w:type="dxa"/>
          <w:right w:w="28" w:type="dxa"/>
        </w:tblCellMar>
      </w:tblPr>
      <w:tblGrid>
        <w:gridCol w:w="212"/>
        <w:gridCol w:w="186"/>
        <w:gridCol w:w="188"/>
        <w:gridCol w:w="569"/>
        <w:gridCol w:w="569"/>
        <w:gridCol w:w="571"/>
        <w:gridCol w:w="372"/>
        <w:gridCol w:w="372"/>
        <w:gridCol w:w="530"/>
      </w:tblGrid>
      <w:tr>
        <w:trPr/>
        <w:tc>
          <w:tcPr>
            <w:tcW w:w="21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op w:val="single" w:sz="4" w:space="0" w:color="000000"/>
              <w:left w:val="single" w:sz="4" w:space="0" w:color="000000"/>
            </w:tcBorders>
            <w:shd w:fill="BFBFBF" w:val="clear"/>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Title</w:t>
            </w:r>
          </w:p>
        </w:tc>
        <w:tc>
          <w:tcPr>
            <w:tcW w:w="1709" w:type="dxa"/>
            <w:gridSpan w:val="3"/>
            <w:tcBorders>
              <w:top w:val="single" w:sz="4" w:space="0" w:color="000000"/>
              <w:left w:val="single" w:sz="4" w:space="0" w:color="000000"/>
            </w:tcBorders>
            <w:shd w:fill="BFBFBF" w:val="clear"/>
            <w:tcMar>
              <w:top w:w="3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Application No.</w:t>
            </w:r>
          </w:p>
        </w:tc>
        <w:tc>
          <w:tcPr>
            <w:tcW w:w="1274" w:type="dxa"/>
            <w:gridSpan w:val="3"/>
            <w:tcBorders>
              <w:top w:val="single" w:sz="4" w:space="0" w:color="000000"/>
              <w:left w:val="single" w:sz="4" w:space="0" w:color="000000"/>
              <w:right w:val="single" w:sz="4" w:space="0" w:color="000000"/>
            </w:tcBorders>
            <w:shd w:fill="BFBFBF" w:val="clear"/>
            <w:tcMar>
              <w:top w:w="30" w:type="dxa"/>
              <w:bottom w:w="0" w:type="dxa"/>
            </w:tcMar>
            <w:vAlign w:val="center"/>
          </w:tcPr>
          <w:p>
            <w:pPr>
              <w:pStyle w:val="TableContents"/>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Filing Date</w:t>
            </w:r>
          </w:p>
        </w:tc>
      </w:tr>
      <w:tr>
        <w:trPr/>
        <w:tc>
          <w:tcPr>
            <w:tcW w:w="586"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52">
                <wp:simplePos x="0" y="0"/>
                <wp:positionH relativeFrom="character">
                  <wp:align>left</wp:align>
                </wp:positionH>
                <wp:positionV relativeFrom="line">
                  <wp:posOffset>635</wp:posOffset>
                </wp:positionV>
                <wp:extent cx="6480175" cy="781050"/>
                <wp:effectExtent l="0" t="0" r="0" b="0"/>
                <wp:wrapNone/>
                <wp:docPr id="551" name="Frame550"/>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349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349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jc w:val="right"/>
        <w:rPr/>
      </w:pPr>
      <w:r>
        <w:rPr>
          <w:rFonts w:ascii="Times New Roman;sans-serif" w:hAnsi="Times New Roman;sans-serif"/>
          <w:b w:val="false"/>
          <w:color w:val="000000"/>
          <w:sz w:val="24"/>
        </w:rPr>
        <w:t xml:space="preserve">Schedule III to </w:t>
        <w:br/>
        <w:t>Supplement No.</w:t>
      </w:r>
      <w:r>
        <w:rPr>
          <w:color w:val="000000"/>
          <w:u w:val="single"/>
        </w:rPr>
        <w:t xml:space="preserve">     </w:t>
      </w:r>
      <w:r>
        <w:rPr>
          <w:rFonts w:ascii="Times New Roman;sans-serif" w:hAnsi="Times New Roman;sans-serif"/>
          <w:b w:val="false"/>
          <w:color w:val="000000"/>
          <w:sz w:val="24"/>
        </w:rPr>
        <w:t xml:space="preserve">to the </w:t>
        <w:br/>
        <w:t>Collateral Agreement</w:t>
      </w:r>
    </w:p>
    <w:p>
      <w:pPr>
        <w:pStyle w:val="TextBody"/>
        <w:bidi w:val="0"/>
        <w:spacing w:lineRule="auto" w:line="240" w:before="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t>Commercial Tort Claims</w:t>
      </w:r>
    </w:p>
    <w:p>
      <w:pPr>
        <w:pStyle w:val="TextBody"/>
        <w:bidi w:val="0"/>
        <w:spacing w:before="0" w:after="0"/>
        <w:jc w:val="left"/>
        <w:rPr/>
      </w:pPr>
      <w:r>
        <w:rPr/>
      </w:r>
      <w:r>
        <mc:AlternateContent>
          <mc:Choice Requires="wps">
            <w:drawing>
              <wp:anchor behindDoc="0" distT="0" distB="0" distL="0" distR="0" simplePos="0" locked="0" layoutInCell="1" allowOverlap="1" relativeHeight="553">
                <wp:simplePos x="0" y="0"/>
                <wp:positionH relativeFrom="character">
                  <wp:align>left</wp:align>
                </wp:positionH>
                <wp:positionV relativeFrom="line">
                  <wp:posOffset>635</wp:posOffset>
                </wp:positionV>
                <wp:extent cx="6480175" cy="781050"/>
                <wp:effectExtent l="0" t="0" r="0" b="0"/>
                <wp:wrapNone/>
                <wp:docPr id="552" name="Frame551"/>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350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350</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40" w:before="60" w:after="283"/>
        <w:ind w:left="0" w:right="0" w:firstLine="544"/>
        <w:jc w:val="right"/>
        <w:rPr>
          <w:rFonts w:ascii="Times New Roman;sans-serif" w:hAnsi="Times New Roman;sans-serif"/>
          <w:b w:val="false"/>
          <w:color w:val="000000"/>
          <w:sz w:val="24"/>
        </w:rPr>
      </w:pPr>
      <w:r>
        <w:rPr>
          <w:rFonts w:ascii="Times New Roman;sans-serif" w:hAnsi="Times New Roman;sans-serif"/>
          <w:b w:val="false"/>
          <w:color w:val="000000"/>
          <w:sz w:val="24"/>
        </w:rPr>
        <w:t>Exhibit II to the Collateral Agreement</w:t>
      </w:r>
    </w:p>
    <w:p>
      <w:pPr>
        <w:pStyle w:val="TextBody"/>
        <w:bidi w:val="0"/>
        <w:spacing w:lineRule="auto" w:line="240" w:before="240" w:after="283"/>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Form of Notice of Grant of Security Interest in Intellectual Property</w:t>
      </w:r>
    </w:p>
    <w:p>
      <w:pPr>
        <w:pStyle w:val="TextBody"/>
        <w:bidi w:val="0"/>
        <w:spacing w:lineRule="auto" w:line="240"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[FORM OF] NOTICE OF GRANT OF SECURITY INTEREST IN [COPYRIGHTS]</w:t>
      </w:r>
    </w:p>
    <w:p>
      <w:pPr>
        <w:pStyle w:val="TextBody"/>
        <w:bidi w:val="0"/>
        <w:spacing w:lineRule="auto" w:line="240" w:before="0" w:after="0"/>
        <w:jc w:val="both"/>
        <w:rPr/>
      </w:pPr>
      <w:r>
        <w:rPr>
          <w:rFonts w:ascii="Times New Roman;sans-serif" w:hAnsi="Times New Roman;sans-serif"/>
          <w:b w:val="false"/>
          <w:color w:val="000000"/>
          <w:sz w:val="24"/>
        </w:rPr>
        <w:t>[PATENTS] [TRADEMARKS], dated as of [DATE] (this “</w:t>
      </w:r>
      <w:r>
        <w:rPr>
          <w:rFonts w:ascii="Times New Roman;sans-serif" w:hAnsi="Times New Roman;sans-serif"/>
          <w:b/>
          <w:i/>
          <w:color w:val="000000"/>
          <w:sz w:val="24"/>
        </w:rPr>
        <w:t>Agreement</w:t>
      </w:r>
      <w:r>
        <w:rPr>
          <w:color w:val="000000"/>
        </w:rPr>
        <w:t>”</w:t>
      </w:r>
      <w:r>
        <w:rPr>
          <w:rFonts w:ascii="Times New Roman;sans-serif" w:hAnsi="Times New Roman;sans-serif"/>
          <w:b w:val="false"/>
          <w:color w:val="000000"/>
          <w:sz w:val="24"/>
        </w:rPr>
        <w:t>), made by [●], a [●] [●] (the “</w:t>
      </w:r>
      <w:r>
        <w:rPr>
          <w:rFonts w:ascii="Times New Roman;sans-serif" w:hAnsi="Times New Roman;sans-serif"/>
          <w:b/>
          <w:i/>
          <w:color w:val="000000"/>
          <w:sz w:val="24"/>
        </w:rPr>
        <w:t>Pledgor</w:t>
      </w:r>
      <w:r>
        <w:rPr>
          <w:color w:val="000000"/>
        </w:rPr>
        <w:t>”</w:t>
      </w:r>
      <w:r>
        <w:rPr>
          <w:rFonts w:ascii="Times New Roman;sans-serif" w:hAnsi="Times New Roman;sans-serif"/>
          <w:b w:val="false"/>
          <w:color w:val="000000"/>
          <w:sz w:val="24"/>
        </w:rPr>
        <w:t>), in favor of CITIBANK, N.A., as Collateral Agent (as defined below).</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Reference is made to the Collateral Agreement dated as of February 6, 2024 (as amended, restated, supplemented or otherwise modified from time to time, the “</w:t>
      </w:r>
      <w:r>
        <w:rPr>
          <w:rFonts w:ascii="Times New Roman;sans-serif" w:hAnsi="Times New Roman;sans-serif"/>
          <w:b/>
          <w:i/>
          <w:color w:val="000000"/>
          <w:sz w:val="24"/>
        </w:rPr>
        <w:t>Collateral Agreement</w:t>
      </w:r>
      <w:r>
        <w:rPr>
          <w:color w:val="000000"/>
        </w:rPr>
        <w:t>”</w:t>
      </w:r>
      <w:r>
        <w:rPr>
          <w:rFonts w:ascii="Times New Roman;sans-serif" w:hAnsi="Times New Roman;sans-serif"/>
          <w:b w:val="false"/>
          <w:color w:val="000000"/>
          <w:sz w:val="24"/>
        </w:rPr>
        <w:t>), among Magnite, Inc., a Delaware corporation (the “</w:t>
      </w:r>
      <w:r>
        <w:rPr>
          <w:rFonts w:ascii="Times New Roman;sans-serif" w:hAnsi="Times New Roman;sans-serif"/>
          <w:b/>
          <w:i/>
          <w:color w:val="000000"/>
          <w:sz w:val="24"/>
        </w:rPr>
        <w:t>Borrower</w:t>
      </w:r>
      <w:r>
        <w:rPr>
          <w:color w:val="000000"/>
        </w:rPr>
        <w:t>”</w:t>
      </w:r>
      <w:r>
        <w:rPr>
          <w:rFonts w:ascii="Times New Roman;sans-serif" w:hAnsi="Times New Roman;sans-serif"/>
          <w:b w:val="false"/>
          <w:color w:val="000000"/>
          <w:sz w:val="24"/>
        </w:rPr>
        <w:t>) and each Subsidiary Loan Party that becomes a party thereto after the date thereof, as Pledgors (as defined therein), and Citibank, N.A., as collateral agent (together with its permitted successors and permitted assigns in such capacity, the “</w:t>
      </w:r>
      <w:r>
        <w:rPr>
          <w:rFonts w:ascii="Times New Roman;sans-serif" w:hAnsi="Times New Roman;sans-serif"/>
          <w:b/>
          <w:i/>
          <w:color w:val="000000"/>
          <w:sz w:val="24"/>
        </w:rPr>
        <w:t>Collateral Agent</w:t>
      </w:r>
      <w:r>
        <w:rPr>
          <w:color w:val="000000"/>
        </w:rPr>
        <w:t>”</w:t>
      </w:r>
      <w:r>
        <w:rPr>
          <w:rFonts w:ascii="Times New Roman;sans-serif" w:hAnsi="Times New Roman;sans-serif"/>
          <w:b w:val="false"/>
          <w:color w:val="000000"/>
          <w:sz w:val="24"/>
        </w:rPr>
        <w:t>) for the Secured Parties (as defined therein). The parties hereto agree as follows:</w:t>
      </w:r>
    </w:p>
    <w:p>
      <w:pPr>
        <w:pStyle w:val="TextBody"/>
        <w:bidi w:val="0"/>
        <w:spacing w:lineRule="auto" w:line="240" w:before="240" w:after="283"/>
        <w:jc w:val="both"/>
        <w:rPr/>
      </w:pPr>
      <w:r>
        <w:rPr>
          <w:rFonts w:ascii="Times New Roman;sans-serif" w:hAnsi="Times New Roman;sans-serif"/>
          <w:b w:val="false"/>
          <w:color w:val="000000"/>
          <w:sz w:val="24"/>
        </w:rPr>
        <w:t xml:space="preserve">SECTION 1. </w:t>
      </w:r>
      <w:r>
        <w:rPr>
          <w:rFonts w:ascii="Times New Roman;sans-serif" w:hAnsi="Times New Roman;sans-serif"/>
          <w:b/>
          <w:i/>
          <w:color w:val="000000"/>
          <w:sz w:val="24"/>
        </w:rPr>
        <w:t>Terms</w:t>
      </w:r>
      <w:r>
        <w:rPr>
          <w:rFonts w:ascii="Times New Roman;sans-serif" w:hAnsi="Times New Roman;sans-serif"/>
          <w:b w:val="false"/>
          <w:color w:val="000000"/>
          <w:sz w:val="24"/>
        </w:rPr>
        <w:t xml:space="preserve">. Capitalized terms used in this Agreement and not otherwise defined herein have the meanings specified in the Collateral Agreement. The rules of construction specified in </w:t>
      </w:r>
      <w:r>
        <w:rPr>
          <w:rFonts w:ascii="Times New Roman;sans-serif" w:hAnsi="Times New Roman;sans-serif"/>
          <w:b w:val="false"/>
          <w:color w:val="000000"/>
          <w:sz w:val="24"/>
          <w:u w:val="single"/>
        </w:rPr>
        <w:t>Section 1.1(b)</w:t>
      </w:r>
      <w:r>
        <w:rPr>
          <w:color w:val="000000"/>
        </w:rPr>
        <w:t xml:space="preserve"> </w:t>
      </w:r>
      <w:r>
        <w:rPr>
          <w:rFonts w:ascii="Times New Roman;sans-serif" w:hAnsi="Times New Roman;sans-serif"/>
          <w:b w:val="false"/>
          <w:color w:val="000000"/>
          <w:sz w:val="24"/>
        </w:rPr>
        <w:t>of the Collateral Agreement also apply to this Agreement.</w:t>
      </w:r>
    </w:p>
    <w:p>
      <w:pPr>
        <w:pStyle w:val="TextBody"/>
        <w:bidi w:val="0"/>
        <w:spacing w:lineRule="auto" w:line="240" w:before="240" w:after="283"/>
        <w:jc w:val="both"/>
        <w:rPr/>
      </w:pPr>
      <w:r>
        <w:rPr>
          <w:rFonts w:ascii="Times New Roman;sans-serif" w:hAnsi="Times New Roman;sans-serif"/>
          <w:b w:val="false"/>
          <w:color w:val="000000"/>
          <w:sz w:val="24"/>
        </w:rPr>
        <w:t xml:space="preserve">SECTION 2. </w:t>
      </w:r>
      <w:r>
        <w:rPr>
          <w:rFonts w:ascii="Times New Roman;sans-serif" w:hAnsi="Times New Roman;sans-serif"/>
          <w:b/>
          <w:i/>
          <w:color w:val="000000"/>
          <w:sz w:val="24"/>
        </w:rPr>
        <w:t>Grant of Security Interest</w:t>
      </w:r>
      <w:r>
        <w:rPr>
          <w:rFonts w:ascii="Times New Roman;sans-serif" w:hAnsi="Times New Roman;sans-serif"/>
          <w:b w:val="false"/>
          <w:color w:val="000000"/>
          <w:sz w:val="24"/>
        </w:rPr>
        <w:t>. As security for the payment and performance, as applicable, in full of its Secured Obligations, the Pledgor, pursuant to the Collateral Agreement did, and hereby does, assign and pledge to the Collateral Agent, its permitted successors and permitted assigns, for the benefit of the Secured Parties, a continuing security interest in all of the Pledgor’s right, title and interest in, to and under any and all of the following assets now owned or at any time hereafter acquired by the Pledgor or in which the Pledgor now has or at any time in the future may acquire any right, title or interest (collectively, but excluding any Excluded Property, the “</w:t>
      </w:r>
      <w:r>
        <w:rPr>
          <w:rFonts w:ascii="Times New Roman;sans-serif" w:hAnsi="Times New Roman;sans-serif"/>
          <w:b/>
          <w:i/>
          <w:color w:val="000000"/>
          <w:sz w:val="24"/>
        </w:rPr>
        <w:t>IP Collateral</w:t>
      </w:r>
      <w:r>
        <w:rPr>
          <w:color w:val="000000"/>
        </w:rPr>
        <w:t>”</w:t>
      </w:r>
      <w:r>
        <w:rPr>
          <w:rFonts w:ascii="Times New Roman;sans-serif" w:hAnsi="Times New Roman;sans-serif"/>
          <w:b w:val="false"/>
          <w:color w:val="000000"/>
          <w:sz w:val="24"/>
        </w:rPr>
        <w:t>):</w:t>
      </w:r>
    </w:p>
    <w:p>
      <w:pPr>
        <w:pStyle w:val="TextBody"/>
        <w:bidi w:val="0"/>
        <w:spacing w:lineRule="auto" w:line="592" w:before="7" w:after="283"/>
        <w:jc w:val="both"/>
        <w:rPr/>
      </w:pPr>
      <w:r>
        <w:rPr>
          <w:rFonts w:ascii="Times New Roman;sans-serif" w:hAnsi="Times New Roman;sans-serif"/>
          <w:b w:val="false"/>
          <w:color w:val="000000"/>
          <w:sz w:val="24"/>
        </w:rPr>
        <w:t xml:space="preserve">[all Patents of the United States of America, including those listed on </w:t>
      </w:r>
      <w:r>
        <w:rPr>
          <w:rFonts w:ascii="Times New Roman;sans-serif" w:hAnsi="Times New Roman;sans-serif"/>
          <w:b w:val="false"/>
          <w:color w:val="000000"/>
          <w:sz w:val="24"/>
          <w:u w:val="single"/>
        </w:rPr>
        <w:t>Schedule I</w:t>
      </w:r>
      <w:r>
        <w:rPr>
          <w:rFonts w:ascii="Times New Roman;sans-serif" w:hAnsi="Times New Roman;sans-serif"/>
          <w:b w:val="false"/>
          <w:color w:val="000000"/>
          <w:sz w:val="24"/>
        </w:rPr>
        <w:t>;] [all Copyrights of the United States of America, including those listed on</w:t>
      </w:r>
    </w:p>
    <w:p>
      <w:pPr>
        <w:pStyle w:val="TextBody"/>
        <w:bidi w:val="0"/>
        <w:spacing w:lineRule="auto" w:line="240" w:before="4" w:after="283"/>
        <w:jc w:val="both"/>
        <w:rPr/>
      </w:pPr>
      <w:r>
        <w:rPr>
          <w:rFonts w:ascii="Times New Roman;sans-serif" w:hAnsi="Times New Roman;sans-serif"/>
          <w:b w:val="false"/>
          <w:color w:val="000000"/>
          <w:sz w:val="24"/>
          <w:u w:val="single"/>
        </w:rPr>
        <w:t>Schedule I</w:t>
      </w:r>
      <w:r>
        <w:rPr>
          <w:rFonts w:ascii="Times New Roman;sans-serif" w:hAnsi="Times New Roman;sans-serif"/>
          <w:b w:val="false"/>
          <w:color w:val="000000"/>
          <w:sz w:val="24"/>
        </w:rPr>
        <w:t>;]</w:t>
      </w:r>
    </w:p>
    <w:p>
      <w:pPr>
        <w:pStyle w:val="TextBody"/>
        <w:bidi w:val="0"/>
        <w:spacing w:lineRule="auto" w:line="240" w:before="240" w:after="283"/>
        <w:ind w:left="0" w:right="0" w:firstLine="720"/>
        <w:jc w:val="left"/>
        <w:rPr/>
      </w:pPr>
      <w:r>
        <w:rPr>
          <w:rFonts w:ascii="Times New Roman;sans-serif" w:hAnsi="Times New Roman;sans-serif"/>
          <w:b w:val="false"/>
          <w:color w:val="000000"/>
          <w:sz w:val="24"/>
        </w:rPr>
        <w:t xml:space="preserve">[all Trademarks of the United States of America, including those listed on </w:t>
      </w:r>
      <w:r>
        <w:rPr>
          <w:rFonts w:ascii="Times New Roman;sans-serif" w:hAnsi="Times New Roman;sans-serif"/>
          <w:b w:val="false"/>
          <w:color w:val="000000"/>
          <w:sz w:val="24"/>
          <w:u w:val="single"/>
        </w:rPr>
        <w:t>Schedule I</w:t>
      </w:r>
      <w:r>
        <w:rPr>
          <w:rFonts w:ascii="Times New Roman;sans-serif" w:hAnsi="Times New Roman;sans-serif"/>
          <w:b w:val="false"/>
          <w:color w:val="000000"/>
          <w:sz w:val="24"/>
        </w:rPr>
        <w:t>;]</w:t>
      </w:r>
    </w:p>
    <w:p>
      <w:pPr>
        <w:pStyle w:val="TextBody"/>
        <w:bidi w:val="0"/>
        <w:spacing w:lineRule="auto" w:line="240" w:before="240" w:after="283"/>
        <w:jc w:val="both"/>
        <w:rPr/>
      </w:pP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the foregoing pledge, assignment and grant of security interest will not cover any Excluded Property, including, without limitation, any “intent-to-use” trademark applications, to the extent that the grant of a security interest therein would impair the validity or enforceability of, or render void or voidable or result in the cancellation of the applicable grantor’s right, title or interest therein or in any trademark issued as a result of such application under applicable federal law.</w:t>
      </w:r>
    </w:p>
    <w:p>
      <w:pPr>
        <w:pStyle w:val="TextBody"/>
        <w:bidi w:val="0"/>
        <w:spacing w:lineRule="auto" w:line="240" w:before="241" w:after="283"/>
        <w:jc w:val="both"/>
        <w:rPr/>
      </w:pPr>
      <w:r>
        <w:rPr>
          <w:rFonts w:ascii="Times New Roman;sans-serif" w:hAnsi="Times New Roman;sans-serif"/>
          <w:b w:val="false"/>
          <w:color w:val="000000"/>
          <w:sz w:val="24"/>
        </w:rPr>
        <w:t xml:space="preserve">SECTION 3. </w:t>
      </w:r>
      <w:r>
        <w:rPr>
          <w:rFonts w:ascii="Times New Roman;sans-serif" w:hAnsi="Times New Roman;sans-serif"/>
          <w:b/>
          <w:i/>
          <w:color w:val="000000"/>
          <w:sz w:val="24"/>
        </w:rPr>
        <w:t>Collateral Agreement</w:t>
      </w:r>
      <w:r>
        <w:rPr>
          <w:rFonts w:ascii="Times New Roman;sans-serif" w:hAnsi="Times New Roman;sans-serif"/>
          <w:b w:val="false"/>
          <w:color w:val="000000"/>
          <w:sz w:val="24"/>
        </w:rPr>
        <w:t>. The security interests granted to the Collateral Agent herein are granted in furtherance, and not in limitation of, the security interests granted to the Collateral Agent pursuant to the Collateral Agreement. The Pledgor hereby</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54">
                <wp:simplePos x="0" y="0"/>
                <wp:positionH relativeFrom="character">
                  <wp:align>left</wp:align>
                </wp:positionH>
                <wp:positionV relativeFrom="line">
                  <wp:posOffset>635</wp:posOffset>
                </wp:positionV>
                <wp:extent cx="6480175" cy="781050"/>
                <wp:effectExtent l="0" t="0" r="0" b="0"/>
                <wp:wrapNone/>
                <wp:docPr id="553" name="Frame552"/>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351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351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jc w:val="both"/>
        <w:rPr>
          <w:rFonts w:ascii="Times New Roman;sans-serif" w:hAnsi="Times New Roman;sans-serif"/>
          <w:b w:val="false"/>
          <w:color w:val="000000"/>
          <w:sz w:val="24"/>
        </w:rPr>
      </w:pPr>
      <w:r>
        <w:rPr>
          <w:rFonts w:ascii="Times New Roman;sans-serif" w:hAnsi="Times New Roman;sans-serif"/>
          <w:b w:val="false"/>
          <w:color w:val="000000"/>
          <w:sz w:val="24"/>
        </w:rPr>
        <w:t>acknowledges and affirms that the rights and remedies of the Collateral Agent with respect to the IP Collateral are more fully set forth in the Collateral Agreement, the terms and provisions of which are hereby incorporated herein by reference as if fully set forth herein. In the event of any conflict between the terms of this Agreement and the Collateral Agreement, the terms of the Collateral Agreement shall govern.</w:t>
      </w:r>
    </w:p>
    <w:p>
      <w:pPr>
        <w:pStyle w:val="TextBody"/>
        <w:bidi w:val="0"/>
        <w:spacing w:lineRule="auto" w:line="240" w:before="240" w:after="283"/>
        <w:jc w:val="both"/>
        <w:rPr/>
      </w:pPr>
      <w:r>
        <w:rPr>
          <w:rFonts w:ascii="Times New Roman;sans-serif" w:hAnsi="Times New Roman;sans-serif"/>
          <w:b w:val="false"/>
          <w:color w:val="000000"/>
          <w:sz w:val="24"/>
        </w:rPr>
        <w:t xml:space="preserve">SECTION 4. </w:t>
      </w:r>
      <w:r>
        <w:rPr>
          <w:rFonts w:ascii="Times New Roman;sans-serif" w:hAnsi="Times New Roman;sans-serif"/>
          <w:b/>
          <w:i/>
          <w:color w:val="000000"/>
          <w:sz w:val="24"/>
        </w:rPr>
        <w:t>Counterparts</w:t>
      </w:r>
      <w:r>
        <w:rPr>
          <w:rFonts w:ascii="Times New Roman;sans-serif" w:hAnsi="Times New Roman;sans-serif"/>
          <w:b w:val="false"/>
          <w:color w:val="000000"/>
          <w:sz w:val="24"/>
        </w:rPr>
        <w:t>. This Agreement may be executed in any number of counterparts, each of which shall be deemed an original and all of which, when taken together, shall constitute one agreement. Delivery of an executed counterpart of a signature page of this Agreement by facsimile transmission, electronic mail (including pdf) or any electronic signature complying with the U.S. Federal ESIGN Act of 2000 or the New York Electronic Signature and Records Act or other transmission method shall be deemed to have been duly and validly delivered and be valid and effective for all purposes to the fullest extent permitted by applicable law. Each party hereto represents and warrants to the other parties hereto that it has the corporate capacity and authority to execute this Agreement through electronic means and there are no restrictions for doing so in such party’s constitutive documents.</w:t>
      </w:r>
    </w:p>
    <w:p>
      <w:pPr>
        <w:pStyle w:val="TextBody"/>
        <w:bidi w:val="0"/>
        <w:spacing w:lineRule="auto" w:line="240" w:before="240" w:after="283"/>
        <w:jc w:val="both"/>
        <w:rPr/>
      </w:pPr>
      <w:r>
        <w:rPr>
          <w:rFonts w:ascii="Times New Roman;sans-serif" w:hAnsi="Times New Roman;sans-serif"/>
          <w:b w:val="false"/>
          <w:color w:val="000000"/>
          <w:sz w:val="24"/>
        </w:rPr>
        <w:t xml:space="preserve">SECTION 5. </w:t>
      </w:r>
      <w:r>
        <w:rPr>
          <w:rFonts w:ascii="Times New Roman;sans-serif" w:hAnsi="Times New Roman;sans-serif"/>
          <w:b/>
          <w:i/>
          <w:color w:val="000000"/>
          <w:sz w:val="24"/>
        </w:rPr>
        <w:t>Governing Law</w:t>
      </w:r>
      <w:r>
        <w:rPr>
          <w:rFonts w:ascii="Times New Roman;sans-serif" w:hAnsi="Times New Roman;sans-serif"/>
          <w:b w:val="false"/>
          <w:i/>
          <w:color w:val="000000"/>
          <w:sz w:val="24"/>
        </w:rPr>
        <w:t xml:space="preserve">. </w:t>
      </w:r>
      <w:r>
        <w:rPr>
          <w:rFonts w:ascii="Times New Roman;sans-serif" w:hAnsi="Times New Roman;sans-serif"/>
          <w:b/>
          <w:color w:val="000000"/>
          <w:sz w:val="24"/>
        </w:rPr>
        <w:t>THIS AGREEMENT AND ANY CLAIMS, CONTROVERSY, DISPUTE OR CAUSES OF ACTION (WHETHER IN CONTRACT OR TORT OR OTHERWISE) BASED UPON, ARISING OUT OF OR RELATING TO THIS AGREEMENT SHALL BE CONSTRUED IN ACCORDANCE WITH AND GOVERNED BY THE LAWS OF THE STATE OF NEW YORK</w:t>
      </w:r>
      <w:r>
        <w:rPr>
          <w:rFonts w:ascii="Times New Roman;sans-serif" w:hAnsi="Times New Roman;sans-serif"/>
          <w:b w:val="false"/>
          <w:color w:val="000000"/>
          <w:sz w:val="24"/>
        </w:rPr>
        <w:t>.</w:t>
      </w:r>
    </w:p>
    <w:p>
      <w:pPr>
        <w:pStyle w:val="TextBody"/>
        <w:bidi w:val="0"/>
        <w:spacing w:lineRule="auto" w:line="240" w:before="241"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Pages Follow]</w:t>
      </w:r>
    </w:p>
    <w:p>
      <w:pPr>
        <w:pStyle w:val="TextBody"/>
        <w:bidi w:val="0"/>
        <w:spacing w:before="0" w:after="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55">
                <wp:simplePos x="0" y="0"/>
                <wp:positionH relativeFrom="character">
                  <wp:align>left</wp:align>
                </wp:positionH>
                <wp:positionV relativeFrom="line">
                  <wp:posOffset>635</wp:posOffset>
                </wp:positionV>
                <wp:extent cx="6480175" cy="781050"/>
                <wp:effectExtent l="0" t="0" r="0" b="0"/>
                <wp:wrapNone/>
                <wp:docPr id="554" name="Frame553"/>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352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352</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40" w:before="6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IN WITNESS WHEREOF, the parties hereto have duly executed this Agreement as of the day and year first above written.</w:t>
      </w:r>
    </w:p>
    <w:p>
      <w:pPr>
        <w:pStyle w:val="TextBody"/>
        <w:bidi w:val="0"/>
        <w:spacing w:lineRule="auto" w:line="240" w:before="24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[Name of Pledgor]</w:t>
      </w:r>
    </w:p>
    <w:p>
      <w:pPr>
        <w:pStyle w:val="TextBody"/>
        <w:bidi w:val="0"/>
        <w:spacing w:before="204" w:after="283"/>
        <w:jc w:val="left"/>
        <w:rPr/>
      </w:pPr>
      <w:r>
        <w:rPr/>
      </w:r>
    </w:p>
    <w:p>
      <w:pPr>
        <w:pStyle w:val="TextBody"/>
        <w:bidi w:val="0"/>
        <w:spacing w:lineRule="auto" w:line="285" w:before="0" w:after="0"/>
        <w:ind w:left="0" w:right="0" w:hanging="813"/>
        <w:jc w:val="left"/>
        <w:rPr/>
      </w:pPr>
      <w:r>
        <w:rPr>
          <w:rFonts w:ascii="Times New Roman;sans-serif" w:hAnsi="Times New Roman;sans-serif"/>
          <w:b w:val="false"/>
          <w:color w:val="000000"/>
          <w:sz w:val="24"/>
        </w:rPr>
        <w:t>By:    </w:t>
      </w:r>
      <w:r>
        <w:rPr>
          <w:color w:val="000000"/>
          <w:u w:val="single"/>
        </w:rPr>
        <w:t>        </w:t>
      </w:r>
      <w:r>
        <w:rPr>
          <w:color w:val="000000"/>
        </w:rPr>
        <w:t xml:space="preserve"> </w:t>
      </w:r>
      <w:r>
        <w:rPr>
          <w:rFonts w:ascii="Times New Roman;sans-serif" w:hAnsi="Times New Roman;sans-serif"/>
          <w:b w:val="false"/>
          <w:color w:val="000000"/>
          <w:sz w:val="24"/>
        </w:rPr>
        <w:t>Name:</w:t>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Title: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1" w:after="283"/>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[Signature Page to Notice of Grant of Security Interest in [Patents][Trademarks][Copyrights]</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56">
                <wp:simplePos x="0" y="0"/>
                <wp:positionH relativeFrom="character">
                  <wp:align>left</wp:align>
                </wp:positionH>
                <wp:positionV relativeFrom="line">
                  <wp:posOffset>635</wp:posOffset>
                </wp:positionV>
                <wp:extent cx="6480175" cy="781050"/>
                <wp:effectExtent l="0" t="0" r="0" b="0"/>
                <wp:wrapNone/>
                <wp:docPr id="555" name="Frame554"/>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353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353</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6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CITIBANK, N.A.,</w:t>
      </w:r>
    </w:p>
    <w:p>
      <w:pPr>
        <w:pStyle w:val="TextBody"/>
        <w:bidi w:val="0"/>
        <w:spacing w:before="204" w:after="283"/>
        <w:jc w:val="left"/>
        <w:rPr/>
      </w:pPr>
      <w:r>
        <w:rPr/>
      </w:r>
    </w:p>
    <w:p>
      <w:pPr>
        <w:pStyle w:val="TextBody"/>
        <w:bidi w:val="0"/>
        <w:spacing w:lineRule="auto" w:line="285" w:before="0" w:after="0"/>
        <w:ind w:left="0" w:right="0" w:hanging="813"/>
        <w:jc w:val="left"/>
        <w:rPr/>
      </w:pPr>
      <w:r>
        <w:rPr>
          <w:rFonts w:ascii="Times New Roman;sans-serif" w:hAnsi="Times New Roman;sans-serif"/>
          <w:b w:val="false"/>
          <w:color w:val="000000"/>
          <w:sz w:val="24"/>
        </w:rPr>
        <w:t>By:    </w:t>
      </w:r>
      <w:r>
        <w:rPr>
          <w:color w:val="000000"/>
          <w:u w:val="single"/>
        </w:rPr>
        <w:t>        </w:t>
      </w:r>
      <w:r>
        <w:rPr>
          <w:color w:val="000000"/>
        </w:rPr>
        <w:t xml:space="preserve"> </w:t>
      </w:r>
      <w:r>
        <w:rPr>
          <w:rFonts w:ascii="Times New Roman;sans-serif" w:hAnsi="Times New Roman;sans-serif"/>
          <w:b w:val="false"/>
          <w:color w:val="000000"/>
          <w:sz w:val="24"/>
        </w:rPr>
        <w:t>Name:</w:t>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Title: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1" w:after="283"/>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[Signature Page to Notice of Grant of Security Interest in [Patents][Trademarks][Copyrights]</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57">
                <wp:simplePos x="0" y="0"/>
                <wp:positionH relativeFrom="character">
                  <wp:align>left</wp:align>
                </wp:positionH>
                <wp:positionV relativeFrom="line">
                  <wp:posOffset>635</wp:posOffset>
                </wp:positionV>
                <wp:extent cx="6480175" cy="781050"/>
                <wp:effectExtent l="0" t="0" r="0" b="0"/>
                <wp:wrapNone/>
                <wp:docPr id="556" name="Frame555"/>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354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354</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60" w:after="283"/>
        <w:ind w:left="0" w:right="0" w:firstLine="3631"/>
        <w:jc w:val="left"/>
        <w:rPr>
          <w:rFonts w:ascii="Times New Roman;sans-serif" w:hAnsi="Times New Roman;sans-serif"/>
          <w:b w:val="false"/>
          <w:color w:val="000000"/>
          <w:sz w:val="24"/>
        </w:rPr>
      </w:pPr>
      <w:r>
        <w:rPr>
          <w:rFonts w:ascii="Times New Roman;sans-serif" w:hAnsi="Times New Roman;sans-serif"/>
          <w:b w:val="false"/>
          <w:color w:val="000000"/>
          <w:sz w:val="24"/>
        </w:rPr>
        <w:t>Schedule I to Notice of Grant of Security Interest in Patents</w:t>
      </w:r>
    </w:p>
    <w:p>
      <w:pPr>
        <w:pStyle w:val="TextBody"/>
        <w:bidi w:val="0"/>
        <w:spacing w:lineRule="auto" w:line="240" w:before="240" w:after="283"/>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Patents Owned by [Name of Pledgor]</w:t>
      </w:r>
    </w:p>
    <w:p>
      <w:pPr>
        <w:pStyle w:val="TextBody"/>
        <w:bidi w:val="0"/>
        <w:spacing w:lineRule="auto" w:line="240" w:before="240" w:after="283"/>
        <w:jc w:val="left"/>
        <w:rPr>
          <w:rFonts w:ascii="Times New Roman;sans-serif" w:hAnsi="Times New Roman;sans-serif"/>
          <w:b w:val="false"/>
          <w:i/>
          <w:color w:val="000000"/>
          <w:sz w:val="24"/>
        </w:rPr>
      </w:pPr>
      <w:r>
        <w:rPr>
          <w:rFonts w:ascii="Times New Roman;sans-serif" w:hAnsi="Times New Roman;sans-serif"/>
          <w:b w:val="false"/>
          <w:i/>
          <w:color w:val="000000"/>
          <w:sz w:val="24"/>
        </w:rPr>
        <w:t>U.S. Patent Registrations</w:t>
      </w:r>
    </w:p>
    <w:p>
      <w:pPr>
        <w:pStyle w:val="TextBody"/>
        <w:bidi w:val="0"/>
        <w:spacing w:before="10" w:after="283"/>
        <w:jc w:val="left"/>
        <w:rPr/>
      </w:pPr>
      <w:r>
        <w:rPr/>
      </w:r>
    </w:p>
    <w:tbl>
      <w:tblPr>
        <w:tblW w:w="2804" w:type="dxa"/>
        <w:jc w:val="left"/>
        <w:tblInd w:w="0" w:type="dxa"/>
        <w:tblLayout w:type="fixed"/>
        <w:tblCellMar>
          <w:top w:w="28" w:type="dxa"/>
          <w:left w:w="28" w:type="dxa"/>
          <w:bottom w:w="28" w:type="dxa"/>
          <w:right w:w="28" w:type="dxa"/>
        </w:tblCellMar>
      </w:tblPr>
      <w:tblGrid>
        <w:gridCol w:w="201"/>
        <w:gridCol w:w="177"/>
        <w:gridCol w:w="178"/>
        <w:gridCol w:w="369"/>
        <w:gridCol w:w="369"/>
        <w:gridCol w:w="371"/>
        <w:gridCol w:w="332"/>
        <w:gridCol w:w="332"/>
        <w:gridCol w:w="475"/>
      </w:tblGrid>
      <w:tr>
        <w:trPr/>
        <w:tc>
          <w:tcPr>
            <w:tcW w:w="20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r>
      <w:tr>
        <w:trPr/>
        <w:tc>
          <w:tcPr>
            <w:tcW w:w="556" w:type="dxa"/>
            <w:gridSpan w:val="3"/>
            <w:tcBorders>
              <w:top w:val="single" w:sz="4" w:space="0" w:color="000000"/>
              <w:left w:val="single" w:sz="4" w:space="0" w:color="000000"/>
            </w:tcBorders>
            <w:shd w:fill="BFBFBF" w:val="clear"/>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Title</w:t>
            </w:r>
          </w:p>
        </w:tc>
        <w:tc>
          <w:tcPr>
            <w:tcW w:w="1109" w:type="dxa"/>
            <w:gridSpan w:val="3"/>
            <w:tcBorders>
              <w:top w:val="single" w:sz="4" w:space="0" w:color="000000"/>
              <w:left w:val="single" w:sz="4" w:space="0" w:color="000000"/>
            </w:tcBorders>
            <w:shd w:fill="BFBFBF" w:val="clear"/>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Patent No.</w:t>
            </w:r>
          </w:p>
        </w:tc>
        <w:tc>
          <w:tcPr>
            <w:tcW w:w="1139" w:type="dxa"/>
            <w:gridSpan w:val="3"/>
            <w:tcBorders>
              <w:top w:val="single" w:sz="4" w:space="0" w:color="000000"/>
              <w:left w:val="single" w:sz="4" w:space="0" w:color="000000"/>
              <w:right w:val="single" w:sz="4" w:space="0" w:color="000000"/>
            </w:tcBorders>
            <w:shd w:fill="BFBFBF" w:val="clear"/>
            <w:tcMar>
              <w:top w:w="30" w:type="dxa"/>
              <w:bottom w:w="0" w:type="dxa"/>
            </w:tcMar>
            <w:vAlign w:val="center"/>
          </w:tcPr>
          <w:p>
            <w:pPr>
              <w:pStyle w:val="TableContents"/>
              <w:bidi w:val="0"/>
              <w:spacing w:lineRule="auto" w:line="240" w:before="0" w:after="0"/>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Issue Date</w:t>
            </w:r>
          </w:p>
        </w:tc>
      </w:tr>
      <w:tr>
        <w:trPr/>
        <w:tc>
          <w:tcPr>
            <w:tcW w:w="556"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241" w:after="283"/>
        <w:jc w:val="left"/>
        <w:rPr/>
      </w:pPr>
      <w:r>
        <w:rPr/>
      </w:r>
    </w:p>
    <w:p>
      <w:pPr>
        <w:pStyle w:val="TextBody"/>
        <w:bidi w:val="0"/>
        <w:spacing w:lineRule="auto" w:line="240" w:before="0" w:after="0"/>
        <w:jc w:val="left"/>
        <w:rPr>
          <w:rFonts w:ascii="Times New Roman;sans-serif" w:hAnsi="Times New Roman;sans-serif"/>
          <w:b w:val="false"/>
          <w:i/>
          <w:color w:val="000000"/>
          <w:sz w:val="24"/>
        </w:rPr>
      </w:pPr>
      <w:r>
        <w:rPr>
          <w:rFonts w:ascii="Times New Roman;sans-serif" w:hAnsi="Times New Roman;sans-serif"/>
          <w:b w:val="false"/>
          <w:i/>
          <w:color w:val="000000"/>
          <w:sz w:val="24"/>
        </w:rPr>
        <w:t>U.S. Patent Applications</w:t>
      </w:r>
    </w:p>
    <w:p>
      <w:pPr>
        <w:pStyle w:val="TextBody"/>
        <w:bidi w:val="0"/>
        <w:spacing w:before="10" w:after="283"/>
        <w:jc w:val="left"/>
        <w:rPr/>
      </w:pPr>
      <w:r>
        <w:rPr/>
      </w:r>
    </w:p>
    <w:tbl>
      <w:tblPr>
        <w:tblW w:w="3404" w:type="dxa"/>
        <w:jc w:val="left"/>
        <w:tblInd w:w="0" w:type="dxa"/>
        <w:tblLayout w:type="fixed"/>
        <w:tblCellMar>
          <w:top w:w="28" w:type="dxa"/>
          <w:left w:w="28" w:type="dxa"/>
          <w:bottom w:w="28" w:type="dxa"/>
          <w:right w:w="28" w:type="dxa"/>
        </w:tblCellMar>
      </w:tblPr>
      <w:tblGrid>
        <w:gridCol w:w="201"/>
        <w:gridCol w:w="177"/>
        <w:gridCol w:w="178"/>
        <w:gridCol w:w="544"/>
        <w:gridCol w:w="544"/>
        <w:gridCol w:w="546"/>
        <w:gridCol w:w="354"/>
        <w:gridCol w:w="354"/>
        <w:gridCol w:w="506"/>
      </w:tblGrid>
      <w:tr>
        <w:trPr/>
        <w:tc>
          <w:tcPr>
            <w:tcW w:w="20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r>
      <w:tr>
        <w:trPr/>
        <w:tc>
          <w:tcPr>
            <w:tcW w:w="556" w:type="dxa"/>
            <w:gridSpan w:val="3"/>
            <w:tcBorders>
              <w:top w:val="single" w:sz="4" w:space="0" w:color="000000"/>
              <w:left w:val="single" w:sz="4" w:space="0" w:color="000000"/>
            </w:tcBorders>
            <w:shd w:fill="BFBFBF" w:val="clear"/>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Title</w:t>
            </w:r>
          </w:p>
        </w:tc>
        <w:tc>
          <w:tcPr>
            <w:tcW w:w="1634" w:type="dxa"/>
            <w:gridSpan w:val="3"/>
            <w:tcBorders>
              <w:top w:val="single" w:sz="4" w:space="0" w:color="000000"/>
              <w:left w:val="single" w:sz="4" w:space="0" w:color="000000"/>
            </w:tcBorders>
            <w:shd w:fill="BFBFBF" w:val="clear"/>
            <w:tcMar>
              <w:top w:w="3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Application No.</w:t>
            </w:r>
          </w:p>
        </w:tc>
        <w:tc>
          <w:tcPr>
            <w:tcW w:w="1214" w:type="dxa"/>
            <w:gridSpan w:val="3"/>
            <w:tcBorders>
              <w:top w:val="single" w:sz="4" w:space="0" w:color="000000"/>
              <w:left w:val="single" w:sz="4" w:space="0" w:color="000000"/>
              <w:right w:val="single" w:sz="4" w:space="0" w:color="000000"/>
            </w:tcBorders>
            <w:shd w:fill="BFBFBF" w:val="clear"/>
            <w:tcMar>
              <w:top w:w="30" w:type="dxa"/>
              <w:bottom w:w="0" w:type="dxa"/>
            </w:tcMar>
            <w:vAlign w:val="center"/>
          </w:tcPr>
          <w:p>
            <w:pPr>
              <w:pStyle w:val="TableContents"/>
              <w:bidi w:val="0"/>
              <w:spacing w:lineRule="auto" w:line="240" w:before="0" w:after="0"/>
              <w:jc w:val="lef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Filing Date</w:t>
            </w:r>
          </w:p>
        </w:tc>
      </w:tr>
      <w:tr>
        <w:trPr/>
        <w:tc>
          <w:tcPr>
            <w:tcW w:w="556"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58">
                <wp:simplePos x="0" y="0"/>
                <wp:positionH relativeFrom="character">
                  <wp:align>left</wp:align>
                </wp:positionH>
                <wp:positionV relativeFrom="line">
                  <wp:posOffset>635</wp:posOffset>
                </wp:positionV>
                <wp:extent cx="6480175" cy="781050"/>
                <wp:effectExtent l="0" t="0" r="0" b="0"/>
                <wp:wrapNone/>
                <wp:docPr id="557" name="Frame556"/>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355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355</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60" w:after="283"/>
        <w:ind w:left="0" w:right="0" w:firstLine="4004"/>
        <w:jc w:val="left"/>
        <w:rPr>
          <w:rFonts w:ascii="Times New Roman;sans-serif" w:hAnsi="Times New Roman;sans-serif"/>
          <w:b w:val="false"/>
          <w:color w:val="000000"/>
          <w:sz w:val="24"/>
        </w:rPr>
      </w:pPr>
      <w:r>
        <w:rPr>
          <w:rFonts w:ascii="Times New Roman;sans-serif" w:hAnsi="Times New Roman;sans-serif"/>
          <w:b w:val="false"/>
          <w:color w:val="000000"/>
          <w:sz w:val="24"/>
        </w:rPr>
        <w:t>Schedule I to Notice of Grant of Security Interest in Copyrights</w:t>
      </w:r>
    </w:p>
    <w:p>
      <w:pPr>
        <w:pStyle w:val="TextBody"/>
        <w:bidi w:val="0"/>
        <w:spacing w:lineRule="auto" w:line="240" w:before="240" w:after="283"/>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Copyrights Owned by [Name of Pledgor]</w:t>
      </w:r>
    </w:p>
    <w:p>
      <w:pPr>
        <w:pStyle w:val="TextBody"/>
        <w:bidi w:val="0"/>
        <w:spacing w:lineRule="auto" w:line="240" w:before="240" w:after="283"/>
        <w:jc w:val="left"/>
        <w:rPr>
          <w:rFonts w:ascii="Times New Roman;sans-serif" w:hAnsi="Times New Roman;sans-serif"/>
          <w:b w:val="false"/>
          <w:i/>
          <w:color w:val="000000"/>
          <w:sz w:val="24"/>
        </w:rPr>
      </w:pPr>
      <w:r>
        <w:rPr>
          <w:rFonts w:ascii="Times New Roman;sans-serif" w:hAnsi="Times New Roman;sans-serif"/>
          <w:b w:val="false"/>
          <w:i/>
          <w:color w:val="000000"/>
          <w:sz w:val="24"/>
        </w:rPr>
        <w:t>U.S. Copyright Registrations</w:t>
      </w:r>
    </w:p>
    <w:p>
      <w:pPr>
        <w:pStyle w:val="TextBody"/>
        <w:bidi w:val="0"/>
        <w:spacing w:before="10" w:after="283"/>
        <w:jc w:val="left"/>
        <w:rPr/>
      </w:pPr>
      <w:r>
        <w:rPr/>
      </w:r>
    </w:p>
    <w:tbl>
      <w:tblPr>
        <w:tblW w:w="4020" w:type="dxa"/>
        <w:jc w:val="left"/>
        <w:tblInd w:w="0" w:type="dxa"/>
        <w:tblLayout w:type="fixed"/>
        <w:tblCellMar>
          <w:top w:w="28" w:type="dxa"/>
          <w:left w:w="28" w:type="dxa"/>
          <w:bottom w:w="28" w:type="dxa"/>
          <w:right w:w="28" w:type="dxa"/>
        </w:tblCellMar>
      </w:tblPr>
      <w:tblGrid>
        <w:gridCol w:w="201"/>
        <w:gridCol w:w="177"/>
        <w:gridCol w:w="178"/>
        <w:gridCol w:w="554"/>
        <w:gridCol w:w="554"/>
        <w:gridCol w:w="556"/>
        <w:gridCol w:w="527"/>
        <w:gridCol w:w="527"/>
        <w:gridCol w:w="746"/>
      </w:tblGrid>
      <w:tr>
        <w:trPr/>
        <w:tc>
          <w:tcPr>
            <w:tcW w:w="20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r>
      <w:tr>
        <w:trPr/>
        <w:tc>
          <w:tcPr>
            <w:tcW w:w="556" w:type="dxa"/>
            <w:gridSpan w:val="3"/>
            <w:tcBorders>
              <w:top w:val="single" w:sz="4" w:space="0" w:color="000000"/>
              <w:left w:val="single" w:sz="4" w:space="0" w:color="000000"/>
            </w:tcBorders>
            <w:shd w:fill="BFBFBF" w:val="clear"/>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Title</w:t>
            </w:r>
          </w:p>
        </w:tc>
        <w:tc>
          <w:tcPr>
            <w:tcW w:w="1664" w:type="dxa"/>
            <w:gridSpan w:val="3"/>
            <w:tcBorders>
              <w:top w:val="single" w:sz="4" w:space="0" w:color="000000"/>
              <w:left w:val="single" w:sz="4" w:space="0" w:color="000000"/>
            </w:tcBorders>
            <w:shd w:fill="BFBFBF" w:val="clear"/>
            <w:tcMar>
              <w:top w:w="3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Registration No.</w:t>
            </w:r>
          </w:p>
        </w:tc>
        <w:tc>
          <w:tcPr>
            <w:tcW w:w="1800" w:type="dxa"/>
            <w:gridSpan w:val="3"/>
            <w:tcBorders>
              <w:top w:val="single" w:sz="4" w:space="0" w:color="000000"/>
              <w:left w:val="single" w:sz="4" w:space="0" w:color="000000"/>
              <w:right w:val="single" w:sz="4" w:space="0" w:color="000000"/>
            </w:tcBorders>
            <w:shd w:fill="BFBFBF" w:val="clear"/>
            <w:tcMar>
              <w:top w:w="30" w:type="dxa"/>
              <w:bottom w:w="0" w:type="dxa"/>
            </w:tcMar>
            <w:vAlign w:val="center"/>
          </w:tcPr>
          <w:p>
            <w:pPr>
              <w:pStyle w:val="TableContents"/>
              <w:bidi w:val="0"/>
              <w:spacing w:lineRule="auto" w:line="240" w:before="0" w:after="0"/>
              <w:jc w:val="lef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Registration Date</w:t>
            </w:r>
          </w:p>
        </w:tc>
      </w:tr>
      <w:tr>
        <w:trPr/>
        <w:tc>
          <w:tcPr>
            <w:tcW w:w="556"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59">
                <wp:simplePos x="0" y="0"/>
                <wp:positionH relativeFrom="character">
                  <wp:align>left</wp:align>
                </wp:positionH>
                <wp:positionV relativeFrom="line">
                  <wp:posOffset>635</wp:posOffset>
                </wp:positionV>
                <wp:extent cx="6480175" cy="781050"/>
                <wp:effectExtent l="0" t="0" r="0" b="0"/>
                <wp:wrapNone/>
                <wp:docPr id="558" name="Frame557"/>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356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356</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60" w:after="283"/>
        <w:ind w:left="0" w:right="0" w:firstLine="4083"/>
        <w:jc w:val="left"/>
        <w:rPr>
          <w:rFonts w:ascii="Times New Roman;sans-serif" w:hAnsi="Times New Roman;sans-serif"/>
          <w:b w:val="false"/>
          <w:color w:val="000000"/>
          <w:sz w:val="24"/>
        </w:rPr>
      </w:pPr>
      <w:r>
        <w:rPr>
          <w:rFonts w:ascii="Times New Roman;sans-serif" w:hAnsi="Times New Roman;sans-serif"/>
          <w:b w:val="false"/>
          <w:color w:val="000000"/>
          <w:sz w:val="24"/>
        </w:rPr>
        <w:t>Schedule I to Notice of Grant of Security Interest in Trademarks</w:t>
      </w:r>
    </w:p>
    <w:p>
      <w:pPr>
        <w:pStyle w:val="TextBody"/>
        <w:bidi w:val="0"/>
        <w:spacing w:lineRule="auto" w:line="240" w:before="240" w:after="283"/>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Trademarks Owned by [Name of Pledgor]</w:t>
      </w:r>
    </w:p>
    <w:p>
      <w:pPr>
        <w:pStyle w:val="TextBody"/>
        <w:bidi w:val="0"/>
        <w:spacing w:lineRule="auto" w:line="240" w:before="240" w:after="283"/>
        <w:jc w:val="left"/>
        <w:rPr>
          <w:rFonts w:ascii="Times New Roman;sans-serif" w:hAnsi="Times New Roman;sans-serif"/>
          <w:b w:val="false"/>
          <w:i/>
          <w:color w:val="000000"/>
          <w:sz w:val="24"/>
        </w:rPr>
      </w:pPr>
      <w:r>
        <w:rPr>
          <w:rFonts w:ascii="Times New Roman;sans-serif" w:hAnsi="Times New Roman;sans-serif"/>
          <w:b w:val="false"/>
          <w:i/>
          <w:color w:val="000000"/>
          <w:sz w:val="24"/>
        </w:rPr>
        <w:t>U.S. Trademark Registrations</w:t>
      </w:r>
    </w:p>
    <w:p>
      <w:pPr>
        <w:pStyle w:val="TextBody"/>
        <w:bidi w:val="0"/>
        <w:spacing w:before="10" w:after="283"/>
        <w:jc w:val="left"/>
        <w:rPr/>
      </w:pPr>
      <w:r>
        <w:rPr/>
      </w:r>
    </w:p>
    <w:tbl>
      <w:tblPr>
        <w:tblW w:w="4020" w:type="dxa"/>
        <w:jc w:val="left"/>
        <w:tblInd w:w="0" w:type="dxa"/>
        <w:tblLayout w:type="fixed"/>
        <w:tblCellMar>
          <w:top w:w="28" w:type="dxa"/>
          <w:left w:w="28" w:type="dxa"/>
          <w:bottom w:w="28" w:type="dxa"/>
          <w:right w:w="28" w:type="dxa"/>
        </w:tblCellMar>
      </w:tblPr>
      <w:tblGrid>
        <w:gridCol w:w="201"/>
        <w:gridCol w:w="177"/>
        <w:gridCol w:w="178"/>
        <w:gridCol w:w="554"/>
        <w:gridCol w:w="554"/>
        <w:gridCol w:w="556"/>
        <w:gridCol w:w="527"/>
        <w:gridCol w:w="527"/>
        <w:gridCol w:w="746"/>
      </w:tblGrid>
      <w:tr>
        <w:trPr/>
        <w:tc>
          <w:tcPr>
            <w:tcW w:w="20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r>
      <w:tr>
        <w:trPr/>
        <w:tc>
          <w:tcPr>
            <w:tcW w:w="556" w:type="dxa"/>
            <w:gridSpan w:val="3"/>
            <w:tcBorders>
              <w:top w:val="single" w:sz="4" w:space="0" w:color="000000"/>
              <w:left w:val="single" w:sz="4" w:space="0" w:color="000000"/>
            </w:tcBorders>
            <w:shd w:fill="BFBFBF" w:val="clear"/>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Title</w:t>
            </w:r>
          </w:p>
        </w:tc>
        <w:tc>
          <w:tcPr>
            <w:tcW w:w="1664" w:type="dxa"/>
            <w:gridSpan w:val="3"/>
            <w:tcBorders>
              <w:top w:val="single" w:sz="4" w:space="0" w:color="000000"/>
              <w:left w:val="single" w:sz="4" w:space="0" w:color="000000"/>
            </w:tcBorders>
            <w:shd w:fill="BFBFBF" w:val="clear"/>
            <w:tcMar>
              <w:top w:w="3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Registration No.</w:t>
            </w:r>
          </w:p>
        </w:tc>
        <w:tc>
          <w:tcPr>
            <w:tcW w:w="1800" w:type="dxa"/>
            <w:gridSpan w:val="3"/>
            <w:tcBorders>
              <w:top w:val="single" w:sz="4" w:space="0" w:color="000000"/>
              <w:left w:val="single" w:sz="4" w:space="0" w:color="000000"/>
              <w:right w:val="single" w:sz="4" w:space="0" w:color="000000"/>
            </w:tcBorders>
            <w:shd w:fill="BFBFBF" w:val="clear"/>
            <w:tcMar>
              <w:top w:w="30" w:type="dxa"/>
              <w:bottom w:w="0" w:type="dxa"/>
            </w:tcMar>
            <w:vAlign w:val="center"/>
          </w:tcPr>
          <w:p>
            <w:pPr>
              <w:pStyle w:val="TableContents"/>
              <w:bidi w:val="0"/>
              <w:spacing w:lineRule="auto" w:line="240" w:before="0" w:after="0"/>
              <w:jc w:val="lef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Registration Date</w:t>
            </w:r>
          </w:p>
        </w:tc>
      </w:tr>
      <w:tr>
        <w:trPr/>
        <w:tc>
          <w:tcPr>
            <w:tcW w:w="556"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241" w:after="283"/>
        <w:jc w:val="left"/>
        <w:rPr/>
      </w:pPr>
      <w:r>
        <w:rPr/>
      </w:r>
    </w:p>
    <w:p>
      <w:pPr>
        <w:pStyle w:val="TextBody"/>
        <w:bidi w:val="0"/>
        <w:spacing w:lineRule="auto" w:line="240" w:before="0" w:after="0"/>
        <w:jc w:val="left"/>
        <w:rPr>
          <w:rFonts w:ascii="Times New Roman;sans-serif" w:hAnsi="Times New Roman;sans-serif"/>
          <w:b w:val="false"/>
          <w:i/>
          <w:color w:val="000000"/>
          <w:sz w:val="24"/>
        </w:rPr>
      </w:pPr>
      <w:r>
        <w:rPr>
          <w:rFonts w:ascii="Times New Roman;sans-serif" w:hAnsi="Times New Roman;sans-serif"/>
          <w:b w:val="false"/>
          <w:i/>
          <w:color w:val="000000"/>
          <w:sz w:val="24"/>
        </w:rPr>
        <w:t>U.S. Trademark Applications</w:t>
      </w:r>
    </w:p>
    <w:p>
      <w:pPr>
        <w:pStyle w:val="TextBody"/>
        <w:bidi w:val="0"/>
        <w:spacing w:before="10" w:after="283"/>
        <w:jc w:val="left"/>
        <w:rPr/>
      </w:pPr>
      <w:r>
        <w:rPr/>
      </w:r>
    </w:p>
    <w:tbl>
      <w:tblPr>
        <w:tblW w:w="3404" w:type="dxa"/>
        <w:jc w:val="left"/>
        <w:tblInd w:w="0" w:type="dxa"/>
        <w:tblLayout w:type="fixed"/>
        <w:tblCellMar>
          <w:top w:w="28" w:type="dxa"/>
          <w:left w:w="28" w:type="dxa"/>
          <w:bottom w:w="28" w:type="dxa"/>
          <w:right w:w="28" w:type="dxa"/>
        </w:tblCellMar>
      </w:tblPr>
      <w:tblGrid>
        <w:gridCol w:w="201"/>
        <w:gridCol w:w="177"/>
        <w:gridCol w:w="178"/>
        <w:gridCol w:w="544"/>
        <w:gridCol w:w="544"/>
        <w:gridCol w:w="546"/>
        <w:gridCol w:w="354"/>
        <w:gridCol w:w="354"/>
        <w:gridCol w:w="506"/>
      </w:tblGrid>
      <w:tr>
        <w:trPr/>
        <w:tc>
          <w:tcPr>
            <w:tcW w:w="20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r>
      <w:tr>
        <w:trPr/>
        <w:tc>
          <w:tcPr>
            <w:tcW w:w="556" w:type="dxa"/>
            <w:gridSpan w:val="3"/>
            <w:tcBorders>
              <w:top w:val="single" w:sz="4" w:space="0" w:color="000000"/>
              <w:left w:val="single" w:sz="4" w:space="0" w:color="000000"/>
            </w:tcBorders>
            <w:shd w:fill="BFBFBF" w:val="clear"/>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Title</w:t>
            </w:r>
          </w:p>
        </w:tc>
        <w:tc>
          <w:tcPr>
            <w:tcW w:w="1634" w:type="dxa"/>
            <w:gridSpan w:val="3"/>
            <w:tcBorders>
              <w:top w:val="single" w:sz="4" w:space="0" w:color="000000"/>
              <w:left w:val="single" w:sz="4" w:space="0" w:color="000000"/>
            </w:tcBorders>
            <w:shd w:fill="BFBFBF" w:val="clear"/>
            <w:tcMar>
              <w:top w:w="3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Application No.</w:t>
            </w:r>
          </w:p>
        </w:tc>
        <w:tc>
          <w:tcPr>
            <w:tcW w:w="1214" w:type="dxa"/>
            <w:gridSpan w:val="3"/>
            <w:tcBorders>
              <w:top w:val="single" w:sz="4" w:space="0" w:color="000000"/>
              <w:left w:val="single" w:sz="4" w:space="0" w:color="000000"/>
              <w:right w:val="single" w:sz="4" w:space="0" w:color="000000"/>
            </w:tcBorders>
            <w:shd w:fill="BFBFBF" w:val="clear"/>
            <w:tcMar>
              <w:top w:w="30" w:type="dxa"/>
              <w:bottom w:w="0" w:type="dxa"/>
            </w:tcMar>
            <w:vAlign w:val="center"/>
          </w:tcPr>
          <w:p>
            <w:pPr>
              <w:pStyle w:val="TableContents"/>
              <w:bidi w:val="0"/>
              <w:spacing w:lineRule="auto" w:line="240" w:before="0" w:after="0"/>
              <w:jc w:val="lef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Filing Date</w:t>
            </w:r>
          </w:p>
        </w:tc>
      </w:tr>
      <w:tr>
        <w:trPr/>
        <w:tc>
          <w:tcPr>
            <w:tcW w:w="556"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60">
                <wp:simplePos x="0" y="0"/>
                <wp:positionH relativeFrom="character">
                  <wp:align>left</wp:align>
                </wp:positionH>
                <wp:positionV relativeFrom="line">
                  <wp:posOffset>635</wp:posOffset>
                </wp:positionV>
                <wp:extent cx="6480175" cy="781050"/>
                <wp:effectExtent l="0" t="0" r="0" b="0"/>
                <wp:wrapNone/>
                <wp:docPr id="559" name="Frame558"/>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357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357</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60" w:after="283"/>
        <w:jc w:val="right"/>
        <w:rPr>
          <w:rFonts w:ascii="Times New Roman;sans-serif" w:hAnsi="Times New Roman;sans-serif"/>
          <w:b/>
          <w:color w:val="000000"/>
          <w:sz w:val="24"/>
        </w:rPr>
      </w:pPr>
      <w:r>
        <w:rPr>
          <w:rFonts w:ascii="Times New Roman;sans-serif" w:hAnsi="Times New Roman;sans-serif"/>
          <w:b/>
          <w:color w:val="000000"/>
          <w:sz w:val="24"/>
        </w:rPr>
        <w:t>EXHIBIT M</w:t>
      </w:r>
    </w:p>
    <w:p>
      <w:pPr>
        <w:pStyle w:val="TextBody"/>
        <w:bidi w:val="0"/>
        <w:spacing w:lineRule="auto" w:line="240" w:before="240" w:after="283"/>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FORM OF GUARANTEE AGREEMENT</w:t>
      </w:r>
    </w:p>
    <w:p>
      <w:pPr>
        <w:pStyle w:val="TextBody"/>
        <w:bidi w:val="0"/>
        <w:spacing w:lineRule="auto" w:line="240" w:before="24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[See Attached]</w:t>
      </w:r>
    </w:p>
    <w:p>
      <w:pPr>
        <w:pStyle w:val="TextBody"/>
        <w:bidi w:val="0"/>
        <w:spacing w:before="0" w:after="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61">
                <wp:simplePos x="0" y="0"/>
                <wp:positionH relativeFrom="character">
                  <wp:align>left</wp:align>
                </wp:positionH>
                <wp:positionV relativeFrom="line">
                  <wp:posOffset>635</wp:posOffset>
                </wp:positionV>
                <wp:extent cx="6480175" cy="781050"/>
                <wp:effectExtent l="0" t="0" r="0" b="0"/>
                <wp:wrapNone/>
                <wp:docPr id="560" name="Frame559"/>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358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358</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40" w:before="60" w:after="283"/>
        <w:jc w:val="right"/>
        <w:rPr>
          <w:rFonts w:ascii="Times New Roman;sans-serif" w:hAnsi="Times New Roman;sans-serif"/>
          <w:b/>
          <w:color w:val="000000"/>
          <w:sz w:val="24"/>
        </w:rPr>
      </w:pPr>
      <w:r>
        <w:rPr>
          <w:rFonts w:ascii="Times New Roman;sans-serif" w:hAnsi="Times New Roman;sans-serif"/>
          <w:b/>
          <w:color w:val="000000"/>
          <w:sz w:val="24"/>
        </w:rPr>
        <w:t>EXHIBIT M</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________________________________________________________________________________________</w:t>
      </w:r>
    </w:p>
    <w:p>
      <w:pPr>
        <w:pStyle w:val="TextBody"/>
        <w:bidi w:val="0"/>
        <w:spacing w:before="155" w:after="283"/>
        <w:jc w:val="left"/>
        <w:rPr/>
      </w:pPr>
      <w:r>
        <w:rPr/>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GUARANTEE AGREEMENT</w:t>
      </w:r>
    </w:p>
    <w:p>
      <w:pPr>
        <w:pStyle w:val="TextBody"/>
        <w:bidi w:val="0"/>
        <w:spacing w:lineRule="auto" w:line="520" w:before="24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dated and effective as of [●], [●] Among</w:t>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MAGNITE, INC.,</w:t>
      </w:r>
    </w:p>
    <w:p>
      <w:pPr>
        <w:pStyle w:val="TextBody"/>
        <w:bidi w:val="0"/>
        <w:spacing w:lineRule="auto" w:line="520" w:before="24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the Subsidiaries of MAGNITE, INC. named herein and</w:t>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MORGAN STANLEY SENIOR FUNDING, INC.</w:t>
      </w:r>
    </w:p>
    <w:p>
      <w:pPr>
        <w:pStyle w:val="TextBody"/>
        <w:bidi w:val="0"/>
        <w:spacing w:lineRule="auto" w:line="520" w:before="240" w:after="283"/>
        <w:ind w:left="0" w:right="0" w:firstLine="722"/>
        <w:jc w:val="left"/>
        <w:rPr>
          <w:rFonts w:ascii="Times New Roman;sans-serif" w:hAnsi="Times New Roman;sans-serif"/>
          <w:b w:val="false"/>
          <w:color w:val="000000"/>
          <w:sz w:val="24"/>
        </w:rPr>
      </w:pPr>
      <w:r>
        <w:rPr>
          <w:rFonts w:ascii="Times New Roman;sans-serif" w:hAnsi="Times New Roman;sans-serif"/>
          <w:b w:val="false"/>
          <w:color w:val="000000"/>
          <w:sz w:val="24"/>
        </w:rPr>
        <w:t>and CITIBANK, N.A.,</w:t>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as Administrative Agents</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________________________________________________________________________________________</w:t>
      </w:r>
    </w:p>
    <w:p>
      <w:pPr>
        <w:pStyle w:val="TextBody"/>
        <w:bidi w:val="0"/>
        <w:spacing w:before="78" w:after="283"/>
        <w:jc w:val="left"/>
        <w:rPr/>
      </w:pPr>
      <w:r>
        <w:rPr/>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62">
                <wp:simplePos x="0" y="0"/>
                <wp:positionH relativeFrom="character">
                  <wp:align>left</wp:align>
                </wp:positionH>
                <wp:positionV relativeFrom="line">
                  <wp:posOffset>635</wp:posOffset>
                </wp:positionV>
                <wp:extent cx="6480175" cy="781050"/>
                <wp:effectExtent l="0" t="0" r="0" b="0"/>
                <wp:wrapNone/>
                <wp:docPr id="561" name="Frame560"/>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359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359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60" w:after="283"/>
        <w:jc w:val="center"/>
        <w:rPr>
          <w:rFonts w:ascii="Times New Roman;sans-serif" w:hAnsi="Times New Roman;sans-serif"/>
          <w:b/>
          <w:color w:val="000000"/>
          <w:sz w:val="24"/>
        </w:rPr>
      </w:pPr>
      <w:r>
        <w:rPr>
          <w:rFonts w:ascii="Times New Roman;sans-serif" w:hAnsi="Times New Roman;sans-serif"/>
          <w:b/>
          <w:color w:val="000000"/>
          <w:sz w:val="24"/>
        </w:rPr>
        <w:t>TABLE OF CONTENTS</w:t>
      </w:r>
    </w:p>
    <w:p>
      <w:pPr>
        <w:pStyle w:val="TextBody"/>
        <w:bidi w:val="0"/>
        <w:spacing w:lineRule="auto" w:line="240" w:before="240" w:after="283"/>
        <w:jc w:val="righ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Page</w:t>
      </w:r>
    </w:p>
    <w:p>
      <w:pPr>
        <w:pStyle w:val="TextBody"/>
        <w:bidi w:val="0"/>
        <w:spacing w:before="0" w:after="0"/>
        <w:jc w:val="right"/>
        <w:rPr/>
      </w:pPr>
      <w:r>
        <w:rPr/>
      </w:r>
    </w:p>
    <w:p>
      <w:pPr>
        <w:pStyle w:val="TextBody"/>
        <w:bidi w:val="0"/>
        <w:spacing w:lineRule="auto" w:line="240" w:before="0" w:after="10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1.    DEFINITIONS    361</w:t>
      </w:r>
    </w:p>
    <w:p>
      <w:pPr>
        <w:pStyle w:val="TextBody"/>
        <w:bidi w:val="0"/>
        <w:spacing w:lineRule="auto" w:line="240" w:before="0" w:after="10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2.    REPRESENTATIONS AND WARRANTIES    361</w:t>
      </w:r>
    </w:p>
    <w:p>
      <w:pPr>
        <w:pStyle w:val="TextBody"/>
        <w:bidi w:val="0"/>
        <w:spacing w:lineRule="auto" w:line="240" w:before="0" w:after="10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3.    THE GUARANTY    362</w:t>
      </w:r>
    </w:p>
    <w:p>
      <w:pPr>
        <w:pStyle w:val="TextBody"/>
        <w:bidi w:val="0"/>
        <w:spacing w:lineRule="auto" w:line="240" w:before="0" w:after="10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4.    FURTHER ASSURANCES    366</w:t>
      </w:r>
    </w:p>
    <w:p>
      <w:pPr>
        <w:pStyle w:val="TextBody"/>
        <w:bidi w:val="0"/>
        <w:spacing w:lineRule="auto" w:line="240" w:before="0" w:after="10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5.    PAYMENTS FREE AND CLEAR OF TAXES    366</w:t>
      </w:r>
    </w:p>
    <w:p>
      <w:pPr>
        <w:pStyle w:val="TextBody"/>
        <w:bidi w:val="0"/>
        <w:spacing w:lineRule="auto" w:line="240" w:before="0" w:after="10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6.    OTHER TERMS    366</w:t>
      </w:r>
    </w:p>
    <w:p>
      <w:pPr>
        <w:pStyle w:val="TextBody"/>
        <w:bidi w:val="0"/>
        <w:spacing w:lineRule="auto" w:line="240" w:before="0" w:after="10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7.    INDEMNITY; SUBROGATION AND SUBORDINATION    368</w:t>
      </w:r>
    </w:p>
    <w:p>
      <w:pPr>
        <w:pStyle w:val="TextBody"/>
        <w:bidi w:val="0"/>
        <w:spacing w:lineRule="auto" w:line="240" w:before="0" w:after="10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8.    GOVERNING LAW    370</w:t>
      </w:r>
    </w:p>
    <w:p>
      <w:pPr>
        <w:pStyle w:val="TextBody"/>
        <w:bidi w:val="0"/>
        <w:spacing w:lineRule="auto" w:line="240" w:before="0" w:after="10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9.    JURISDICTION; CONSENT TO SERVICE OF PROCESS    370</w:t>
      </w:r>
    </w:p>
    <w:p>
      <w:pPr>
        <w:pStyle w:val="TextBody"/>
        <w:bidi w:val="0"/>
        <w:spacing w:lineRule="auto" w:line="240" w:before="0" w:after="10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10.    WAIVER OF JURY TRIAL    371</w:t>
      </w:r>
    </w:p>
    <w:p>
      <w:pPr>
        <w:pStyle w:val="TextBody"/>
        <w:bidi w:val="0"/>
        <w:spacing w:lineRule="auto" w:line="240" w:before="0" w:after="10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11.    RIGHT OF SET-OFF    371</w:t>
      </w:r>
    </w:p>
    <w:p>
      <w:pPr>
        <w:pStyle w:val="TextBody"/>
        <w:bidi w:val="0"/>
        <w:spacing w:lineRule="auto" w:line="240" w:before="0" w:after="10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12.    ADDITIONAL SUBSIDIARIES    371</w:t>
      </w:r>
    </w:p>
    <w:p>
      <w:pPr>
        <w:pStyle w:val="TextBody"/>
        <w:bidi w:val="0"/>
        <w:spacing w:lineRule="auto" w:line="240" w:before="0" w:after="10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13.    AGENCY OF BORROWER FOR GUARANTORS    372</w:t>
      </w:r>
    </w:p>
    <w:p>
      <w:pPr>
        <w:pStyle w:val="TextBody"/>
        <w:bidi w:val="0"/>
        <w:spacing w:lineRule="auto" w:line="240" w:before="0" w:after="10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14.    COMMODITY EXCHANGE ACT ACKNOWLEDGEMENT    372</w:t>
      </w:r>
    </w:p>
    <w:p>
      <w:pPr>
        <w:pStyle w:val="TextBody"/>
        <w:bidi w:val="0"/>
        <w:spacing w:before="0" w:after="0"/>
        <w:jc w:val="left"/>
        <w:rPr/>
      </w:pPr>
      <w:r>
        <w:rPr/>
      </w:r>
      <w:r>
        <mc:AlternateContent>
          <mc:Choice Requires="wps">
            <w:drawing>
              <wp:anchor behindDoc="0" distT="0" distB="0" distL="0" distR="0" simplePos="0" locked="0" layoutInCell="1" allowOverlap="1" relativeHeight="563">
                <wp:simplePos x="0" y="0"/>
                <wp:positionH relativeFrom="character">
                  <wp:align>left</wp:align>
                </wp:positionH>
                <wp:positionV relativeFrom="line">
                  <wp:posOffset>635</wp:posOffset>
                </wp:positionV>
                <wp:extent cx="6480175" cy="781050"/>
                <wp:effectExtent l="0" t="0" r="0" b="0"/>
                <wp:wrapNone/>
                <wp:docPr id="562" name="Frame561"/>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360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360</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60" w:after="283"/>
        <w:ind w:left="0" w:right="0" w:firstLine="720"/>
        <w:jc w:val="both"/>
        <w:rPr/>
      </w:pPr>
      <w:r>
        <w:rPr>
          <w:rFonts w:ascii="Times New Roman;sans-serif" w:hAnsi="Times New Roman;sans-serif"/>
          <w:b w:val="false"/>
          <w:color w:val="000000"/>
          <w:sz w:val="24"/>
        </w:rPr>
        <w:t xml:space="preserve">This </w:t>
      </w:r>
      <w:r>
        <w:rPr>
          <w:rFonts w:ascii="Times New Roman;sans-serif" w:hAnsi="Times New Roman;sans-serif"/>
          <w:b/>
          <w:color w:val="000000"/>
          <w:sz w:val="24"/>
        </w:rPr>
        <w:t>GUARANTEE AGREEMENT</w:t>
      </w:r>
      <w:r>
        <w:rPr>
          <w:rFonts w:ascii="Times New Roman;sans-serif" w:hAnsi="Times New Roman;sans-serif"/>
          <w:b w:val="false"/>
          <w:color w:val="000000"/>
          <w:sz w:val="24"/>
        </w:rPr>
        <w:t>, dated as of ,</w:t>
      </w:r>
      <w:r>
        <w:rPr>
          <w:color w:val="000000"/>
          <w:u w:val="single"/>
        </w:rPr>
        <w:t>    </w:t>
      </w:r>
      <w:r>
        <w:rPr>
          <w:color w:val="000000"/>
        </w:rPr>
        <w:t xml:space="preserve"> </w:t>
      </w:r>
      <w:r>
        <w:rPr>
          <w:rFonts w:ascii="Times New Roman;sans-serif" w:hAnsi="Times New Roman;sans-serif"/>
          <w:b w:val="false"/>
          <w:color w:val="000000"/>
          <w:sz w:val="24"/>
        </w:rPr>
        <w:t>(as amended, restated, supplemented or otherwise modified from time to time, this “</w:t>
      </w:r>
      <w:r>
        <w:rPr>
          <w:rFonts w:ascii="Times New Roman;sans-serif" w:hAnsi="Times New Roman;sans-serif"/>
          <w:b w:val="false"/>
          <w:color w:val="000000"/>
          <w:sz w:val="24"/>
          <w:u w:val="single"/>
        </w:rPr>
        <w:t>Guaranty</w:t>
      </w:r>
      <w:r>
        <w:rPr>
          <w:color w:val="000000"/>
        </w:rPr>
        <w:t>”</w:t>
      </w:r>
      <w:r>
        <w:rPr>
          <w:rFonts w:ascii="Times New Roman;sans-serif" w:hAnsi="Times New Roman;sans-serif"/>
          <w:b w:val="false"/>
          <w:color w:val="000000"/>
          <w:sz w:val="24"/>
        </w:rPr>
        <w:t>), by and among Magnite, Inc., a Delaware corporation (the “</w:t>
      </w:r>
      <w:r>
        <w:rPr>
          <w:rFonts w:ascii="Times New Roman;sans-serif" w:hAnsi="Times New Roman;sans-serif"/>
          <w:b w:val="false"/>
          <w:color w:val="000000"/>
          <w:sz w:val="24"/>
          <w:u w:val="single"/>
        </w:rPr>
        <w:t>Borrower</w:t>
      </w:r>
      <w:r>
        <w:rPr>
          <w:color w:val="000000"/>
        </w:rPr>
        <w:t>”</w:t>
      </w:r>
      <w:r>
        <w:rPr>
          <w:rFonts w:ascii="Times New Roman;sans-serif" w:hAnsi="Times New Roman;sans-serif"/>
          <w:b w:val="false"/>
          <w:color w:val="000000"/>
          <w:sz w:val="24"/>
        </w:rPr>
        <w:t>), each Subsidiary of the Borrower listed on the signature page hereof and each other Subsidiary of the Borrower that becomes a party hereto after the date hereof (the “</w:t>
      </w:r>
      <w:r>
        <w:rPr>
          <w:rFonts w:ascii="Times New Roman;sans-serif" w:hAnsi="Times New Roman;sans-serif"/>
          <w:b w:val="false"/>
          <w:color w:val="000000"/>
          <w:sz w:val="24"/>
          <w:u w:val="single"/>
        </w:rPr>
        <w:t>Guarantors</w:t>
      </w:r>
      <w:r>
        <w:rPr>
          <w:color w:val="000000"/>
        </w:rPr>
        <w:t>”</w:t>
      </w:r>
      <w:r>
        <w:rPr>
          <w:rFonts w:ascii="Times New Roman;sans-serif" w:hAnsi="Times New Roman;sans-serif"/>
          <w:b w:val="false"/>
          <w:color w:val="000000"/>
          <w:sz w:val="24"/>
        </w:rPr>
        <w:t>) and Morgan Stanley Senior Funding, Inc. and Citibank, N.A., as administrative agents (each in such capacity, together with any successor thereto, an “</w:t>
      </w:r>
      <w:r>
        <w:rPr>
          <w:rFonts w:ascii="Times New Roman;sans-serif" w:hAnsi="Times New Roman;sans-serif"/>
          <w:b w:val="false"/>
          <w:color w:val="000000"/>
          <w:sz w:val="24"/>
          <w:u w:val="single"/>
        </w:rPr>
        <w:t>Administrative Agent</w:t>
      </w:r>
      <w:r>
        <w:rPr>
          <w:color w:val="000000"/>
        </w:rPr>
        <w:t>”</w:t>
      </w:r>
      <w:r>
        <w:rPr>
          <w:rFonts w:ascii="Times New Roman;sans-serif" w:hAnsi="Times New Roman;sans-serif"/>
          <w:b w:val="false"/>
          <w:color w:val="000000"/>
          <w:sz w:val="24"/>
        </w:rPr>
        <w:t>, and together, the “</w:t>
      </w:r>
      <w:r>
        <w:rPr>
          <w:rFonts w:ascii="Times New Roman;sans-serif" w:hAnsi="Times New Roman;sans-serif"/>
          <w:b w:val="false"/>
          <w:color w:val="000000"/>
          <w:sz w:val="24"/>
          <w:u w:val="single"/>
        </w:rPr>
        <w:t>Administrative Agents</w:t>
      </w:r>
      <w:r>
        <w:rPr>
          <w:color w:val="000000"/>
        </w:rPr>
        <w:t>”</w:t>
      </w:r>
      <w:r>
        <w:rPr>
          <w:rFonts w:ascii="Times New Roman;sans-serif" w:hAnsi="Times New Roman;sans-serif"/>
          <w:b w:val="false"/>
          <w:color w:val="000000"/>
          <w:sz w:val="24"/>
        </w:rPr>
        <w:t>) for the Secured Parties.</w:t>
      </w:r>
    </w:p>
    <w:p>
      <w:pPr>
        <w:pStyle w:val="TextBody"/>
        <w:bidi w:val="0"/>
        <w:spacing w:lineRule="auto" w:line="240" w:before="240" w:after="283"/>
        <w:jc w:val="center"/>
        <w:rPr>
          <w:rFonts w:ascii="Times New Roman;sans-serif" w:hAnsi="Times New Roman;sans-serif"/>
          <w:b/>
          <w:color w:val="000000"/>
          <w:sz w:val="24"/>
        </w:rPr>
      </w:pPr>
      <w:r>
        <w:rPr>
          <w:rFonts w:ascii="Times New Roman;sans-serif" w:hAnsi="Times New Roman;sans-serif"/>
          <w:b/>
          <w:color w:val="000000"/>
          <w:sz w:val="24"/>
        </w:rPr>
        <w:t>WITNESSETH:</w:t>
      </w:r>
    </w:p>
    <w:p>
      <w:pPr>
        <w:pStyle w:val="TextBody"/>
        <w:bidi w:val="0"/>
        <w:spacing w:lineRule="auto" w:line="240" w:before="240" w:after="283"/>
        <w:ind w:left="0" w:right="0" w:firstLine="720"/>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 the Borrower, the Lenders party thereto from time to time, Morgan Stanley Senior Funding, Inc., as term facility administrative agent, Citibank, N.A., as revolving facility administrative agent and collateral agent, and the other parties thereto from time to time, have entered into that certain Credit Agreement, dated as of February 6, 2024 (as amended, restated, supplemented or otherwise modified from time to time, the “</w:t>
      </w:r>
      <w:r>
        <w:rPr>
          <w:rFonts w:ascii="Times New Roman;sans-serif" w:hAnsi="Times New Roman;sans-serif"/>
          <w:b w:val="false"/>
          <w:color w:val="000000"/>
          <w:sz w:val="24"/>
          <w:u w:val="single"/>
        </w:rPr>
        <w:t>Credit Agreement</w:t>
      </w:r>
      <w:r>
        <w:rPr>
          <w:color w:val="000000"/>
        </w:rPr>
        <w:t>”</w:t>
      </w:r>
      <w:r>
        <w:rPr>
          <w:rFonts w:ascii="Times New Roman;sans-serif" w:hAnsi="Times New Roman;sans-serif"/>
          <w:b w:val="false"/>
          <w:color w:val="000000"/>
          <w:sz w:val="24"/>
        </w:rPr>
        <w:t>), providing for the extension of credit to the Borrower; and</w:t>
      </w:r>
    </w:p>
    <w:p>
      <w:pPr>
        <w:pStyle w:val="TextBody"/>
        <w:bidi w:val="0"/>
        <w:spacing w:lineRule="auto" w:line="240" w:before="240" w:after="283"/>
        <w:ind w:left="0" w:right="0" w:firstLine="720"/>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 each Guarantor is executing this Guaranty in accordance with the requirements of the Credit Agreement in order to induce the Lenders to maintain and/or make additional Loans and each Issuing Bank to maintain and/or issue additional Letters of Credit, and as consideration for Loans previously made and Letters of Credit previously issued.</w:t>
      </w:r>
    </w:p>
    <w:p>
      <w:pPr>
        <w:pStyle w:val="TextBody"/>
        <w:bidi w:val="0"/>
        <w:spacing w:lineRule="auto" w:line="240" w:before="24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Accordingly, the parties hereto agree as follows:</w:t>
      </w:r>
    </w:p>
    <w:p>
      <w:pPr>
        <w:pStyle w:val="TextBody"/>
        <w:bidi w:val="0"/>
        <w:spacing w:lineRule="auto" w:line="240" w:before="240" w:after="283"/>
        <w:ind w:left="0" w:right="0" w:hanging="720"/>
        <w:jc w:val="left"/>
        <w:rPr/>
      </w:pPr>
      <w:r>
        <w:rPr>
          <w:rFonts w:ascii="Times New Roman;sans-serif" w:hAnsi="Times New Roman;sans-serif"/>
          <w:b/>
          <w:color w:val="000000"/>
          <w:sz w:val="24"/>
        </w:rPr>
        <w:t>1.</w:t>
      </w:r>
      <w:r>
        <w:rPr>
          <w:rFonts w:ascii="Times New Roman;sans-serif" w:hAnsi="Times New Roman;sans-serif"/>
          <w:b/>
          <w:color w:val="000000"/>
          <w:sz w:val="24"/>
          <w:u w:val="single"/>
        </w:rPr>
        <w:t>DEFINITIONS</w:t>
      </w:r>
    </w:p>
    <w:p>
      <w:pPr>
        <w:pStyle w:val="TextBody"/>
        <w:bidi w:val="0"/>
        <w:spacing w:lineRule="auto" w:line="240" w:before="241"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Capitalized terms used herein shall have the meanings assigned to them in the Credit Agreement unless otherwise defined herein. References to this “Guaranty” shall mean this Guaranty, including all amendments, modifications and supplements and any annexes, exhibits and schedules to any of the foregoing, and shall refer to this Guaranty as the same may be in effect at the time such reference becomes operative.</w:t>
      </w:r>
    </w:p>
    <w:p>
      <w:pPr>
        <w:pStyle w:val="TextBody"/>
        <w:bidi w:val="0"/>
        <w:spacing w:lineRule="auto" w:line="240" w:before="240" w:after="283"/>
        <w:ind w:left="0" w:right="0" w:hanging="719"/>
        <w:jc w:val="left"/>
        <w:rPr/>
      </w:pPr>
      <w:r>
        <w:rPr>
          <w:rFonts w:ascii="Times New Roman;sans-serif" w:hAnsi="Times New Roman;sans-serif"/>
          <w:b/>
          <w:color w:val="000000"/>
          <w:sz w:val="24"/>
        </w:rPr>
        <w:t>2.</w:t>
      </w:r>
      <w:r>
        <w:rPr>
          <w:rFonts w:ascii="Times New Roman;sans-serif" w:hAnsi="Times New Roman;sans-serif"/>
          <w:b/>
          <w:color w:val="000000"/>
          <w:sz w:val="24"/>
          <w:u w:val="single"/>
        </w:rPr>
        <w:t>REPRESENTATIONS AND WARRANTIES</w:t>
      </w:r>
    </w:p>
    <w:p>
      <w:pPr>
        <w:pStyle w:val="TextBody"/>
        <w:bidi w:val="0"/>
        <w:spacing w:lineRule="auto" w:line="240" w:before="238" w:after="283"/>
        <w:ind w:left="0" w:right="0" w:firstLine="720"/>
        <w:jc w:val="both"/>
        <w:rPr/>
      </w:pPr>
      <w:r>
        <w:rPr>
          <w:rFonts w:ascii="Times New Roman;sans-serif" w:hAnsi="Times New Roman;sans-serif"/>
          <w:b w:val="false"/>
          <w:color w:val="000000"/>
          <w:sz w:val="24"/>
        </w:rPr>
        <w:t xml:space="preserve">Each of the Guarantors party hereto represents and warrants as of the date hereof, and each Guarantor that becomes a party to this Guaranty pursuant to the execution of a supplement hereto in the form of </w:t>
      </w:r>
      <w:r>
        <w:rPr>
          <w:rFonts w:ascii="Times New Roman;sans-serif" w:hAnsi="Times New Roman;sans-serif"/>
          <w:b w:val="false"/>
          <w:color w:val="000000"/>
          <w:sz w:val="24"/>
          <w:u w:val="single"/>
        </w:rPr>
        <w:t>Exhibit A</w:t>
      </w:r>
      <w:r>
        <w:rPr>
          <w:color w:val="000000"/>
        </w:rPr>
        <w:t xml:space="preserve"> </w:t>
      </w:r>
      <w:r>
        <w:rPr>
          <w:rFonts w:ascii="Times New Roman;sans-serif" w:hAnsi="Times New Roman;sans-serif"/>
          <w:b w:val="false"/>
          <w:color w:val="000000"/>
          <w:sz w:val="24"/>
        </w:rPr>
        <w:t>hereto (with such modifications as shall be reasonably acceptable to each Administrative Agent, each, a “</w:t>
      </w:r>
      <w:r>
        <w:rPr>
          <w:rFonts w:ascii="Times New Roman;sans-serif" w:hAnsi="Times New Roman;sans-serif"/>
          <w:b w:val="false"/>
          <w:color w:val="000000"/>
          <w:sz w:val="24"/>
          <w:u w:val="single"/>
        </w:rPr>
        <w:t>Guaranty Supplement</w:t>
      </w:r>
      <w:r>
        <w:rPr>
          <w:color w:val="000000"/>
        </w:rPr>
        <w:t>”</w:t>
      </w:r>
      <w:r>
        <w:rPr>
          <w:rFonts w:ascii="Times New Roman;sans-serif" w:hAnsi="Times New Roman;sans-serif"/>
          <w:b w:val="false"/>
          <w:color w:val="000000"/>
          <w:sz w:val="24"/>
        </w:rPr>
        <w:t>) represents and warrants as of the date of execution of such Guaranty Supplement to each Administrative Agent and the other Secured Parties:</w:t>
      </w:r>
    </w:p>
    <w:p>
      <w:pPr>
        <w:pStyle w:val="TextBody"/>
        <w:bidi w:val="0"/>
        <w:spacing w:lineRule="auto" w:line="240" w:before="241"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(a)Such Guarantor (i) is a partnership, limited liability company, corporation or other entity duly organized, validly existing and in good standing under the laws of the jurisdiction of its organization, except in each case where the failure to do so, individually or in the aggregate, would not reasonably be expected to have a Material Adverse Effect,</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(ii) has all requisite power and authority to own its property and assets and to carry on its business as now conducted, except in each case where the failure to do so, individually or in the aggregate, would not reasonably be expected to have a Material Adverse Effect, (iii)</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64">
                <wp:simplePos x="0" y="0"/>
                <wp:positionH relativeFrom="character">
                  <wp:align>left</wp:align>
                </wp:positionH>
                <wp:positionV relativeFrom="line">
                  <wp:posOffset>635</wp:posOffset>
                </wp:positionV>
                <wp:extent cx="6480175" cy="781050"/>
                <wp:effectExtent l="0" t="0" r="0" b="0"/>
                <wp:wrapNone/>
                <wp:docPr id="563" name="Frame562"/>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361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361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jc w:val="both"/>
        <w:rPr>
          <w:rFonts w:ascii="Times New Roman;sans-serif" w:hAnsi="Times New Roman;sans-serif"/>
          <w:b w:val="false"/>
          <w:color w:val="000000"/>
          <w:sz w:val="24"/>
        </w:rPr>
      </w:pPr>
      <w:r>
        <w:rPr>
          <w:rFonts w:ascii="Times New Roman;sans-serif" w:hAnsi="Times New Roman;sans-serif"/>
          <w:b w:val="false"/>
          <w:color w:val="000000"/>
          <w:sz w:val="24"/>
        </w:rPr>
        <w:t>is qualified to do business in each jurisdiction where such qualification is required, except in each case where the failure to do so, individually or in the aggregate, would not reasonably be expected to have a Material Adverse Effect and (iv) has the power and authority to execute, deliver and perform its obligations under this Guaranty (or any Guaranty Supplement hereto, as applicable) and each other agreement or instrument contemplated hereby to which it is or will be a party.</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 xml:space="preserve">(b)The execution, delivery and performance by such Guarantor of this Guaranty (or any Guaranty Supplement hereto, as applicable) (i) has been duly authorized by all corporate, stockholder, partnership, limited liability company or other organizational action required to be obtained by such Guarantor and (ii) will not (A) violate (1) any provision of law, statute, rule or regulation applicable to such Guarantor, (2) the certificate or articles of incorporation or other constitutive documents (including any partnership, limited liability company or operating agreements) or by-laws of such Guarantor, (3) any applicable order of any court or any law, rule, regulation or order of any Governmental Authority applicable to such Guarantor or (4) any provision of any indenture, certificate of designation for preferred stock, agreement or other instrument to which such Guarantor is a party or by which it or any of its property is or may be bound, (B) result in a breach of or constitute (alone or with due notice or lapse of time or both) a default under, give rise to a right of or result in any cancellation or acceleration of any right or obligation (including any payment) under any such indenture, certificate of designation for preferred stock, agreement or other instrument, where any such conflict, violation, breach or default referred to in clause (ii)(A) or (ii)(B) of this </w:t>
      </w:r>
      <w:r>
        <w:rPr>
          <w:rFonts w:ascii="Times New Roman;sans-serif" w:hAnsi="Times New Roman;sans-serif"/>
          <w:b w:val="false"/>
          <w:color w:val="000000"/>
          <w:sz w:val="24"/>
          <w:u w:val="single"/>
        </w:rPr>
        <w:t>Section 2(b)</w:t>
      </w:r>
      <w:r>
        <w:rPr>
          <w:rFonts w:ascii="Times New Roman;sans-serif" w:hAnsi="Times New Roman;sans-serif"/>
          <w:b w:val="false"/>
          <w:color w:val="000000"/>
          <w:sz w:val="24"/>
        </w:rPr>
        <w:t>, would reasonably be expected to have, individually or in the aggregate, a Material Adverse Effect, or (C) result in the creation or imposition of any Lien upon or with respect to any property or assets now owned or hereafter acquired by such Guarantor, other than the Liens created by the Loan Documents and Permitted Liens.</w:t>
      </w:r>
    </w:p>
    <w:p>
      <w:pPr>
        <w:pStyle w:val="TextBody"/>
        <w:bidi w:val="0"/>
        <w:spacing w:lineRule="auto" w:line="240" w:before="239"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(c)This Guaranty (or any Guaranty Supplement hereto, as applicable) has been duly executed and delivered by such Guarantor and constitutes a legal, valid and binding obligation of such Guarantor enforceable against such Guarantor in accordance with its terms, subject to (i) the effects of bankruptcy, insolvency, moratorium, reorganization, fraudulent conveyance or other similar laws affecting creditors’ rights generally, (ii) general principles of equity (regardless of whether such enforceability is considered in a proceeding in equity or at law), (iii) implied covenants of good faith and fair dealing and</w:t>
      </w:r>
    </w:p>
    <w:p>
      <w:pPr>
        <w:pStyle w:val="TextBody"/>
        <w:bidi w:val="0"/>
        <w:spacing w:lineRule="auto" w:line="240" w:before="1" w:after="283"/>
        <w:jc w:val="both"/>
        <w:rPr>
          <w:rFonts w:ascii="Times New Roman;sans-serif" w:hAnsi="Times New Roman;sans-serif"/>
          <w:b w:val="false"/>
          <w:color w:val="000000"/>
          <w:sz w:val="24"/>
        </w:rPr>
      </w:pPr>
      <w:r>
        <w:rPr>
          <w:rFonts w:ascii="Times New Roman;sans-serif" w:hAnsi="Times New Roman;sans-serif"/>
          <w:b w:val="false"/>
          <w:color w:val="000000"/>
          <w:sz w:val="24"/>
        </w:rPr>
        <w:t>(iv) the need for filings and registrations necessary to perfect the Liens on the Collateral granted by the Guarantors in favor of the Collateral Agent.</w:t>
      </w:r>
    </w:p>
    <w:p>
      <w:pPr>
        <w:pStyle w:val="TextBody"/>
        <w:bidi w:val="0"/>
        <w:spacing w:lineRule="auto" w:line="240" w:before="240" w:after="283"/>
        <w:ind w:left="0" w:right="0" w:hanging="718"/>
        <w:jc w:val="both"/>
        <w:rPr/>
      </w:pPr>
      <w:r>
        <w:rPr>
          <w:rFonts w:ascii="Times New Roman;sans-serif" w:hAnsi="Times New Roman;sans-serif"/>
          <w:b/>
          <w:color w:val="000000"/>
          <w:sz w:val="24"/>
        </w:rPr>
        <w:t>3.</w:t>
      </w:r>
      <w:r>
        <w:rPr>
          <w:rFonts w:ascii="Times New Roman;sans-serif" w:hAnsi="Times New Roman;sans-serif"/>
          <w:b/>
          <w:color w:val="000000"/>
          <w:sz w:val="24"/>
          <w:u w:val="single"/>
        </w:rPr>
        <w:t>THE GUARANTY</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Guaranty of Guaranteed Obligations</w:t>
      </w:r>
      <w:r>
        <w:rPr>
          <w:rFonts w:ascii="Times New Roman;sans-serif" w:hAnsi="Times New Roman;sans-serif"/>
          <w:b w:val="false"/>
          <w:color w:val="000000"/>
          <w:sz w:val="24"/>
        </w:rPr>
        <w:t>. Each Guarantor unconditionally guarantees to each Administrative Agent, for the benefit of the Secured Parties, jointly and severally with the other Guarantors, as a primary obligor and not merely as a surety, the due and punctual payment and performance when due of the Obligations (the “</w:t>
      </w:r>
      <w:r>
        <w:rPr>
          <w:rFonts w:ascii="Times New Roman;sans-serif" w:hAnsi="Times New Roman;sans-serif"/>
          <w:b w:val="false"/>
          <w:color w:val="000000"/>
          <w:sz w:val="24"/>
          <w:u w:val="single"/>
        </w:rPr>
        <w:t>Guaranteed Obligations</w:t>
      </w:r>
      <w:r>
        <w:rPr>
          <w:color w:val="000000"/>
        </w:rPr>
        <w:t>”</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the Guaranteed Obligations of each Guarantor shall exclude any Obligations of such Guarantor as a counterparty or direct obligor under any Secured Cash Management Agreement or Secured Hedge Agreement. Each Guarantor further agrees that the Guaranteed Obligations may be extended,</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65">
                <wp:simplePos x="0" y="0"/>
                <wp:positionH relativeFrom="character">
                  <wp:align>left</wp:align>
                </wp:positionH>
                <wp:positionV relativeFrom="line">
                  <wp:posOffset>635</wp:posOffset>
                </wp:positionV>
                <wp:extent cx="6480175" cy="781050"/>
                <wp:effectExtent l="0" t="0" r="0" b="0"/>
                <wp:wrapNone/>
                <wp:docPr id="564" name="Frame563"/>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362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362</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jc w:val="both"/>
        <w:rPr>
          <w:rFonts w:ascii="Times New Roman;sans-serif" w:hAnsi="Times New Roman;sans-serif"/>
          <w:b w:val="false"/>
          <w:color w:val="000000"/>
          <w:sz w:val="24"/>
        </w:rPr>
      </w:pPr>
      <w:r>
        <w:rPr>
          <w:rFonts w:ascii="Times New Roman;sans-serif" w:hAnsi="Times New Roman;sans-serif"/>
          <w:b w:val="false"/>
          <w:color w:val="000000"/>
          <w:sz w:val="24"/>
        </w:rPr>
        <w:t>renewed or increased, in whole or in part, without notice to or further assent from it, and that it will remain bound upon its guarantee notwithstanding any extension, renewal or increase of any Guaranteed Obligation. To the extent permitted by applicable law, each Guarantor waives presentment to, demand of payment from and protest to any other Loan Party of any of the Guaranteed Obligations, and also waives notice of acceptance of its guarantee and notice of protest for nonpayment.</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Guaranty of Payment</w:t>
      </w:r>
      <w:r>
        <w:rPr>
          <w:rFonts w:ascii="Times New Roman;sans-serif" w:hAnsi="Times New Roman;sans-serif"/>
          <w:b w:val="false"/>
          <w:color w:val="000000"/>
          <w:sz w:val="24"/>
        </w:rPr>
        <w:t>. Each Guarantor further agrees that its guarantee hereunder constitutes an absolute, irrevocable and unconditional guarantee of payment when due (whether at stated maturity, by acceleration or otherwise) and not of collection, and waives any right to require that any resort be had by the Collateral Agent or any other Secured Party to any security held for the payment of the Guaranteed Obligations or to any balance of any deposit account or credit on the books of the Collateral Agent or any other Secured Party in favor of the Borrower or any other person.</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No Limitations</w:t>
      </w:r>
      <w:r>
        <w:rPr>
          <w:rFonts w:ascii="Times New Roman;sans-serif" w:hAnsi="Times New Roman;sans-serif"/>
          <w:b w:val="false"/>
          <w:color w:val="000000"/>
          <w:sz w:val="24"/>
        </w:rPr>
        <w:t xml:space="preserve">. Except for termination or release of a Guarantor’s obligations hereunder as expressly provided for in </w:t>
      </w:r>
      <w:r>
        <w:rPr>
          <w:rFonts w:ascii="Times New Roman;sans-serif" w:hAnsi="Times New Roman;sans-serif"/>
          <w:b w:val="false"/>
          <w:color w:val="000000"/>
          <w:sz w:val="24"/>
          <w:u w:val="single"/>
        </w:rPr>
        <w:t>Section 6(g)</w:t>
      </w:r>
      <w:r>
        <w:rPr>
          <w:color w:val="000000"/>
        </w:rPr>
        <w:t xml:space="preserve"> </w:t>
      </w:r>
      <w:r>
        <w:rPr>
          <w:rFonts w:ascii="Times New Roman;sans-serif" w:hAnsi="Times New Roman;sans-serif"/>
          <w:b w:val="false"/>
          <w:color w:val="000000"/>
          <w:sz w:val="24"/>
        </w:rPr>
        <w:t>and subject to the provisions of Section 3(g), the obligations of each Guarantor hereunder shall not be subject to any reduction, limitation, impairment or termination for any reason, including any claim of waiver, release, surrender, alteration or compromise, and shall not be subject to any defense or set-off, counterclaim, recoupment or termination whatsoever by reason of the invalidity, illegality or un-enforceability of the Guaranteed Obligations or otherwise (other than defense of payment or performance). Without limiting the generality of the foregoing, the obligations of each Guarantor hereunder, to the fullest extent permitted by applicable law, shall not be discharged or impaired or otherwise affected by: (i) the failure of either Administrative Agent or any other Secured Party to assert any claim or demand or to exercise or enforce any right or remedy under the provisions of any Loan Document or otherwise; (ii) the failure of any other Guarantor to sign or become party to this Guaranty or any rescission, waiver, amendment or modification of, or any release from any of the terms or provisions of, any Loan Document or any other agreement, including with respect to any other Guarantor under this Guaranty; (iii) the failure to perfect any security interest in, or the exchange, substitution, release or any impairment of, any security held by the Collateral Agent or any other Secured Party for the Guaranteed Obligations; (iv) any default, failure or delay, willful or otherwise, in the performance of the Guaranteed Obligations; (v) any other act or omission that may or might in any manner or to any extent vary the risk of any Guarantor or otherwise operate as a discharge of any Guarantor as a matter of law or equity (other than the occurrence of the Termination Date); (vi) any illegality, irregularity, invalidity or enforceability of any Guaranteed Obligation or any part thereof or the genuineness, enforceability or validity of any agreement relating thereto or with respect to any collateral securing the Guaranteed Obligations or any part thereof, or any other invalidity or unenforceability relating to or against any Loan Party of any of the Guaranteed Obligations, for any reason related to the Credit Agreement, any other Loan Document, any Secured Cash Management Agreement, any Secured Hedge Agreement or any provision of applicable law, decree, order or regulation of any jurisdiction purporting to prohibit the payment by any Loan Party of the Guaranteed Obligations, of any of the Guaranteed Obligations or otherwise affecting any term of any of the Guaranteed Obligations; (vii) any change in the corporate existence, structure or ownership of any Loan Party of any of the Guaranteed Obligations, or any insolvency, bankruptcy, reorganization or other similar proceeding affecting any Loan Party of the Guaranteed Obligations, or any of their respective assets or any resulting</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66">
                <wp:simplePos x="0" y="0"/>
                <wp:positionH relativeFrom="character">
                  <wp:align>left</wp:align>
                </wp:positionH>
                <wp:positionV relativeFrom="line">
                  <wp:posOffset>635</wp:posOffset>
                </wp:positionV>
                <wp:extent cx="6480175" cy="781050"/>
                <wp:effectExtent l="0" t="0" r="0" b="0"/>
                <wp:wrapNone/>
                <wp:docPr id="565" name="Frame564"/>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363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363</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jc w:val="both"/>
        <w:rPr/>
      </w:pPr>
      <w:r>
        <w:rPr>
          <w:rFonts w:ascii="Times New Roman;sans-serif" w:hAnsi="Times New Roman;sans-serif"/>
          <w:b w:val="false"/>
          <w:color w:val="000000"/>
          <w:sz w:val="24"/>
        </w:rPr>
        <w:t xml:space="preserve">release or discharge of any Guaranteed Obligation (other than the occurrence of the Termination Date); (viii) the existence of any claim, set-off or other rights that such Guarantor may have at any time against any Loan Party, either Administrative Agent, or any other corporation or person, whether in connection herewith or any unrelated transactions;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nothing herein will prevent the assertion of any such claim by separate suit or compulsory counterclaim; (ix) any extension, renewal, settlement, indulgence, compromise, waiver or release of or with respect to the Guaranteed Obligations or any part thereof or any agreement relating thereto, or with respect to any obligation of any other guarantor of any of the Guaranteed Obligations, whether (in any such case) by operation of law or otherwise, or any failure or omission to enforce any right, power or remedy with respect to the Guaranteed Obligations or any part thereof or any agreement relating thereto, or with respect to any obligation of any other guarantor of any of the Guaranteed Obligations; (x) any modification or amendment of or supplement to the Credit Agreement or any other Loan Document, any Secured Cash Management Agreement or any Secured Hedge Agreement, including, without limitation, any such amendment which may increase the amount of, or the interest rates applicable to, any of the Guaranteed Obligations; (xi) any release, surrender, compromise, settlement, waiver, subordination or modification, with or without consideration, of any collateral securing the Guaranteed Obligations or any part thereof, any other guaranties with respect to the Guaranteed Obligations or any part thereof, or any other obligation of any person or entity with respect to the Guaranteed Obligations or any part thereof, or any nonperfection or invalidity of any direct or indirect security for the Guaranteed Obligations; (xii) the election by, or on behalf of, any one or more of the Secured Parties, in any proceeding instituted under the Bankruptcy Code, of the application of Section 1111(b)(2) of the Bankruptcy Code (or any equivalent or similar provisions under any Debtor Relief Law); (xiii) any borrowing or grant of a security interest by the Borrower or any of its Subsidiaries, as debtor-in-possession, under Section 364 of the Bankruptcy Code (or any equivalent or similar provisions under any Debtor Relief Law) or in any other bankruptcy or insolvency proceeding; and (xiv) any other circumstance (including, without limitation, any statute of limitations) or any existence of or reliance on any representation by either Administrative Agent or any other Secured Party that might otherwise constitute a defense to, or a legal or equitable discharge of, any Loan Party or any other guarantor or surety (other than defense of payment or performance or other than the occurrence of the Termination Date).</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 xml:space="preserve">Except as otherwise set forth herein or in the Credit Agreement, each Guarantor expressly authorizes the Secured Parties (or the Collateral Agent on behalf of the Secured Parties) to take and hold security in accordance with the terms of the Loan Documents for the payment and performance of the Guaranteed Obligations, to exchange, waive or release any or all such security (with or without consideration), to enforce or apply such security and direct the order and manner of any sale thereof in their sole discretion or to release or substitute any one or more other guarantors or obligors upon or in respect of the Guaranteed Obligations, all without affecting the obligations of any Guarantor hereunder. To the fullest extent permitted by applicable law, each Guarantor waives any defense based on or arising out of any defense of any other Guarantor or the unenforceability of the Guaranteed Obligations or any part thereof from any cause, or the cessation from any cause of the liability of any other Guarantor, other than the occurrence of the Termination Date or the release of such Guarantor from this Guaranty pursuant to </w:t>
      </w:r>
      <w:r>
        <w:rPr>
          <w:rFonts w:ascii="Times New Roman;sans-serif" w:hAnsi="Times New Roman;sans-serif"/>
          <w:b w:val="false"/>
          <w:color w:val="000000"/>
          <w:sz w:val="24"/>
          <w:u w:val="single"/>
        </w:rPr>
        <w:t>Section 6(g)</w:t>
      </w:r>
      <w:r>
        <w:rPr>
          <w:rFonts w:ascii="Times New Roman;sans-serif" w:hAnsi="Times New Roman;sans-serif"/>
          <w:b w:val="false"/>
          <w:color w:val="000000"/>
          <w:sz w:val="24"/>
        </w:rPr>
        <w:t>. The Collateral Agent and the other Secured Parties may, at their election and in accordance with the terms of the Loan Documents, foreclose on any security held by one or more of them by one or more judicial or nonjudicial sales, accept an assignment of any such security in lieu of foreclosure, compromise</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67">
                <wp:simplePos x="0" y="0"/>
                <wp:positionH relativeFrom="character">
                  <wp:align>left</wp:align>
                </wp:positionH>
                <wp:positionV relativeFrom="line">
                  <wp:posOffset>635</wp:posOffset>
                </wp:positionV>
                <wp:extent cx="6480175" cy="781050"/>
                <wp:effectExtent l="0" t="0" r="0" b="0"/>
                <wp:wrapNone/>
                <wp:docPr id="566" name="Frame565"/>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364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364</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jc w:val="both"/>
        <w:rPr>
          <w:rFonts w:ascii="Times New Roman;sans-serif" w:hAnsi="Times New Roman;sans-serif"/>
          <w:b w:val="false"/>
          <w:color w:val="000000"/>
          <w:sz w:val="24"/>
        </w:rPr>
      </w:pPr>
      <w:r>
        <w:rPr>
          <w:rFonts w:ascii="Times New Roman;sans-serif" w:hAnsi="Times New Roman;sans-serif"/>
          <w:b w:val="false"/>
          <w:color w:val="000000"/>
          <w:sz w:val="24"/>
        </w:rPr>
        <w:t>or adjust any part of the Guaranteed Obligations, make any other accommodation with any Loan Party or exercise any other right or remedy available to them against any Loan Party, without affecting or impairing in any way the liability of any Guarantor hereunder except to the extent the Termination Date shall have occurred. To the fullest extent permitted by applicable law, each Guarantor waives any defense arising out of any such election even though such election operates, pursuant to applicable law, to impair or to extinguish any right of reimbursement or subrogation or other right or remedy of such Guarantor against any other Guarantor, as the case may be, or any security.</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u w:val="single"/>
        </w:rPr>
        <w:t>Reinstatement</w:t>
      </w:r>
      <w:r>
        <w:rPr>
          <w:rFonts w:ascii="Times New Roman;sans-serif" w:hAnsi="Times New Roman;sans-serif"/>
          <w:b w:val="false"/>
          <w:color w:val="000000"/>
          <w:sz w:val="24"/>
        </w:rPr>
        <w:t xml:space="preserve">. Notwithstanding the provisions of </w:t>
      </w:r>
      <w:r>
        <w:rPr>
          <w:rFonts w:ascii="Times New Roman;sans-serif" w:hAnsi="Times New Roman;sans-serif"/>
          <w:b w:val="false"/>
          <w:color w:val="000000"/>
          <w:sz w:val="24"/>
          <w:u w:val="single"/>
        </w:rPr>
        <w:t>Section 6(g)(i)</w:t>
      </w:r>
      <w:r>
        <w:rPr>
          <w:rFonts w:ascii="Times New Roman;sans-serif" w:hAnsi="Times New Roman;sans-serif"/>
          <w:b w:val="false"/>
          <w:color w:val="000000"/>
          <w:sz w:val="24"/>
        </w:rPr>
        <w:t>, each Guarantor agrees that its guarantee hereunder shall continue to be effective or be reinstated, as the case may be, if at any time payment, or any part thereof, of any Guaranteed Obligation is rescinded or must otherwise be restored or returned by either Administrative Agent or any other Secured Party upon the insolvency, bankruptcy, dissolution, liquidation or reorganization of any Loan Party, or upon or as a result of the appointment of a receiver, intervenor or conservator of, or trustee or similar officer for, any Loan Party or any substantial part of its property, or otherwise, all as though such payment had not been made.</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u w:val="single"/>
        </w:rPr>
        <w:t>Agreement To Pay; Subrogation</w:t>
      </w:r>
      <w:r>
        <w:rPr>
          <w:rFonts w:ascii="Times New Roman;sans-serif" w:hAnsi="Times New Roman;sans-serif"/>
          <w:b w:val="false"/>
          <w:color w:val="000000"/>
          <w:sz w:val="24"/>
        </w:rPr>
        <w:t xml:space="preserve">. In furtherance of the foregoing and not in limitation of any other right that any Administrative Agent or any other Secured Party has at law or in equity against any Guarantor by virtue hereof, upon the failure of any Loan Party to pay any Guaranteed Obligation when and as the same shall become due, whether at maturity, by acceleration, after notice of prepayment or otherwise, each Guarantor hereby promises to and will forthwith pay, or cause to be paid, to the applicable Administrative Agent for distribution to the applicable Secured Party in cash in immediately available funds the amount of such unpaid Guaranteed Obligation. Upon payment by any Guarantor of any sums to the applicable Administrative Agent as provided above, all rights of such Guarantor against any Loan Party arising as a result thereof by way of right of subrogation, contribution, reimbursement, indemnity or otherwise shall in all respects be subject to </w:t>
      </w:r>
      <w:r>
        <w:rPr>
          <w:rFonts w:ascii="Times New Roman;sans-serif" w:hAnsi="Times New Roman;sans-serif"/>
          <w:b w:val="false"/>
          <w:color w:val="000000"/>
          <w:sz w:val="24"/>
          <w:u w:val="single"/>
        </w:rPr>
        <w:t>Section 7</w:t>
      </w:r>
      <w:r>
        <w:rPr>
          <w:rFonts w:ascii="Times New Roman;sans-serif" w:hAnsi="Times New Roman;sans-serif"/>
          <w:b w:val="false"/>
          <w:color w:val="000000"/>
          <w:sz w:val="24"/>
        </w:rPr>
        <w:t>.</w:t>
      </w:r>
    </w:p>
    <w:p>
      <w:pPr>
        <w:pStyle w:val="TextBody"/>
        <w:bidi w:val="0"/>
        <w:spacing w:lineRule="auto" w:line="240" w:before="239" w:after="283"/>
        <w:ind w:left="0" w:right="0" w:firstLine="720"/>
        <w:jc w:val="both"/>
        <w:rPr/>
      </w:pPr>
      <w:r>
        <w:rPr>
          <w:rFonts w:ascii="Times New Roman;sans-serif" w:hAnsi="Times New Roman;sans-serif"/>
          <w:b w:val="false"/>
          <w:color w:val="000000"/>
          <w:sz w:val="24"/>
        </w:rPr>
        <w:t>(f)</w:t>
      </w:r>
      <w:r>
        <w:rPr>
          <w:rFonts w:ascii="Times New Roman;sans-serif" w:hAnsi="Times New Roman;sans-serif"/>
          <w:b w:val="false"/>
          <w:color w:val="000000"/>
          <w:sz w:val="24"/>
          <w:u w:val="single"/>
        </w:rPr>
        <w:t>Information</w:t>
      </w:r>
      <w:r>
        <w:rPr>
          <w:rFonts w:ascii="Times New Roman;sans-serif" w:hAnsi="Times New Roman;sans-serif"/>
          <w:b w:val="false"/>
          <w:color w:val="000000"/>
          <w:sz w:val="24"/>
        </w:rPr>
        <w:t>. Each Guarantor assumes all responsibility for being and keeping itself informed of the financial condition and assets of each Loan Party and their respective subsidiaries and any and all endorsers and/or other guarantors of all or any part of the Guaranteed Obligations, and of all other circumstances bearing upon the risk of nonpayment of the Guaranteed Obligations, or any part thereof, and the nature, scope and extent of the risks that such Guarantor assumes and incurs hereunder, and agrees that neither Administrative Agent or any other Secured Party will have any duty to advise such Guarantor of information known to it or any of them regarding such circumstances or risks. In the event any Secured Party (including either Administrative Agent), in its sole discretion, undertakes at any time or from time to time to provide any such information to a Guarantor, such Secured Party (including such Administrative Agent) shall be under no obligation (i) to undertake any investigation, (ii) to disclose any information which such Secured Party (including such Administrative Agent), pursuant to accepted or reasonable commercial finance or banking practices, wishes to maintain confidential or (iii) to make any other or future disclosures of such information or any other information to such Guarantor.</w:t>
      </w:r>
    </w:p>
    <w:p>
      <w:pPr>
        <w:pStyle w:val="TextBody"/>
        <w:bidi w:val="0"/>
        <w:spacing w:lineRule="auto" w:line="240" w:before="241" w:after="283"/>
        <w:ind w:left="0" w:right="0" w:firstLine="720"/>
        <w:jc w:val="both"/>
        <w:rPr/>
      </w:pPr>
      <w:r>
        <w:rPr>
          <w:rFonts w:ascii="Times New Roman;sans-serif" w:hAnsi="Times New Roman;sans-serif"/>
          <w:b w:val="false"/>
          <w:color w:val="000000"/>
          <w:sz w:val="24"/>
        </w:rPr>
        <w:t>(g)</w:t>
      </w:r>
      <w:r>
        <w:rPr>
          <w:rFonts w:ascii="Times New Roman;sans-serif" w:hAnsi="Times New Roman;sans-serif"/>
          <w:b w:val="false"/>
          <w:color w:val="000000"/>
          <w:sz w:val="24"/>
          <w:u w:val="single"/>
        </w:rPr>
        <w:t>Maximum Liability</w:t>
      </w:r>
      <w:r>
        <w:rPr>
          <w:rFonts w:ascii="Times New Roman;sans-serif" w:hAnsi="Times New Roman;sans-serif"/>
          <w:b w:val="false"/>
          <w:color w:val="000000"/>
          <w:sz w:val="24"/>
        </w:rPr>
        <w:t>. Each Guarantor, and by its acceptance of this Guaranty, each Administrative Agent and each other Secured Party hereby confirms that it is the intention of all</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68">
                <wp:simplePos x="0" y="0"/>
                <wp:positionH relativeFrom="character">
                  <wp:align>left</wp:align>
                </wp:positionH>
                <wp:positionV relativeFrom="line">
                  <wp:posOffset>635</wp:posOffset>
                </wp:positionV>
                <wp:extent cx="6480175" cy="781050"/>
                <wp:effectExtent l="0" t="0" r="0" b="0"/>
                <wp:wrapNone/>
                <wp:docPr id="567" name="Frame566"/>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365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365</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jc w:val="both"/>
        <w:rPr>
          <w:rFonts w:ascii="Times New Roman;sans-serif" w:hAnsi="Times New Roman;sans-serif"/>
          <w:b w:val="false"/>
          <w:color w:val="000000"/>
          <w:sz w:val="24"/>
        </w:rPr>
      </w:pPr>
      <w:r>
        <w:rPr>
          <w:rFonts w:ascii="Times New Roman;sans-serif" w:hAnsi="Times New Roman;sans-serif"/>
          <w:b w:val="false"/>
          <w:color w:val="000000"/>
          <w:sz w:val="24"/>
        </w:rPr>
        <w:t>such persons that this Guaranty and the Guaranteed Obligations of each Guarantor hereunder not constitute a fraudulent transfer or conveyance for purposes of the Bankruptcy Code or any other federal, state or foreign bankruptcy, insolvency, receivership or similar law, the Uniform Fraudulent Conveyance Act, the Uniform Fraudulent Transfer Act or any similar foreign, federal or state law to the extent applicable to this Guaranty and the Guaranteed Obligations of each Guarantor hereunder. To effectuate the foregoing intention, each Administrative Agent, the other Secured Parties and the Guarantors hereby irrevocably agree that the Guaranteed Obligations of each Guarantor under this Guaranty at any time shall be limited to the maximum amount as will result in the Guaranteed Obligations of such Guarantor under this Guaranty not constituting a fraudulent transfer or conveyance.</w:t>
      </w:r>
    </w:p>
    <w:p>
      <w:pPr>
        <w:pStyle w:val="TextBody"/>
        <w:bidi w:val="0"/>
        <w:spacing w:lineRule="auto" w:line="240" w:before="240" w:after="283"/>
        <w:ind w:left="0" w:right="0" w:hanging="719"/>
        <w:jc w:val="left"/>
        <w:rPr/>
      </w:pPr>
      <w:r>
        <w:rPr>
          <w:rFonts w:ascii="Times New Roman;sans-serif" w:hAnsi="Times New Roman;sans-serif"/>
          <w:b/>
          <w:color w:val="000000"/>
          <w:sz w:val="24"/>
        </w:rPr>
        <w:t>4.</w:t>
      </w:r>
      <w:r>
        <w:rPr>
          <w:rFonts w:ascii="Times New Roman;sans-serif" w:hAnsi="Times New Roman;sans-serif"/>
          <w:b/>
          <w:color w:val="000000"/>
          <w:sz w:val="24"/>
          <w:u w:val="single"/>
        </w:rPr>
        <w:t>FURTHER ASSURANCES</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Each Guarantor agrees, upon the written request of either Administrative Agent, to execute and deliver to each Administrative Agent, from time to time, any additional instruments or documents necessary (as reasonably determined by either Administrative Agent) to cause this Guaranty to be, become or remain valid and effective in accordance with its terms.</w:t>
      </w:r>
    </w:p>
    <w:p>
      <w:pPr>
        <w:pStyle w:val="TextBody"/>
        <w:bidi w:val="0"/>
        <w:spacing w:lineRule="auto" w:line="240" w:before="240" w:after="283"/>
        <w:ind w:left="0" w:right="0" w:hanging="719"/>
        <w:jc w:val="left"/>
        <w:rPr/>
      </w:pPr>
      <w:r>
        <w:rPr>
          <w:rFonts w:ascii="Times New Roman;sans-serif" w:hAnsi="Times New Roman;sans-serif"/>
          <w:b/>
          <w:color w:val="000000"/>
          <w:sz w:val="24"/>
        </w:rPr>
        <w:t>5.</w:t>
      </w:r>
      <w:r>
        <w:rPr>
          <w:rFonts w:ascii="Times New Roman;sans-serif" w:hAnsi="Times New Roman;sans-serif"/>
          <w:b/>
          <w:color w:val="000000"/>
          <w:sz w:val="24"/>
          <w:u w:val="single"/>
        </w:rPr>
        <w:t>PAYMENTS FREE AND CLEAR OF TAXES</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 xml:space="preserve">Each Guarantor agrees that (a) it will perform or observe all of the terms, covenants and agreements that </w:t>
      </w:r>
      <w:r>
        <w:rPr>
          <w:rFonts w:ascii="Times New Roman;sans-serif" w:hAnsi="Times New Roman;sans-serif"/>
          <w:b w:val="false"/>
          <w:color w:val="000000"/>
          <w:sz w:val="24"/>
          <w:u w:val="single"/>
        </w:rPr>
        <w:t>Section 2.17</w:t>
      </w:r>
      <w:r>
        <w:rPr>
          <w:color w:val="000000"/>
        </w:rPr>
        <w:t xml:space="preserve"> </w:t>
      </w:r>
      <w:r>
        <w:rPr>
          <w:rFonts w:ascii="Times New Roman;sans-serif" w:hAnsi="Times New Roman;sans-serif"/>
          <w:b w:val="false"/>
          <w:color w:val="000000"/>
          <w:sz w:val="24"/>
        </w:rPr>
        <w:t xml:space="preserve">of the Credit Agreement requires such Guarantor to perform or observe, subject to the qualifications set forth therein, and (b) any payment required to be made by it hereunder shall be subject to </w:t>
      </w:r>
      <w:r>
        <w:rPr>
          <w:rFonts w:ascii="Times New Roman;sans-serif" w:hAnsi="Times New Roman;sans-serif"/>
          <w:b w:val="false"/>
          <w:color w:val="000000"/>
          <w:sz w:val="24"/>
          <w:u w:val="single"/>
        </w:rPr>
        <w:t>Section 2.17</w:t>
      </w:r>
      <w:r>
        <w:rPr>
          <w:color w:val="000000"/>
        </w:rPr>
        <w:t xml:space="preserve"> </w:t>
      </w:r>
      <w:r>
        <w:rPr>
          <w:rFonts w:ascii="Times New Roman;sans-serif" w:hAnsi="Times New Roman;sans-serif"/>
          <w:b w:val="false"/>
          <w:color w:val="000000"/>
          <w:sz w:val="24"/>
        </w:rPr>
        <w:t>of the Credit Agreement, subject to the conditions and qualifications set forth therein.</w:t>
      </w:r>
    </w:p>
    <w:p>
      <w:pPr>
        <w:pStyle w:val="TextBody"/>
        <w:bidi w:val="0"/>
        <w:spacing w:lineRule="auto" w:line="240" w:before="241" w:after="283"/>
        <w:ind w:left="0" w:right="0" w:hanging="720"/>
        <w:jc w:val="left"/>
        <w:rPr/>
      </w:pPr>
      <w:r>
        <w:rPr>
          <w:rFonts w:ascii="Times New Roman;sans-serif" w:hAnsi="Times New Roman;sans-serif"/>
          <w:b/>
          <w:color w:val="000000"/>
          <w:sz w:val="24"/>
        </w:rPr>
        <w:t>6.</w:t>
      </w:r>
      <w:r>
        <w:rPr>
          <w:rFonts w:ascii="Times New Roman;sans-serif" w:hAnsi="Times New Roman;sans-serif"/>
          <w:b/>
          <w:color w:val="000000"/>
          <w:sz w:val="24"/>
          <w:u w:val="single"/>
        </w:rPr>
        <w:t>OTHER TERMS</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Entire Agreement</w:t>
      </w:r>
      <w:r>
        <w:rPr>
          <w:rFonts w:ascii="Times New Roman;sans-serif" w:hAnsi="Times New Roman;sans-serif"/>
          <w:b w:val="false"/>
          <w:color w:val="000000"/>
          <w:sz w:val="24"/>
        </w:rPr>
        <w:t>. This Guaranty, together with the other Loan Documents, constitutes the entire agreement between the parties with respect to the subject matter hereof and thereof and supersedes all prior agreements relating to a guaranty of the Loans and other extensions of credit under the Loan Documents.</w:t>
      </w:r>
    </w:p>
    <w:p>
      <w:pPr>
        <w:pStyle w:val="TextBody"/>
        <w:bidi w:val="0"/>
        <w:spacing w:lineRule="auto" w:line="240" w:before="238" w:after="283"/>
        <w:ind w:left="0" w:right="0" w:firstLine="72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Headings</w:t>
      </w:r>
      <w:r>
        <w:rPr>
          <w:rFonts w:ascii="Times New Roman;sans-serif" w:hAnsi="Times New Roman;sans-serif"/>
          <w:b w:val="false"/>
          <w:color w:val="000000"/>
          <w:sz w:val="24"/>
        </w:rPr>
        <w:t>. The headings in this Guaranty are for convenience of reference only and are not part of the substance of this Guaranty.</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Severability</w:t>
      </w:r>
      <w:r>
        <w:rPr>
          <w:rFonts w:ascii="Times New Roman;sans-serif" w:hAnsi="Times New Roman;sans-serif"/>
          <w:b w:val="false"/>
          <w:color w:val="000000"/>
          <w:sz w:val="24"/>
        </w:rPr>
        <w:t>. Whenever possible, each provision of this Guaranty shall be interpreted in such a manner to be effective and valid under applicable law, but if any provision of this Guaranty shall be prohibited by or invalid under applicable law in any jurisdiction, such provision shall, as to such jurisdiction, be ineffective to the extent of such prohibition or invalidity, without invalidating the remainder of such provision or the remaining provisions of this Guaranty and the invalidity of a particular provision in a particular jurisdiction shall not invalidate such provision in any other jurisdiction.</w:t>
      </w:r>
    </w:p>
    <w:p>
      <w:pPr>
        <w:pStyle w:val="TextBody"/>
        <w:bidi w:val="0"/>
        <w:spacing w:lineRule="auto" w:line="240" w:before="241" w:after="283"/>
        <w:ind w:left="0" w:right="0" w:firstLine="72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u w:val="single"/>
        </w:rPr>
        <w:t>Notices</w:t>
      </w:r>
      <w:r>
        <w:rPr>
          <w:rFonts w:ascii="Times New Roman;sans-serif" w:hAnsi="Times New Roman;sans-serif"/>
          <w:b w:val="false"/>
          <w:color w:val="000000"/>
          <w:sz w:val="24"/>
        </w:rPr>
        <w:t xml:space="preserve">. All communications and notices hereunder shall (except as otherwise expressly permitted herein) be given as provided in </w:t>
      </w:r>
      <w:r>
        <w:rPr>
          <w:rFonts w:ascii="Times New Roman;sans-serif" w:hAnsi="Times New Roman;sans-serif"/>
          <w:b w:val="false"/>
          <w:color w:val="000000"/>
          <w:sz w:val="24"/>
          <w:u w:val="single"/>
        </w:rPr>
        <w:t>Section 9.01</w:t>
      </w:r>
      <w:r>
        <w:rPr>
          <w:color w:val="000000"/>
        </w:rPr>
        <w:t xml:space="preserve"> </w:t>
      </w:r>
      <w:r>
        <w:rPr>
          <w:rFonts w:ascii="Times New Roman;sans-serif" w:hAnsi="Times New Roman;sans-serif"/>
          <w:b w:val="false"/>
          <w:color w:val="000000"/>
          <w:sz w:val="24"/>
        </w:rPr>
        <w:t>of the Credit Agreement.</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69">
                <wp:simplePos x="0" y="0"/>
                <wp:positionH relativeFrom="character">
                  <wp:align>left</wp:align>
                </wp:positionH>
                <wp:positionV relativeFrom="line">
                  <wp:posOffset>635</wp:posOffset>
                </wp:positionV>
                <wp:extent cx="6480175" cy="781050"/>
                <wp:effectExtent l="0" t="0" r="0" b="0"/>
                <wp:wrapNone/>
                <wp:docPr id="568" name="Frame567"/>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366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366</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ind w:left="0" w:right="0" w:firstLine="72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u w:val="single"/>
        </w:rPr>
        <w:t>Successors and Assigns</w:t>
      </w:r>
      <w:r>
        <w:rPr>
          <w:rFonts w:ascii="Times New Roman;sans-serif" w:hAnsi="Times New Roman;sans-serif"/>
          <w:b w:val="false"/>
          <w:color w:val="000000"/>
          <w:sz w:val="24"/>
        </w:rPr>
        <w:t xml:space="preserve">. This Guaranty is for the benefit of the Administrative Agents and the other Secured Parties and their respective permitted successors and permitted assigns. Whenever in this Guaranty any Guarantor is referred to, such reference shall be deemed to include the permitted successors and permitted assigns of such party and all covenants, promises and agreements by any Guarantor that are contained in this Guaranty shall bind and inure to the benefit of its respective permitted successors and assigns;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that no Guarantor shall have any right to assign its rights or obligations hereunder unless expressly permitted by the Credit Agreement or with such consents required by </w:t>
      </w:r>
      <w:r>
        <w:rPr>
          <w:rFonts w:ascii="Times New Roman;sans-serif" w:hAnsi="Times New Roman;sans-serif"/>
          <w:b w:val="false"/>
          <w:color w:val="000000"/>
          <w:sz w:val="24"/>
          <w:u w:val="single"/>
        </w:rPr>
        <w:t>Section 9.04</w:t>
      </w:r>
      <w:r>
        <w:rPr>
          <w:color w:val="000000"/>
        </w:rPr>
        <w:t xml:space="preserve"> </w:t>
      </w:r>
      <w:r>
        <w:rPr>
          <w:rFonts w:ascii="Times New Roman;sans-serif" w:hAnsi="Times New Roman;sans-serif"/>
          <w:b w:val="false"/>
          <w:color w:val="000000"/>
          <w:sz w:val="24"/>
        </w:rPr>
        <w:t>of the Credit Agreement.</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(f)</w:t>
      </w:r>
      <w:r>
        <w:rPr>
          <w:rFonts w:ascii="Times New Roman;sans-serif" w:hAnsi="Times New Roman;sans-serif"/>
          <w:b w:val="false"/>
          <w:color w:val="000000"/>
          <w:sz w:val="24"/>
          <w:u w:val="single"/>
        </w:rPr>
        <w:t>No Waiver; Cumulative Remedies; Amendments</w:t>
      </w:r>
      <w:r>
        <w:rPr>
          <w:rFonts w:ascii="Times New Roman;sans-serif" w:hAnsi="Times New Roman;sans-serif"/>
          <w:b w:val="false"/>
          <w:color w:val="000000"/>
          <w:sz w:val="24"/>
        </w:rPr>
        <w:t xml:space="preserve">. No failure or delay by either Administrative Agent or any other Secured Party in exercising any right, power or remedy hereunder shall operate as a waiver thereof, nor shall any single or partial exercise of any such right, power or remedy preclude any other or further exercise thereof or the exercise of any other right, power or remedy. The rights, powers and remedies of the Administrative Agents and each other Secured Party provided in this Guaranty, the Credit Agreement, each other Loan Document, any Secured Cash Management Agreement or any Secured Hedge Agreement are cumulative and are not exclusive of any rights, powers or remedies that it would otherwise have. No waiver of any provision of this Guaranty or consent to any departure by any Guarantor therefrom shall in any event be effective unless the same shall be permitted by this </w:t>
      </w:r>
      <w:r>
        <w:rPr>
          <w:rFonts w:ascii="Times New Roman;sans-serif" w:hAnsi="Times New Roman;sans-serif"/>
          <w:b w:val="false"/>
          <w:color w:val="000000"/>
          <w:sz w:val="24"/>
          <w:u w:val="single"/>
        </w:rPr>
        <w:t>Section 6(f)</w:t>
      </w:r>
      <w:r>
        <w:rPr>
          <w:rFonts w:ascii="Times New Roman;sans-serif" w:hAnsi="Times New Roman;sans-serif"/>
          <w:b w:val="false"/>
          <w:color w:val="000000"/>
          <w:sz w:val="24"/>
        </w:rPr>
        <w:t>, and then such waiver or consent shall be effective only in the specific instance and for the purpose for which given. Without limiting the generality of the foregoing, the making of any Loan or the issuance, amendment, extension or renewal of any Letter of Credit shall not be construed as a waiver of any Default or Event of Default, regardless of whether either Administrative Agent or any other Secured Party may have had notice or knowledge of such Default or Event of Default at the time. No notice or demand on any Guarantor in any case shall entitle any Guarantor to any other or further notice or demand in similar or other circumstances. When making any demand hereunder against any of the Guarantors, either Administrative Agent or any other Secured Party may, but shall be under no obligation to, make a similar demand on any other Loan Party or Guarantor, and any failure by either Administrative Agent or any other Secured Party to make any such demand or to collect any payments from any Loan Party or Guarantor or any release of any Loan Party or Guarantor shall not relieve any of the Guarantors in respect of which a demand or collection is not made or any of the Guarantors not so released of their several obligations or liabilities hereunder, and shall not impair or affect the rights and remedies, express or implied, or as a matter of law, of either Administrative Agent or any other Secured Party against any of the Guarantors. For the purposes hereof “</w:t>
      </w:r>
      <w:r>
        <w:rPr>
          <w:rFonts w:ascii="Times New Roman;sans-serif" w:hAnsi="Times New Roman;sans-serif"/>
          <w:b w:val="false"/>
          <w:color w:val="000000"/>
          <w:sz w:val="24"/>
          <w:u w:val="single"/>
        </w:rPr>
        <w:t>demand</w:t>
      </w:r>
      <w:r>
        <w:rPr>
          <w:color w:val="000000"/>
        </w:rPr>
        <w:t xml:space="preserve">” </w:t>
      </w:r>
      <w:r>
        <w:rPr>
          <w:rFonts w:ascii="Times New Roman;sans-serif" w:hAnsi="Times New Roman;sans-serif"/>
          <w:b w:val="false"/>
          <w:color w:val="000000"/>
          <w:sz w:val="24"/>
        </w:rPr>
        <w:t xml:space="preserve">shall include the commencement and continuance of any legal proceedings. Neither this Guaranty nor any provision hereof may be waived, amended or modified (other than termination or release of this Guaranty pursuant to </w:t>
      </w:r>
      <w:r>
        <w:rPr>
          <w:rFonts w:ascii="Times New Roman;sans-serif" w:hAnsi="Times New Roman;sans-serif"/>
          <w:b w:val="false"/>
          <w:color w:val="000000"/>
          <w:sz w:val="24"/>
          <w:u w:val="single"/>
        </w:rPr>
        <w:t>Section 6(g)</w:t>
      </w:r>
      <w:r>
        <w:rPr>
          <w:rFonts w:ascii="Times New Roman;sans-serif" w:hAnsi="Times New Roman;sans-serif"/>
          <w:b w:val="false"/>
          <w:color w:val="000000"/>
          <w:sz w:val="24"/>
        </w:rPr>
        <w:t xml:space="preserve">) except pursuant to an agreement or agreements in writing entered into by both Administrative Agents and the Guarantor or Guarantors with respect to which such waiver, amendment or modification is to apply, subject to any consent required in accordance with </w:t>
      </w:r>
      <w:r>
        <w:rPr>
          <w:rFonts w:ascii="Times New Roman;sans-serif" w:hAnsi="Times New Roman;sans-serif"/>
          <w:b w:val="false"/>
          <w:color w:val="000000"/>
          <w:sz w:val="24"/>
          <w:u w:val="single"/>
        </w:rPr>
        <w:t>Section 9.08</w:t>
      </w:r>
      <w:r>
        <w:rPr>
          <w:color w:val="000000"/>
        </w:rPr>
        <w:t xml:space="preserve"> </w:t>
      </w:r>
      <w:r>
        <w:rPr>
          <w:rFonts w:ascii="Times New Roman;sans-serif" w:hAnsi="Times New Roman;sans-serif"/>
          <w:b w:val="false"/>
          <w:color w:val="000000"/>
          <w:sz w:val="24"/>
        </w:rPr>
        <w:t xml:space="preserve">of the Credit Agreement;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the Administrative Agents may, without the consent of any Secured Party, consent to a departure by any Guarantor from any covenant of such Guarantor set forth herein to the extent such departure is consistent with the authority of the Administrative Agents or the Collateral Agent set forth in the Credit Agreement.</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70">
                <wp:simplePos x="0" y="0"/>
                <wp:positionH relativeFrom="character">
                  <wp:align>left</wp:align>
                </wp:positionH>
                <wp:positionV relativeFrom="line">
                  <wp:posOffset>635</wp:posOffset>
                </wp:positionV>
                <wp:extent cx="6480175" cy="781050"/>
                <wp:effectExtent l="0" t="0" r="0" b="0"/>
                <wp:wrapNone/>
                <wp:docPr id="569" name="Frame568"/>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367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367</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ind w:left="0" w:right="0" w:hanging="719"/>
        <w:jc w:val="left"/>
        <w:rPr/>
      </w:pPr>
      <w:r>
        <w:rPr>
          <w:rFonts w:ascii="Times New Roman;sans-serif" w:hAnsi="Times New Roman;sans-serif"/>
          <w:b w:val="false"/>
          <w:color w:val="000000"/>
          <w:sz w:val="24"/>
        </w:rPr>
        <w:t>(g)</w:t>
      </w:r>
      <w:r>
        <w:rPr>
          <w:rFonts w:ascii="Times New Roman;sans-serif" w:hAnsi="Times New Roman;sans-serif"/>
          <w:b w:val="false"/>
          <w:color w:val="000000"/>
          <w:sz w:val="24"/>
          <w:u w:val="single"/>
        </w:rPr>
        <w:t>Termination and Release</w:t>
      </w:r>
      <w:r>
        <w:rPr>
          <w:rFonts w:ascii="Times New Roman;sans-serif" w:hAnsi="Times New Roman;sans-serif"/>
          <w:b w:val="false"/>
          <w:color w:val="000000"/>
          <w:sz w:val="24"/>
        </w:rPr>
        <w:t>.</w:t>
      </w:r>
    </w:p>
    <w:p>
      <w:pPr>
        <w:pStyle w:val="TextBody"/>
        <w:bidi w:val="0"/>
        <w:spacing w:lineRule="auto" w:line="240" w:before="240" w:after="283"/>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(i)This Guaranty shall automatically terminate on the Termination Date.</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 xml:space="preserve">(ii)A Guarantor shall automatically and immediately be released from its obligations hereunder in full in accordance with </w:t>
      </w:r>
      <w:r>
        <w:rPr>
          <w:rFonts w:ascii="Times New Roman;sans-serif" w:hAnsi="Times New Roman;sans-serif"/>
          <w:b w:val="false"/>
          <w:color w:val="000000"/>
          <w:sz w:val="24"/>
          <w:u w:val="single"/>
        </w:rPr>
        <w:t>Section 9.18</w:t>
      </w:r>
      <w:r>
        <w:rPr>
          <w:color w:val="000000"/>
        </w:rPr>
        <w:t xml:space="preserve"> </w:t>
      </w:r>
      <w:r>
        <w:rPr>
          <w:rFonts w:ascii="Times New Roman;sans-serif" w:hAnsi="Times New Roman;sans-serif"/>
          <w:b w:val="false"/>
          <w:color w:val="000000"/>
          <w:sz w:val="24"/>
        </w:rPr>
        <w:t>of the Credit Agreement.</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 xml:space="preserve">(iii)In connection with any termination or release pursuant to this </w:t>
      </w:r>
      <w:r>
        <w:rPr>
          <w:rFonts w:ascii="Times New Roman;sans-serif" w:hAnsi="Times New Roman;sans-serif"/>
          <w:b w:val="false"/>
          <w:color w:val="000000"/>
          <w:sz w:val="24"/>
          <w:u w:val="single"/>
        </w:rPr>
        <w:t>Section 6(g)</w:t>
      </w:r>
      <w:r>
        <w:rPr>
          <w:rFonts w:ascii="Times New Roman;sans-serif" w:hAnsi="Times New Roman;sans-serif"/>
          <w:b w:val="false"/>
          <w:color w:val="000000"/>
          <w:sz w:val="24"/>
        </w:rPr>
        <w:t xml:space="preserve">, each Administrative Agent shall execute and deliver to the Borrower all documents that the Borrower shall reasonably request to evidence such termination or release;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that (i) the Administrative Agents shall have received a certificate of a Responsible Officer of the Borrower containing such certifications as either Administrative Agent shall reasonably request, (ii) neither Administrative Agent or the Collateral Agent shall be required to execute any such document on terms which, in the applicable Agent’s reasonable opinion, would expose such Agent to liability or create any obligation or entail any consequence other than the applicable termination or release without recourse or warranty and (iii) in the case of a release under </w:t>
      </w:r>
      <w:r>
        <w:rPr>
          <w:rFonts w:ascii="Times New Roman;sans-serif" w:hAnsi="Times New Roman;sans-serif"/>
          <w:b w:val="false"/>
          <w:color w:val="000000"/>
          <w:sz w:val="24"/>
          <w:u w:val="single"/>
        </w:rPr>
        <w:t>Section 6(g)(ii)</w:t>
      </w:r>
      <w:r>
        <w:rPr>
          <w:rFonts w:ascii="Times New Roman;sans-serif" w:hAnsi="Times New Roman;sans-serif"/>
          <w:b w:val="false"/>
          <w:color w:val="000000"/>
          <w:sz w:val="24"/>
        </w:rPr>
        <w:t xml:space="preserve">, such release shall not in any manner discharge, affect or impair the Guaranteed Obligations or the obligations of any other Guarantor hereunder. Any execution and delivery of documents pursuant to this </w:t>
      </w:r>
      <w:r>
        <w:rPr>
          <w:rFonts w:ascii="Times New Roman;sans-serif" w:hAnsi="Times New Roman;sans-serif"/>
          <w:b w:val="false"/>
          <w:color w:val="000000"/>
          <w:sz w:val="24"/>
          <w:u w:val="single"/>
        </w:rPr>
        <w:t>Section 6(g)</w:t>
      </w:r>
      <w:r>
        <w:rPr>
          <w:color w:val="000000"/>
        </w:rPr>
        <w:t xml:space="preserve"> </w:t>
      </w:r>
      <w:r>
        <w:rPr>
          <w:rFonts w:ascii="Times New Roman;sans-serif" w:hAnsi="Times New Roman;sans-serif"/>
          <w:b w:val="false"/>
          <w:color w:val="000000"/>
          <w:sz w:val="24"/>
        </w:rPr>
        <w:t xml:space="preserve">shall be made without recourse to or warranty by the Administrative Agents. The Borrower agrees to pay all reasonable and documented out-of-pocket expenses incurred by the Administrative Agents in connection with the execution and delivery of such documents, to the extent required by </w:t>
      </w:r>
      <w:r>
        <w:rPr>
          <w:rFonts w:ascii="Times New Roman;sans-serif" w:hAnsi="Times New Roman;sans-serif"/>
          <w:b w:val="false"/>
          <w:color w:val="000000"/>
          <w:sz w:val="24"/>
          <w:u w:val="single"/>
        </w:rPr>
        <w:t>Section 9.05</w:t>
      </w:r>
      <w:r>
        <w:rPr>
          <w:color w:val="000000"/>
        </w:rPr>
        <w:t xml:space="preserve"> </w:t>
      </w:r>
      <w:r>
        <w:rPr>
          <w:rFonts w:ascii="Times New Roman;sans-serif" w:hAnsi="Times New Roman;sans-serif"/>
          <w:b w:val="false"/>
          <w:color w:val="000000"/>
          <w:sz w:val="24"/>
        </w:rPr>
        <w:t>of the Credit Agreement.</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(h)</w:t>
      </w:r>
      <w:r>
        <w:rPr>
          <w:rFonts w:ascii="Times New Roman;sans-serif" w:hAnsi="Times New Roman;sans-serif"/>
          <w:b w:val="false"/>
          <w:color w:val="000000"/>
          <w:sz w:val="24"/>
          <w:u w:val="single"/>
        </w:rPr>
        <w:t>Counterparts</w:t>
      </w:r>
      <w:r>
        <w:rPr>
          <w:rFonts w:ascii="Times New Roman;sans-serif" w:hAnsi="Times New Roman;sans-serif"/>
          <w:b w:val="false"/>
          <w:color w:val="000000"/>
          <w:sz w:val="24"/>
        </w:rPr>
        <w:t>. This Guaranty may be executed in any number of counterparts, each of which shall be deemed an original and all of which, when taken together, shall constitute one agreement. Delivery of an executed counterpart of a signature page of this Guaranty by facsimile transmission, electronic mail (including pdf) or any electronic signature complying with the U.S. Federal ESIGN Act of 2000 or the New York Electronic Signature and Records Act or other transmission method shall be deemed to have been duly and validly delivered and be valid and effective for all purposes to the fullest extent permitted by applicable law. Each party hereto represents and warrants to the other parties hereto that it has the corporate capacity and authority to execute this Guaranty through electronic means and there are no restrictions for doing so in such party’s constitutive documents.</w:t>
      </w:r>
    </w:p>
    <w:p>
      <w:pPr>
        <w:pStyle w:val="TextBody"/>
        <w:bidi w:val="0"/>
        <w:spacing w:lineRule="auto" w:line="240" w:before="240" w:after="283"/>
        <w:ind w:left="0" w:right="0" w:hanging="719"/>
        <w:jc w:val="left"/>
        <w:rPr/>
      </w:pPr>
      <w:r>
        <w:rPr>
          <w:rFonts w:ascii="Times New Roman;sans-serif" w:hAnsi="Times New Roman;sans-serif"/>
          <w:b/>
          <w:color w:val="000000"/>
          <w:sz w:val="24"/>
        </w:rPr>
        <w:t>7.</w:t>
      </w:r>
      <w:r>
        <w:rPr>
          <w:rFonts w:ascii="Times New Roman;sans-serif" w:hAnsi="Times New Roman;sans-serif"/>
          <w:b/>
          <w:color w:val="000000"/>
          <w:sz w:val="24"/>
          <w:u w:val="single"/>
        </w:rPr>
        <w:t>INDEMNITY; SUBROGATION AND SUBORDINATION</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Indemnity and Subrogation</w:t>
      </w:r>
      <w:r>
        <w:rPr>
          <w:rFonts w:ascii="Times New Roman;sans-serif" w:hAnsi="Times New Roman;sans-serif"/>
          <w:b w:val="false"/>
          <w:color w:val="000000"/>
          <w:sz w:val="24"/>
        </w:rPr>
        <w:t xml:space="preserve">. In addition to all such rights of indemnity and subrogation as the Guarantors may have under applicable law (but subject to </w:t>
      </w:r>
      <w:r>
        <w:rPr>
          <w:rFonts w:ascii="Times New Roman;sans-serif" w:hAnsi="Times New Roman;sans-serif"/>
          <w:b w:val="false"/>
          <w:color w:val="000000"/>
          <w:sz w:val="24"/>
          <w:u w:val="single"/>
        </w:rPr>
        <w:t>Section 7(c)</w:t>
      </w:r>
      <w:r>
        <w:rPr>
          <w:rFonts w:ascii="Times New Roman;sans-serif" w:hAnsi="Times New Roman;sans-serif"/>
          <w:b w:val="false"/>
          <w:color w:val="000000"/>
          <w:sz w:val="24"/>
        </w:rPr>
        <w:t>), the Borrower agrees that (i) in the event a payment shall be made by any Guarantor under this Guaranty in respect of any Guaranteed Obligation of the Borrower, the Borrower shall indemnify such Guarantor for the full amount of such payment and such Guarantor shall be subrogated to the rights of the person to whom such payment shall have been made to the extent of such payment and (ii) in the event any assets of any Guarantor shall be sold pursuant to any Security Document to satisfy in whole or in part a Guaranteed Obligation of the Borrower, the Borrower shall indemnify such Guarantor in an amount equal to the greater of the book value or the fair market value of the assets so sold.</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71">
                <wp:simplePos x="0" y="0"/>
                <wp:positionH relativeFrom="character">
                  <wp:align>left</wp:align>
                </wp:positionH>
                <wp:positionV relativeFrom="line">
                  <wp:posOffset>635</wp:posOffset>
                </wp:positionV>
                <wp:extent cx="6480175" cy="781050"/>
                <wp:effectExtent l="0" t="0" r="0" b="0"/>
                <wp:wrapNone/>
                <wp:docPr id="570" name="Frame569"/>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368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368</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ind w:left="0" w:right="0" w:firstLine="72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Contribution and Subrogation</w:t>
      </w:r>
      <w:r>
        <w:rPr>
          <w:rFonts w:ascii="Times New Roman;sans-serif" w:hAnsi="Times New Roman;sans-serif"/>
          <w:b w:val="false"/>
          <w:color w:val="000000"/>
          <w:sz w:val="24"/>
        </w:rPr>
        <w:t>. Each Guarantor (a “</w:t>
      </w:r>
      <w:r>
        <w:rPr>
          <w:rFonts w:ascii="Times New Roman;sans-serif" w:hAnsi="Times New Roman;sans-serif"/>
          <w:b w:val="false"/>
          <w:color w:val="000000"/>
          <w:sz w:val="24"/>
          <w:u w:val="single"/>
        </w:rPr>
        <w:t>Contributing Guarantor</w:t>
      </w:r>
      <w:r>
        <w:rPr>
          <w:color w:val="000000"/>
        </w:rPr>
        <w:t>”</w:t>
      </w:r>
      <w:r>
        <w:rPr>
          <w:rFonts w:ascii="Times New Roman;sans-serif" w:hAnsi="Times New Roman;sans-serif"/>
          <w:b w:val="false"/>
          <w:color w:val="000000"/>
          <w:sz w:val="24"/>
        </w:rPr>
        <w:t xml:space="preserve">) agrees (subject to </w:t>
      </w:r>
      <w:r>
        <w:rPr>
          <w:rFonts w:ascii="Times New Roman;sans-serif" w:hAnsi="Times New Roman;sans-serif"/>
          <w:b w:val="false"/>
          <w:color w:val="000000"/>
          <w:sz w:val="24"/>
          <w:u w:val="single"/>
        </w:rPr>
        <w:t>Section 7(c)</w:t>
      </w:r>
      <w:r>
        <w:rPr>
          <w:rFonts w:ascii="Times New Roman;sans-serif" w:hAnsi="Times New Roman;sans-serif"/>
          <w:b w:val="false"/>
          <w:color w:val="000000"/>
          <w:sz w:val="24"/>
        </w:rPr>
        <w:t>) that, in the event a payment shall be made by any other Guarantor hereunder in respect of any Guaranteed Obligation or assets of any other Guarantor shall be sold pursuant to any Security Document to satisfy any Guaranteed Obligation owed to any Secured Party and such other Guarantor (the “</w:t>
      </w:r>
      <w:r>
        <w:rPr>
          <w:rFonts w:ascii="Times New Roman;sans-serif" w:hAnsi="Times New Roman;sans-serif"/>
          <w:b w:val="false"/>
          <w:color w:val="000000"/>
          <w:sz w:val="24"/>
          <w:u w:val="single"/>
        </w:rPr>
        <w:t>Claiming Guarantor</w:t>
      </w:r>
      <w:r>
        <w:rPr>
          <w:color w:val="000000"/>
        </w:rPr>
        <w:t>”</w:t>
      </w:r>
      <w:r>
        <w:rPr>
          <w:rFonts w:ascii="Times New Roman;sans-serif" w:hAnsi="Times New Roman;sans-serif"/>
          <w:b w:val="false"/>
          <w:color w:val="000000"/>
          <w:sz w:val="24"/>
        </w:rPr>
        <w:t xml:space="preserve">) shall not have been fully indemnified by the applicable Borrower as provided in </w:t>
      </w:r>
      <w:r>
        <w:rPr>
          <w:rFonts w:ascii="Times New Roman;sans-serif" w:hAnsi="Times New Roman;sans-serif"/>
          <w:b w:val="false"/>
          <w:color w:val="000000"/>
          <w:sz w:val="24"/>
          <w:u w:val="single"/>
        </w:rPr>
        <w:t>Section 7(a)</w:t>
      </w:r>
      <w:r>
        <w:rPr>
          <w:color w:val="000000"/>
        </w:rPr>
        <w:t xml:space="preserve"> </w:t>
      </w:r>
      <w:r>
        <w:rPr>
          <w:rFonts w:ascii="Times New Roman;sans-serif" w:hAnsi="Times New Roman;sans-serif"/>
          <w:b w:val="false"/>
          <w:color w:val="000000"/>
          <w:sz w:val="24"/>
        </w:rPr>
        <w:t xml:space="preserve">hereof, the Contributing Guarantor shall indemnify the Claiming Guarantor in an amount equal to the amount of such payment or the greater of the book value or the fair market value of such assets, as applicable, in each case multiplied by a fraction of which the numerator shall be the net worth of such Contributing Guarantor on the date hereof and the denominator shall be the aggregate net worth of all the Guarantors on the date hereof (or, in the case of any Guarantor becoming a party hereto after the date hereof pursuant to </w:t>
      </w:r>
      <w:r>
        <w:rPr>
          <w:rFonts w:ascii="Times New Roman;sans-serif" w:hAnsi="Times New Roman;sans-serif"/>
          <w:b w:val="false"/>
          <w:color w:val="000000"/>
          <w:sz w:val="24"/>
          <w:u w:val="single"/>
        </w:rPr>
        <w:t>Section 5.10</w:t>
      </w:r>
      <w:r>
        <w:rPr>
          <w:color w:val="000000"/>
        </w:rPr>
        <w:t xml:space="preserve"> </w:t>
      </w:r>
      <w:r>
        <w:rPr>
          <w:rFonts w:ascii="Times New Roman;sans-serif" w:hAnsi="Times New Roman;sans-serif"/>
          <w:b w:val="false"/>
          <w:color w:val="000000"/>
          <w:sz w:val="24"/>
        </w:rPr>
        <w:t xml:space="preserve">of the Credit Agreement, the date of the Guaranty Supplement executed and delivered by each such Guarantor). Any Contributing Guarantor making any payment to a Claiming Guarantor pursuant to this </w:t>
      </w:r>
      <w:r>
        <w:rPr>
          <w:rFonts w:ascii="Times New Roman;sans-serif" w:hAnsi="Times New Roman;sans-serif"/>
          <w:b w:val="false"/>
          <w:color w:val="000000"/>
          <w:sz w:val="24"/>
          <w:u w:val="single"/>
        </w:rPr>
        <w:t>Section 7(b)</w:t>
      </w:r>
      <w:r>
        <w:rPr>
          <w:color w:val="000000"/>
        </w:rPr>
        <w:t xml:space="preserve"> </w:t>
      </w:r>
      <w:r>
        <w:rPr>
          <w:rFonts w:ascii="Times New Roman;sans-serif" w:hAnsi="Times New Roman;sans-serif"/>
          <w:b w:val="false"/>
          <w:color w:val="000000"/>
          <w:sz w:val="24"/>
        </w:rPr>
        <w:t xml:space="preserve">shall be subrogated to the rights of such Claiming Guarantor under </w:t>
      </w:r>
      <w:r>
        <w:rPr>
          <w:rFonts w:ascii="Times New Roman;sans-serif" w:hAnsi="Times New Roman;sans-serif"/>
          <w:b w:val="false"/>
          <w:color w:val="000000"/>
          <w:sz w:val="24"/>
          <w:u w:val="single"/>
        </w:rPr>
        <w:t>Section 7(a)</w:t>
      </w:r>
      <w:r>
        <w:rPr>
          <w:color w:val="000000"/>
        </w:rPr>
        <w:t xml:space="preserve"> </w:t>
      </w:r>
      <w:r>
        <w:rPr>
          <w:rFonts w:ascii="Times New Roman;sans-serif" w:hAnsi="Times New Roman;sans-serif"/>
          <w:b w:val="false"/>
          <w:color w:val="000000"/>
          <w:sz w:val="24"/>
        </w:rPr>
        <w:t xml:space="preserve">to the extent of such payment. The provisions of this </w:t>
      </w:r>
      <w:r>
        <w:rPr>
          <w:rFonts w:ascii="Times New Roman;sans-serif" w:hAnsi="Times New Roman;sans-serif"/>
          <w:b w:val="false"/>
          <w:color w:val="000000"/>
          <w:sz w:val="24"/>
          <w:u w:val="single"/>
        </w:rPr>
        <w:t>Section 7(b)</w:t>
      </w:r>
      <w:r>
        <w:rPr>
          <w:color w:val="000000"/>
        </w:rPr>
        <w:t xml:space="preserve"> </w:t>
      </w:r>
      <w:r>
        <w:rPr>
          <w:rFonts w:ascii="Times New Roman;sans-serif" w:hAnsi="Times New Roman;sans-serif"/>
          <w:b w:val="false"/>
          <w:color w:val="000000"/>
          <w:sz w:val="24"/>
        </w:rPr>
        <w:t>shall in no respect limit the obligations and liabilities of any Guarantor to the Administrative Agents and the other Secured Parties, and each Guarantor shall remain liable to the Administrative Agents and the other Secured Parties for the full amount guaranteed by such Guarantor hereunder.</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Subordination, etc</w:t>
      </w:r>
      <w:r>
        <w:rPr>
          <w:rFonts w:ascii="Times New Roman;sans-serif" w:hAnsi="Times New Roman;sans-serif"/>
          <w:b w:val="false"/>
          <w:color w:val="000000"/>
          <w:sz w:val="24"/>
        </w:rPr>
        <w:t xml:space="preserve">. Notwithstanding any provision of this Guaranty to the contrary, all rights of the Guarantors under </w:t>
      </w:r>
      <w:r>
        <w:rPr>
          <w:rFonts w:ascii="Times New Roman;sans-serif" w:hAnsi="Times New Roman;sans-serif"/>
          <w:b w:val="false"/>
          <w:color w:val="000000"/>
          <w:sz w:val="24"/>
          <w:u w:val="single"/>
        </w:rPr>
        <w:t>Sections 7(a)</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7(b)</w:t>
      </w:r>
      <w:r>
        <w:rPr>
          <w:color w:val="000000"/>
        </w:rPr>
        <w:t xml:space="preserve"> </w:t>
      </w:r>
      <w:r>
        <w:rPr>
          <w:rFonts w:ascii="Times New Roman;sans-serif" w:hAnsi="Times New Roman;sans-serif"/>
          <w:b w:val="false"/>
          <w:color w:val="000000"/>
          <w:sz w:val="24"/>
        </w:rPr>
        <w:t xml:space="preserve">and all other rights of indemnity, contribution or subrogation of any Guarantor under applicable law or otherwise shall be fully subordinated to the Guaranteed Obligations until the occurrence of the Termination Date. Notwithstanding any payment or payments made by any of the Guarantors hereunder or any set- off or appropriation or application of funds of any of the Guarantors by any Secured Party, no Guarantor shall be entitled to be subrogated to any of the rights of either Administrative Agent or any other Secured Party against any Loan Party or any collateral security or guarantee or right of set-off held by any Secured Party for the payment of the Guaranteed Obligations until the Termination Date shall have occurred, nor shall any Guarantor seek or be entitled to seek any contribution or reimbursement from any Loan Party in respect of payments made by such Guarantor hereunder until the Termination Date shall have occurred. If any amount shall be paid to any Guarantor on account of such subrogation rights at any time prior to the Termination Date of the Guaranteed Obligations, such amount shall be held by such Guarantor in trust for the applicable Administrative Agent and the other Secured Parties, segregated from other funds of such Guarantor, and shall, forthwith upon receipt by such Guarantor, be paid to the applicable Administrative Agent to be credited and applied against the Guaranteed Obligations, whether matured or unmatured, in accordance with the terms of the Credit Agreement. No failure on the part of any Loan Party to make the payments required by </w:t>
      </w:r>
      <w:r>
        <w:rPr>
          <w:rFonts w:ascii="Times New Roman;sans-serif" w:hAnsi="Times New Roman;sans-serif"/>
          <w:b w:val="false"/>
          <w:color w:val="000000"/>
          <w:sz w:val="24"/>
          <w:u w:val="single"/>
        </w:rPr>
        <w:t>Sections 7(a)</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7(b)</w:t>
      </w:r>
      <w:r>
        <w:rPr>
          <w:color w:val="000000"/>
        </w:rPr>
        <w:t xml:space="preserve"> </w:t>
      </w:r>
      <w:r>
        <w:rPr>
          <w:rFonts w:ascii="Times New Roman;sans-serif" w:hAnsi="Times New Roman;sans-serif"/>
          <w:b w:val="false"/>
          <w:color w:val="000000"/>
          <w:sz w:val="24"/>
        </w:rPr>
        <w:t>(or any other payments required under applicable law or otherwise) shall in any respect limit the obligations and liabilities of the Borrower with respect to the Obligations or any Guarantor with respect to its obligations hereunder, and the Borrower shall remain liable for the full amount of the Obligations and each Guarantor shall remain liable for the full amount of the obligations of such Guarantor hereunder. The parties hereto acknowledge that the rights of contribution and indemnification hereunder shall constitute assets of the Guarantor or Guarantors to which such contribution and indemnification is owing.</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72">
                <wp:simplePos x="0" y="0"/>
                <wp:positionH relativeFrom="character">
                  <wp:align>left</wp:align>
                </wp:positionH>
                <wp:positionV relativeFrom="line">
                  <wp:posOffset>635</wp:posOffset>
                </wp:positionV>
                <wp:extent cx="6480175" cy="781050"/>
                <wp:effectExtent l="0" t="0" r="0" b="0"/>
                <wp:wrapNone/>
                <wp:docPr id="571" name="Frame570"/>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369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369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ind w:left="0" w:right="0" w:firstLine="720"/>
        <w:jc w:val="both"/>
        <w:rPr/>
      </w:pPr>
      <w:r>
        <w:rPr>
          <w:rFonts w:ascii="Times New Roman;sans-serif" w:hAnsi="Times New Roman;sans-serif"/>
          <w:b w:val="false"/>
          <w:color w:val="000000"/>
          <w:sz w:val="24"/>
        </w:rPr>
        <w:t xml:space="preserve">Notwithstanding anything to the contrary contained above, upon the sale of all of the Equity Interests of any Guarantor and the release of such Guarantor from the provisions hereof (whether by either Administrative Agent or the Collateral Agent in connection with an exercise of its remedies or in accordance with the relevant provisions of the Credit Agreement), then any indemnification and contribution obligations otherwise provided above in this </w:t>
      </w:r>
      <w:r>
        <w:rPr>
          <w:rFonts w:ascii="Times New Roman;sans-serif" w:hAnsi="Times New Roman;sans-serif"/>
          <w:b w:val="false"/>
          <w:color w:val="000000"/>
          <w:sz w:val="24"/>
          <w:u w:val="single"/>
        </w:rPr>
        <w:t>Section 7</w:t>
      </w:r>
      <w:r>
        <w:rPr>
          <w:color w:val="000000"/>
        </w:rPr>
        <w:t xml:space="preserve"> </w:t>
      </w:r>
      <w:r>
        <w:rPr>
          <w:rFonts w:ascii="Times New Roman;sans-serif" w:hAnsi="Times New Roman;sans-serif"/>
          <w:b w:val="false"/>
          <w:color w:val="000000"/>
          <w:sz w:val="24"/>
        </w:rPr>
        <w:t xml:space="preserve">with respect to the Guarantor which was so released shall terminate and be of no further force and effect, and if any other Guarantors have theretofore made payments hereunder with respect to the Guaranteed Obligations which have not yet been reimbursed in full, then any amount which would have otherwise been payable under this </w:t>
      </w:r>
      <w:r>
        <w:rPr>
          <w:rFonts w:ascii="Times New Roman;sans-serif" w:hAnsi="Times New Roman;sans-serif"/>
          <w:b w:val="false"/>
          <w:color w:val="000000"/>
          <w:sz w:val="24"/>
          <w:u w:val="single"/>
        </w:rPr>
        <w:t>Section 7</w:t>
      </w:r>
      <w:r>
        <w:rPr>
          <w:color w:val="000000"/>
        </w:rPr>
        <w:t xml:space="preserve"> </w:t>
      </w:r>
      <w:r>
        <w:rPr>
          <w:rFonts w:ascii="Times New Roman;sans-serif" w:hAnsi="Times New Roman;sans-serif"/>
          <w:b w:val="false"/>
          <w:color w:val="000000"/>
          <w:sz w:val="24"/>
        </w:rPr>
        <w:t>by the Guarantor which has been released herefrom shall be reallocated to the remaining Guarantors based on their respective net worths as re-determined on such date.</w:t>
      </w:r>
    </w:p>
    <w:p>
      <w:pPr>
        <w:pStyle w:val="TextBody"/>
        <w:bidi w:val="0"/>
        <w:spacing w:lineRule="auto" w:line="240" w:before="240" w:after="283"/>
        <w:ind w:left="0" w:right="0" w:hanging="719"/>
        <w:jc w:val="left"/>
        <w:rPr/>
      </w:pPr>
      <w:r>
        <w:rPr>
          <w:rFonts w:ascii="Times New Roman;sans-serif" w:hAnsi="Times New Roman;sans-serif"/>
          <w:b/>
          <w:color w:val="000000"/>
          <w:sz w:val="24"/>
        </w:rPr>
        <w:t>8.</w:t>
      </w:r>
      <w:r>
        <w:rPr>
          <w:rFonts w:ascii="Times New Roman;sans-serif" w:hAnsi="Times New Roman;sans-serif"/>
          <w:b/>
          <w:color w:val="000000"/>
          <w:sz w:val="24"/>
          <w:u w:val="single"/>
        </w:rPr>
        <w:t>GOVERNING LAW</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THIS GUARANTY AND ANY CLAIMS, CONTROVERSY, DISPUTE OR CAUSES OF ACTION (WHETHER IN CONTRACT OR TORT OR OTHERWISE) BASED UPON, ARISING OUT OF OR RELATING TO THIS GUARANTY SHALL BE CONSTRUED IN ACCORDANCE WITH AND GOVERNED BY THE LAWS OF THE STATE OF NEW YORK.</w:t>
      </w:r>
    </w:p>
    <w:p>
      <w:pPr>
        <w:pStyle w:val="TextBody"/>
        <w:bidi w:val="0"/>
        <w:spacing w:lineRule="auto" w:line="240" w:before="240" w:after="283"/>
        <w:ind w:left="0" w:right="0" w:hanging="719"/>
        <w:jc w:val="left"/>
        <w:rPr/>
      </w:pPr>
      <w:r>
        <w:rPr>
          <w:rFonts w:ascii="Times New Roman;sans-serif" w:hAnsi="Times New Roman;sans-serif"/>
          <w:b/>
          <w:color w:val="000000"/>
          <w:sz w:val="24"/>
        </w:rPr>
        <w:t>9.</w:t>
      </w:r>
      <w:r>
        <w:rPr>
          <w:rFonts w:ascii="Times New Roman;sans-serif" w:hAnsi="Times New Roman;sans-serif"/>
          <w:b/>
          <w:color w:val="000000"/>
          <w:sz w:val="24"/>
          <w:u w:val="single"/>
        </w:rPr>
        <w:t>JURISDICTION; CONSENT TO SERVICE OF PROCESS</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(a)Each Guarantor irrevocably and unconditionally agrees that it will not commence any action, litigation or proceeding of any kind or description, whether in law or equity, whether in contract or in tort or otherwise, against either Administrative Agent, any other Secured Party, or any Affiliate of the foregoing in any way relating to this Guaranty, any other Loan Document or the transactions relating hereto or thereto, in any forum other than the courts of the State of New York sitting in New York County, Borough of Manhattan, and of the United States District Court of the Southern District of New York, sitting in New York County, Borough of Manhattan,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 Nothing in this Guaranty shall affect any right that either Administrative Agent or any other Secured Party may otherwise have to bring any action or proceeding relating to this Guaranty against any Guarantor or its properties in the courts of any jurisdiction.</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 xml:space="preserve">(b)Each of the parties hereto hereby irrevocably and unconditionally waives, to the fullest extent it may legally and effectively do so, any objection which it may now or hereafter have to the laying of venue of any suit, action or proceeding arising out of or relating to this Guaranty in any court referred to in </w:t>
      </w:r>
      <w:r>
        <w:rPr>
          <w:rFonts w:ascii="Times New Roman;sans-serif" w:hAnsi="Times New Roman;sans-serif"/>
          <w:b w:val="false"/>
          <w:color w:val="000000"/>
          <w:sz w:val="24"/>
          <w:u w:val="single"/>
        </w:rPr>
        <w:t>Section 9(a)</w:t>
      </w:r>
      <w:r>
        <w:rPr>
          <w:rFonts w:ascii="Times New Roman;sans-serif" w:hAnsi="Times New Roman;sans-serif"/>
          <w:b w:val="false"/>
          <w:color w:val="000000"/>
          <w:sz w:val="24"/>
        </w:rPr>
        <w:t>. Each of the parties hereto hereby irrevocably waives, to the fullest extent permitted by law, the defense of an inconvenient forum to the maintenance of such action or proceeding in any such court.</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73">
                <wp:simplePos x="0" y="0"/>
                <wp:positionH relativeFrom="character">
                  <wp:align>left</wp:align>
                </wp:positionH>
                <wp:positionV relativeFrom="line">
                  <wp:posOffset>635</wp:posOffset>
                </wp:positionV>
                <wp:extent cx="6480175" cy="781050"/>
                <wp:effectExtent l="0" t="0" r="0" b="0"/>
                <wp:wrapNone/>
                <wp:docPr id="572" name="Frame571"/>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370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370</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ind w:left="0" w:right="0" w:firstLine="720"/>
        <w:jc w:val="both"/>
        <w:rPr/>
      </w:pPr>
      <w:r>
        <w:rPr>
          <w:rFonts w:ascii="Times New Roman;sans-serif" w:hAnsi="Times New Roman;sans-serif"/>
          <w:b w:val="false"/>
          <w:color w:val="000000"/>
          <w:sz w:val="24"/>
        </w:rPr>
        <w:t xml:space="preserve">(c)Each party to this Guaranty irrevocably consents to service of process in the manner provided for notices in </w:t>
      </w:r>
      <w:r>
        <w:rPr>
          <w:rFonts w:ascii="Times New Roman;sans-serif" w:hAnsi="Times New Roman;sans-serif"/>
          <w:b w:val="false"/>
          <w:color w:val="000000"/>
          <w:sz w:val="24"/>
          <w:u w:val="single"/>
        </w:rPr>
        <w:t>Section 6(d)</w:t>
      </w:r>
      <w:r>
        <w:rPr>
          <w:rFonts w:ascii="Times New Roman;sans-serif" w:hAnsi="Times New Roman;sans-serif"/>
          <w:b w:val="false"/>
          <w:color w:val="000000"/>
          <w:sz w:val="24"/>
        </w:rPr>
        <w:t>. Nothing in this Guaranty will affect the right of any party to this Guaranty to serve process in any other manner permitted by law.</w:t>
      </w:r>
    </w:p>
    <w:p>
      <w:pPr>
        <w:pStyle w:val="TextBody"/>
        <w:bidi w:val="0"/>
        <w:spacing w:lineRule="auto" w:line="240" w:before="240" w:after="283"/>
        <w:ind w:left="0" w:right="0" w:hanging="719"/>
        <w:jc w:val="left"/>
        <w:rPr/>
      </w:pPr>
      <w:r>
        <w:rPr>
          <w:rFonts w:ascii="Times New Roman;sans-serif" w:hAnsi="Times New Roman;sans-serif"/>
          <w:b/>
          <w:color w:val="000000"/>
          <w:sz w:val="24"/>
        </w:rPr>
        <w:t>10.</w:t>
      </w:r>
      <w:r>
        <w:rPr>
          <w:rFonts w:ascii="Times New Roman;sans-serif" w:hAnsi="Times New Roman;sans-serif"/>
          <w:b/>
          <w:color w:val="000000"/>
          <w:sz w:val="24"/>
          <w:u w:val="single"/>
        </w:rPr>
        <w:t>WAIVER OF JURY TRIAL</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 xml:space="preserve">EACH PARTY HERETO HEREBY WAIVES, TO THE FULLEST EXTENT PERMITTED BY APPLICABLE LAW, ANY RIGHT IT MAY HAVE TO A TRIAL BY JURY IN ANY LEGAL PROCEEDING DIRECTLY OR INDIRECTLY ARISING OUT OF, UNDER OR IN CONNECTION WITH THIS GUARANTY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GUARANTY AND THE OTHER LOAN DOCUMENTS, AS APPLICABLE, BY, AMONG OTHER THINGS, THE MUTUAL WAIVERS AND CERTIFICATIONS IN THIS </w:t>
      </w:r>
      <w:r>
        <w:rPr>
          <w:rFonts w:ascii="Times New Roman;sans-serif" w:hAnsi="Times New Roman;sans-serif"/>
          <w:b w:val="false"/>
          <w:color w:val="000000"/>
          <w:sz w:val="24"/>
          <w:u w:val="single"/>
        </w:rPr>
        <w:t>SECTION 10</w:t>
      </w:r>
      <w:r>
        <w:rPr>
          <w:rFonts w:ascii="Times New Roman;sans-serif" w:hAnsi="Times New Roman;sans-serif"/>
          <w:b w:val="false"/>
          <w:color w:val="000000"/>
          <w:sz w:val="24"/>
        </w:rPr>
        <w:t>.</w:t>
      </w:r>
    </w:p>
    <w:p>
      <w:pPr>
        <w:pStyle w:val="TextBody"/>
        <w:bidi w:val="0"/>
        <w:spacing w:lineRule="auto" w:line="240" w:before="240" w:after="283"/>
        <w:ind w:left="0" w:right="0" w:hanging="719"/>
        <w:jc w:val="left"/>
        <w:rPr/>
      </w:pPr>
      <w:r>
        <w:rPr>
          <w:rFonts w:ascii="Times New Roman;sans-serif" w:hAnsi="Times New Roman;sans-serif"/>
          <w:b/>
          <w:color w:val="000000"/>
          <w:sz w:val="24"/>
        </w:rPr>
        <w:t>11.</w:t>
      </w:r>
      <w:r>
        <w:rPr>
          <w:rFonts w:ascii="Times New Roman;sans-serif" w:hAnsi="Times New Roman;sans-serif"/>
          <w:b/>
          <w:color w:val="000000"/>
          <w:sz w:val="24"/>
          <w:u w:val="single"/>
        </w:rPr>
        <w:t>RIGHT OF SET-OFF</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 xml:space="preserve">If an Event of Default shall have occurred and be continuing, each Lender, each Issuing Bank and each of its Affiliates is hereby authorized at any time and from time to time, to the fullest extent permitted by applicable law, to set off and apply any and all deposits (general or special, time or demand, provisional or final and in whatever currency denominated) at any time held and other obligation at any time owing by such Lender or such Issuing Bank to or for the credit or the account of any Guarantor against any of and all the obligations of such Guarantor now or hereafter existing under this Guaranty held by such Lender or Issuing Bank, irrespective of whether or not such Lender shall have made any demand under this Guaranty and although such obligations may be unmatured;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(x) any recovery by any Lender, any Issuing Bank or any Affiliate pursuant to its set-off rights under this </w:t>
      </w:r>
      <w:r>
        <w:rPr>
          <w:rFonts w:ascii="Times New Roman;sans-serif" w:hAnsi="Times New Roman;sans-serif"/>
          <w:b w:val="false"/>
          <w:color w:val="000000"/>
          <w:sz w:val="24"/>
          <w:u w:val="single"/>
        </w:rPr>
        <w:t>Section 11</w:t>
      </w:r>
      <w:r>
        <w:rPr>
          <w:color w:val="000000"/>
        </w:rPr>
        <w:t xml:space="preserve"> </w:t>
      </w:r>
      <w:r>
        <w:rPr>
          <w:rFonts w:ascii="Times New Roman;sans-serif" w:hAnsi="Times New Roman;sans-serif"/>
          <w:b w:val="false"/>
          <w:color w:val="000000"/>
          <w:sz w:val="24"/>
        </w:rPr>
        <w:t xml:space="preserve">is subject to the provisions of </w:t>
      </w:r>
      <w:r>
        <w:rPr>
          <w:rFonts w:ascii="Times New Roman;sans-serif" w:hAnsi="Times New Roman;sans-serif"/>
          <w:b w:val="false"/>
          <w:color w:val="000000"/>
          <w:sz w:val="24"/>
          <w:u w:val="single"/>
        </w:rPr>
        <w:t>Section</w:t>
      </w:r>
      <w:r>
        <w:rPr>
          <w:color w:val="000000"/>
        </w:rPr>
        <w:t xml:space="preserve"> </w:t>
      </w:r>
      <w:r>
        <w:rPr>
          <w:rFonts w:ascii="Times New Roman;sans-serif" w:hAnsi="Times New Roman;sans-serif"/>
          <w:b w:val="false"/>
          <w:color w:val="000000"/>
          <w:sz w:val="24"/>
          <w:u w:val="single"/>
        </w:rPr>
        <w:t>2.18(c)</w:t>
      </w:r>
      <w:r>
        <w:rPr>
          <w:color w:val="000000"/>
        </w:rPr>
        <w:t xml:space="preserve"> </w:t>
      </w:r>
      <w:r>
        <w:rPr>
          <w:rFonts w:ascii="Times New Roman;sans-serif" w:hAnsi="Times New Roman;sans-serif"/>
          <w:b w:val="false"/>
          <w:color w:val="000000"/>
          <w:sz w:val="24"/>
        </w:rPr>
        <w:t xml:space="preserve">of the Credit Agreement and (y) any Defaulting Lender’s set-off right hereunder shall be subject to </w:t>
      </w:r>
      <w:r>
        <w:rPr>
          <w:rFonts w:ascii="Times New Roman;sans-serif" w:hAnsi="Times New Roman;sans-serif"/>
          <w:b w:val="false"/>
          <w:color w:val="000000"/>
          <w:sz w:val="24"/>
          <w:u w:val="single"/>
        </w:rPr>
        <w:t>Section 9.06</w:t>
      </w:r>
      <w:r>
        <w:rPr>
          <w:color w:val="000000"/>
        </w:rPr>
        <w:t xml:space="preserve"> </w:t>
      </w:r>
      <w:r>
        <w:rPr>
          <w:rFonts w:ascii="Times New Roman;sans-serif" w:hAnsi="Times New Roman;sans-serif"/>
          <w:b w:val="false"/>
          <w:color w:val="000000"/>
          <w:sz w:val="24"/>
        </w:rPr>
        <w:t xml:space="preserve">of the Credit Agreement. Each Lender and each Issuing Bank agrees promptly to notify the Borrower and the Administrative Agents after any such set-off and application made by such Lender;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the failure to give such notice shall not affect the validity of such set-off and application. The rights of each Lender and each Issuing Bank under this </w:t>
      </w:r>
      <w:r>
        <w:rPr>
          <w:rFonts w:ascii="Times New Roman;sans-serif" w:hAnsi="Times New Roman;sans-serif"/>
          <w:b w:val="false"/>
          <w:color w:val="000000"/>
          <w:sz w:val="24"/>
          <w:u w:val="single"/>
        </w:rPr>
        <w:t>Section 11</w:t>
      </w:r>
      <w:r>
        <w:rPr>
          <w:color w:val="000000"/>
        </w:rPr>
        <w:t xml:space="preserve"> </w:t>
      </w:r>
      <w:r>
        <w:rPr>
          <w:rFonts w:ascii="Times New Roman;sans-serif" w:hAnsi="Times New Roman;sans-serif"/>
          <w:b w:val="false"/>
          <w:color w:val="000000"/>
          <w:sz w:val="24"/>
        </w:rPr>
        <w:t>are in addition to other rights and remedies (including other rights of set-off) that such Lender and such Issuing Bank may have.</w:t>
      </w:r>
    </w:p>
    <w:p>
      <w:pPr>
        <w:pStyle w:val="TextBody"/>
        <w:bidi w:val="0"/>
        <w:spacing w:lineRule="auto" w:line="240" w:before="240" w:after="283"/>
        <w:ind w:left="0" w:right="0" w:hanging="719"/>
        <w:jc w:val="left"/>
        <w:rPr/>
      </w:pPr>
      <w:r>
        <w:rPr>
          <w:rFonts w:ascii="Times New Roman;sans-serif" w:hAnsi="Times New Roman;sans-serif"/>
          <w:b/>
          <w:color w:val="000000"/>
          <w:sz w:val="24"/>
        </w:rPr>
        <w:t>12.</w:t>
      </w:r>
      <w:r>
        <w:rPr>
          <w:rFonts w:ascii="Times New Roman;sans-serif" w:hAnsi="Times New Roman;sans-serif"/>
          <w:b/>
          <w:color w:val="000000"/>
          <w:sz w:val="24"/>
          <w:u w:val="single"/>
        </w:rPr>
        <w:t>ADDITIONAL SUBSIDIARIES</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 xml:space="preserve">Upon execution and delivery by any direct or indirect Subsidiary of the Borrower that is required to become a party hereto pursuant to </w:t>
      </w:r>
      <w:r>
        <w:rPr>
          <w:rFonts w:ascii="Times New Roman;sans-serif" w:hAnsi="Times New Roman;sans-serif"/>
          <w:b w:val="false"/>
          <w:color w:val="000000"/>
          <w:sz w:val="24"/>
          <w:u w:val="single"/>
        </w:rPr>
        <w:t>Section 5.10</w:t>
      </w:r>
      <w:r>
        <w:rPr>
          <w:color w:val="000000"/>
        </w:rPr>
        <w:t xml:space="preserve"> </w:t>
      </w:r>
      <w:r>
        <w:rPr>
          <w:rFonts w:ascii="Times New Roman;sans-serif" w:hAnsi="Times New Roman;sans-serif"/>
          <w:b w:val="false"/>
          <w:color w:val="000000"/>
          <w:sz w:val="24"/>
        </w:rPr>
        <w:t>of the Credit Agreement (or that is referred to in the definition of Guarantor in the Credit Agreement) of a Guaranty Supplement, such Subsidiary shall become a Guarantor hereunder with the same force and effect as if originally named as a Guarantor herein on the date hereof. The execution and delivery of any such instrument shall not require the consent of any other party to this Guaranty. The rights and obligations of each</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74">
                <wp:simplePos x="0" y="0"/>
                <wp:positionH relativeFrom="character">
                  <wp:align>left</wp:align>
                </wp:positionH>
                <wp:positionV relativeFrom="line">
                  <wp:posOffset>635</wp:posOffset>
                </wp:positionV>
                <wp:extent cx="6480175" cy="781050"/>
                <wp:effectExtent l="0" t="0" r="0" b="0"/>
                <wp:wrapNone/>
                <wp:docPr id="573" name="Frame572"/>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371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371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jc w:val="both"/>
        <w:rPr>
          <w:rFonts w:ascii="Times New Roman;sans-serif" w:hAnsi="Times New Roman;sans-serif"/>
          <w:b w:val="false"/>
          <w:color w:val="000000"/>
          <w:sz w:val="24"/>
        </w:rPr>
      </w:pPr>
      <w:r>
        <w:rPr>
          <w:rFonts w:ascii="Times New Roman;sans-serif" w:hAnsi="Times New Roman;sans-serif"/>
          <w:b w:val="false"/>
          <w:color w:val="000000"/>
          <w:sz w:val="24"/>
        </w:rPr>
        <w:t>party to this Guaranty shall remain in full force and effect notwithstanding the addition of any new party to this Guaranty. Each reference to “Guarantor” in this Guaranty shall be deemed to include such Subsidiary. Notwithstanding anything to the contrary herein, in no circumstance shall an Excluded Subsidiary be required to become a Guarantor.</w:t>
      </w:r>
    </w:p>
    <w:p>
      <w:pPr>
        <w:pStyle w:val="TextBody"/>
        <w:bidi w:val="0"/>
        <w:spacing w:lineRule="auto" w:line="240" w:before="240" w:after="283"/>
        <w:ind w:left="0" w:right="0" w:hanging="720"/>
        <w:jc w:val="left"/>
        <w:rPr/>
      </w:pPr>
      <w:r>
        <w:rPr>
          <w:rFonts w:ascii="Times New Roman;sans-serif" w:hAnsi="Times New Roman;sans-serif"/>
          <w:b/>
          <w:color w:val="000000"/>
          <w:sz w:val="24"/>
        </w:rPr>
        <w:t>13.</w:t>
      </w:r>
      <w:r>
        <w:rPr>
          <w:rFonts w:ascii="Times New Roman;sans-serif" w:hAnsi="Times New Roman;sans-serif"/>
          <w:b/>
          <w:color w:val="000000"/>
          <w:sz w:val="24"/>
          <w:u w:val="single"/>
        </w:rPr>
        <w:t>AGENCY OF BORROWER FOR GUARANTORS</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Each of the Guarantors hereby appoints the Borrower as its agent for all purposes relevant to this Guaranty and the other Loan Documents, including the giving and receipt of notices and the execution and delivery of all documents, instruments and certificates contemplated herein and therein and all modifications hereto and thereto.</w:t>
      </w:r>
    </w:p>
    <w:p>
      <w:pPr>
        <w:pStyle w:val="TextBody"/>
        <w:bidi w:val="0"/>
        <w:spacing w:lineRule="auto" w:line="240" w:before="240" w:after="283"/>
        <w:ind w:left="0" w:right="0" w:hanging="719"/>
        <w:jc w:val="left"/>
        <w:rPr/>
      </w:pPr>
      <w:r>
        <w:rPr>
          <w:rFonts w:ascii="Times New Roman;sans-serif" w:hAnsi="Times New Roman;sans-serif"/>
          <w:b/>
          <w:color w:val="000000"/>
          <w:sz w:val="24"/>
        </w:rPr>
        <w:t>14.</w:t>
      </w:r>
      <w:r>
        <w:rPr>
          <w:rFonts w:ascii="Times New Roman;sans-serif" w:hAnsi="Times New Roman;sans-serif"/>
          <w:b/>
          <w:color w:val="000000"/>
          <w:sz w:val="24"/>
          <w:u w:val="single"/>
        </w:rPr>
        <w:t>COMMODITY EXCHANGE ACT ACKNOWLEDGEMENT</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Each Qualified ECP Guarantor intends that this Guaranty constitute, and this Guaranty shall be deemed to constitute, a “keepwell, support, or other agreement” for the benefit of each other Guarantor for all purposes of Section 1a(18)(A)(v)(II) of the Commodity Exchange Act.</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In this Guaranty, “</w:t>
      </w:r>
      <w:r>
        <w:rPr>
          <w:rFonts w:ascii="Times New Roman;sans-serif" w:hAnsi="Times New Roman;sans-serif"/>
          <w:b w:val="false"/>
          <w:color w:val="000000"/>
          <w:sz w:val="24"/>
          <w:u w:val="single"/>
        </w:rPr>
        <w:t>Qualified ECP Guarantor</w:t>
      </w:r>
      <w:r>
        <w:rPr>
          <w:color w:val="000000"/>
        </w:rPr>
        <w:t xml:space="preserve">” </w:t>
      </w:r>
      <w:r>
        <w:rPr>
          <w:rFonts w:ascii="Times New Roman;sans-serif" w:hAnsi="Times New Roman;sans-serif"/>
          <w:b w:val="false"/>
          <w:color w:val="000000"/>
          <w:sz w:val="24"/>
        </w:rPr>
        <w:t>shall mean, in respect of any Swap Obligation, each Guarantor that has total assets exceeding $10,000,000 at the time its guarantee hereunder becomes effective with respect to such Swap Obligation or such other person as constitutes an “eligible contract participant” as defined in the Commodity Exchange Act and the regulations thereunder (an “</w:t>
      </w:r>
      <w:r>
        <w:rPr>
          <w:rFonts w:ascii="Times New Roman;sans-serif" w:hAnsi="Times New Roman;sans-serif"/>
          <w:b w:val="false"/>
          <w:color w:val="000000"/>
          <w:sz w:val="24"/>
          <w:u w:val="single"/>
        </w:rPr>
        <w:t>ECP</w:t>
      </w:r>
      <w:r>
        <w:rPr>
          <w:color w:val="000000"/>
        </w:rPr>
        <w:t>”</w:t>
      </w:r>
      <w:r>
        <w:rPr>
          <w:rFonts w:ascii="Times New Roman;sans-serif" w:hAnsi="Times New Roman;sans-serif"/>
          <w:b w:val="false"/>
          <w:color w:val="000000"/>
          <w:sz w:val="24"/>
        </w:rPr>
        <w:t>) and can cause another person to qualify as an ECP at such time by entering into a keepwell, support or other agreement under Section 1a(18)(A)(v)(II) of the Commodity Exchange Act.</w:t>
      </w:r>
    </w:p>
    <w:p>
      <w:pPr>
        <w:pStyle w:val="TextBody"/>
        <w:bidi w:val="0"/>
        <w:spacing w:lineRule="auto" w:line="240" w:before="241" w:after="283"/>
        <w:jc w:val="center"/>
        <w:rPr/>
      </w:pPr>
      <w:r>
        <w:rPr>
          <w:rFonts w:ascii="Times New Roman;sans-serif" w:hAnsi="Times New Roman;sans-serif"/>
          <w:b w:val="false"/>
          <w:color w:val="000000"/>
          <w:sz w:val="24"/>
        </w:rPr>
        <w:t>[</w:t>
      </w:r>
      <w:r>
        <w:rPr>
          <w:rFonts w:ascii="Times New Roman;sans-serif" w:hAnsi="Times New Roman;sans-serif"/>
          <w:b w:val="false"/>
          <w:i/>
          <w:color w:val="000000"/>
          <w:sz w:val="24"/>
        </w:rPr>
        <w:t>Remainder of page intentionally left blank; signature pages follow</w:t>
      </w:r>
      <w:r>
        <w:rPr>
          <w:rFonts w:ascii="Times New Roman;sans-serif" w:hAnsi="Times New Roman;sans-serif"/>
          <w:b w:val="false"/>
          <w:color w:val="000000"/>
          <w:sz w:val="24"/>
        </w:rPr>
        <w:t>]</w:t>
      </w:r>
    </w:p>
    <w:p>
      <w:pPr>
        <w:pStyle w:val="TextBody"/>
        <w:bidi w:val="0"/>
        <w:spacing w:before="0" w:after="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75">
                <wp:simplePos x="0" y="0"/>
                <wp:positionH relativeFrom="character">
                  <wp:align>left</wp:align>
                </wp:positionH>
                <wp:positionV relativeFrom="line">
                  <wp:posOffset>635</wp:posOffset>
                </wp:positionV>
                <wp:extent cx="6480175" cy="781050"/>
                <wp:effectExtent l="0" t="0" r="0" b="0"/>
                <wp:wrapNone/>
                <wp:docPr id="574" name="Frame573"/>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372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372</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40" w:before="6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IN WITNESS WHEREOF, the undersigned has caused this Guaranty to be executed and delivered as of the date first above written.</w:t>
      </w:r>
    </w:p>
    <w:p>
      <w:pPr>
        <w:pStyle w:val="TextBody"/>
        <w:bidi w:val="0"/>
        <w:spacing w:lineRule="auto" w:line="240" w:before="24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MAGNITE, INC., as Borrower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5" w:before="0" w:after="0"/>
        <w:ind w:left="0" w:right="0" w:hanging="630"/>
        <w:jc w:val="left"/>
        <w:rPr/>
      </w:pPr>
      <w:r>
        <w:rPr>
          <w:rFonts w:ascii="Times New Roman;sans-serif" w:hAnsi="Times New Roman;sans-serif"/>
          <w:b w:val="false"/>
          <w:color w:val="000000"/>
          <w:sz w:val="24"/>
        </w:rPr>
        <w:t xml:space="preserve">By: </w:t>
      </w:r>
      <w:r>
        <w:rPr>
          <w:color w:val="000000"/>
          <w:u w:val="single"/>
        </w:rPr>
        <w:t>        </w:t>
      </w:r>
      <w:r>
        <w:rPr>
          <w:color w:val="000000"/>
        </w:rPr>
        <w:t xml:space="preserve"> </w:t>
      </w:r>
      <w:r>
        <w:rPr>
          <w:rFonts w:ascii="Times New Roman;sans-serif" w:hAnsi="Times New Roman;sans-serif"/>
          <w:b w:val="false"/>
          <w:color w:val="000000"/>
          <w:sz w:val="24"/>
        </w:rPr>
        <w:t>Name:</w:t>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Title:</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Each as a Guarantor:</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5" w:before="0" w:after="0"/>
        <w:ind w:left="0" w:right="0" w:hanging="630"/>
        <w:jc w:val="left"/>
        <w:rPr/>
      </w:pPr>
      <w:r>
        <w:rPr>
          <w:rFonts w:ascii="Times New Roman;sans-serif" w:hAnsi="Times New Roman;sans-serif"/>
          <w:b w:val="false"/>
          <w:color w:val="000000"/>
          <w:sz w:val="24"/>
        </w:rPr>
        <w:t xml:space="preserve">By: </w:t>
      </w:r>
      <w:r>
        <w:rPr>
          <w:color w:val="000000"/>
          <w:u w:val="single"/>
        </w:rPr>
        <w:t>        </w:t>
      </w:r>
      <w:r>
        <w:rPr>
          <w:color w:val="000000"/>
        </w:rPr>
        <w:t xml:space="preserve"> </w:t>
      </w:r>
      <w:r>
        <w:rPr>
          <w:rFonts w:ascii="Times New Roman;sans-serif" w:hAnsi="Times New Roman;sans-serif"/>
          <w:b w:val="false"/>
          <w:color w:val="000000"/>
          <w:sz w:val="24"/>
        </w:rPr>
        <w:t>Name:</w:t>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Title:</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630"/>
        <w:jc w:val="left"/>
        <w:rPr/>
      </w:pPr>
      <w:r>
        <w:rPr>
          <w:rFonts w:ascii="Times New Roman;sans-serif" w:hAnsi="Times New Roman;sans-serif"/>
          <w:b w:val="false"/>
          <w:color w:val="000000"/>
          <w:sz w:val="24"/>
        </w:rPr>
        <w:t xml:space="preserve">By: </w:t>
      </w:r>
      <w:r>
        <w:rPr>
          <w:color w:val="000000"/>
          <w:u w:val="single"/>
        </w:rPr>
        <w:t>        </w:t>
      </w:r>
      <w:r>
        <w:rPr>
          <w:color w:val="000000"/>
        </w:rPr>
        <w:t xml:space="preserve"> </w:t>
      </w:r>
      <w:r>
        <w:rPr>
          <w:rFonts w:ascii="Times New Roman;sans-serif" w:hAnsi="Times New Roman;sans-serif"/>
          <w:b w:val="false"/>
          <w:color w:val="000000"/>
          <w:sz w:val="24"/>
        </w:rPr>
        <w:t>Name:</w:t>
      </w:r>
    </w:p>
    <w:p>
      <w:pPr>
        <w:pStyle w:val="TextBody"/>
        <w:bidi w:val="0"/>
        <w:spacing w:lineRule="auto" w:line="264"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Title: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to Guarantee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76">
                <wp:simplePos x="0" y="0"/>
                <wp:positionH relativeFrom="character">
                  <wp:align>left</wp:align>
                </wp:positionH>
                <wp:positionV relativeFrom="line">
                  <wp:posOffset>635</wp:posOffset>
                </wp:positionV>
                <wp:extent cx="6480175" cy="781050"/>
                <wp:effectExtent l="0" t="0" r="0" b="0"/>
                <wp:wrapNone/>
                <wp:docPr id="575" name="Frame574"/>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373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373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172" w:after="283"/>
        <w:jc w:val="left"/>
        <w:rPr>
          <w:rFonts w:ascii="Times New Roman;sans-serif" w:hAnsi="Times New Roman;sans-serif"/>
          <w:b w:val="false"/>
          <w:color w:val="000000"/>
          <w:sz w:val="24"/>
        </w:rPr>
      </w:pPr>
      <w:r>
        <w:rPr>
          <w:rFonts w:ascii="Times New Roman;sans-serif" w:hAnsi="Times New Roman;sans-serif"/>
          <w:b w:val="false"/>
          <w:color w:val="000000"/>
          <w:sz w:val="24"/>
        </w:rPr>
        <w:t>Accepted and Agreed to:</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CITIBANK, N.A.,</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as Administrative Agent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5" w:before="0" w:after="0"/>
        <w:ind w:left="0" w:right="0" w:hanging="630"/>
        <w:jc w:val="left"/>
        <w:rPr/>
      </w:pPr>
      <w:r>
        <w:rPr>
          <w:rFonts w:ascii="Times New Roman;sans-serif" w:hAnsi="Times New Roman;sans-serif"/>
          <w:b w:val="false"/>
          <w:color w:val="000000"/>
          <w:sz w:val="24"/>
        </w:rPr>
        <w:t xml:space="preserve">By: </w:t>
      </w:r>
      <w:r>
        <w:rPr>
          <w:color w:val="000000"/>
          <w:u w:val="single"/>
        </w:rPr>
        <w:t>        </w:t>
      </w:r>
      <w:r>
        <w:rPr>
          <w:color w:val="000000"/>
        </w:rPr>
        <w:t xml:space="preserve"> </w:t>
      </w:r>
      <w:r>
        <w:rPr>
          <w:rFonts w:ascii="Times New Roman;sans-serif" w:hAnsi="Times New Roman;sans-serif"/>
          <w:b w:val="false"/>
          <w:color w:val="000000"/>
          <w:sz w:val="24"/>
        </w:rPr>
        <w:t>Name:</w:t>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Title: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240" w:after="283"/>
        <w:jc w:val="left"/>
        <w:rPr/>
      </w:pPr>
      <w:r>
        <w:rPr/>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to Guarantee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77">
                <wp:simplePos x="0" y="0"/>
                <wp:positionH relativeFrom="character">
                  <wp:align>left</wp:align>
                </wp:positionH>
                <wp:positionV relativeFrom="line">
                  <wp:posOffset>635</wp:posOffset>
                </wp:positionV>
                <wp:extent cx="6480175" cy="781050"/>
                <wp:effectExtent l="0" t="0" r="0" b="0"/>
                <wp:wrapNone/>
                <wp:docPr id="576" name="Frame575"/>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374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374</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76" w:after="283"/>
        <w:jc w:val="left"/>
        <w:rPr>
          <w:rFonts w:ascii="Times New Roman;sans-serif" w:hAnsi="Times New Roman;sans-serif"/>
          <w:b w:val="false"/>
          <w:color w:val="000000"/>
          <w:sz w:val="24"/>
        </w:rPr>
      </w:pPr>
      <w:r>
        <w:rPr>
          <w:rFonts w:ascii="Times New Roman;sans-serif" w:hAnsi="Times New Roman;sans-serif"/>
          <w:b w:val="false"/>
          <w:color w:val="000000"/>
          <w:sz w:val="24"/>
        </w:rPr>
        <w:t>Accepted and Agreed to:</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MORGAN STANLEY SENIOR FUNDING, INC.,</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as Administrative Agent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5" w:before="0" w:after="0"/>
        <w:ind w:left="0" w:right="0" w:hanging="630"/>
        <w:jc w:val="left"/>
        <w:rPr/>
      </w:pPr>
      <w:r>
        <w:rPr>
          <w:rFonts w:ascii="Times New Roman;sans-serif" w:hAnsi="Times New Roman;sans-serif"/>
          <w:b w:val="false"/>
          <w:color w:val="000000"/>
          <w:sz w:val="24"/>
        </w:rPr>
        <w:t xml:space="preserve">By: </w:t>
      </w:r>
      <w:r>
        <w:rPr>
          <w:color w:val="000000"/>
          <w:u w:val="single"/>
        </w:rPr>
        <w:t>        </w:t>
      </w:r>
      <w:r>
        <w:rPr>
          <w:color w:val="000000"/>
        </w:rPr>
        <w:t xml:space="preserve"> </w:t>
      </w:r>
      <w:r>
        <w:rPr>
          <w:rFonts w:ascii="Times New Roman;sans-serif" w:hAnsi="Times New Roman;sans-serif"/>
          <w:b w:val="false"/>
          <w:color w:val="000000"/>
          <w:sz w:val="24"/>
        </w:rPr>
        <w:t>Name:</w:t>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Title: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240" w:after="283"/>
        <w:jc w:val="left"/>
        <w:rPr/>
      </w:pPr>
      <w:r>
        <w:rPr/>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to Guarantee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78">
                <wp:simplePos x="0" y="0"/>
                <wp:positionH relativeFrom="character">
                  <wp:align>left</wp:align>
                </wp:positionH>
                <wp:positionV relativeFrom="line">
                  <wp:posOffset>635</wp:posOffset>
                </wp:positionV>
                <wp:extent cx="6480175" cy="781050"/>
                <wp:effectExtent l="0" t="0" r="0" b="0"/>
                <wp:wrapNone/>
                <wp:docPr id="577" name="Frame576"/>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375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375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60" w:after="283"/>
        <w:ind w:left="0" w:right="0" w:firstLine="1772"/>
        <w:jc w:val="right"/>
        <w:rPr/>
      </w:pPr>
      <w:r>
        <w:rPr>
          <w:rFonts w:ascii="Times New Roman;sans-serif" w:hAnsi="Times New Roman;sans-serif"/>
          <w:b w:val="false"/>
          <w:color w:val="000000"/>
          <w:sz w:val="24"/>
          <w:u w:val="single"/>
        </w:rPr>
        <w:t>Exhibit A</w:t>
      </w:r>
      <w:r>
        <w:rPr>
          <w:color w:val="000000"/>
        </w:rPr>
        <w:t xml:space="preserve"> </w:t>
      </w:r>
      <w:r>
        <w:rPr>
          <w:rFonts w:ascii="Times New Roman;sans-serif" w:hAnsi="Times New Roman;sans-serif"/>
          <w:b w:val="false"/>
          <w:color w:val="000000"/>
          <w:sz w:val="24"/>
        </w:rPr>
        <w:t>to the Guarantee Agreement</w:t>
      </w:r>
    </w:p>
    <w:p>
      <w:pPr>
        <w:pStyle w:val="TextBody"/>
        <w:bidi w:val="0"/>
        <w:spacing w:lineRule="auto" w:line="240" w:before="240" w:after="283"/>
        <w:jc w:val="center"/>
        <w:rPr/>
      </w:pPr>
      <w:r>
        <w:rPr>
          <w:rFonts w:ascii="Times New Roman;sans-serif" w:hAnsi="Times New Roman;sans-serif"/>
          <w:b/>
          <w:color w:val="000000"/>
          <w:sz w:val="24"/>
        </w:rPr>
        <w:t xml:space="preserve">SUPPLEMENT NO. </w:t>
      </w:r>
      <w:r>
        <w:rPr>
          <w:color w:val="000000"/>
          <w:u w:val="single"/>
        </w:rPr>
        <w:t>    </w: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TO GUARANTEE AGREEMENT</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 xml:space="preserve">SUPPLEMENT NO. , dated as of </w:t>
      </w:r>
      <w:r>
        <w:rPr>
          <w:rFonts w:ascii="Times New Roman;sans-serif" w:hAnsi="Times New Roman;sans-serif"/>
          <w:b w:val="false"/>
          <w:color w:val="000000"/>
          <w:sz w:val="24"/>
          <w:u w:val="single"/>
        </w:rPr>
        <w:t>,    </w:t>
      </w:r>
      <w:r>
        <w:rPr>
          <w:color w:val="000000"/>
        </w:rPr>
        <w:t xml:space="preserve"> </w:t>
      </w:r>
      <w:r>
        <w:rPr>
          <w:rFonts w:ascii="Times New Roman;sans-serif" w:hAnsi="Times New Roman;sans-serif"/>
          <w:b w:val="false"/>
          <w:color w:val="000000"/>
          <w:sz w:val="24"/>
        </w:rPr>
        <w:t>(as amended, restated, supplemented or otherwise modified from time to time, this “</w:t>
      </w:r>
      <w:r>
        <w:rPr>
          <w:rFonts w:ascii="Times New Roman;sans-serif" w:hAnsi="Times New Roman;sans-serif"/>
          <w:b w:val="false"/>
          <w:color w:val="000000"/>
          <w:sz w:val="24"/>
          <w:u w:val="single"/>
        </w:rPr>
        <w:t>Supplement</w:t>
      </w:r>
      <w:r>
        <w:rPr>
          <w:color w:val="000000"/>
        </w:rPr>
        <w:t>”</w:t>
      </w:r>
      <w:r>
        <w:rPr>
          <w:rFonts w:ascii="Times New Roman;sans-serif" w:hAnsi="Times New Roman;sans-serif"/>
          <w:b w:val="false"/>
          <w:color w:val="000000"/>
          <w:sz w:val="24"/>
        </w:rPr>
        <w:t>), to the Guarantee Agreement, dated as of ,</w:t>
      </w:r>
      <w:r>
        <w:rPr>
          <w:color w:val="000000"/>
          <w:u w:val="single"/>
        </w:rPr>
        <w:t>    </w:t>
      </w:r>
      <w:r>
        <w:rPr>
          <w:color w:val="000000"/>
        </w:rPr>
        <w:t xml:space="preserve"> </w:t>
      </w:r>
      <w:r>
        <w:rPr>
          <w:rFonts w:ascii="Times New Roman;sans-serif" w:hAnsi="Times New Roman;sans-serif"/>
          <w:b w:val="false"/>
          <w:color w:val="000000"/>
          <w:sz w:val="24"/>
        </w:rPr>
        <w:t>(as amended, restated, supplemented or otherwise modified from time to time, the “</w:t>
      </w:r>
      <w:r>
        <w:rPr>
          <w:rFonts w:ascii="Times New Roman;sans-serif" w:hAnsi="Times New Roman;sans-serif"/>
          <w:b w:val="false"/>
          <w:color w:val="000000"/>
          <w:sz w:val="24"/>
          <w:u w:val="single"/>
        </w:rPr>
        <w:t>Guaranty</w:t>
      </w:r>
      <w:r>
        <w:rPr>
          <w:color w:val="000000"/>
        </w:rPr>
        <w:t>”</w:t>
      </w:r>
      <w:r>
        <w:rPr>
          <w:rFonts w:ascii="Times New Roman;sans-serif" w:hAnsi="Times New Roman;sans-serif"/>
          <w:b w:val="false"/>
          <w:color w:val="000000"/>
          <w:sz w:val="24"/>
        </w:rPr>
        <w:t>), by and among Magnite, Inc., a Delaware corporation (“</w:t>
      </w:r>
      <w:r>
        <w:rPr>
          <w:rFonts w:ascii="Times New Roman;sans-serif" w:hAnsi="Times New Roman;sans-serif"/>
          <w:b w:val="false"/>
          <w:color w:val="000000"/>
          <w:sz w:val="24"/>
          <w:u w:val="single"/>
        </w:rPr>
        <w:t>Borrower</w:t>
      </w:r>
      <w:r>
        <w:rPr>
          <w:color w:val="000000"/>
        </w:rPr>
        <w:t>”</w:t>
      </w:r>
      <w:r>
        <w:rPr>
          <w:rFonts w:ascii="Times New Roman;sans-serif" w:hAnsi="Times New Roman;sans-serif"/>
          <w:b w:val="false"/>
          <w:color w:val="000000"/>
          <w:sz w:val="24"/>
        </w:rPr>
        <w:t>), each Subsidiary of the Borrower listed on the signature page thereof [and each other Subsidiary that became a party thereto after the date thereof] (together, the “</w:t>
      </w:r>
      <w:r>
        <w:rPr>
          <w:rFonts w:ascii="Times New Roman;sans-serif" w:hAnsi="Times New Roman;sans-serif"/>
          <w:b w:val="false"/>
          <w:color w:val="000000"/>
          <w:sz w:val="24"/>
          <w:u w:val="single"/>
        </w:rPr>
        <w:t>Existing Guarantors</w:t>
      </w:r>
      <w:r>
        <w:rPr>
          <w:color w:val="000000"/>
        </w:rPr>
        <w:t>”</w:t>
      </w:r>
      <w:r>
        <w:rPr>
          <w:rFonts w:ascii="Times New Roman;sans-serif" w:hAnsi="Times New Roman;sans-serif"/>
          <w:b w:val="false"/>
          <w:color w:val="000000"/>
          <w:sz w:val="24"/>
        </w:rPr>
        <w:t>) and Morgan Stanley Senior Funding, Inc. and Citibank, N.A., as administrative agents (each in such capacity, together with any successor thereto, an “</w:t>
      </w:r>
      <w:r>
        <w:rPr>
          <w:rFonts w:ascii="Times New Roman;sans-serif" w:hAnsi="Times New Roman;sans-serif"/>
          <w:b w:val="false"/>
          <w:color w:val="000000"/>
          <w:sz w:val="24"/>
          <w:u w:val="single"/>
        </w:rPr>
        <w:t>Administrative Agent</w:t>
      </w:r>
      <w:r>
        <w:rPr>
          <w:color w:val="000000"/>
        </w:rPr>
        <w:t>”</w:t>
      </w:r>
      <w:r>
        <w:rPr>
          <w:rFonts w:ascii="Times New Roman;sans-serif" w:hAnsi="Times New Roman;sans-serif"/>
          <w:b w:val="false"/>
          <w:color w:val="000000"/>
          <w:sz w:val="24"/>
        </w:rPr>
        <w:t>, and together, the “</w:t>
      </w:r>
      <w:r>
        <w:rPr>
          <w:rFonts w:ascii="Times New Roman;sans-serif" w:hAnsi="Times New Roman;sans-serif"/>
          <w:b w:val="false"/>
          <w:color w:val="000000"/>
          <w:sz w:val="24"/>
          <w:u w:val="single"/>
        </w:rPr>
        <w:t>Administrative Agents</w:t>
      </w:r>
      <w:r>
        <w:rPr>
          <w:color w:val="000000"/>
        </w:rPr>
        <w:t>”</w:t>
      </w:r>
      <w:r>
        <w:rPr>
          <w:rFonts w:ascii="Times New Roman;sans-serif" w:hAnsi="Times New Roman;sans-serif"/>
          <w:b w:val="false"/>
          <w:color w:val="000000"/>
          <w:sz w:val="24"/>
        </w:rPr>
        <w:t>) for the Secured Parties.</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A.Reference is made to the Credit Agreement dated as of February 6, 2024 (as amended, supplemented, waived or otherwise modified from time to time, the “</w:t>
      </w:r>
      <w:r>
        <w:rPr>
          <w:rFonts w:ascii="Times New Roman;sans-serif" w:hAnsi="Times New Roman;sans-serif"/>
          <w:b w:val="false"/>
          <w:color w:val="000000"/>
          <w:sz w:val="24"/>
          <w:u w:val="single"/>
        </w:rPr>
        <w:t>Credit</w:t>
      </w:r>
      <w:r>
        <w:rPr>
          <w:color w:val="000000"/>
        </w:rPr>
        <w:t xml:space="preserve"> </w:t>
      </w:r>
      <w:r>
        <w:rPr>
          <w:rFonts w:ascii="Times New Roman;sans-serif" w:hAnsi="Times New Roman;sans-serif"/>
          <w:b w:val="false"/>
          <w:color w:val="000000"/>
          <w:sz w:val="24"/>
          <w:u w:val="single"/>
        </w:rPr>
        <w:t>Agreement</w:t>
      </w:r>
      <w:r>
        <w:rPr>
          <w:color w:val="000000"/>
        </w:rPr>
        <w:t>”</w:t>
      </w:r>
      <w:r>
        <w:rPr>
          <w:rFonts w:ascii="Times New Roman;sans-serif" w:hAnsi="Times New Roman;sans-serif"/>
          <w:b w:val="false"/>
          <w:color w:val="000000"/>
          <w:sz w:val="24"/>
        </w:rPr>
        <w:t xml:space="preserve">), among, </w:t>
      </w:r>
      <w:r>
        <w:rPr>
          <w:rFonts w:ascii="Times New Roman;sans-serif" w:hAnsi="Times New Roman;sans-serif"/>
          <w:b w:val="false"/>
          <w:i/>
          <w:color w:val="000000"/>
          <w:sz w:val="24"/>
        </w:rPr>
        <w:t>inter alios</w:t>
      </w:r>
      <w:r>
        <w:rPr>
          <w:rFonts w:ascii="Times New Roman;sans-serif" w:hAnsi="Times New Roman;sans-serif"/>
          <w:b w:val="false"/>
          <w:color w:val="000000"/>
          <w:sz w:val="24"/>
        </w:rPr>
        <w:t>, the Borrower, the lenders party thereto from time to time (the “</w:t>
      </w:r>
      <w:r>
        <w:rPr>
          <w:rFonts w:ascii="Times New Roman;sans-serif" w:hAnsi="Times New Roman;sans-serif"/>
          <w:b w:val="false"/>
          <w:color w:val="000000"/>
          <w:sz w:val="24"/>
          <w:u w:val="single"/>
        </w:rPr>
        <w:t>Lenders</w:t>
      </w:r>
      <w:r>
        <w:rPr>
          <w:color w:val="000000"/>
        </w:rPr>
        <w:t>”</w:t>
      </w:r>
      <w:r>
        <w:rPr>
          <w:rFonts w:ascii="Times New Roman;sans-serif" w:hAnsi="Times New Roman;sans-serif"/>
          <w:b w:val="false"/>
          <w:color w:val="000000"/>
          <w:sz w:val="24"/>
        </w:rPr>
        <w:t>), Morgan Stanley Senior Funding, Inc., as term facility administrative agent, and Citibank, N.A., as revolving facility administrative agent and collateral agent.</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B.Capitalized terms used herein and not otherwise defined herein shall have the meanings assigned to such terms in the Credit Agreement.</w:t>
      </w:r>
    </w:p>
    <w:p>
      <w:pPr>
        <w:pStyle w:val="TextBody"/>
        <w:bidi w:val="0"/>
        <w:spacing w:lineRule="auto" w:line="240" w:before="241" w:after="283"/>
        <w:ind w:left="0" w:right="0" w:firstLine="720"/>
        <w:jc w:val="both"/>
        <w:rPr/>
      </w:pPr>
      <w:r>
        <w:rPr>
          <w:rFonts w:ascii="Times New Roman;sans-serif" w:hAnsi="Times New Roman;sans-serif"/>
          <w:b w:val="false"/>
          <w:color w:val="000000"/>
          <w:sz w:val="24"/>
        </w:rPr>
        <w:t xml:space="preserve">C.Each Existing Guarantor has entered into the Guaranty in accordance with the requirements of the Credit Agreement to become a Guarantor under the Guaranty in order to induce the Lenders to maintain and/or make additional Loans and each Issuing Bank to maintain and/or issue additional Letters of Credit, and as consideration for Loans previously made and Letters of Credit previously issued. </w:t>
      </w:r>
      <w:r>
        <w:rPr>
          <w:rFonts w:ascii="Times New Roman;sans-serif" w:hAnsi="Times New Roman;sans-serif"/>
          <w:b w:val="false"/>
          <w:color w:val="000000"/>
          <w:sz w:val="24"/>
          <w:u w:val="single"/>
        </w:rPr>
        <w:t>Section 12</w:t>
      </w:r>
      <w:r>
        <w:rPr>
          <w:color w:val="000000"/>
        </w:rPr>
        <w:t xml:space="preserve"> </w:t>
      </w:r>
      <w:r>
        <w:rPr>
          <w:rFonts w:ascii="Times New Roman;sans-serif" w:hAnsi="Times New Roman;sans-serif"/>
          <w:b w:val="false"/>
          <w:color w:val="000000"/>
          <w:sz w:val="24"/>
        </w:rPr>
        <w:t>of the Guaranty provides that additional Subsidiaries may become Guarantors (as defined in the Guaranty) under the Guaranty by execution and delivery of an instrument in the form of this Supplement. The undersigned Subsidiary of the Borrower (the “</w:t>
      </w:r>
      <w:r>
        <w:rPr>
          <w:rFonts w:ascii="Times New Roman;sans-serif" w:hAnsi="Times New Roman;sans-serif"/>
          <w:b w:val="false"/>
          <w:color w:val="000000"/>
          <w:sz w:val="24"/>
          <w:u w:val="single"/>
        </w:rPr>
        <w:t>New Subsidiary</w:t>
      </w:r>
      <w:r>
        <w:rPr>
          <w:color w:val="000000"/>
        </w:rPr>
        <w:t>”</w:t>
      </w:r>
      <w:r>
        <w:rPr>
          <w:rFonts w:ascii="Times New Roman;sans-serif" w:hAnsi="Times New Roman;sans-serif"/>
          <w:b w:val="false"/>
          <w:color w:val="000000"/>
          <w:sz w:val="24"/>
        </w:rPr>
        <w:t>) is executing this Supplement in accordance with the requirements of the Credit Agreement to become a Guarantor under the Guaranty in order to induce the Lenders to maintain and/or make additional Loans and each Issuing Bank to maintain and/or issue additional Letters of Credit, and as consideration for Loans previously made and Letters of Credit previously issued.</w:t>
      </w:r>
    </w:p>
    <w:p>
      <w:pPr>
        <w:pStyle w:val="TextBody"/>
        <w:bidi w:val="0"/>
        <w:spacing w:lineRule="auto" w:line="240" w:before="239" w:after="283"/>
        <w:jc w:val="left"/>
        <w:rPr>
          <w:rFonts w:ascii="Times New Roman;sans-serif" w:hAnsi="Times New Roman;sans-serif"/>
          <w:b w:val="false"/>
          <w:color w:val="000000"/>
          <w:sz w:val="24"/>
        </w:rPr>
      </w:pPr>
      <w:r>
        <w:rPr>
          <w:rFonts w:ascii="Times New Roman;sans-serif" w:hAnsi="Times New Roman;sans-serif"/>
          <w:b w:val="false"/>
          <w:color w:val="000000"/>
          <w:sz w:val="24"/>
        </w:rPr>
        <w:t>Accordingly, the New Subsidiary agrees as follows:</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 xml:space="preserve">SECTION 1. In accordance with </w:t>
      </w:r>
      <w:r>
        <w:rPr>
          <w:rFonts w:ascii="Times New Roman;sans-serif" w:hAnsi="Times New Roman;sans-serif"/>
          <w:b w:val="false"/>
          <w:color w:val="000000"/>
          <w:sz w:val="24"/>
          <w:u w:val="single"/>
        </w:rPr>
        <w:t>Section 12</w:t>
      </w:r>
      <w:r>
        <w:rPr>
          <w:color w:val="000000"/>
        </w:rPr>
        <w:t xml:space="preserve"> </w:t>
      </w:r>
      <w:r>
        <w:rPr>
          <w:rFonts w:ascii="Times New Roman;sans-serif" w:hAnsi="Times New Roman;sans-serif"/>
          <w:b w:val="false"/>
          <w:color w:val="000000"/>
          <w:sz w:val="24"/>
        </w:rPr>
        <w:t>of the Guaranty, the New Subsidiary by its signature below becomes a Guarantor under the Guaranty with the same force and effect as if originally named therein as a Guarantor on the date thereof and the New Subsidiary hereby agrees to all the terms and provisions of the Guaranty applicable to it as a Guarantor thereunder. In furtherance of the foregoing, the New Subsidiary does hereby guarantee to each Administrative Agent the due and punctual payment of the Guaranteed Obligations (as defined in the Guaranty) as set forth in the Guaranty. Each reference to a “Guarantor” in the Guaranty and in this</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79">
                <wp:simplePos x="0" y="0"/>
                <wp:positionH relativeFrom="character">
                  <wp:align>left</wp:align>
                </wp:positionH>
                <wp:positionV relativeFrom="line">
                  <wp:posOffset>635</wp:posOffset>
                </wp:positionV>
                <wp:extent cx="6480175" cy="781050"/>
                <wp:effectExtent l="0" t="0" r="0" b="0"/>
                <wp:wrapNone/>
                <wp:docPr id="578" name="Frame577"/>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376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376</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Supplement shall be deemed to include the New Subsidiary. The Guaranty is hereby incorporated herein by reference.</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 xml:space="preserve">SECTION 2. The New Subsidiary represents and warrants (as to itself) to each Administrative Agent and the other Secured Parties that each of the representations and warranties set forth in </w:t>
      </w:r>
      <w:r>
        <w:rPr>
          <w:rFonts w:ascii="Times New Roman;sans-serif" w:hAnsi="Times New Roman;sans-serif"/>
          <w:b w:val="false"/>
          <w:color w:val="000000"/>
          <w:sz w:val="24"/>
          <w:u w:val="single"/>
        </w:rPr>
        <w:t>Section 2</w:t>
      </w:r>
      <w:r>
        <w:rPr>
          <w:color w:val="000000"/>
        </w:rPr>
        <w:t xml:space="preserve"> </w:t>
      </w:r>
      <w:r>
        <w:rPr>
          <w:rFonts w:ascii="Times New Roman;sans-serif" w:hAnsi="Times New Roman;sans-serif"/>
          <w:b w:val="false"/>
          <w:color w:val="000000"/>
          <w:sz w:val="24"/>
        </w:rPr>
        <w:t>of the Guaranty are true and correct in all respects as of the date hereof.</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SECTION 3. This Supplement may be executed in any number of counterparts, each of which shall be deemed an original and all of which, when taken together, shall constitute one agreement. Delivery of an executed counterpart of a signature page of this Supplement by facsimile transmission, electronic mail (including pdf) or any electronic signature complying with the U.S. Federal ESIGN Act of 2000 or the New York Electronic Signature and Records Act or other transmission method shall be deemed to have been duly and validly delivered and be valid and effective for all purposes to the fullest extent permitted by applicable law. Each party hereto represents and warrants to the other parties hereto that it has the corporate capacity and authority to execute this Supplement through electronic means and there are no restrictions for doing so in such party’s constitutive documents.</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SECTION 4. Except as expressly supplemented hereby, the Guaranty shall remain in full force and effect.</w:t>
      </w:r>
    </w:p>
    <w:p>
      <w:pPr>
        <w:pStyle w:val="TextBody"/>
        <w:bidi w:val="0"/>
        <w:spacing w:lineRule="auto" w:line="240" w:before="240" w:after="283"/>
        <w:ind w:left="0" w:right="0" w:firstLine="720"/>
        <w:jc w:val="both"/>
        <w:rPr>
          <w:rFonts w:ascii="Times New Roman;sans-serif" w:hAnsi="Times New Roman;sans-serif"/>
          <w:b/>
          <w:color w:val="000000"/>
          <w:sz w:val="24"/>
        </w:rPr>
      </w:pPr>
      <w:r>
        <w:rPr>
          <w:rFonts w:ascii="Times New Roman;sans-serif" w:hAnsi="Times New Roman;sans-serif"/>
          <w:b/>
          <w:color w:val="000000"/>
          <w:sz w:val="24"/>
        </w:rPr>
        <w:t>SECTION 5. THIS SUPPLEMENT AND ANY CLAIMS, CONTROVERSY, DISPUTE OR CAUSES OF ACTION (WHETHER IN CONTRACT OR TORT OR OTHERWISE) BASED UPON, ARISING OUT OF OR RELATING TO THIS GUARANTY SHALL BE CONSTRUED IN ACCORDANCE WITH AND GOVERNED BY THE LAWS OF THE STATE OF NEW YORK.</w:t>
      </w:r>
    </w:p>
    <w:p>
      <w:pPr>
        <w:pStyle w:val="TextBody"/>
        <w:bidi w:val="0"/>
        <w:spacing w:lineRule="auto" w:line="240" w:before="241"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SECTION 6. In the event any one or more of the provisions contained in this Supplement should be held invalid, illegal or unenforceable in any respect, the validity, legality and enforceability of the remaining provisions contained herein and in the Guaranty shall not in any way be affected or impaired thereby. The parties shall endeavor in good-faith negotiations to replace the invalid, illegal or unenforceable provisions with valid provisions the economic effect of which comes as close as possible to that of the invalid, illegal or unenforceable provisions.</w:t>
      </w:r>
    </w:p>
    <w:p>
      <w:pPr>
        <w:pStyle w:val="TextBody"/>
        <w:bidi w:val="0"/>
        <w:spacing w:lineRule="auto" w:line="240" w:before="238" w:after="283"/>
        <w:ind w:left="0" w:right="0" w:firstLine="720"/>
        <w:jc w:val="both"/>
        <w:rPr/>
      </w:pPr>
      <w:r>
        <w:rPr>
          <w:rFonts w:ascii="Times New Roman;sans-serif" w:hAnsi="Times New Roman;sans-serif"/>
          <w:b w:val="false"/>
          <w:color w:val="000000"/>
          <w:sz w:val="24"/>
        </w:rPr>
        <w:t xml:space="preserve">SECTION 7. All communications and notices hereunder shall be in writing and given as provided in </w:t>
      </w:r>
      <w:r>
        <w:rPr>
          <w:rFonts w:ascii="Times New Roman;sans-serif" w:hAnsi="Times New Roman;sans-serif"/>
          <w:b w:val="false"/>
          <w:color w:val="000000"/>
          <w:sz w:val="24"/>
          <w:u w:val="single"/>
        </w:rPr>
        <w:t>Section 6(d)</w:t>
      </w:r>
      <w:r>
        <w:rPr>
          <w:color w:val="000000"/>
        </w:rPr>
        <w:t xml:space="preserve"> </w:t>
      </w:r>
      <w:r>
        <w:rPr>
          <w:rFonts w:ascii="Times New Roman;sans-serif" w:hAnsi="Times New Roman;sans-serif"/>
          <w:b w:val="false"/>
          <w:color w:val="000000"/>
          <w:sz w:val="24"/>
        </w:rPr>
        <w:t>of the Guaranty.</w:t>
      </w:r>
    </w:p>
    <w:p>
      <w:pPr>
        <w:pStyle w:val="TextBody"/>
        <w:bidi w:val="0"/>
        <w:spacing w:lineRule="auto" w:line="240" w:before="241" w:after="283"/>
        <w:ind w:left="0" w:right="0" w:firstLine="720"/>
        <w:jc w:val="both"/>
        <w:rPr/>
      </w:pPr>
      <w:r>
        <w:rPr>
          <w:rFonts w:ascii="Times New Roman;sans-serif" w:hAnsi="Times New Roman;sans-serif"/>
          <w:b w:val="false"/>
          <w:color w:val="000000"/>
          <w:sz w:val="24"/>
        </w:rPr>
        <w:t xml:space="preserve">SECTION 8. The New Subsidiary agrees to reimburse each Administrative Agent for its reasonable and documented out-of-pocket expenses in connection with this Supplement, including the reasonable and documented fees, disbursements and other charges of counsel to such Administrative Agent, to the extent required by </w:t>
      </w:r>
      <w:r>
        <w:rPr>
          <w:rFonts w:ascii="Times New Roman;sans-serif" w:hAnsi="Times New Roman;sans-serif"/>
          <w:b w:val="false"/>
          <w:color w:val="000000"/>
          <w:sz w:val="24"/>
          <w:u w:val="single"/>
        </w:rPr>
        <w:t>Section 9.05</w:t>
      </w:r>
      <w:r>
        <w:rPr>
          <w:color w:val="000000"/>
        </w:rPr>
        <w:t xml:space="preserve"> </w:t>
      </w:r>
      <w:r>
        <w:rPr>
          <w:rFonts w:ascii="Times New Roman;sans-serif" w:hAnsi="Times New Roman;sans-serif"/>
          <w:b w:val="false"/>
          <w:color w:val="000000"/>
          <w:sz w:val="24"/>
        </w:rPr>
        <w:t>of the Credit Agreement.</w:t>
      </w:r>
    </w:p>
    <w:p>
      <w:pPr>
        <w:pStyle w:val="TextBody"/>
        <w:bidi w:val="0"/>
        <w:spacing w:lineRule="auto" w:line="240" w:before="240" w:after="283"/>
        <w:jc w:val="center"/>
        <w:rPr/>
      </w:pPr>
      <w:r>
        <w:rPr>
          <w:rFonts w:ascii="Times New Roman;sans-serif" w:hAnsi="Times New Roman;sans-serif"/>
          <w:b w:val="false"/>
          <w:color w:val="000000"/>
          <w:sz w:val="24"/>
        </w:rPr>
        <w:t>[</w:t>
      </w:r>
      <w:r>
        <w:rPr>
          <w:rFonts w:ascii="Times New Roman;sans-serif" w:hAnsi="Times New Roman;sans-serif"/>
          <w:b w:val="false"/>
          <w:i/>
          <w:color w:val="000000"/>
          <w:sz w:val="24"/>
        </w:rPr>
        <w:t>Remainder of page intentionally left blank; signature page follows</w:t>
      </w:r>
      <w:r>
        <w:rPr>
          <w:rFonts w:ascii="Times New Roman;sans-serif" w:hAnsi="Times New Roman;sans-serif"/>
          <w:b w:val="false"/>
          <w:color w:val="000000"/>
          <w:sz w:val="24"/>
        </w:rPr>
        <w:t>]</w:t>
      </w:r>
    </w:p>
    <w:p>
      <w:pPr>
        <w:pStyle w:val="TextBody"/>
        <w:bidi w:val="0"/>
        <w:spacing w:before="0" w:after="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80">
                <wp:simplePos x="0" y="0"/>
                <wp:positionH relativeFrom="character">
                  <wp:align>left</wp:align>
                </wp:positionH>
                <wp:positionV relativeFrom="line">
                  <wp:posOffset>635</wp:posOffset>
                </wp:positionV>
                <wp:extent cx="6480175" cy="781050"/>
                <wp:effectExtent l="0" t="0" r="0" b="0"/>
                <wp:wrapNone/>
                <wp:docPr id="579" name="Frame578"/>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377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377</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40" w:before="60" w:after="283"/>
        <w:ind w:left="0" w:right="0" w:firstLine="720"/>
        <w:jc w:val="left"/>
        <w:rPr/>
      </w:pPr>
      <w:r>
        <w:rPr>
          <w:rFonts w:ascii="Times New Roman;sans-serif" w:hAnsi="Times New Roman;sans-serif"/>
          <w:b/>
          <w:color w:val="000000"/>
          <w:sz w:val="24"/>
        </w:rPr>
        <w:t xml:space="preserve">IN WITNESS WHEREOF, </w:t>
      </w:r>
      <w:r>
        <w:rPr>
          <w:rFonts w:ascii="Times New Roman;sans-serif" w:hAnsi="Times New Roman;sans-serif"/>
          <w:b w:val="false"/>
          <w:color w:val="000000"/>
          <w:sz w:val="24"/>
        </w:rPr>
        <w:t>the New Subsidiary has duly executed this Supplement to the Guaranty as of the day and year first above written.</w:t>
      </w:r>
    </w:p>
    <w:p>
      <w:pPr>
        <w:pStyle w:val="TextBody"/>
        <w:bidi w:val="0"/>
        <w:spacing w:lineRule="auto" w:line="240" w:before="24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[Name of New Subsidiary]</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5" w:before="0" w:after="0"/>
        <w:ind w:left="0" w:right="0" w:hanging="630"/>
        <w:jc w:val="left"/>
        <w:rPr/>
      </w:pPr>
      <w:r>
        <w:rPr>
          <w:rFonts w:ascii="Times New Roman;sans-serif" w:hAnsi="Times New Roman;sans-serif"/>
          <w:b w:val="false"/>
          <w:color w:val="000000"/>
          <w:sz w:val="24"/>
        </w:rPr>
        <w:t xml:space="preserve">By: </w:t>
      </w:r>
      <w:r>
        <w:rPr>
          <w:color w:val="000000"/>
          <w:u w:val="single"/>
        </w:rPr>
        <w:t>        </w:t>
      </w:r>
      <w:r>
        <w:rPr>
          <w:color w:val="000000"/>
        </w:rPr>
        <w:t xml:space="preserve"> </w:t>
      </w:r>
      <w:r>
        <w:rPr>
          <w:rFonts w:ascii="Times New Roman;sans-serif" w:hAnsi="Times New Roman;sans-serif"/>
          <w:b w:val="false"/>
          <w:color w:val="000000"/>
          <w:sz w:val="24"/>
        </w:rPr>
        <w:t>Name:</w:t>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Title: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240" w:after="283"/>
        <w:jc w:val="left"/>
        <w:rPr/>
      </w:pPr>
      <w:r>
        <w:rPr/>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[Signature Page to Supplement to Guarantee Agreement]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81">
                <wp:simplePos x="0" y="0"/>
                <wp:positionH relativeFrom="character">
                  <wp:align>left</wp:align>
                </wp:positionH>
                <wp:positionV relativeFrom="line">
                  <wp:posOffset>635</wp:posOffset>
                </wp:positionV>
                <wp:extent cx="6480175" cy="781050"/>
                <wp:effectExtent l="0" t="0" r="0" b="0"/>
                <wp:wrapNone/>
                <wp:docPr id="580" name="Frame579"/>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378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378</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2"/>
        </w:rPr>
      </w:pPr>
      <w:r>
        <w:rPr>
          <w:rFonts w:ascii="Times New Roman;sans-serif" w:hAnsi="Times New Roman;sans-serif"/>
          <w:b/>
          <w:color w:val="000000"/>
          <w:sz w:val="22"/>
        </w:rPr>
        <w:t>Exhibit 21.1</w:t>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List of Subsidiaries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Magnite Australia PTY Limited</w:t>
      </w:r>
    </w:p>
    <w:p>
      <w:pPr>
        <w:pStyle w:val="TextBody"/>
        <w:bidi w:val="0"/>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Magnite Servicos De Internet Ltda</w:t>
      </w:r>
    </w:p>
    <w:p>
      <w:pPr>
        <w:pStyle w:val="TextBody"/>
        <w:bidi w:val="0"/>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Magnite SARL</w:t>
      </w:r>
    </w:p>
    <w:p>
      <w:pPr>
        <w:pStyle w:val="TextBody"/>
        <w:bidi w:val="0"/>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Magnite GmbH</w:t>
      </w:r>
    </w:p>
    <w:p>
      <w:pPr>
        <w:pStyle w:val="TextBody"/>
        <w:bidi w:val="0"/>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Magnite AB</w:t>
      </w:r>
    </w:p>
    <w:p>
      <w:pPr>
        <w:pStyle w:val="TextBody"/>
        <w:bidi w:val="0"/>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Magnite S.R.L.</w:t>
      </w:r>
    </w:p>
    <w:p>
      <w:pPr>
        <w:pStyle w:val="TextBody"/>
        <w:bidi w:val="0"/>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Magnite K.K.</w:t>
      </w:r>
    </w:p>
    <w:p>
      <w:pPr>
        <w:pStyle w:val="TextBody"/>
        <w:bidi w:val="0"/>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Magnite Netherlands B.V.</w:t>
      </w:r>
    </w:p>
    <w:p>
      <w:pPr>
        <w:pStyle w:val="TextBody"/>
        <w:bidi w:val="0"/>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Magnite Singapore Pte Ltd.</w:t>
      </w:r>
    </w:p>
    <w:p>
      <w:pPr>
        <w:pStyle w:val="TextBody"/>
        <w:bidi w:val="0"/>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Magnite Ltd</w:t>
      </w:r>
    </w:p>
    <w:p>
      <w:pPr>
        <w:pStyle w:val="TextBody"/>
        <w:bidi w:val="0"/>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Magnite Canada, Inc.</w:t>
      </w:r>
    </w:p>
    <w:p>
      <w:pPr>
        <w:pStyle w:val="TextBody"/>
        <w:bidi w:val="0"/>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SlimCut Media Canada Inc.</w:t>
      </w:r>
    </w:p>
    <w:p>
      <w:pPr>
        <w:pStyle w:val="TextBody"/>
        <w:bidi w:val="0"/>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Magnite Apex, Inc.</w:t>
      </w:r>
    </w:p>
    <w:p>
      <w:pPr>
        <w:pStyle w:val="TextBody"/>
        <w:bidi w:val="0"/>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Magnite Advertising Solutions India Private Limited</w:t>
      </w:r>
    </w:p>
    <w:p>
      <w:pPr>
        <w:pStyle w:val="TextBody"/>
        <w:bidi w:val="0"/>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5 Moon Media LLC</w:t>
      </w:r>
    </w:p>
    <w:p>
      <w:pPr>
        <w:pStyle w:val="TextBody"/>
        <w:bidi w:val="0"/>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Magnite Bell, Inc.</w:t>
      </w:r>
    </w:p>
    <w:p>
      <w:pPr>
        <w:pStyle w:val="TextBody"/>
        <w:bidi w:val="0"/>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Rubicon Project Unlatch, Inc.</w:t>
      </w:r>
    </w:p>
    <w:p>
      <w:pPr>
        <w:pStyle w:val="TextBody"/>
        <w:bidi w:val="0"/>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Magnite Hopper, Inc.</w:t>
      </w:r>
    </w:p>
    <w:p>
      <w:pPr>
        <w:pStyle w:val="TextBody"/>
        <w:bidi w:val="0"/>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Rubicon Project Daylight, Inc.</w:t>
      </w:r>
    </w:p>
    <w:p>
      <w:pPr>
        <w:pStyle w:val="TextBody"/>
        <w:bidi w:val="0"/>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Project Daylight, LLC</w:t>
      </w:r>
    </w:p>
    <w:p>
      <w:pPr>
        <w:pStyle w:val="TextBody"/>
        <w:bidi w:val="0"/>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The Rubicon Project Canada ULC</w:t>
      </w:r>
    </w:p>
    <w:p>
      <w:pPr>
        <w:pStyle w:val="TextBody"/>
        <w:bidi w:val="0"/>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Telaria Ltd.</w:t>
      </w:r>
    </w:p>
    <w:p>
      <w:pPr>
        <w:pStyle w:val="TextBody"/>
        <w:bidi w:val="0"/>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Magnite Holdings Pty Ltd</w:t>
      </w:r>
    </w:p>
    <w:p>
      <w:pPr>
        <w:pStyle w:val="TextBody"/>
        <w:bidi w:val="0"/>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Magnite CTV Pty Ltd</w:t>
      </w:r>
    </w:p>
    <w:p>
      <w:pPr>
        <w:pStyle w:val="TextBody"/>
        <w:bidi w:val="0"/>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Telaria SDN. BHD.</w:t>
      </w:r>
    </w:p>
    <w:p>
      <w:pPr>
        <w:pStyle w:val="TextBody"/>
        <w:bidi w:val="0"/>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Magnite CTV (NZ) Limited</w:t>
      </w:r>
    </w:p>
    <w:p>
      <w:pPr>
        <w:pStyle w:val="TextBody"/>
        <w:bidi w:val="0"/>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SpotX Limited</w:t>
      </w:r>
    </w:p>
    <w:p>
      <w:pPr>
        <w:pStyle w:val="TextBody"/>
        <w:bidi w:val="0"/>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SpotX Australia Pty Ltd</w:t>
      </w:r>
    </w:p>
    <w:p>
      <w:pPr>
        <w:pStyle w:val="TextBody"/>
        <w:bidi w:val="0"/>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SpotX Japan G.K.</w:t>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82">
                <wp:simplePos x="0" y="0"/>
                <wp:positionH relativeFrom="character">
                  <wp:align>left</wp:align>
                </wp:positionH>
                <wp:positionV relativeFrom="line">
                  <wp:posOffset>635</wp:posOffset>
                </wp:positionV>
                <wp:extent cx="6480175" cy="175260"/>
                <wp:effectExtent l="0" t="0" r="0" b="0"/>
                <wp:wrapNone/>
                <wp:docPr id="581" name="Frame5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23.1</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200"/>
        <w:jc w:val="center"/>
        <w:rPr>
          <w:rFonts w:ascii="Times New Roman;sans-serif" w:hAnsi="Times New Roman;sans-serif"/>
          <w:b w:val="false"/>
          <w:color w:val="000000"/>
          <w:sz w:val="22"/>
        </w:rPr>
      </w:pPr>
      <w:r>
        <w:rPr>
          <w:rFonts w:ascii="Times New Roman;sans-serif" w:hAnsi="Times New Roman;sans-serif"/>
          <w:b w:val="false"/>
          <w:color w:val="000000"/>
          <w:sz w:val="22"/>
        </w:rPr>
        <w:t>CONSENT OF INDEPENDENT REGISTERED PUBLIC ACCOUNTING FIRM</w:t>
      </w:r>
    </w:p>
    <w:p>
      <w:pPr>
        <w:pStyle w:val="TextBody"/>
        <w:bidi w:val="0"/>
        <w:spacing w:lineRule="auto" w:line="26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We consent to the incorporation by reference in Registration Statement Nos. 333-195972, 333-201174, 333-204012, 333-219563, 333-237613 and 333-263222 on Form S-8 of our reports dated February 28, 2024, relating to the financial statements of Magnite, Inc. and the effectiveness of Magnite, Inc.’s internal controls over financial reporting appearing in this Annual Report on Form 10-K for the year ended December 31, 2023.</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/s/ Deloitte &amp; Touche LLP</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Los Angeles, California</w:t>
      </w:r>
    </w:p>
    <w:p>
      <w:pPr>
        <w:pStyle w:val="TextBody"/>
        <w:bidi w:val="0"/>
        <w:spacing w:lineRule="auto" w:line="288"/>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February 28, 2024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83">
                <wp:simplePos x="0" y="0"/>
                <wp:positionH relativeFrom="character">
                  <wp:align>left</wp:align>
                </wp:positionH>
                <wp:positionV relativeFrom="line">
                  <wp:posOffset>635</wp:posOffset>
                </wp:positionV>
                <wp:extent cx="6480175" cy="175260"/>
                <wp:effectExtent l="0" t="0" r="0" b="0"/>
                <wp:wrapNone/>
                <wp:docPr id="582" name="Frame5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18"/>
        </w:rPr>
      </w:pPr>
      <w:r>
        <w:rPr>
          <w:rFonts w:ascii="Times New Roman;sans-serif" w:hAnsi="Times New Roman;sans-serif"/>
          <w:b/>
          <w:color w:val="000000"/>
          <w:sz w:val="18"/>
        </w:rPr>
        <w:t>Exhibit 31.1</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Certification of Principal Executive Officer</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pursuant to</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Exchange Act Rules 13a-14(a) and 15d-14(a),</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as adopted pursuant to</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Section 302 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 Michael Barrett, certify that:</w:t>
      </w:r>
    </w:p>
    <w:p>
      <w:pPr>
        <w:pStyle w:val="TextBody"/>
        <w:bidi w:val="0"/>
        <w:spacing w:before="0" w:after="0"/>
        <w:jc w:val="left"/>
        <w:rPr/>
      </w:pPr>
      <w:r>
        <w:rPr/>
      </w:r>
    </w:p>
    <w:p>
      <w:pPr>
        <w:pStyle w:val="TextBody"/>
        <w:bidi w:val="0"/>
        <w:spacing w:lineRule="auto" w:line="288" w:before="0" w:after="0"/>
        <w:ind w:left="0" w:right="0" w:hanging="720"/>
        <w:jc w:val="left"/>
        <w:rPr/>
      </w:pPr>
      <w:r>
        <w:rPr>
          <w:rFonts w:ascii="Times New Roman;sans-serif" w:hAnsi="Times New Roman;sans-serif"/>
          <w:b w:val="false"/>
          <w:color w:val="000000"/>
          <w:sz w:val="20"/>
        </w:rPr>
        <w:t>1.</w:t>
      </w:r>
      <w:r>
        <w:rPr>
          <w:rFonts w:ascii="Times New Roman;sans-serif" w:hAnsi="Times New Roman;sans-serif"/>
          <w:b w:val="false"/>
          <w:color w:val="000000"/>
          <w:sz w:val="18"/>
        </w:rPr>
        <w:t>I have reviewed this Annual Report on Form 10-K of Magnite, Inc.;</w:t>
      </w:r>
    </w:p>
    <w:p>
      <w:pPr>
        <w:pStyle w:val="TextBody"/>
        <w:bidi w:val="0"/>
        <w:spacing w:before="0" w:after="0"/>
        <w:jc w:val="left"/>
        <w:rPr/>
      </w:pPr>
      <w:r>
        <w:rPr/>
      </w:r>
    </w:p>
    <w:p>
      <w:pPr>
        <w:pStyle w:val="TextBody"/>
        <w:bidi w:val="0"/>
        <w:spacing w:lineRule="auto" w:line="288" w:before="0" w:after="0"/>
        <w:ind w:left="0" w:right="0" w:hanging="720"/>
        <w:jc w:val="left"/>
        <w:rPr/>
      </w:pPr>
      <w:r>
        <w:rPr>
          <w:rFonts w:ascii="Times New Roman;sans-serif" w:hAnsi="Times New Roman;sans-serif"/>
          <w:b w:val="false"/>
          <w:color w:val="000000"/>
          <w:sz w:val="20"/>
        </w:rPr>
        <w:t>2.</w:t>
      </w:r>
      <w:r>
        <w:rPr>
          <w:rFonts w:ascii="Times New Roman;sans-serif" w:hAnsi="Times New Roman;sans-serif"/>
          <w:b w:val="false"/>
          <w:color w:val="000000"/>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720"/>
        <w:jc w:val="left"/>
        <w:rPr/>
      </w:pPr>
      <w:r>
        <w:rPr>
          <w:rFonts w:ascii="Times New Roman;sans-serif" w:hAnsi="Times New Roman;sans-serif"/>
          <w:b w:val="false"/>
          <w:color w:val="000000"/>
          <w:sz w:val="20"/>
        </w:rPr>
        <w:t>3.</w:t>
      </w:r>
      <w:r>
        <w:rPr>
          <w:rFonts w:ascii="Times New Roman;sans-serif" w:hAnsi="Times New Roman;sans-serif"/>
          <w:b w:val="false"/>
          <w:color w:val="000000"/>
          <w:sz w:val="18"/>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720"/>
        <w:jc w:val="left"/>
        <w:rPr/>
      </w:pPr>
      <w:r>
        <w:rPr>
          <w:rFonts w:ascii="Times New Roman;sans-serif" w:hAnsi="Times New Roman;sans-serif"/>
          <w:b w:val="false"/>
          <w:color w:val="000000"/>
          <w:sz w:val="20"/>
        </w:rPr>
        <w:t>4.</w:t>
      </w:r>
      <w:r>
        <w:rPr>
          <w:rFonts w:ascii="Times New Roman;sans-serif" w:hAnsi="Times New Roman;sans-serif"/>
          <w:b w:val="false"/>
          <w:color w:val="000000"/>
          <w:sz w:val="18"/>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540"/>
        <w:jc w:val="left"/>
        <w:rPr/>
      </w:pPr>
      <w:r>
        <w:rPr>
          <w:rFonts w:ascii="Times New Roman;sans-serif" w:hAnsi="Times New Roman;sans-serif"/>
          <w:b w:val="false"/>
          <w:color w:val="000000"/>
          <w:sz w:val="18"/>
        </w:rPr>
        <w:t>a.</w:t>
      </w:r>
      <w:r>
        <w:rPr>
          <w:color w:val="000000"/>
        </w:rPr>
        <w:t>    </w:t>
      </w:r>
      <w:r>
        <w:rPr>
          <w:rFonts w:ascii="Times New Roman;sans-serif" w:hAnsi="Times New Roman;sans-serif"/>
          <w:b w:val="false"/>
          <w:color w:val="000000"/>
          <w:sz w:val="18"/>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540"/>
        <w:jc w:val="left"/>
        <w:rPr/>
      </w:pPr>
      <w:r>
        <w:rPr/>
      </w:r>
    </w:p>
    <w:p>
      <w:pPr>
        <w:pStyle w:val="TextBody"/>
        <w:bidi w:val="0"/>
        <w:spacing w:lineRule="auto" w:line="288" w:before="0" w:after="0"/>
        <w:ind w:left="0" w:right="0" w:hanging="540"/>
        <w:jc w:val="left"/>
        <w:rPr/>
      </w:pPr>
      <w:r>
        <w:rPr>
          <w:rFonts w:ascii="Times New Roman;sans-serif" w:hAnsi="Times New Roman;sans-serif"/>
          <w:b w:val="false"/>
          <w:color w:val="000000"/>
          <w:sz w:val="18"/>
        </w:rPr>
        <w:t>b.</w:t>
      </w:r>
      <w:r>
        <w:rPr>
          <w:color w:val="000000"/>
        </w:rPr>
        <w:t>    </w:t>
      </w:r>
      <w:r>
        <w:rPr>
          <w:rFonts w:ascii="Times New Roman;sans-serif" w:hAnsi="Times New Roman;sans-serif"/>
          <w:b w:val="false"/>
          <w:color w:val="000000"/>
          <w:sz w:val="18"/>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540"/>
        <w:jc w:val="left"/>
        <w:rPr/>
      </w:pPr>
      <w:r>
        <w:rPr/>
      </w:r>
    </w:p>
    <w:p>
      <w:pPr>
        <w:pStyle w:val="TextBody"/>
        <w:bidi w:val="0"/>
        <w:spacing w:lineRule="auto" w:line="288" w:before="0" w:after="0"/>
        <w:ind w:left="0" w:right="0" w:hanging="540"/>
        <w:jc w:val="left"/>
        <w:rPr/>
      </w:pPr>
      <w:r>
        <w:rPr>
          <w:rFonts w:ascii="Times New Roman;sans-serif" w:hAnsi="Times New Roman;sans-serif"/>
          <w:b w:val="false"/>
          <w:color w:val="000000"/>
          <w:sz w:val="18"/>
        </w:rPr>
        <w:t>c.</w:t>
      </w:r>
      <w:r>
        <w:rPr>
          <w:color w:val="000000"/>
        </w:rPr>
        <w:t>    </w:t>
      </w:r>
      <w:r>
        <w:rPr>
          <w:rFonts w:ascii="Times New Roman;sans-serif" w:hAnsi="Times New Roman;sans-serif"/>
          <w:b w:val="false"/>
          <w:color w:val="000000"/>
          <w:sz w:val="18"/>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540"/>
        <w:jc w:val="left"/>
        <w:rPr/>
      </w:pPr>
      <w:r>
        <w:rPr/>
      </w:r>
    </w:p>
    <w:p>
      <w:pPr>
        <w:pStyle w:val="TextBody"/>
        <w:bidi w:val="0"/>
        <w:spacing w:lineRule="auto" w:line="288" w:before="0" w:after="0"/>
        <w:ind w:left="0" w:right="0" w:hanging="540"/>
        <w:jc w:val="left"/>
        <w:rPr/>
      </w:pPr>
      <w:r>
        <w:rPr>
          <w:rFonts w:ascii="Times New Roman;sans-serif" w:hAnsi="Times New Roman;sans-serif"/>
          <w:b w:val="false"/>
          <w:color w:val="000000"/>
          <w:sz w:val="18"/>
        </w:rPr>
        <w:t>d.</w:t>
      </w:r>
      <w:r>
        <w:rPr>
          <w:color w:val="000000"/>
        </w:rPr>
        <w:t>    </w:t>
      </w:r>
      <w:r>
        <w:rPr>
          <w:rFonts w:ascii="Times New Roman;sans-serif" w:hAnsi="Times New Roman;sans-serif"/>
          <w:b w:val="false"/>
          <w:color w:val="000000"/>
          <w:sz w:val="18"/>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720"/>
        <w:jc w:val="left"/>
        <w:rPr/>
      </w:pPr>
      <w:r>
        <w:rPr>
          <w:rFonts w:ascii="Times New Roman;sans-serif" w:hAnsi="Times New Roman;sans-serif"/>
          <w:b w:val="false"/>
          <w:color w:val="000000"/>
          <w:sz w:val="20"/>
        </w:rPr>
        <w:t>5.</w:t>
      </w:r>
      <w:r>
        <w:rPr>
          <w:rFonts w:ascii="Times New Roman;sans-serif" w:hAnsi="Times New Roman;sans-serif"/>
          <w:b w:val="false"/>
          <w:color w:val="000000"/>
          <w:sz w:val="18"/>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540"/>
        <w:jc w:val="left"/>
        <w:rPr/>
      </w:pPr>
      <w:r>
        <w:rPr>
          <w:rFonts w:ascii="Times New Roman;sans-serif" w:hAnsi="Times New Roman;sans-serif"/>
          <w:b w:val="false"/>
          <w:color w:val="000000"/>
          <w:sz w:val="18"/>
        </w:rPr>
        <w:t xml:space="preserve">a. </w:t>
      </w:r>
      <w:r>
        <w:rPr>
          <w:color w:val="000000"/>
        </w:rPr>
        <w:t>    </w:t>
      </w:r>
      <w:r>
        <w:rPr>
          <w:rFonts w:ascii="Times New Roman;sans-serif" w:hAnsi="Times New Roman;sans-serif"/>
          <w:b w:val="false"/>
          <w:color w:val="000000"/>
          <w:sz w:val="18"/>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540"/>
        <w:jc w:val="left"/>
        <w:rPr/>
      </w:pPr>
      <w:r>
        <w:rPr/>
      </w:r>
    </w:p>
    <w:p>
      <w:pPr>
        <w:pStyle w:val="TextBody"/>
        <w:bidi w:val="0"/>
        <w:spacing w:lineRule="auto" w:line="288" w:before="0" w:after="280"/>
        <w:ind w:left="0" w:right="0" w:hanging="540"/>
        <w:jc w:val="left"/>
        <w:rPr/>
      </w:pPr>
      <w:r>
        <w:rPr>
          <w:color w:val="000000"/>
        </w:rPr>
        <w:t> </w:t>
      </w:r>
      <w:r>
        <w:rPr>
          <w:rFonts w:ascii="Times New Roman;sans-serif" w:hAnsi="Times New Roman;sans-serif"/>
          <w:b w:val="false"/>
          <w:color w:val="000000"/>
          <w:sz w:val="18"/>
        </w:rPr>
        <w:t xml:space="preserve">b. </w:t>
      </w:r>
      <w:r>
        <w:rPr>
          <w:color w:val="000000"/>
        </w:rPr>
        <w:t>    </w:t>
      </w:r>
      <w:r>
        <w:rPr>
          <w:rFonts w:ascii="Times New Roman;sans-serif" w:hAnsi="Times New Roman;sans-serif"/>
          <w:b w:val="false"/>
          <w:color w:val="000000"/>
          <w:sz w:val="18"/>
        </w:rPr>
        <w:t>Any fraud, whether or not material, that involves management or other employees who have a significant role in the registrant’s internal control over financial reporting.</w:t>
      </w:r>
    </w:p>
    <w:tbl>
      <w:tblPr>
        <w:tblW w:w="5473" w:type="dxa"/>
        <w:jc w:val="center"/>
        <w:tblInd w:w="0" w:type="dxa"/>
        <w:tblLayout w:type="fixed"/>
        <w:tblCellMar>
          <w:top w:w="28" w:type="dxa"/>
          <w:left w:w="28" w:type="dxa"/>
          <w:bottom w:w="28" w:type="dxa"/>
          <w:right w:w="28" w:type="dxa"/>
        </w:tblCellMar>
      </w:tblPr>
      <w:tblGrid>
        <w:gridCol w:w="656"/>
        <w:gridCol w:w="578"/>
        <w:gridCol w:w="580"/>
        <w:gridCol w:w="274"/>
        <w:gridCol w:w="274"/>
        <w:gridCol w:w="276"/>
        <w:gridCol w:w="827"/>
        <w:gridCol w:w="827"/>
        <w:gridCol w:w="1181"/>
      </w:tblGrid>
      <w:tr>
        <w:trPr/>
        <w:tc>
          <w:tcPr>
            <w:tcW w:w="656"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Signature:</w:t>
            </w:r>
          </w:p>
        </w:tc>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Michael Barrett</w:t>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Date February 28, 2024</w:t>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Michael Barrett</w:t>
            </w:r>
          </w:p>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President and Chief Executive Officer</w:t>
            </w:r>
          </w:p>
          <w:p>
            <w:pPr>
              <w:pStyle w:val="TableContents"/>
              <w:bidi w:val="0"/>
              <w:spacing w:lineRule="auto" w:line="288" w:before="0" w:after="40"/>
              <w:jc w:val="left"/>
              <w:rPr>
                <w:rFonts w:ascii="Times New Roman;sans-serif" w:hAnsi="Times New Roman;sans-serif"/>
                <w:b w:val="false"/>
                <w:color w:val="000000"/>
                <w:sz w:val="18"/>
              </w:rPr>
            </w:pPr>
            <w:r>
              <w:rPr>
                <w:rFonts w:ascii="Times New Roman;sans-serif" w:hAnsi="Times New Roman;sans-serif"/>
                <w:b w:val="false"/>
                <w:color w:val="000000"/>
                <w:sz w:val="18"/>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84">
                <wp:simplePos x="0" y="0"/>
                <wp:positionH relativeFrom="character">
                  <wp:align>left</wp:align>
                </wp:positionH>
                <wp:positionV relativeFrom="line">
                  <wp:posOffset>635</wp:posOffset>
                </wp:positionV>
                <wp:extent cx="6480175" cy="175260"/>
                <wp:effectExtent l="0" t="0" r="0" b="0"/>
                <wp:wrapNone/>
                <wp:docPr id="583" name="Frame5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pPr>
      <w:r>
        <w:rPr>
          <w:color w:val="000000"/>
        </w:rPr>
        <w:t> </w:t>
      </w:r>
      <w:r>
        <w:rPr>
          <w:rFonts w:ascii="Times New Roman;sans-serif" w:hAnsi="Times New Roman;sans-serif"/>
          <w:b/>
          <w:color w:val="000000"/>
          <w:sz w:val="18"/>
        </w:rPr>
        <w:t>Exhibit 31.2</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Certification of Principal Financial Officer</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pursuant to</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Exchange Act Rules 13a-14(a) and 15d-14(a),</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as adopted pursuant to</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Section 302 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 David Day, certify that:</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1.</w:t>
      </w:r>
      <w:r>
        <w:rPr>
          <w:rFonts w:ascii="Times New Roman;sans-serif" w:hAnsi="Times New Roman;sans-serif"/>
          <w:b w:val="false"/>
          <w:color w:val="000000"/>
          <w:sz w:val="18"/>
        </w:rPr>
        <w:t>I have reviewed this Annual Report on Form 10-K of Magnite, Inc.;</w:t>
      </w:r>
    </w:p>
    <w:p>
      <w:pPr>
        <w:pStyle w:val="TextBody"/>
        <w:bidi w:val="0"/>
        <w:spacing w:before="0" w:after="0"/>
        <w:ind w:left="0" w:right="0" w:firstLine="540"/>
        <w:jc w:val="left"/>
        <w:rPr/>
      </w:pPr>
      <w:r>
        <w:rPr/>
      </w:r>
    </w:p>
    <w:p>
      <w:pPr>
        <w:pStyle w:val="TextBody"/>
        <w:bidi w:val="0"/>
        <w:spacing w:lineRule="auto" w:line="288" w:before="0" w:after="0"/>
        <w:ind w:left="0" w:right="0" w:hanging="540"/>
        <w:jc w:val="left"/>
        <w:rPr/>
      </w:pPr>
      <w:r>
        <w:rPr>
          <w:rFonts w:ascii="Times New Roman;sans-serif" w:hAnsi="Times New Roman;sans-serif"/>
          <w:b w:val="false"/>
          <w:color w:val="000000"/>
          <w:sz w:val="20"/>
        </w:rPr>
        <w:t>2.</w:t>
      </w:r>
      <w:r>
        <w:rPr>
          <w:rFonts w:ascii="Times New Roman;sans-serif" w:hAnsi="Times New Roman;sans-serif"/>
          <w:b w:val="false"/>
          <w:color w:val="000000"/>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540"/>
        <w:jc w:val="left"/>
        <w:rPr/>
      </w:pPr>
      <w:r>
        <w:rPr/>
      </w:r>
    </w:p>
    <w:p>
      <w:pPr>
        <w:pStyle w:val="TextBody"/>
        <w:bidi w:val="0"/>
        <w:spacing w:lineRule="auto" w:line="288" w:before="0" w:after="0"/>
        <w:ind w:left="0" w:right="0" w:hanging="540"/>
        <w:jc w:val="left"/>
        <w:rPr/>
      </w:pPr>
      <w:r>
        <w:rPr>
          <w:rFonts w:ascii="Times New Roman;sans-serif" w:hAnsi="Times New Roman;sans-serif"/>
          <w:b w:val="false"/>
          <w:color w:val="000000"/>
          <w:sz w:val="20"/>
        </w:rPr>
        <w:t>3.</w:t>
      </w:r>
      <w:r>
        <w:rPr>
          <w:rFonts w:ascii="Times New Roman;sans-serif" w:hAnsi="Times New Roman;sans-serif"/>
          <w:b w:val="false"/>
          <w:color w:val="000000"/>
          <w:sz w:val="18"/>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firstLine="540"/>
        <w:jc w:val="left"/>
        <w:rPr/>
      </w:pPr>
      <w:r>
        <w:rPr/>
      </w:r>
    </w:p>
    <w:p>
      <w:pPr>
        <w:pStyle w:val="TextBody"/>
        <w:bidi w:val="0"/>
        <w:spacing w:lineRule="auto" w:line="288" w:before="0" w:after="0"/>
        <w:ind w:left="0" w:right="0" w:hanging="540"/>
        <w:jc w:val="left"/>
        <w:rPr/>
      </w:pPr>
      <w:r>
        <w:rPr>
          <w:rFonts w:ascii="Times New Roman;sans-serif" w:hAnsi="Times New Roman;sans-serif"/>
          <w:b w:val="false"/>
          <w:color w:val="000000"/>
          <w:sz w:val="20"/>
        </w:rPr>
        <w:t>4.</w:t>
      </w:r>
      <w:r>
        <w:rPr>
          <w:rFonts w:ascii="Times New Roman;sans-serif" w:hAnsi="Times New Roman;sans-serif"/>
          <w:b w:val="false"/>
          <w:color w:val="000000"/>
          <w:sz w:val="18"/>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540"/>
        <w:jc w:val="left"/>
        <w:rPr/>
      </w:pPr>
      <w:r>
        <w:rPr>
          <w:rFonts w:ascii="Times New Roman;sans-serif" w:hAnsi="Times New Roman;sans-serif"/>
          <w:b w:val="false"/>
          <w:color w:val="000000"/>
          <w:sz w:val="20"/>
        </w:rPr>
        <w:t>a.</w:t>
      </w:r>
      <w:r>
        <w:rPr>
          <w:rFonts w:ascii="Times New Roman;sans-serif" w:hAnsi="Times New Roman;sans-serif"/>
          <w:b w:val="false"/>
          <w:color w:val="000000"/>
          <w:sz w:val="18"/>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540"/>
        <w:jc w:val="left"/>
        <w:rPr/>
      </w:pPr>
      <w:r>
        <w:rPr>
          <w:rFonts w:ascii="Times New Roman;sans-serif" w:hAnsi="Times New Roman;sans-serif"/>
          <w:b w:val="false"/>
          <w:color w:val="000000"/>
          <w:sz w:val="20"/>
        </w:rPr>
        <w:t>b.</w:t>
      </w:r>
      <w:r>
        <w:rPr>
          <w:rFonts w:ascii="Times New Roman;sans-serif" w:hAnsi="Times New Roman;sans-serif"/>
          <w:b w:val="false"/>
          <w:color w:val="000000"/>
          <w:sz w:val="18"/>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540"/>
        <w:jc w:val="left"/>
        <w:rPr/>
      </w:pPr>
      <w:r>
        <w:rPr>
          <w:rFonts w:ascii="Times New Roman;sans-serif" w:hAnsi="Times New Roman;sans-serif"/>
          <w:b w:val="false"/>
          <w:color w:val="000000"/>
          <w:sz w:val="20"/>
        </w:rPr>
        <w:t>c.</w:t>
      </w:r>
      <w:r>
        <w:rPr>
          <w:rFonts w:ascii="Times New Roman;sans-serif" w:hAnsi="Times New Roman;sans-serif"/>
          <w:b w:val="false"/>
          <w:color w:val="000000"/>
          <w:sz w:val="18"/>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540"/>
        <w:jc w:val="left"/>
        <w:rPr/>
      </w:pPr>
      <w:r>
        <w:rPr>
          <w:rFonts w:ascii="Times New Roman;sans-serif" w:hAnsi="Times New Roman;sans-serif"/>
          <w:b w:val="false"/>
          <w:color w:val="000000"/>
          <w:sz w:val="20"/>
        </w:rPr>
        <w:t>d.</w:t>
      </w:r>
      <w:r>
        <w:rPr>
          <w:rFonts w:ascii="Times New Roman;sans-serif" w:hAnsi="Times New Roman;sans-serif"/>
          <w:b w:val="false"/>
          <w:color w:val="000000"/>
          <w:sz w:val="18"/>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540"/>
        <w:jc w:val="left"/>
        <w:rPr/>
      </w:pPr>
      <w:r>
        <w:rPr>
          <w:rFonts w:ascii="Times New Roman;sans-serif" w:hAnsi="Times New Roman;sans-serif"/>
          <w:b w:val="false"/>
          <w:color w:val="000000"/>
          <w:sz w:val="18"/>
        </w:rPr>
        <w:t xml:space="preserve">5. </w:t>
      </w:r>
      <w:r>
        <w:rPr>
          <w:color w:val="000000"/>
        </w:rPr>
        <w:t>    </w:t>
      </w:r>
      <w:r>
        <w:rPr>
          <w:rFonts w:ascii="Times New Roman;sans-serif" w:hAnsi="Times New Roman;sans-serif"/>
          <w:b w:val="false"/>
          <w:color w:val="000000"/>
          <w:sz w:val="18"/>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540"/>
        <w:jc w:val="left"/>
        <w:rPr/>
      </w:pPr>
      <w:r>
        <w:rPr/>
      </w:r>
    </w:p>
    <w:p>
      <w:pPr>
        <w:pStyle w:val="TextBody"/>
        <w:bidi w:val="0"/>
        <w:spacing w:lineRule="auto" w:line="288" w:before="0" w:after="0"/>
        <w:ind w:left="0" w:right="0" w:hanging="360"/>
        <w:jc w:val="left"/>
        <w:rPr/>
      </w:pPr>
      <w:r>
        <w:rPr>
          <w:rFonts w:ascii="Times New Roman;sans-serif" w:hAnsi="Times New Roman;sans-serif"/>
          <w:b w:val="false"/>
          <w:color w:val="000000"/>
          <w:sz w:val="20"/>
        </w:rPr>
        <w:t>a.</w:t>
      </w:r>
      <w:r>
        <w:rPr>
          <w:rFonts w:ascii="Times New Roman;sans-serif" w:hAnsi="Times New Roman;sans-serif"/>
          <w:b w:val="false"/>
          <w:color w:val="000000"/>
          <w:sz w:val="18"/>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ans-serif" w:hAnsi="Times New Roman;sans-serif"/>
          <w:b w:val="false"/>
          <w:color w:val="000000"/>
          <w:sz w:val="20"/>
        </w:rPr>
        <w:t>b.</w:t>
      </w:r>
      <w:r>
        <w:rPr>
          <w:rFonts w:ascii="Times New Roman;sans-serif" w:hAnsi="Times New Roman;sans-serif"/>
          <w:b w:val="false"/>
          <w:color w:val="000000"/>
          <w:sz w:val="18"/>
        </w:rPr>
        <w:t>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4783" w:type="dxa"/>
        <w:jc w:val="center"/>
        <w:tblInd w:w="0" w:type="dxa"/>
        <w:tblLayout w:type="fixed"/>
        <w:tblCellMar>
          <w:top w:w="28" w:type="dxa"/>
          <w:left w:w="28" w:type="dxa"/>
          <w:bottom w:w="28" w:type="dxa"/>
          <w:right w:w="28" w:type="dxa"/>
        </w:tblCellMar>
      </w:tblPr>
      <w:tblGrid>
        <w:gridCol w:w="656"/>
        <w:gridCol w:w="578"/>
        <w:gridCol w:w="580"/>
        <w:gridCol w:w="274"/>
        <w:gridCol w:w="274"/>
        <w:gridCol w:w="276"/>
        <w:gridCol w:w="627"/>
        <w:gridCol w:w="627"/>
        <w:gridCol w:w="891"/>
      </w:tblGrid>
      <w:tr>
        <w:trPr/>
        <w:tc>
          <w:tcPr>
            <w:tcW w:w="656"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Signature:</w:t>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David Day</w:t>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Date February 28, 2024</w:t>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David Day</w:t>
            </w:r>
          </w:p>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Chief Financial Officer</w:t>
            </w:r>
          </w:p>
          <w:p>
            <w:pPr>
              <w:pStyle w:val="TableContents"/>
              <w:bidi w:val="0"/>
              <w:spacing w:lineRule="auto" w:line="288" w:before="0" w:after="40"/>
              <w:jc w:val="left"/>
              <w:rPr>
                <w:rFonts w:ascii="Times New Roman;sans-serif" w:hAnsi="Times New Roman;sans-serif"/>
                <w:b w:val="false"/>
                <w:color w:val="000000"/>
                <w:sz w:val="18"/>
              </w:rPr>
            </w:pPr>
            <w:r>
              <w:rPr>
                <w:rFonts w:ascii="Times New Roman;sans-serif" w:hAnsi="Times New Roman;sans-serif"/>
                <w:b w:val="false"/>
                <w:color w:val="000000"/>
                <w:sz w:val="18"/>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85">
                <wp:simplePos x="0" y="0"/>
                <wp:positionH relativeFrom="character">
                  <wp:align>left</wp:align>
                </wp:positionH>
                <wp:positionV relativeFrom="line">
                  <wp:posOffset>635</wp:posOffset>
                </wp:positionV>
                <wp:extent cx="6480175" cy="175260"/>
                <wp:effectExtent l="0" t="0" r="0" b="0"/>
                <wp:wrapNone/>
                <wp:docPr id="584" name="Frame5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0"/>
        <w:jc w:val="right"/>
        <w:rPr>
          <w:rFonts w:ascii="Times New Roman;sans-serif" w:hAnsi="Times New Roman;sans-serif"/>
          <w:b/>
          <w:color w:val="000000"/>
          <w:sz w:val="18"/>
        </w:rPr>
      </w:pPr>
      <w:r>
        <w:rPr>
          <w:rFonts w:ascii="Times New Roman;sans-serif" w:hAnsi="Times New Roman;sans-serif"/>
          <w:b/>
          <w:color w:val="000000"/>
          <w:sz w:val="18"/>
        </w:rPr>
        <w:t>Exhibit 32</w:t>
      </w:r>
    </w:p>
    <w:p>
      <w:pPr>
        <w:pStyle w:val="TextBody"/>
        <w:bidi w:val="0"/>
        <w:spacing w:before="0" w:after="0"/>
        <w:jc w:val="left"/>
        <w:rPr/>
      </w:pPr>
      <w:r>
        <w:rPr/>
      </w:r>
    </w:p>
    <w:p>
      <w:pPr>
        <w:pStyle w:val="TextBody"/>
        <w:bidi w:val="0"/>
        <w:spacing w:lineRule="auto" w:line="417" w:before="0" w:after="0"/>
        <w:jc w:val="center"/>
        <w:rPr>
          <w:rFonts w:ascii="Times New Roman;sans-serif" w:hAnsi="Times New Roman;sans-serif"/>
          <w:b/>
          <w:color w:val="000000"/>
          <w:sz w:val="18"/>
        </w:rPr>
      </w:pPr>
      <w:r>
        <w:rPr>
          <w:rFonts w:ascii="Times New Roman;sans-serif" w:hAnsi="Times New Roman;sans-serif"/>
          <w:b/>
          <w:color w:val="000000"/>
          <w:sz w:val="18"/>
        </w:rPr>
        <w:t>CERTIFICATIONS OF PRINCIPAL EXECUTIVE OFFICER AND PRINCIPAL FINANCIAL OFFICER PURSUANT TO 18 U.S.C. SECTION 1350,</w:t>
      </w:r>
    </w:p>
    <w:p>
      <w:pPr>
        <w:pStyle w:val="TextBody"/>
        <w:bidi w:val="0"/>
        <w:spacing w:lineRule="auto" w:line="417" w:before="0" w:after="0"/>
        <w:jc w:val="center"/>
        <w:rPr>
          <w:color w:val="000000"/>
        </w:rPr>
      </w:pPr>
      <w:r>
        <w:rPr>
          <w:color w:val="000000"/>
        </w:rPr>
        <w:t> </w:t>
      </w:r>
      <w:r>
        <w:rPr>
          <w:rFonts w:ascii="Times New Roman;sans-serif" w:hAnsi="Times New Roman;sans-serif"/>
          <w:b/>
          <w:color w:val="000000"/>
          <w:sz w:val="18"/>
        </w:rPr>
        <w:t>AS ADOPTED PURSUANT TO SECTION 906 OF THE SARBANES-OXLEY ACT OF 2002</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417"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Pursuant to Section 906 of the Sarbanes-Oxley Act of 2002 (18 U.S.C. 1350), Michael Barrett, President and Chief Executive Officer (Principal Executive Officer) of Magnite, Inc. (the "Company"), and David Day, Chief Financial Officer (Principal Financial Officer) of the Company, each hereby certifies that, to the best of his knowledge:</w:t>
      </w:r>
    </w:p>
    <w:p>
      <w:pPr>
        <w:pStyle w:val="TextBody"/>
        <w:bidi w:val="0"/>
        <w:spacing w:before="0" w:after="0"/>
        <w:jc w:val="left"/>
        <w:rPr/>
      </w:pPr>
      <w:r>
        <w:rPr/>
      </w:r>
    </w:p>
    <w:p>
      <w:pPr>
        <w:pStyle w:val="TextBody"/>
        <w:bidi w:val="0"/>
        <w:spacing w:lineRule="auto" w:line="417" w:before="0" w:after="0"/>
        <w:ind w:left="0" w:right="0" w:hanging="360"/>
        <w:jc w:val="left"/>
        <w:rPr/>
      </w:pPr>
      <w:r>
        <w:rPr>
          <w:rFonts w:ascii="Times New Roman;sans-serif" w:hAnsi="Times New Roman;sans-serif"/>
          <w:b w:val="false"/>
          <w:color w:val="000000"/>
          <w:sz w:val="20"/>
        </w:rPr>
        <w:t>1.</w:t>
      </w:r>
      <w:r>
        <w:rPr>
          <w:rFonts w:ascii="Times New Roman;sans-serif" w:hAnsi="Times New Roman;sans-serif"/>
          <w:b w:val="false"/>
          <w:color w:val="000000"/>
          <w:sz w:val="18"/>
        </w:rPr>
        <w:t>Our Annual Report on Form 10-K for the quarter ended December 31, 2023, to which this certification is attached as Exhibit 32 (the "Report"), fully complies with the requirements of Section 13(a) or 15(d) of the Securities Exchange Act of 1934; and</w:t>
      </w:r>
    </w:p>
    <w:p>
      <w:pPr>
        <w:pStyle w:val="TextBody"/>
        <w:bidi w:val="0"/>
        <w:spacing w:before="0" w:after="0"/>
        <w:jc w:val="left"/>
        <w:rPr/>
      </w:pPr>
      <w:r>
        <w:rPr/>
      </w:r>
    </w:p>
    <w:p>
      <w:pPr>
        <w:pStyle w:val="TextBody"/>
        <w:bidi w:val="0"/>
        <w:spacing w:lineRule="auto" w:line="417" w:before="0" w:after="0"/>
        <w:ind w:left="0" w:right="0" w:hanging="360"/>
        <w:jc w:val="left"/>
        <w:rPr/>
      </w:pPr>
      <w:r>
        <w:rPr>
          <w:rFonts w:ascii="Times New Roman;sans-serif" w:hAnsi="Times New Roman;sans-serif"/>
          <w:b w:val="false"/>
          <w:color w:val="000000"/>
          <w:sz w:val="20"/>
        </w:rPr>
        <w:t>2.</w:t>
      </w:r>
      <w:r>
        <w:rPr>
          <w:rFonts w:ascii="Times New Roman;sans-serif" w:hAnsi="Times New Roman;sans-serif"/>
          <w:b w:val="false"/>
          <w:color w:val="000000"/>
          <w:sz w:val="18"/>
        </w:rPr>
        <w:t>The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lineRule="auto" w:line="417"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Date February 28, 2024 </w:t>
      </w:r>
    </w:p>
    <w:tbl>
      <w:tblPr>
        <w:tblW w:w="3177" w:type="dxa"/>
        <w:jc w:val="center"/>
        <w:tblInd w:w="0" w:type="dxa"/>
        <w:tblLayout w:type="fixed"/>
        <w:tblCellMar>
          <w:top w:w="28" w:type="dxa"/>
          <w:left w:w="28" w:type="dxa"/>
          <w:bottom w:w="28" w:type="dxa"/>
          <w:right w:w="28" w:type="dxa"/>
        </w:tblCellMar>
      </w:tblPr>
      <w:tblGrid>
        <w:gridCol w:w="124"/>
        <w:gridCol w:w="109"/>
        <w:gridCol w:w="109"/>
        <w:gridCol w:w="827"/>
        <w:gridCol w:w="827"/>
        <w:gridCol w:w="118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Michael Barrett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Michael Barrett</w:t>
            </w:r>
          </w:p>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President and Chief Executive Officer</w:t>
            </w:r>
          </w:p>
          <w:p>
            <w:pPr>
              <w:pStyle w:val="TableContents"/>
              <w:bidi w:val="0"/>
              <w:spacing w:lineRule="auto" w:line="288" w:before="0" w:after="40"/>
              <w:jc w:val="left"/>
              <w:rPr>
                <w:rFonts w:ascii="Times New Roman;sans-serif" w:hAnsi="Times New Roman;sans-serif"/>
                <w:b w:val="false"/>
                <w:color w:val="000000"/>
                <w:sz w:val="18"/>
              </w:rPr>
            </w:pPr>
            <w:r>
              <w:rPr>
                <w:rFonts w:ascii="Times New Roman;sans-serif" w:hAnsi="Times New Roman;sans-serif"/>
                <w:b w:val="false"/>
                <w:color w:val="000000"/>
                <w:sz w:val="18"/>
              </w:rPr>
              <w:t>(Principal Executive Officer)</w:t>
            </w:r>
          </w:p>
        </w:tc>
      </w:tr>
    </w:tbl>
    <w:tbl>
      <w:tblPr>
        <w:tblW w:w="2487" w:type="dxa"/>
        <w:jc w:val="center"/>
        <w:tblInd w:w="0" w:type="dxa"/>
        <w:tblLayout w:type="fixed"/>
        <w:tblCellMar>
          <w:top w:w="28" w:type="dxa"/>
          <w:left w:w="28" w:type="dxa"/>
          <w:bottom w:w="28" w:type="dxa"/>
          <w:right w:w="28" w:type="dxa"/>
        </w:tblCellMar>
      </w:tblPr>
      <w:tblGrid>
        <w:gridCol w:w="124"/>
        <w:gridCol w:w="109"/>
        <w:gridCol w:w="109"/>
        <w:gridCol w:w="627"/>
        <w:gridCol w:w="627"/>
        <w:gridCol w:w="8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David Day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David Day</w:t>
            </w:r>
          </w:p>
          <w:p>
            <w:pPr>
              <w:pStyle w:val="TableContents"/>
              <w:bidi w:val="0"/>
              <w:spacing w:lineRule="auto" w:line="288" w:before="0" w:after="40"/>
              <w:jc w:val="left"/>
              <w:rPr>
                <w:rFonts w:ascii="Times New Roman;sans-serif" w:hAnsi="Times New Roman;sans-serif"/>
                <w:b w:val="false"/>
                <w:color w:val="000000"/>
                <w:sz w:val="18"/>
              </w:rPr>
            </w:pPr>
            <w:r>
              <w:rPr>
                <w:rFonts w:ascii="Times New Roman;sans-serif" w:hAnsi="Times New Roman;sans-serif"/>
                <w:b w:val="false"/>
                <w:color w:val="000000"/>
                <w:sz w:val="18"/>
              </w:rPr>
              <w:t>Chief Financial Officer</w:t>
            </w:r>
          </w:p>
          <w:p>
            <w:pPr>
              <w:pStyle w:val="TableContents"/>
              <w:bidi w:val="0"/>
              <w:spacing w:lineRule="auto" w:line="288" w:before="0" w:after="40"/>
              <w:jc w:val="left"/>
              <w:rPr>
                <w:rFonts w:ascii="Times New Roman;sans-serif" w:hAnsi="Times New Roman;sans-serif"/>
                <w:b w:val="false"/>
                <w:color w:val="000000"/>
                <w:sz w:val="18"/>
              </w:rPr>
            </w:pPr>
            <w:r>
              <w:rPr>
                <w:rFonts w:ascii="Times New Roman;sans-serif" w:hAnsi="Times New Roman;sans-serif"/>
                <w:b w:val="false"/>
                <w:color w:val="000000"/>
                <w:sz w:val="18"/>
              </w:rPr>
              <w:t>(Principal Financial Officer)</w:t>
            </w:r>
          </w:p>
        </w:tc>
      </w:tr>
    </w:tbl>
    <w:p>
      <w:pPr>
        <w:pStyle w:val="TextBody"/>
        <w:bidi w:val="0"/>
        <w:spacing w:lineRule="auto" w:line="417"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The foregoing certifications are being furnished pursuant to 13 U.S.C. Section 1350. They are not being filed for purposes of Section 18 of the Securities Exchange Act of 1934, as amended, and are not to be incorporated by reference into any filing of the Company, regardless of any general incorporation language in such filing.</w:t>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Exhibit 97</w:t>
      </w:r>
      <w:r>
        <mc:AlternateContent>
          <mc:Choice Requires="wps">
            <w:drawing>
              <wp:anchor behindDoc="0" distT="0" distB="0" distL="0" distR="0" simplePos="0" locked="0" layoutInCell="1" allowOverlap="1" relativeHeight="586">
                <wp:simplePos x="0" y="0"/>
                <wp:positionH relativeFrom="character">
                  <wp:align>left</wp:align>
                </wp:positionH>
                <wp:positionV relativeFrom="line">
                  <wp:posOffset>635</wp:posOffset>
                </wp:positionV>
                <wp:extent cx="6480175" cy="175260"/>
                <wp:effectExtent l="0" t="0" r="0" b="0"/>
                <wp:wrapNone/>
                <wp:docPr id="585" name="Frame5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9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83"/>
        <w:ind w:left="0" w:right="0" w:firstLine="720"/>
        <w:jc w:val="center"/>
        <w:rPr>
          <w:rFonts w:ascii="Times New Roman;sans-serif" w:hAnsi="Times New Roman;sans-serif"/>
          <w:b/>
          <w:color w:val="000000"/>
          <w:sz w:val="24"/>
        </w:rPr>
      </w:pPr>
      <w:r>
        <w:rPr>
          <w:rFonts w:ascii="Times New Roman;sans-serif" w:hAnsi="Times New Roman;sans-serif"/>
          <w:b/>
          <w:color w:val="000000"/>
          <w:sz w:val="24"/>
        </w:rPr>
        <w:t>MAGNITE, INC.</w:t>
      </w:r>
    </w:p>
    <w:p>
      <w:pPr>
        <w:pStyle w:val="TextBody"/>
        <w:bidi w:val="0"/>
        <w:spacing w:lineRule="auto" w:line="240" w:before="240" w:after="480"/>
        <w:jc w:val="center"/>
        <w:rPr>
          <w:rFonts w:ascii="Times New Roman;sans-serif" w:hAnsi="Times New Roman;sans-serif"/>
          <w:b/>
          <w:color w:val="000000"/>
          <w:sz w:val="24"/>
        </w:rPr>
      </w:pPr>
      <w:r>
        <w:rPr>
          <w:rFonts w:ascii="Times New Roman;sans-serif" w:hAnsi="Times New Roman;sans-serif"/>
          <w:b/>
          <w:color w:val="000000"/>
          <w:sz w:val="24"/>
        </w:rPr>
        <w:t>COMPENSATION RECOUPMENT (CLAWBACK) POLICY</w:t>
      </w:r>
    </w:p>
    <w:p>
      <w:pPr>
        <w:pStyle w:val="TextBody"/>
        <w:bidi w:val="0"/>
        <w:spacing w:lineRule="auto" w:line="240" w:before="240" w:after="240"/>
        <w:jc w:val="both"/>
        <w:rPr>
          <w:rFonts w:ascii="Times New Roman;sans-serif" w:hAnsi="Times New Roman;sans-serif"/>
          <w:b/>
          <w:color w:val="000000"/>
          <w:sz w:val="24"/>
          <w:u w:val="single"/>
        </w:rPr>
      </w:pPr>
      <w:r>
        <w:rPr>
          <w:rFonts w:ascii="Times New Roman;sans-serif" w:hAnsi="Times New Roman;sans-serif"/>
          <w:b/>
          <w:color w:val="000000"/>
          <w:sz w:val="24"/>
          <w:u w:val="single"/>
        </w:rPr>
        <w:t>Recoupment of Incentive-Based Compensation</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It is the policy of Magnite, Inc. (the “Company”) that, in the event the Company is required to prepare an accounting restatement of the Company’s financial statements due to material non-compliance with any financial reporting requirement under the federal securities laws (including any such correction that is material to the previously issued financial statements, or that would result in a material misstatement if the error were corrected in the current period or left uncorrected in the current period), the Company will recover on a reasonably prompt basis the amount of any Incentive-Based Compensation Received by a Covered Executive during the Recovery Period that exceeds the amount that otherwise would have been Received had it been determined based on the restated financial statements. </w:t>
      </w:r>
    </w:p>
    <w:p>
      <w:pPr>
        <w:pStyle w:val="TextBody"/>
        <w:bidi w:val="0"/>
        <w:spacing w:lineRule="auto" w:line="240" w:before="240" w:after="240"/>
        <w:jc w:val="left"/>
        <w:rPr>
          <w:rFonts w:ascii="Times New Roman;sans-serif" w:hAnsi="Times New Roman;sans-serif"/>
          <w:b/>
          <w:color w:val="000000"/>
          <w:sz w:val="24"/>
          <w:u w:val="single"/>
        </w:rPr>
      </w:pPr>
      <w:r>
        <w:rPr>
          <w:rFonts w:ascii="Times New Roman;sans-serif" w:hAnsi="Times New Roman;sans-serif"/>
          <w:b/>
          <w:color w:val="000000"/>
          <w:sz w:val="24"/>
          <w:u w:val="single"/>
        </w:rPr>
        <w:t xml:space="preserve">Policy Administration and Definitions </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This Policy is administered by the Compensation Committee (the “Committee”) of the Company’s Board of Directors and is intended to comply with, and as applicable to be administered and interpreted consistent with, and subject to the exceptions set forth in, Listing Standard 5608 adopted by The Nasdaq Stock Market to implement Rule 10D-1 under the Securities Exchange Act of 1934, as amended (collectively, “Rule 10D-1”). </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For purposes of this Policy: </w:t>
      </w:r>
    </w:p>
    <w:p>
      <w:pPr>
        <w:pStyle w:val="TextBody"/>
        <w:bidi w:val="0"/>
        <w:spacing w:lineRule="auto" w:line="240" w:before="0" w:after="240"/>
        <w:jc w:val="both"/>
        <w:rPr>
          <w:color w:val="000000"/>
        </w:rPr>
      </w:pPr>
      <w:r>
        <w:rPr>
          <w:color w:val="000000"/>
        </w:rPr>
        <w:t>“</w:t>
      </w:r>
      <w:r>
        <w:rPr>
          <w:rFonts w:ascii="Times New Roman;sans-serif" w:hAnsi="Times New Roman;sans-serif"/>
          <w:b w:val="false"/>
          <w:color w:val="000000"/>
          <w:sz w:val="24"/>
        </w:rPr>
        <w:t xml:space="preserve">Incentive-Based Compensation” means any compensation granted, earned, or vested based in whole or in part on the Company’s attainment of a financial reporting measure that was Received by a person (i) on or after October 2, 2023 and after the person began service as a Covered Executive, and (ii) who served as a Covered Executive at any time during the performance period for the Incentive-Based Compensation. A “financial reporting measure” is (i) any measure that is determined and presented in accordance with the accounting principles used in preparing the Company’s financial statements and any measure derived wholly or in part from such a measure, and (ii) any measure based in whole or in part on the Company’s stock price or total shareholder return, in both cases including relative or comparative performance goals. </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Incentive-Based Compensation is deemed to be “Received” in the fiscal period during which the relevant financial reporting measure is attained, regardless of when the compensation is actually paid or awarded. </w:t>
      </w:r>
    </w:p>
    <w:p>
      <w:pPr>
        <w:pStyle w:val="TextBody"/>
        <w:bidi w:val="0"/>
        <w:spacing w:lineRule="auto" w:line="240" w:before="0" w:after="240"/>
        <w:jc w:val="both"/>
        <w:rPr>
          <w:color w:val="000000"/>
        </w:rPr>
      </w:pPr>
      <w:r>
        <w:rPr>
          <w:color w:val="000000"/>
        </w:rPr>
        <w:t>“</w:t>
      </w:r>
      <w:r>
        <w:rPr>
          <w:rFonts w:ascii="Times New Roman;sans-serif" w:hAnsi="Times New Roman;sans-serif"/>
          <w:b w:val="false"/>
          <w:color w:val="000000"/>
          <w:sz w:val="24"/>
        </w:rPr>
        <w:t xml:space="preserve">Covered Executive” means any “executive officer” of the Company as defined under Rule 10D-1. </w:t>
      </w:r>
    </w:p>
    <w:p>
      <w:pPr>
        <w:pStyle w:val="TextBody"/>
        <w:bidi w:val="0"/>
        <w:spacing w:lineRule="auto" w:line="240" w:before="0" w:after="240"/>
        <w:jc w:val="both"/>
        <w:rPr>
          <w:color w:val="000000"/>
        </w:rPr>
      </w:pPr>
      <w:r>
        <w:rPr>
          <w:color w:val="000000"/>
        </w:rPr>
        <w:t>“</w:t>
      </w:r>
      <w:r>
        <w:rPr>
          <w:rFonts w:ascii="Times New Roman;sans-serif" w:hAnsi="Times New Roman;sans-serif"/>
          <w:b w:val="false"/>
          <w:color w:val="000000"/>
          <w:sz w:val="24"/>
        </w:rPr>
        <w:t xml:space="preserve">Recovery Period” means the three completed fiscal years immediately preceding the date that the Company is required to prepare the accounting restatement described in this Policy, all as determined pursuant to Rule 10D-1, and any transition period of less than nine months that is within or immediately following such three fiscal years. </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If the Committee determines the amount of Incentive-Based Compensation Received by a Covered Executive during a Recovery Period exceeds the amount that would have been Received if determined or calculated based on the Company’s restated financial results, such excess amount of Incentive-Based Compensation shall be subject to recoupment by the Company </w:t>
      </w:r>
    </w:p>
    <w:p>
      <w:pPr>
        <w:pStyle w:val="TextBody"/>
        <w:bidi w:val="0"/>
        <w:spacing w:before="0" w:after="0"/>
        <w:jc w:val="both"/>
        <w:rPr/>
      </w:pPr>
      <w:r>
        <w:rPr/>
      </w:r>
      <w:r>
        <mc:AlternateContent>
          <mc:Choice Requires="wps">
            <w:drawing>
              <wp:anchor behindDoc="0" distT="0" distB="0" distL="0" distR="0" simplePos="0" locked="0" layoutInCell="1" allowOverlap="1" relativeHeight="587">
                <wp:simplePos x="0" y="0"/>
                <wp:positionH relativeFrom="character">
                  <wp:align>left</wp:align>
                </wp:positionH>
                <wp:positionV relativeFrom="line">
                  <wp:posOffset>635</wp:posOffset>
                </wp:positionV>
                <wp:extent cx="6480175" cy="175260"/>
                <wp:effectExtent l="0" t="0" r="0" b="0"/>
                <wp:wrapNone/>
                <wp:docPr id="586" name="Frame5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pursuant to this Policy. For Incentive-Based Compensation based on stock price or total shareholder return, where the amount of erroneously awarded compensation is not subject to mathematical recalculation directly from the information in an accounting restatement, the Committee will determine the amount based on a reasonable estimate of the effect of the accounting restatement on the relevant stock price or total shareholder return. In all cases, the calculation of the excess amount of Incentive-Based Compensation to be recovered will be determined without regard to any taxes paid with respect to such compensation. The Company will maintain and will provide to The Nasdaq Stock Market documentation of all determinations and actions taken in complying with this Policy. Any determinations made by the Committee under this Policy shall be final and binding on all affected individuals. </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Company may achieve any recovery pursuant to this Policy by requiring payment of such amount(s) to the Company, by set-off, by reducing future compensation, or by such other means or combination of means as the Committee determines to be appropriate and in compliance with applicable law. The Company need not recover the excess amount of Incentive-Based Compensation if and to the extent that the Committee determines that such recovery is impracticable, subject to and in accordance with any applicable exceptions under The Nasdaq Stock Market listing rules, and not required under Rule 10D-1, including if the Committee determines that the direct expense paid to a third party to assist in enforcing this Policy would exceed the amount to be recovered after making a reasonable attempt to recover such amounts. The Company is authorized to take appropriate steps to implement this Policy with respect to Incentive-Based Compensation arrangements with Covered Executives.</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Any right of recoupment or recovery pursuant to this Policy is in addition to, and not in lieu of, any other remedies or rights of recoupment that may be available to the Company pursuant to the terms of any other policy, any employment agreement or plan or award terms, and any other legal remedies available to the Company; provided that the Company shall not recoup amounts pursuant to such other policy, terms or remedies to the extent it is recovered pursuant to this Policy. The Company shall not indemnify any Covered Executive against the loss of any Incentive-Based Compensation pursuant to this Policy.</w:t>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588">
                <wp:simplePos x="0" y="0"/>
                <wp:positionH relativeFrom="character">
                  <wp:align>left</wp:align>
                </wp:positionH>
                <wp:positionV relativeFrom="line">
                  <wp:posOffset>635</wp:posOffset>
                </wp:positionV>
                <wp:extent cx="6480175" cy="175260"/>
                <wp:effectExtent l="0" t="0" r="0" b="0"/>
                <wp:wrapNone/>
                <wp:docPr id="587" name="Frame5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2</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240" w:after="240"/>
        <w:jc w:val="center"/>
        <w:rPr>
          <w:rFonts w:ascii="Times New Roman;sans-serif" w:hAnsi="Times New Roman;sans-serif"/>
          <w:b/>
          <w:color w:val="000000"/>
          <w:sz w:val="24"/>
        </w:rPr>
      </w:pPr>
      <w:r>
        <w:rPr>
          <w:rFonts w:ascii="Times New Roman;sans-serif" w:hAnsi="Times New Roman;sans-serif"/>
          <w:b/>
          <w:color w:val="000000"/>
          <w:sz w:val="24"/>
        </w:rPr>
        <w:t>Acknowledgment and Agreement</w:t>
      </w:r>
    </w:p>
    <w:p>
      <w:pPr>
        <w:pStyle w:val="TextBody"/>
        <w:bidi w:val="0"/>
        <w:spacing w:lineRule="auto" w:line="240" w:before="240" w:after="240"/>
        <w:jc w:val="left"/>
        <w:rPr>
          <w:rFonts w:ascii="Times New Roman;sans-serif" w:hAnsi="Times New Roman;sans-serif"/>
          <w:b w:val="false"/>
          <w:color w:val="000000"/>
          <w:sz w:val="24"/>
        </w:rPr>
      </w:pPr>
      <w:r>
        <w:rPr>
          <w:rFonts w:ascii="Times New Roman;sans-serif" w:hAnsi="Times New Roman;sans-serif"/>
          <w:b w:val="false"/>
          <w:color w:val="000000"/>
          <w:sz w:val="24"/>
        </w:rPr>
        <w:t>This Acknowledgment &amp; Agreement (the "Acknowledgment") is delivered by the individual named below as of the date set forth below.</w:t>
      </w:r>
    </w:p>
    <w:p>
      <w:pPr>
        <w:pStyle w:val="TextBody"/>
        <w:bidi w:val="0"/>
        <w:spacing w:lineRule="auto" w:line="240" w:before="240" w:after="240"/>
        <w:jc w:val="left"/>
        <w:rPr>
          <w:rFonts w:ascii="Times New Roman;sans-serif" w:hAnsi="Times New Roman;sans-serif"/>
          <w:b w:val="false"/>
          <w:color w:val="000000"/>
          <w:sz w:val="24"/>
        </w:rPr>
      </w:pPr>
      <w:r>
        <w:rPr>
          <w:rFonts w:ascii="Times New Roman;sans-serif" w:hAnsi="Times New Roman;sans-serif"/>
          <w:b w:val="false"/>
          <w:color w:val="000000"/>
          <w:sz w:val="24"/>
        </w:rPr>
        <w:t>The undersigned is a Covered Executive (as defined under the terms of the Recoupment Policy as defined below) of Magnite, Inc. (the "Company") and an employee of the Company or one of its subsidiaries. Terms used herein but not defined have the meanings given to them in the Recoupment Policy.</w:t>
      </w:r>
    </w:p>
    <w:p>
      <w:pPr>
        <w:pStyle w:val="TextBody"/>
        <w:bidi w:val="0"/>
        <w:spacing w:lineRule="auto" w:line="240" w:before="240" w:after="240"/>
        <w:jc w:val="left"/>
        <w:rPr>
          <w:rFonts w:ascii="Times New Roman;sans-serif" w:hAnsi="Times New Roman;sans-serif"/>
          <w:b w:val="false"/>
          <w:color w:val="000000"/>
          <w:sz w:val="24"/>
        </w:rPr>
      </w:pPr>
      <w:r>
        <w:rPr>
          <w:rFonts w:ascii="Times New Roman;sans-serif" w:hAnsi="Times New Roman;sans-serif"/>
          <w:b w:val="false"/>
          <w:color w:val="000000"/>
          <w:sz w:val="24"/>
        </w:rPr>
        <w:t>The undersigned has received Incentive-Based Compensation from the Company or its subsidiaries.</w:t>
      </w:r>
    </w:p>
    <w:p>
      <w:pPr>
        <w:pStyle w:val="TextBody"/>
        <w:bidi w:val="0"/>
        <w:spacing w:lineRule="auto" w:line="240" w:before="240" w:after="240"/>
        <w:jc w:val="left"/>
        <w:rPr/>
      </w:pPr>
      <w:r>
        <w:rPr>
          <w:rFonts w:ascii="Times New Roman;sans-serif" w:hAnsi="Times New Roman;sans-serif"/>
          <w:b w:val="false"/>
          <w:color w:val="000000"/>
          <w:sz w:val="24"/>
        </w:rPr>
        <w:t xml:space="preserve">The Company maintains the Magnite, Inc. Compensation Recoupment (Clawback) Policy in the form attached hereto as </w:t>
      </w:r>
      <w:r>
        <w:rPr>
          <w:rFonts w:ascii="Times New Roman;sans-serif" w:hAnsi="Times New Roman;sans-serif"/>
          <w:b w:val="false"/>
          <w:color w:val="000000"/>
          <w:sz w:val="24"/>
          <w:u w:val="single"/>
        </w:rPr>
        <w:t>Exhibit A</w:t>
      </w:r>
      <w:r>
        <w:rPr>
          <w:color w:val="000000"/>
        </w:rPr>
        <w:t xml:space="preserve"> </w:t>
      </w:r>
      <w:r>
        <w:rPr>
          <w:rFonts w:ascii="Times New Roman;sans-serif" w:hAnsi="Times New Roman;sans-serif"/>
          <w:b w:val="false"/>
          <w:color w:val="000000"/>
          <w:sz w:val="24"/>
        </w:rPr>
        <w:t>(the "Recoupment Policy"). Pursuant to the Recoupment Policy, the Company shall recoup certain compensation from Covered Executives in the event that the Company is required to restate its financial statements due to material noncompliance with any financial reporting requirement under the federal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(other than corrections resulting from changes to accounting standards).</w:t>
      </w:r>
    </w:p>
    <w:p>
      <w:pPr>
        <w:pStyle w:val="TextBody"/>
        <w:bidi w:val="0"/>
        <w:spacing w:lineRule="auto" w:line="240" w:before="240" w:after="240"/>
        <w:jc w:val="left"/>
        <w:rPr>
          <w:rFonts w:ascii="Times New Roman;sans-serif" w:hAnsi="Times New Roman;sans-serif"/>
          <w:b w:val="false"/>
          <w:color w:val="000000"/>
          <w:sz w:val="24"/>
        </w:rPr>
      </w:pPr>
      <w:r>
        <w:rPr>
          <w:rFonts w:ascii="Times New Roman;sans-serif" w:hAnsi="Times New Roman;sans-serif"/>
          <w:b w:val="false"/>
          <w:color w:val="000000"/>
          <w:sz w:val="24"/>
        </w:rPr>
        <w:t>In consideration of the continued benefits to be received from the Company (or a subsidiary) and the right to participate in, and receive future awards under, the Company's plans, programs and arrangements providing for the award of Incentive-Based Compensation, the undersigned hereby acknowledges and agrees that:</w:t>
      </w:r>
    </w:p>
    <w:p>
      <w:pPr>
        <w:pStyle w:val="TextBody"/>
        <w:bidi w:val="0"/>
        <w:spacing w:lineRule="auto" w:line="240" w:before="240" w:after="240"/>
        <w:jc w:val="left"/>
        <w:rPr>
          <w:rFonts w:ascii="Times New Roman;sans-serif" w:hAnsi="Times New Roman;sans-serif"/>
          <w:b w:val="false"/>
          <w:color w:val="000000"/>
          <w:sz w:val="24"/>
        </w:rPr>
      </w:pPr>
      <w:r>
        <w:rPr>
          <w:rFonts w:ascii="Times New Roman;sans-serif" w:hAnsi="Times New Roman;sans-serif"/>
          <w:b w:val="false"/>
          <w:color w:val="000000"/>
          <w:sz w:val="24"/>
        </w:rPr>
        <w:t>1. The undersigned has read and understands the Recoupment Policy;</w:t>
      </w:r>
    </w:p>
    <w:p>
      <w:pPr>
        <w:pStyle w:val="TextBody"/>
        <w:bidi w:val="0"/>
        <w:spacing w:lineRule="auto" w:line="240" w:before="240" w:after="24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2. The undersigned agrees that, to the extent provided in the Recoupment Policy, the Recoupment Policy shall also apply to all Incentive-Based Compensation awarded to the undersigned and the programs and agreements under which such past, present or future Incentive-Based Compensation may be issued shall be deemed to incorporate the terms of the Recoupment Policy even if the Recoupment Policy is not explicitly referenced therein. </w:t>
      </w:r>
    </w:p>
    <w:p>
      <w:pPr>
        <w:pStyle w:val="TextBody"/>
        <w:bidi w:val="0"/>
        <w:spacing w:before="240" w:after="240"/>
        <w:jc w:val="left"/>
        <w:rPr/>
      </w:pPr>
      <w:r>
        <w:rPr/>
      </w:r>
    </w:p>
    <w:p>
      <w:pPr>
        <w:pStyle w:val="TextBody"/>
        <w:bidi w:val="0"/>
        <w:spacing w:lineRule="auto" w:line="240" w:before="0" w:after="0"/>
        <w:jc w:val="both"/>
        <w:rPr/>
      </w:pPr>
      <w:r>
        <w:rPr>
          <w:rFonts w:ascii="Times New Roman;sans-serif" w:hAnsi="Times New Roman;sans-serif"/>
          <w:b w:val="false"/>
          <w:color w:val="000000"/>
          <w:sz w:val="24"/>
        </w:rPr>
        <w:t xml:space="preserve">Date: </w:t>
      </w:r>
      <w:r>
        <w:rPr>
          <w:color w:val="000000"/>
          <w:u w:val="single"/>
        </w:rPr>
        <w:t>    </w:t>
      </w:r>
    </w:p>
    <w:p>
      <w:pPr>
        <w:pStyle w:val="TextBody"/>
        <w:bidi w:val="0"/>
        <w:spacing w:lineRule="auto" w:line="240" w:before="0" w:after="0"/>
        <w:jc w:val="both"/>
        <w:rPr/>
      </w:pPr>
      <w:r>
        <w:rPr>
          <w:rFonts w:ascii="Times New Roman;sans-serif" w:hAnsi="Times New Roman;sans-serif"/>
          <w:b w:val="false"/>
          <w:color w:val="000000"/>
          <w:sz w:val="24"/>
        </w:rPr>
        <w:t xml:space="preserve">Signature: </w:t>
      </w:r>
      <w:r>
        <w:rPr>
          <w:color w:val="000000"/>
          <w:u w:val="single"/>
        </w:rPr>
        <w:t>    </w:t>
      </w:r>
    </w:p>
    <w:p>
      <w:pPr>
        <w:pStyle w:val="TextBody"/>
        <w:bidi w:val="0"/>
        <w:spacing w:lineRule="auto" w:line="240" w:before="0" w:after="0"/>
        <w:jc w:val="both"/>
        <w:rPr/>
      </w:pPr>
      <w:r>
        <w:rPr>
          <w:rFonts w:ascii="Times New Roman;sans-serif" w:hAnsi="Times New Roman;sans-serif"/>
          <w:b w:val="false"/>
          <w:color w:val="000000"/>
          <w:sz w:val="24"/>
        </w:rPr>
        <w:t xml:space="preserve">Print Name: </w:t>
      </w:r>
      <w:r>
        <w:rPr>
          <w:color w:val="000000"/>
          <w:u w:val="single"/>
        </w:rPr>
        <w:t>    </w:t>
      </w:r>
    </w:p>
    <w:p>
      <w:pPr>
        <w:pStyle w:val="TextBody"/>
        <w:bidi w:val="0"/>
        <w:spacing w:before="0" w:after="283"/>
        <w:jc w:val="left"/>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589">
                <wp:simplePos x="0" y="0"/>
                <wp:positionH relativeFrom="character">
                  <wp:align>left</wp:align>
                </wp:positionH>
                <wp:positionV relativeFrom="line">
                  <wp:posOffset>635</wp:posOffset>
                </wp:positionV>
                <wp:extent cx="6480175" cy="175260"/>
                <wp:effectExtent l="0" t="0" r="0" b="0"/>
                <wp:wrapNone/>
                <wp:docPr id="588" name="Frame5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3</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Exhibit A</w:t>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Recoupment Policy</w:t>
      </w:r>
    </w:p>
    <w:p>
      <w:pPr>
        <w:pStyle w:val="TextBody"/>
        <w:bidi w:val="0"/>
        <w:spacing w:before="0" w:after="0"/>
        <w:jc w:val="both"/>
        <w:rPr/>
      </w:pPr>
      <w:r>
        <w:rPr/>
      </w:r>
    </w:p>
    <w:p>
      <w:pPr>
        <w:pStyle w:val="TextBody"/>
        <w:bidi w:val="0"/>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90">
                <wp:simplePos x="0" y="0"/>
                <wp:positionH relativeFrom="character">
                  <wp:align>left</wp:align>
                </wp:positionH>
                <wp:positionV relativeFrom="line">
                  <wp:posOffset>635</wp:posOffset>
                </wp:positionV>
                <wp:extent cx="6480175" cy="175260"/>
                <wp:effectExtent l="0" t="0" r="0" b="0"/>
                <wp:wrapNone/>
                <wp:docPr id="589" name="Frame5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4</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MS Gothic">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595974/000119312519321262/d689169dex21.htm" TargetMode="External"/><Relationship Id="rId4" Type="http://schemas.openxmlformats.org/officeDocument/2006/relationships/hyperlink" Target="https://www.sec.gov/Archives/edgar/data/1595974/000138713121001803/ex2-1.htm" TargetMode="External"/><Relationship Id="rId5" Type="http://schemas.openxmlformats.org/officeDocument/2006/relationships/hyperlink" Target="https://www.sec.gov/Archives/edgar/data/1595974/000159597421000028/a21spaamendment.htm" TargetMode="External"/><Relationship Id="rId6" Type="http://schemas.openxmlformats.org/officeDocument/2006/relationships/hyperlink" Target="http://www.sec.gov/Archives/edgar/data/1595974/000159597414000004/rubi20140331exhibit31.htm" TargetMode="External"/><Relationship Id="rId7" Type="http://schemas.openxmlformats.org/officeDocument/2006/relationships/hyperlink" Target="https://www.sec.gov/Archives/edgar/data/1595974/000138713120006046/ex3-1.htm" TargetMode="External"/><Relationship Id="rId8" Type="http://schemas.openxmlformats.org/officeDocument/2006/relationships/hyperlink" Target="https://www.sec.gov/Archives/edgar/data/1595974/000159597422000018/exhibit31-magnitefifthamen.htm" TargetMode="External"/><Relationship Id="rId9" Type="http://schemas.openxmlformats.org/officeDocument/2006/relationships/hyperlink" Target="https://www.sec.gov/Archives/edgar/data/1595974/000138713120006046/ex3-2.htm" TargetMode="External"/><Relationship Id="rId10" Type="http://schemas.openxmlformats.org/officeDocument/2006/relationships/hyperlink" Target="https://www.sec.gov/Archives/edgar/data/1595974/000159597421000016/exhibit41.htm" TargetMode="External"/><Relationship Id="rId11" Type="http://schemas.openxmlformats.org/officeDocument/2006/relationships/hyperlink" Target="https://www.sec.gov/Archives/edgar/data/1595974/000119312521087690/d124179dex41.htm" TargetMode="External"/><Relationship Id="rId12" Type="http://schemas.openxmlformats.org/officeDocument/2006/relationships/hyperlink" Target="https://www.sec.gov/Archives/edgar/data/1595974/000119312521087690/d124179dex41.htm" TargetMode="External"/><Relationship Id="rId13" Type="http://schemas.openxmlformats.org/officeDocument/2006/relationships/hyperlink" Target="http://www.sec.gov/Archives/edgar/data/1595974/000119312514107181/d652651dex101.htm" TargetMode="External"/><Relationship Id="rId14" Type="http://schemas.openxmlformats.org/officeDocument/2006/relationships/hyperlink" Target="http://www.sec.gov/Archives/edgar/data/1595974/000162828016014095/ex1012014equityincentivepl.htm" TargetMode="External"/><Relationship Id="rId15" Type="http://schemas.openxmlformats.org/officeDocument/2006/relationships/hyperlink" Target="http://www.sec.gov/Archives/edgar/data/1595974/000162828015001546/exhibit102b-2014planglobal.htm" TargetMode="External"/><Relationship Id="rId16" Type="http://schemas.openxmlformats.org/officeDocument/2006/relationships/hyperlink" Target="http://www.sec.gov/Archives/edgar/data/1595974/000162828015001546/exhibit102c2014planglobalr.htm" TargetMode="External"/><Relationship Id="rId17" Type="http://schemas.openxmlformats.org/officeDocument/2006/relationships/hyperlink" Target="http://www.sec.gov/Archives/edgar/data/1595974/000162828015001546/exhibit102d-nonxempeedirec.htm" TargetMode="External"/><Relationship Id="rId18" Type="http://schemas.openxmlformats.org/officeDocument/2006/relationships/hyperlink" Target="http://www.sec.gov/Archives/edgar/data/1595974/000162828015001546/exhibit102e-nonxemployeedi.htm" TargetMode="External"/><Relationship Id="rId19" Type="http://schemas.openxmlformats.org/officeDocument/2006/relationships/hyperlink" Target="http://www.sec.gov/Archives/edgar/data/1595974/000162828016014095/ex1022014inducementgranteq.htm" TargetMode="External"/><Relationship Id="rId20" Type="http://schemas.openxmlformats.org/officeDocument/2006/relationships/hyperlink" Target="https://www.sec.gov/Archives/edgar/data/1595974/000138713120003794/ex99-2.htm" TargetMode="External"/><Relationship Id="rId21" Type="http://schemas.openxmlformats.org/officeDocument/2006/relationships/hyperlink" Target="https://www.sec.gov/Archives/edgar/data/1595974/000159597423000031/exhibit101-arequityplan.htm" TargetMode="External"/><Relationship Id="rId22" Type="http://schemas.openxmlformats.org/officeDocument/2006/relationships/hyperlink" Target="https://www.sec.gov/Archives/edgar/data/1595974/000159597423000031/exhibit101-arequityplan.htm" TargetMode="External"/><Relationship Id="rId23" Type="http://schemas.openxmlformats.org/officeDocument/2006/relationships/hyperlink" Target="https://www.sec.gov/Archives/edgar/data/1595974/000159597423000031/exhibit101-arequityplan.htm" TargetMode="External"/><Relationship Id="rId24" Type="http://schemas.openxmlformats.org/officeDocument/2006/relationships/hyperlink" Target="https://www.sec.gov/Archives/edgar/data/1595974/000159597423000031/exhibit101-arequityplan.htm" TargetMode="External"/><Relationship Id="rId25" Type="http://schemas.openxmlformats.org/officeDocument/2006/relationships/hyperlink" Target="https://www.sec.gov/Archives/edgar/data/1595974/000159597423000031/exhibit102-arespp.htm" TargetMode="External"/><Relationship Id="rId26" Type="http://schemas.openxmlformats.org/officeDocument/2006/relationships/hyperlink" Target="https://www.sec.gov/Archives/edgar/data/1595974/000159597423000031/exhibit102-arespp.htm" TargetMode="External"/><Relationship Id="rId27" Type="http://schemas.openxmlformats.org/officeDocument/2006/relationships/hyperlink" Target="https://www.sec.gov/Archives/edgar/data/1595974/000159597423000031/exhibit102-arespp.htm" TargetMode="External"/><Relationship Id="rId28" Type="http://schemas.openxmlformats.org/officeDocument/2006/relationships/hyperlink" Target="https://www.sec.gov/Archives/edgar/data/1595974/000159597423000031/exhibit102-arespp.htm" TargetMode="External"/><Relationship Id="rId29" Type="http://schemas.openxmlformats.org/officeDocument/2006/relationships/hyperlink" Target="https://www.sec.gov/Archives/edgar/data/1595974/000159597423000031/exhibit102-arespp.htm" TargetMode="External"/><Relationship Id="rId30" Type="http://schemas.openxmlformats.org/officeDocument/2006/relationships/hyperlink" Target="http://www.sec.gov/Archives/edgar/data/1595974/000119312514107181/d652651dex1017.htm" TargetMode="External"/><Relationship Id="rId31" Type="http://schemas.openxmlformats.org/officeDocument/2006/relationships/hyperlink" Target="https://www.sec.gov/Archives/edgar/data/1595974/000159597420000026/exhibit1023.htm" TargetMode="External"/><Relationship Id="rId32" Type="http://schemas.openxmlformats.org/officeDocument/2006/relationships/hyperlink" Target="http://www.sec.gov/Archives/edgar/data/1595974/000162828017002792/exhibit101.htm" TargetMode="External"/><Relationship Id="rId33" Type="http://schemas.openxmlformats.org/officeDocument/2006/relationships/hyperlink" Target="http://www.sec.gov/Archives/edgar/data/1595974/000162828017002792/exhibit102.htm" TargetMode="External"/><Relationship Id="rId34" Type="http://schemas.openxmlformats.org/officeDocument/2006/relationships/hyperlink" Target="https://www.sec.gov/Archives/edgar/data/1595974/000159597420000130/saltzseveranceagreemen.htm" TargetMode="External"/><Relationship Id="rId35" Type="http://schemas.openxmlformats.org/officeDocument/2006/relationships/hyperlink" Target="https://www.sec.gov/Archives/edgar/data/1595974/000159597421000016/exhibit1016.htm" TargetMode="External"/><Relationship Id="rId36" Type="http://schemas.openxmlformats.org/officeDocument/2006/relationships/hyperlink" Target="https://www.sec.gov/Archives/edgar/data/1595974/000159597422000010/exhibit1016-zillowmagnites.htm" TargetMode="External"/><Relationship Id="rId37" Type="http://schemas.openxmlformats.org/officeDocument/2006/relationships/hyperlink" Target="https://www.sec.gov/Archives/edgar/data/1595974/000119312521087690/d124179dex101.htm" TargetMode="External"/><Relationship Id="rId38" Type="http://schemas.openxmlformats.org/officeDocument/2006/relationships/hyperlink" Target="https://www.sec.gov/Archives/edgar/data/1595974/000159597421000028/a102creditagreement.htm" TargetMode="External"/><Relationship Id="rId39" Type="http://schemas.openxmlformats.org/officeDocument/2006/relationships/hyperlink" Target="https://www.sec.gov/Archives/edgar/data/1595974/000159597421000028/a103registrationrightsagre.htm" TargetMode="External"/><Relationship Id="rId40" Type="http://schemas.openxmlformats.org/officeDocument/2006/relationships/hyperlink" Target="https://www.sec.gov/Archives/edgar/data/1595974/000159597421000045/exhibit101magniteincrement.htm" TargetMode="External"/><Relationship Id="rId41" Type="http://schemas.openxmlformats.org/officeDocument/2006/relationships/hyperlink" Target="https://www.sec.gov/Archives/edgar/data/1595974/000159597423000031/exhibit102-arespp.htm" TargetMode="External"/><Relationship Id="rId42" Type="http://schemas.openxmlformats.org/officeDocument/2006/relationships/hyperlink" Target="https://www.sec.gov/Archives/edgar/data/1595974/000159597423000031/exhibit101-arequityplan.htm" TargetMode="External"/><Relationship Id="rId43" Type="http://schemas.openxmlformats.org/officeDocument/2006/relationships/hyperlink" Target="https://www.sec.gov/Archives/edgar/data/1595974/000159597423000031/exhibit101-arequityplan.htm" TargetMode="External"/><Relationship Id="rId44" Type="http://schemas.openxmlformats.org/officeDocument/2006/relationships/hyperlink" Target="https://www.sec.gov/Archives/edgar/data/1595974/000159597423000031/exhibit101-arequityplan.htm" TargetMode="External"/><Relationship Id="rId45" Type="http://schemas.openxmlformats.org/officeDocument/2006/relationships/fontTable" Target="fontTable.xml"/><Relationship Id="rId4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486</Pages>
  <Words>289707</Words>
  <Characters>1568638</Characters>
  <CharactersWithSpaces>1854852</CharactersWithSpaces>
  <Paragraphs>8715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