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260" w:hanging="20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jc w:val="center"/>
        <w:ind w:left="3240" w:right="1020" w:hanging="2210"/>
        <w:spacing w:after="0" w:line="266" w:lineRule="auto"/>
        <w:tabs>
          <w:tab w:leader="none" w:pos="12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153" w:lineRule="exact"/>
        <w:rPr>
          <w:sz w:val="24"/>
          <w:szCs w:val="24"/>
          <w:color w:val="auto"/>
        </w:rPr>
      </w:pPr>
    </w:p>
    <w:p>
      <w:pPr>
        <w:ind w:left="1900"/>
        <w:spacing w:after="0"/>
        <w:tabs>
          <w:tab w:leader="none" w:pos="87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20-8881738</w:t>
      </w:r>
    </w:p>
    <w:p>
      <w:pPr>
        <w:spacing w:after="0" w:line="67" w:lineRule="exact"/>
        <w:rPr>
          <w:sz w:val="24"/>
          <w:szCs w:val="24"/>
          <w:color w:val="auto"/>
        </w:rPr>
      </w:pPr>
    </w:p>
    <w:p>
      <w:pPr>
        <w:ind w:left="620"/>
        <w:spacing w:after="0"/>
        <w:tabs>
          <w:tab w:leader="none" w:pos="786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23" w:lineRule="exact"/>
        <w:rPr>
          <w:sz w:val="24"/>
          <w:szCs w:val="24"/>
          <w:color w:val="auto"/>
        </w:rPr>
      </w:pPr>
    </w:p>
    <w:p>
      <w:pPr>
        <w:ind w:left="1780"/>
        <w:spacing w:after="0"/>
        <w:rPr>
          <w:sz w:val="20"/>
          <w:szCs w:val="20"/>
          <w:color w:val="auto"/>
        </w:rPr>
      </w:pPr>
      <w:r>
        <w:rPr>
          <w:rFonts w:ascii="Arial" w:cs="Arial" w:eastAsia="Arial" w:hAnsi="Arial"/>
          <w:sz w:val="18"/>
          <w:szCs w:val="18"/>
          <w:color w:val="auto"/>
        </w:rPr>
        <w:t>organization)</w:t>
      </w:r>
    </w:p>
    <w:p>
      <w:pPr>
        <w:spacing w:after="0" w:line="180" w:lineRule="exact"/>
        <w:rPr>
          <w:sz w:val="24"/>
          <w:szCs w:val="24"/>
          <w:color w:val="auto"/>
        </w:rPr>
      </w:pPr>
    </w:p>
    <w:p>
      <w:pPr>
        <w:ind w:left="1300"/>
        <w:spacing w:after="0"/>
        <w:tabs>
          <w:tab w:leader="none" w:pos="4580" w:val="left"/>
          <w:tab w:leader="none" w:pos="5980" w:val="left"/>
          <w:tab w:leader="none" w:pos="9020" w:val="left"/>
        </w:tabs>
        <w:rPr>
          <w:sz w:val="20"/>
          <w:szCs w:val="20"/>
          <w:color w:val="auto"/>
        </w:rPr>
      </w:pPr>
      <w:r>
        <w:rPr>
          <w:rFonts w:ascii="Arial" w:cs="Arial" w:eastAsia="Arial" w:hAnsi="Arial"/>
          <w:sz w:val="18"/>
          <w:szCs w:val="18"/>
          <w:b w:val="1"/>
          <w:bCs w:val="1"/>
          <w:color w:val="auto"/>
        </w:rPr>
        <w:t>12181 Bluff Creek Drive,</w:t>
      </w:r>
      <w:r>
        <w:rPr>
          <w:sz w:val="20"/>
          <w:szCs w:val="20"/>
          <w:color w:val="auto"/>
        </w:rPr>
        <w:tab/>
      </w:r>
      <w:r>
        <w:rPr>
          <w:rFonts w:ascii="Arial" w:cs="Arial" w:eastAsia="Arial" w:hAnsi="Arial"/>
          <w:sz w:val="18"/>
          <w:szCs w:val="18"/>
          <w:b w:val="1"/>
          <w:bCs w:val="1"/>
          <w:color w:val="auto"/>
        </w:rPr>
        <w:t>4th Floor</w:t>
      </w:r>
      <w:r>
        <w:rPr>
          <w:sz w:val="20"/>
          <w:szCs w:val="20"/>
          <w:color w:val="auto"/>
        </w:rPr>
        <w:tab/>
      </w:r>
      <w:r>
        <w:rPr>
          <w:rFonts w:ascii="Arial" w:cs="Arial" w:eastAsia="Arial" w:hAnsi="Arial"/>
          <w:sz w:val="18"/>
          <w:szCs w:val="18"/>
          <w:b w:val="1"/>
          <w:bCs w:val="1"/>
          <w:color w:val="auto"/>
        </w:rPr>
        <w:t>Los Angeles,</w:t>
      </w:r>
      <w:r>
        <w:rPr>
          <w:sz w:val="20"/>
          <w:szCs w:val="20"/>
          <w:color w:val="auto"/>
        </w:rPr>
        <w:tab/>
      </w:r>
      <w:r>
        <w:rPr>
          <w:rFonts w:ascii="Arial" w:cs="Arial" w:eastAsia="Arial" w:hAnsi="Arial"/>
          <w:sz w:val="18"/>
          <w:szCs w:val="18"/>
          <w:b w:val="1"/>
          <w:bCs w:val="1"/>
          <w:color w:val="auto"/>
        </w:rPr>
        <w:t>CA</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90094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ind w:left="5740" w:hanging="423"/>
        <w:spacing w:after="0"/>
        <w:tabs>
          <w:tab w:leader="none" w:pos="57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36" w:lineRule="exact"/>
        <w:rPr>
          <w:rFonts w:ascii="Arial" w:cs="Arial" w:eastAsia="Arial" w:hAnsi="Arial"/>
          <w:sz w:val="18"/>
          <w:szCs w:val="18"/>
          <w:b w:val="1"/>
          <w:bCs w:val="1"/>
          <w:color w:val="auto"/>
        </w:rPr>
      </w:pPr>
    </w:p>
    <w:p>
      <w:pPr>
        <w:ind w:left="5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p>
      <w:pPr>
        <w:ind w:left="1480"/>
        <w:spacing w:after="0"/>
        <w:tabs>
          <w:tab w:leader="none" w:pos="4560" w:val="left"/>
          <w:tab w:leader="none" w:pos="72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59" w:lineRule="exact"/>
        <w:rPr>
          <w:sz w:val="24"/>
          <w:szCs w:val="24"/>
          <w:color w:val="auto"/>
        </w:rPr>
      </w:pPr>
    </w:p>
    <w:p>
      <w:pPr>
        <w:ind w:left="400"/>
        <w:spacing w:after="0"/>
        <w:tabs>
          <w:tab w:leader="none" w:pos="5020" w:val="left"/>
          <w:tab w:leader="none" w:pos="7820" w:val="left"/>
        </w:tabs>
        <w:rPr>
          <w:sz w:val="20"/>
          <w:szCs w:val="20"/>
          <w:color w:val="auto"/>
        </w:rPr>
      </w:pPr>
      <w:r>
        <w:rPr>
          <w:rFonts w:ascii="Arial" w:cs="Arial" w:eastAsia="Arial" w:hAnsi="Arial"/>
          <w:sz w:val="18"/>
          <w:szCs w:val="18"/>
          <w:b w:val="1"/>
          <w:bCs w:val="1"/>
          <w:color w:val="auto"/>
        </w:rPr>
        <w:t>Common stock, par value $0.00001 per share</w:t>
      </w:r>
      <w:r>
        <w:rPr>
          <w:sz w:val="20"/>
          <w:szCs w:val="20"/>
          <w:color w:val="auto"/>
        </w:rPr>
        <w:tab/>
      </w:r>
      <w:r>
        <w:rPr>
          <w:rFonts w:ascii="Arial" w:cs="Arial" w:eastAsia="Arial" w:hAnsi="Arial"/>
          <w:sz w:val="18"/>
          <w:szCs w:val="18"/>
          <w:b w:val="1"/>
          <w:bCs w:val="1"/>
          <w:color w:val="auto"/>
        </w:rPr>
        <w:t>RUBI</w:t>
      </w:r>
      <w:r>
        <w:rPr>
          <w:sz w:val="20"/>
          <w:szCs w:val="20"/>
          <w:color w:val="auto"/>
        </w:rPr>
        <w:tab/>
      </w:r>
      <w:r>
        <w:rPr>
          <w:rFonts w:ascii="Arial" w:cs="Arial" w:eastAsia="Arial" w:hAnsi="Arial"/>
          <w:sz w:val="16"/>
          <w:szCs w:val="16"/>
          <w:b w:val="1"/>
          <w:bCs w:val="1"/>
          <w:color w:val="auto"/>
        </w:rPr>
        <w:t>New York Stock Exchange</w:t>
      </w:r>
    </w:p>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rPr>
              <w:t>Emerging growth company</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23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registrant's classes of common stock, as of the latest practicable date.</w:t>
      </w:r>
    </w:p>
    <w:p>
      <w:pPr>
        <w:spacing w:after="0" w:line="216" w:lineRule="exact"/>
        <w:rPr>
          <w:sz w:val="24"/>
          <w:szCs w:val="24"/>
          <w:color w:val="auto"/>
        </w:rPr>
      </w:pPr>
    </w:p>
    <w:p>
      <w:pPr>
        <w:ind w:left="3380"/>
        <w:spacing w:after="0"/>
        <w:tabs>
          <w:tab w:leader="none" w:pos="658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October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965835</wp:posOffset>
            </wp:positionH>
            <wp:positionV relativeFrom="paragraph">
              <wp:posOffset>37465</wp:posOffset>
            </wp:positionV>
            <wp:extent cx="5325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82" w:lineRule="exact"/>
        <w:rPr>
          <w:sz w:val="24"/>
          <w:szCs w:val="24"/>
          <w:color w:val="auto"/>
        </w:rPr>
      </w:pPr>
    </w:p>
    <w:p>
      <w:pPr>
        <w:ind w:left="2200"/>
        <w:spacing w:after="0"/>
        <w:tabs>
          <w:tab w:leader="none" w:pos="7380" w:val="left"/>
        </w:tabs>
        <w:rPr>
          <w:sz w:val="20"/>
          <w:szCs w:val="20"/>
          <w:color w:val="auto"/>
        </w:rPr>
      </w:pPr>
      <w:r>
        <w:rPr>
          <w:rFonts w:ascii="Arial" w:cs="Arial" w:eastAsia="Arial" w:hAnsi="Arial"/>
          <w:sz w:val="18"/>
          <w:szCs w:val="18"/>
          <w:b w:val="1"/>
          <w:bCs w:val="1"/>
          <w:color w:val="auto"/>
        </w:rPr>
        <w:t>Common Stock, $0.00001 par value</w:t>
      </w:r>
      <w:r>
        <w:rPr>
          <w:sz w:val="20"/>
          <w:szCs w:val="20"/>
          <w:color w:val="auto"/>
        </w:rPr>
        <w:tab/>
      </w:r>
      <w:r>
        <w:rPr>
          <w:rFonts w:ascii="Arial" w:cs="Arial" w:eastAsia="Arial" w:hAnsi="Arial"/>
          <w:sz w:val="16"/>
          <w:szCs w:val="16"/>
          <w:b w:val="1"/>
          <w:bCs w:val="1"/>
          <w:color w:val="auto"/>
        </w:rPr>
        <w:t>53,071,171</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2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77"/>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rPr>
              <w:t>THE RUBICON PROJECT, INC.</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w w:val="99"/>
              </w:rPr>
              <w:t>QUARTERLY REPORT ON FORM 10-Q</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Page No.</w:t>
            </w:r>
          </w:p>
        </w:tc>
      </w:tr>
      <w:tr>
        <w:trPr>
          <w:trHeight w:val="27"/>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Part I.</w:t>
            </w:r>
          </w:p>
        </w:tc>
        <w:tc>
          <w:tcPr>
            <w:tcW w:w="930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20" w:type="dxa"/>
            <w:vAlign w:val="bottom"/>
            <w:gridSpan w:val="4"/>
          </w:tcPr>
          <w:p>
            <w:pPr>
              <w:jc w:val="center"/>
              <w:ind w:left="250"/>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2019 and December 31, 2018</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300" w:type="dxa"/>
            <w:vAlign w:val="bottom"/>
            <w:gridSpan w:val="20"/>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for the Three and Nine Months Ended September 30, 2019 and September</w:t>
              </w:r>
            </w:hyperlink>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30, 2018</w:t>
              </w:r>
            </w:hyperlink>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89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Nine Months Ended September 30,</w:t>
              </w:r>
            </w:hyperlink>
          </w:p>
        </w:tc>
        <w:tc>
          <w:tcPr>
            <w:tcW w:w="320" w:type="dxa"/>
            <w:vAlign w:val="bottom"/>
            <w:gridSpan w:val="3"/>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and September 30, 2018</w:t>
              </w:r>
            </w:hyperlink>
          </w:p>
        </w:tc>
        <w:tc>
          <w:tcPr>
            <w:tcW w:w="520" w:type="dxa"/>
            <w:vAlign w:val="bottom"/>
            <w:gridSpan w:val="4"/>
          </w:tcPr>
          <w:p>
            <w:pPr>
              <w:jc w:val="center"/>
              <w:ind w:left="25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9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 for the Three and Nine Months Ended September 30, 2019 and</w:t>
              </w:r>
            </w:hyperlink>
          </w:p>
        </w:tc>
        <w:tc>
          <w:tcPr>
            <w:tcW w:w="340" w:type="dxa"/>
            <w:vAlign w:val="bottom"/>
            <w:gridSpan w:val="4"/>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September 30, 2018</w:t>
              </w:r>
            </w:hyperlink>
          </w:p>
        </w:tc>
        <w:tc>
          <w:tcPr>
            <w:tcW w:w="7840" w:type="dxa"/>
            <w:vAlign w:val="bottom"/>
            <w:gridSpan w:val="14"/>
          </w:tcPr>
          <w:p>
            <w:pPr>
              <w:spacing w:after="0"/>
              <w:rPr>
                <w:sz w:val="17"/>
                <w:szCs w:val="17"/>
                <w:color w:val="auto"/>
              </w:rPr>
            </w:pPr>
          </w:p>
        </w:tc>
        <w:tc>
          <w:tcPr>
            <w:tcW w:w="38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9300" w:type="dxa"/>
            <w:vAlign w:val="bottom"/>
            <w:gridSpan w:val="20"/>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Condensed Consolidated Statements of Cash Flows for the Nine Months Ended September 30, 2019 and September 30, 2018</w:t>
              </w:r>
            </w:hyperlink>
          </w:p>
        </w:tc>
        <w:tc>
          <w:tcPr>
            <w:tcW w:w="520" w:type="dxa"/>
            <w:vAlign w:val="bottom"/>
            <w:gridSpan w:val="4"/>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3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020" w:type="dxa"/>
            <w:vAlign w:val="bottom"/>
            <w:tcBorders>
              <w:top w:val="single" w:sz="8" w:color="0000EE"/>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28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4360" w:type="dxa"/>
            <w:vAlign w:val="bottom"/>
            <w:gridSpan w:val="1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Quantitative and Qualitative Disclosures About Market Risk</w:t>
              </w:r>
            </w:hyperlink>
          </w:p>
        </w:tc>
        <w:tc>
          <w:tcPr>
            <w:tcW w:w="2100" w:type="dxa"/>
            <w:vAlign w:val="bottom"/>
          </w:tcPr>
          <w:p>
            <w:pPr>
              <w:spacing w:after="0"/>
              <w:rPr>
                <w:sz w:val="21"/>
                <w:szCs w:val="21"/>
                <w:color w:val="auto"/>
              </w:rPr>
            </w:pPr>
          </w:p>
        </w:tc>
        <w:tc>
          <w:tcPr>
            <w:tcW w:w="284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4940" w:type="dxa"/>
            <w:vAlign w:val="bottom"/>
            <w:tcBorders>
              <w:left w:val="single" w:sz="8" w:color="0000EE"/>
            </w:tcBorders>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2580" w:type="dxa"/>
            <w:vAlign w:val="bottom"/>
            <w:gridSpan w:val="6"/>
          </w:tcPr>
          <w:p>
            <w:pPr>
              <w:spacing w:after="0"/>
              <w:rPr>
                <w:sz w:val="21"/>
                <w:szCs w:val="21"/>
                <w:color w:val="auto"/>
              </w:rPr>
            </w:pPr>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Part II.</w:t>
            </w:r>
          </w:p>
        </w:tc>
        <w:tc>
          <w:tcPr>
            <w:tcW w:w="1900" w:type="dxa"/>
            <w:vAlign w:val="bottom"/>
            <w:gridSpan w:val="8"/>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OTHER INFORMATION</w:t>
              </w:r>
            </w:hyperlink>
          </w:p>
        </w:tc>
        <w:tc>
          <w:tcPr>
            <w:tcW w:w="7400" w:type="dxa"/>
            <w:vAlign w:val="bottom"/>
            <w:gridSpan w:val="12"/>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190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7400" w:type="dxa"/>
            <w:vAlign w:val="bottom"/>
            <w:gridSpan w:val="12"/>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420" w:type="dxa"/>
            <w:vAlign w:val="bottom"/>
          </w:tcPr>
          <w:p>
            <w:pPr>
              <w:spacing w:after="0"/>
              <w:rPr>
                <w:sz w:val="21"/>
                <w:szCs w:val="21"/>
                <w:color w:val="auto"/>
              </w:rPr>
            </w:pPr>
          </w:p>
        </w:tc>
        <w:tc>
          <w:tcPr>
            <w:tcW w:w="7960" w:type="dxa"/>
            <w:vAlign w:val="bottom"/>
            <w:gridSpan w:val="15"/>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60" w:type="dxa"/>
            <w:vAlign w:val="bottom"/>
            <w:gridSpan w:val="11"/>
            <w:shd w:val="clear" w:color="auto" w:fill="0000EE"/>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494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ind w:left="140"/>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4"/>
          </w:tcPr>
          <w:p>
            <w:pPr>
              <w:jc w:val="center"/>
              <w:ind w:right="36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r>
      <w:tr>
        <w:trPr>
          <w:trHeight w:val="507"/>
        </w:trPr>
        <w:tc>
          <w:tcPr>
            <w:tcW w:w="1140" w:type="dxa"/>
            <w:vAlign w:val="bottom"/>
          </w:tcPr>
          <w:p>
            <w:pPr>
              <w:spacing w:after="0"/>
              <w:rPr>
                <w:sz w:val="24"/>
                <w:szCs w:val="24"/>
                <w:color w:val="auto"/>
              </w:rPr>
            </w:pPr>
          </w:p>
        </w:tc>
        <w:tc>
          <w:tcPr>
            <w:tcW w:w="6460" w:type="dxa"/>
            <w:vAlign w:val="bottom"/>
            <w:gridSpan w:val="14"/>
          </w:tcPr>
          <w:p>
            <w:pPr>
              <w:jc w:val="center"/>
              <w:ind w:left="259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80,452</w:t>
            </w:r>
          </w:p>
        </w:tc>
        <w:tc>
          <w:tcPr>
            <w:tcW w:w="0" w:type="dxa"/>
            <w:vAlign w:val="bottom"/>
          </w:tcPr>
          <w:p>
            <w:pPr>
              <w:spacing w:after="0"/>
              <w:rPr>
                <w:sz w:val="1"/>
                <w:szCs w:val="1"/>
                <w:color w:val="auto"/>
              </w:rPr>
            </w:pPr>
          </w:p>
        </w:tc>
      </w:tr>
      <w:tr>
        <w:trPr>
          <w:trHeight w:val="263"/>
        </w:trPr>
        <w:tc>
          <w:tcPr>
            <w:tcW w:w="79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172,284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205,683</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5,773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300,541</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2"/>
                <w:szCs w:val="22"/>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24,238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33,487</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Right-of-use lease asset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200" w:type="dxa"/>
            <w:vAlign w:val="bottom"/>
          </w:tcPr>
          <w:p>
            <w:pPr>
              <w:spacing w:after="0"/>
              <w:rPr>
                <w:sz w:val="22"/>
                <w:szCs w:val="22"/>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15,189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non-current</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335,321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360,012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207,033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239,678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Lease liabilities, current</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240,982</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Lease liabilities, non-current</w:t>
            </w:r>
          </w:p>
        </w:tc>
        <w:tc>
          <w:tcPr>
            <w:tcW w:w="200" w:type="dxa"/>
            <w:vAlign w:val="bottom"/>
          </w:tcPr>
          <w:p>
            <w:pPr>
              <w:spacing w:after="0"/>
              <w:rPr>
                <w:sz w:val="22"/>
                <w:szCs w:val="22"/>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16,495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 non-current</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231,198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241,999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Preferred stock, $0.00001 par value, 10,000 shares authorized at September 30, 2019 and December 31,</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2018; 0 shares issued and outstanding at September 30, 2019 and December 31, 2018</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2"/>
              </w:rPr>
              <w:t>Common stock, $0.00001 par value; 500,000 shares authorized at September 30, 2019 and December 31,</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60"/>
              <w:spacing w:after="0"/>
              <w:rPr>
                <w:sz w:val="20"/>
                <w:szCs w:val="20"/>
                <w:color w:val="auto"/>
              </w:rPr>
            </w:pPr>
            <w:r>
              <w:rPr>
                <w:rFonts w:ascii="Arial" w:cs="Arial" w:eastAsia="Arial" w:hAnsi="Arial"/>
                <w:sz w:val="18"/>
                <w:szCs w:val="18"/>
                <w:color w:val="auto"/>
                <w:w w:val="90"/>
              </w:rPr>
              <w:t>2018; 53,073 and 51,159 shares issued and outstanding at September 30, 2019 and December 31, 2018,</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90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447,314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433,877</w:t>
            </w:r>
          </w:p>
        </w:tc>
        <w:tc>
          <w:tcPr>
            <w:tcW w:w="0" w:type="dxa"/>
            <w:vAlign w:val="bottom"/>
          </w:tcPr>
          <w:p>
            <w:pPr>
              <w:spacing w:after="0"/>
              <w:rPr>
                <w:sz w:val="1"/>
                <w:szCs w:val="1"/>
                <w:color w:val="auto"/>
              </w:rPr>
            </w:pP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2"/>
                <w:szCs w:val="22"/>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(342,607)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(315,606)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104,123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118,013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335,321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360,012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top w:val="single" w:sz="8" w:color="auto"/>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83,253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11,040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10,654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33,151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34,046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29,038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9,121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29,428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33,340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Restructuring and other exit costs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44,323</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136,497</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144,378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(14,266)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 net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gain, net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(13,708)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(27,001)</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to compute net loss per share: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53,023</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52,324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50,095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(59,592)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 on 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(13,882)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(27,327)</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(59,800)</w:t>
            </w: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20" w:type="dxa"/>
            <w:vAlign w:val="bottom"/>
            <w:gridSpan w:val="4"/>
            <w:vMerge w:val="restart"/>
          </w:tcPr>
          <w:p>
            <w:pPr>
              <w:jc w:val="right"/>
              <w:ind w:right="55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3"/>
                <w:szCs w:val="13"/>
                <w:color w:val="auto"/>
              </w:rPr>
            </w:pPr>
          </w:p>
        </w:tc>
        <w:tc>
          <w:tcPr>
            <w:tcW w:w="22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0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10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418,354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164,611</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4,689</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(27,816)</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50,280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423,009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(281,600)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141,654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common stock options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Restricted stock awards, net</w:t>
            </w:r>
          </w:p>
        </w:tc>
        <w:tc>
          <w:tcPr>
            <w:tcW w:w="104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employee stock</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plan</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4,751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4,751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(17,984)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2018</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127,664</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3,970</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(13,792)</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color w:val="auto"/>
              </w:rPr>
              <w:t>Balance at September 30, 2018</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50,751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431,294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(313,376)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117,752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160" w:type="dxa"/>
            <w:vAlign w:val="bottom"/>
            <w:gridSpan w:val="4"/>
            <w:vMerge w:val="restart"/>
          </w:tcPr>
          <w:p>
            <w:pPr>
              <w:jc w:val="right"/>
              <w:ind w:right="51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13"/>
                <w:szCs w:val="13"/>
                <w:color w:val="auto"/>
              </w:rPr>
            </w:pPr>
          </w:p>
        </w:tc>
        <w:tc>
          <w:tcPr>
            <w:tcW w:w="2160" w:type="dxa"/>
            <w:vAlign w:val="bottom"/>
            <w:tcBorders>
              <w:bottom w:val="single" w:sz="8" w:color="auto"/>
            </w:tcBorders>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1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13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2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8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08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10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51,159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433,877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(315,606)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118,013</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stock awards,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1,171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4,514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4,514</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(12,546)</w:t>
            </w:r>
          </w:p>
        </w:tc>
        <w:tc>
          <w:tcPr>
            <w:tcW w:w="0" w:type="dxa"/>
            <w:vAlign w:val="bottom"/>
          </w:tcPr>
          <w:p>
            <w:pPr>
              <w:spacing w:after="0"/>
              <w:rPr>
                <w:sz w:val="1"/>
                <w:szCs w:val="1"/>
                <w:color w:val="auto"/>
              </w:rPr>
            </w:pPr>
          </w:p>
        </w:tc>
      </w:tr>
      <w:tr>
        <w:trPr>
          <w:trHeight w:val="33"/>
        </w:trPr>
        <w:tc>
          <w:tcPr>
            <w:tcW w:w="3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51,765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436,807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(328,152)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108,491</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stock awards, net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740" w:type="dxa"/>
            <w:vAlign w:val="bottom"/>
          </w:tcPr>
          <w:p>
            <w:pPr>
              <w:ind w:left="180"/>
              <w:spacing w:after="0"/>
              <w:rPr>
                <w:sz w:val="20"/>
                <w:szCs w:val="20"/>
                <w:color w:val="auto"/>
              </w:rPr>
            </w:pPr>
            <w:r>
              <w:rPr>
                <w:rFonts w:ascii="Arial" w:cs="Arial" w:eastAsia="Arial" w:hAnsi="Arial"/>
                <w:sz w:val="16"/>
                <w:szCs w:val="16"/>
                <w:color w:val="auto"/>
                <w:w w:val="94"/>
              </w:rPr>
              <w:t>Issuance of common stock related to employee stock</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Arial" w:cs="Arial" w:eastAsia="Arial" w:hAnsi="Arial"/>
                <w:sz w:val="16"/>
                <w:szCs w:val="16"/>
                <w:color w:val="auto"/>
              </w:rPr>
              <w:t>purchase plan</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6"/>
                <w:szCs w:val="16"/>
                <w:color w:val="auto"/>
              </w:rPr>
              <w:t>Shares withheld related to net share settlement</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4,949</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0" w:type="dxa"/>
            <w:vAlign w:val="bottom"/>
          </w:tcPr>
          <w:p>
            <w:pPr>
              <w:spacing w:after="0"/>
              <w:rPr>
                <w:sz w:val="1"/>
                <w:szCs w:val="1"/>
                <w:color w:val="auto"/>
              </w:rPr>
            </w:pPr>
          </w:p>
        </w:tc>
      </w:tr>
      <w:tr>
        <w:trPr>
          <w:trHeight w:val="231"/>
        </w:trPr>
        <w:tc>
          <w:tcPr>
            <w:tcW w:w="3740" w:type="dxa"/>
            <w:vAlign w:val="bottom"/>
          </w:tcPr>
          <w:p>
            <w:pPr>
              <w:ind w:left="40"/>
              <w:spacing w:after="0"/>
              <w:rPr>
                <w:sz w:val="20"/>
                <w:szCs w:val="20"/>
                <w:color w:val="auto"/>
              </w:rPr>
            </w:pPr>
            <w:r>
              <w:rPr>
                <w:rFonts w:ascii="Arial" w:cs="Arial" w:eastAsia="Arial" w:hAnsi="Arial"/>
                <w:sz w:val="16"/>
                <w:szCs w:val="16"/>
                <w:color w:val="auto"/>
              </w:rPr>
              <w:t>Balance at June 30, 2019</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52,984</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442,353</w:t>
            </w: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(336,433)</w:t>
            </w: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105,628</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common stock options</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6"/>
                <w:szCs w:val="16"/>
                <w:color w:val="auto"/>
              </w:rPr>
              <w:t>Issuance of common stock related to RSU vesting</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4,815</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(6,174)</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(6,174)</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6"/>
                <w:szCs w:val="16"/>
                <w:color w:val="auto"/>
              </w:rPr>
              <w:t>Balance at September 30, 2019</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53,073</w:t>
            </w:r>
          </w:p>
        </w:tc>
        <w:tc>
          <w:tcPr>
            <w:tcW w:w="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447,314</w:t>
            </w: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(342,607)</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104,123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8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September 30, 2018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ACTIVITIES: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(59,592)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26,355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13,877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13,016</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Accretion of available-for-sale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Non-cash lease expense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foreign currency (gains) losses, net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32,149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10,318</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2,919</w:t>
            </w: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(14,415)</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w:t>
            </w: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(22,552)</w:t>
            </w: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(5,474)</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internal use software development costs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Investments in available-for-sale securities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(23,991)</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of available-for-sale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55,650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Sales of available-for-sale securities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9,228</w:t>
            </w: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28,844</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paid related to net share settlement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w:t>
            </w: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CHANGE IN CASH, CASH EQUIVALENTS AND RESTRICTED CASH</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5,712</w:t>
            </w: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 Beginning of period</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76,642</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85,122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82,354</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OTHER CASH FLOW INFORMATION:</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2,005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stock-based compensation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right-of-use assets obtained in exchange for new operating lease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13,074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Rubicon Project, Inc., or Rubicon Project (the "Company"), was formed on April 20, 2007 in Delaware and began operations in April 2007. The Company is headquartered in Los Angeles, California.</w:t>
      </w:r>
    </w:p>
    <w:p>
      <w:pPr>
        <w:spacing w:after="0" w:line="3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provides a technology solution to automate the purchase and sale of digital advertising inventory for buyers and sellers. The Company's platform features applications and services for digital advertising sellers, including websites, mobile applications and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In the second quarter of 2019, the Company announced the beta program for Demand Manager, which helps sellers effectively monetize their advertising inventory by making it easier to deploy, configure, and optimize Prebid-based header bidding solutions. Prebid is a free and open source suite of software products designed by advertising community developers to enable publishers to implement header bidding on their websites and from within their apps. Together, these features power and enhance a comprehensive, transparent, independent advertising marketplace that brings buyers and sellers together and facilitates intelligent decision making and automated transaction execution for the digital advertising inventory managed on the Company's platform. The Company's clients include many of the world's leading publishers of websites and mobile applications and buyers of digital advertising inventory.</w:t>
      </w:r>
    </w:p>
    <w:p>
      <w:pPr>
        <w:spacing w:after="0" w:line="6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methods, and allows advertising content to be presented to consumers through different channels. The Company's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63" w:lineRule="exact"/>
        <w:rPr>
          <w:rFonts w:ascii="Arial" w:cs="Arial" w:eastAsia="Arial" w:hAnsi="Arial"/>
          <w:sz w:val="18"/>
          <w:szCs w:val="18"/>
          <w:color w:val="auto"/>
        </w:rPr>
      </w:pPr>
    </w:p>
    <w:p>
      <w:pPr>
        <w:ind w:left="660" w:right="860" w:hanging="328"/>
        <w:spacing w:after="0" w:line="29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that are transacted through real-time bidding, which includes (i) direct sale of premium inventory, which the Company refers to as private marketplace, or PMP, and (ii) open auction bidding, which the Company refers to as open marketplace, or OMP; and</w:t>
      </w: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1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and Uncertainties</w:t>
      </w:r>
    </w:p>
    <w:p>
      <w:pPr>
        <w:spacing w:after="0" w:line="18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operates in the rapidly changing advertising industry and has faced demands by ad tech buyers for more efficiency and lower costs, changes in bidding technologies, and increased competition. The Company has adjusted its pricing model, which has reduced margins, and has lowered its expense structure to address these changes in the industry, resulting in net operating losses. The Company continues to incur net operating losses, despite having increased revenues and reduced costs. The Company must continue to increase revenues and/or manage costs in order to compensate for reduced margins, or it may not be able to grow its business and may continue to operate at a loss, depleting its cash resources and liquidity. If the Company continues to experience significant operating losses in the future, the Company may require additional liquidity to fund its operations.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7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nine months ended September 30, 2019 are not necessarily indicative of the results that may be expected for any future interim period, the year ending December 31, 2019, or for any future year.</w:t>
      </w:r>
    </w:p>
    <w:p>
      <w:pPr>
        <w:spacing w:after="0" w:line="4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condensed consolidated balance sheet at December 31, 2018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2018 included in its 2018 Annual Report on Form 10-K.</w:t>
      </w:r>
    </w:p>
    <w:p>
      <w:pPr>
        <w:spacing w:after="0" w:line="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adopted Accounting Standards Codification Topic 842 ("ASC 842")—</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using a modified retrospective approach. The adoption of this standard impacted only the financial statements included as of September 30, 2019 and for the three and nine months ended September 30, 2019. See below for additional information regarding the Company's adoption of ASC 842. Aside from the adoption of ASC 842, there have been no significant changes in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Company's accounting policies from those disclosed in its audited consolidated financial statements and notes thereto for the year ended December 31, 2018 included in its Annual Report on Form 10-K.</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Adoption of ASC 842</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January 1, 2019, the Company adopted ASC 842, which requires the recognition of the right-of-use assets, or ROU assets, and related lease liabilities on the balance sheet using a modified retrospective approach. The consolidated financial statements related to periods prior to January 1, 2019 were not restated, and continue to be reported under ASC Topic 840—</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which did not require the recognition of operating lease liabilities on the balance sheet. As a result, the consolidated financial statements related to periods prior to January 1, 2019 are not entirely comparative with current and future periods. As permitted under ASC 842, the Company elected several practical expedients that permit the Company to not reassess (1) whether existing contracts are or contain a lease, (2) the classification of existing leases, and (3) whether previously capitalized costs continue to qualify as initial indirect costs. In addition, the Company has elected not to recognize short-term leases on our balance sheet, nor separate lease and non-lease components for our data center leases. In addition, we utilized the portfolio approach to group leases with similar characteristics and did not use hindsight to determine lease term.</w:t>
      </w:r>
    </w:p>
    <w:p>
      <w:pPr>
        <w:spacing w:after="0" w:line="1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to the leases previously reported under ASC 840, the Company also reviewed its data center agreements to identify non-lease components that should not be included in the lease liability and lease expense under ASC 842. Certain fixed non-lease components of data center leases, primarily fixed minimum power commitments, have been included in the lease liability and ROU asset as the Company has elected the practical expedient for its data centers to not separate the lease and non-lease components; however, variable components have not been included. For identified leases, the Company used its incremental borrowing rate to discount the related future payment obligations as of January 1, 2019 to determine its lease liability as of adoption. As of the adoption date, the Company recognized a lease liability of $15.6 million and a corresponding ROU asset of $14.3 million; there was no equity impact from the adoption. The difference between the lease liability and the ROU asset primarily represents the existing deferred rent liabilities balances before adoption, resulting from historical straight-lining of operating leases, which was effectively reclassified upon adoption to reduce the measurement of the ROU asset.</w:t>
      </w:r>
    </w:p>
    <w:p>
      <w:pPr>
        <w:spacing w:after="0" w:line="292"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The Company records rent expense for operating leases, including leases of office locations,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The lease liability is included in lease liabilities, current and lease liabilities, non-current within the condensed consolidated balance sheet, which are reduced as lease related payments are made. The ROU asset is amortized on a periodic basis over the expected term of the lease. See Note 11 for additional information.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through the end of 2019. The Company has irrevocably elected to opt out of the extended transition period for complying with new or revised accounting standards pursuant to Section 107(b) of the JOBS Act.</w:t>
      </w:r>
    </w:p>
    <w:p>
      <w:pPr>
        <w:spacing w:after="0" w:line="4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March 2019, the Financial Accounting Standards Board issued ASU 2019-01—</w:t>
      </w:r>
      <w:r>
        <w:rPr>
          <w:rFonts w:ascii="Arial" w:cs="Arial" w:eastAsia="Arial" w:hAnsi="Arial"/>
          <w:sz w:val="17"/>
          <w:szCs w:val="17"/>
          <w:i w:val="1"/>
          <w:iCs w:val="1"/>
          <w:color w:val="auto"/>
        </w:rPr>
        <w:t>Leases (Topic 842): Codification Improvements</w:t>
      </w:r>
      <w:r>
        <w:rPr>
          <w:rFonts w:ascii="Arial" w:cs="Arial" w:eastAsia="Arial" w:hAnsi="Arial"/>
          <w:sz w:val="17"/>
          <w:szCs w:val="17"/>
          <w:color w:val="auto"/>
        </w:rPr>
        <w:t xml:space="preserve"> ("ASU 2019-01"), which clarifies certain topics around lease guidance. One of the provisions of ASU 2019-01 pertains to the Company as it updates existing guidance by explicitly allowing an exception to transition disclosures typically required, while adopting ASC 842. Under this guidance, entities that have adopted ASC 842 are not required to provide identical disclosures for the comparative previous year period in the year of adoption. ASU 2019-01 is required to be adopted concurrently with the adoption of ASC 842, and as such, the Company adopted ASU 2019-01 during the first quarter of 2019.</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20" w:type="dxa"/>
            <w:vAlign w:val="bottom"/>
          </w:tcPr>
          <w:p>
            <w:pPr>
              <w:spacing w:after="0"/>
              <w:rPr>
                <w:sz w:val="22"/>
                <w:szCs w:val="22"/>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EPS:</w:t>
            </w: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(27,001)</w:t>
            </w: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(59,592)</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50,750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52,349</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50,482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unvested restricted stock</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Weighted-average common shares outstanding used to compute net loss per</w:t>
            </w:r>
          </w:p>
        </w:tc>
        <w:tc>
          <w:tcPr>
            <w:tcW w:w="4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50,513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52,324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50,095</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Basic and diluted net loss per share</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68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3"/>
              </w:rPr>
              <w:t>Three Months Ended</w:t>
            </w:r>
          </w:p>
        </w:tc>
        <w:tc>
          <w:tcPr>
            <w:tcW w:w="280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6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5620" w:type="dxa"/>
            <w:vAlign w:val="bottom"/>
          </w:tcPr>
          <w:p>
            <w:pPr>
              <w:spacing w:after="0"/>
              <w:rPr>
                <w:sz w:val="22"/>
                <w:szCs w:val="22"/>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140" w:type="dxa"/>
            <w:vAlign w:val="bottom"/>
          </w:tcPr>
          <w:p>
            <w:pPr>
              <w:spacing w:after="0"/>
              <w:rPr>
                <w:sz w:val="22"/>
                <w:szCs w:val="22"/>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5620" w:type="dxa"/>
            <w:vAlign w:val="bottom"/>
          </w:tcPr>
          <w:p>
            <w:pPr>
              <w:spacing w:after="0"/>
              <w:rPr>
                <w:sz w:val="21"/>
                <w:szCs w:val="21"/>
                <w:color w:val="auto"/>
              </w:rPr>
            </w:pPr>
          </w:p>
        </w:tc>
        <w:tc>
          <w:tcPr>
            <w:tcW w:w="3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2800" w:type="dxa"/>
            <w:vAlign w:val="bottom"/>
            <w:gridSpan w:val="3"/>
          </w:tcPr>
          <w:p>
            <w:pPr>
              <w:jc w:val="right"/>
              <w:ind w:right="87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Options to purchase common stock</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restricted stock awards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232</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Unvested restricted stock units</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5,168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ESPP</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64</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shares excluded from net loss per share</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6,294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2,788</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generates revenue from transactions where it provides a platform for the purchase and sale of digital advertising inventory. The Company’s advertising automation solution is a marketplace for sellers of digital advertising inventory (providers of websites, mobile applications and other digital media properties, and their representatives) and buyers of digital advertising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the Company’s automated advertising solution that brings buyers and sellers together and facilitates intelligent decision-making and automated transaction execution for the digital advertising inventory managed on the Company's platform.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97"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an underlying agreement existing with the client and a fixed or determinable transaction price. Performance obligations for all transactions are satisfied, and the corresponding revenue is recognized, at a distinct point in time when an ad renders. The Company does not have arrangements with multiple performance obligations. The Company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97"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The Company has determined that it does not act as the principal in the purchase and sale of digital advertising inventory because it does not have control of the digital advertising inventory and does not set prices agreed upon within the auction marketplace, and therefore reports revenue on a net basis.</w:t>
      </w:r>
    </w:p>
    <w:p>
      <w:pPr>
        <w:sectPr>
          <w:pgSz w:w="11900" w:h="16838" w:orient="portrait"/>
          <w:cols w:equalWidth="0" w:num="1">
            <w:col w:w="11420"/>
          </w:cols>
          <w:pgMar w:left="240" w:top="125"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exchange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three and nine months ended September 30, 2019 and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Borders>
              <w:bottom w:val="single" w:sz="8" w:color="auto"/>
            </w:tcBorders>
          </w:tcPr>
          <w:p>
            <w:pPr>
              <w:spacing w:after="0"/>
              <w:rPr>
                <w:sz w:val="16"/>
                <w:szCs w:val="16"/>
                <w:color w:val="auto"/>
              </w:rPr>
            </w:pPr>
          </w:p>
        </w:tc>
      </w:tr>
      <w:tr>
        <w:trPr>
          <w:trHeight w:val="264"/>
        </w:trPr>
        <w:tc>
          <w:tcPr>
            <w:tcW w:w="18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3"/>
              </w:rPr>
              <w:t>September 30, 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September 30, 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3"/>
              </w:rPr>
              <w:t>September 30, 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3"/>
              </w:rPr>
              <w:t>September 30, 2018</w:t>
            </w:r>
          </w:p>
        </w:tc>
        <w:tc>
          <w:tcPr>
            <w:tcW w:w="500" w:type="dxa"/>
            <w:vAlign w:val="bottom"/>
            <w:tcBorders>
              <w:bottom w:val="single" w:sz="8" w:color="auto"/>
            </w:tcBorders>
          </w:tcPr>
          <w:p>
            <w:pPr>
              <w:spacing w:after="0"/>
              <w:rPr>
                <w:sz w:val="22"/>
                <w:szCs w:val="22"/>
                <w:color w:val="auto"/>
              </w:rPr>
            </w:pPr>
          </w:p>
        </w:tc>
      </w:tr>
      <w:tr>
        <w:trPr>
          <w:trHeight w:val="250"/>
        </w:trPr>
        <w:tc>
          <w:tcPr>
            <w:tcW w:w="1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6"/>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r>
      <w:tr>
        <w:trPr>
          <w:trHeight w:val="243"/>
        </w:trPr>
        <w:tc>
          <w:tcPr>
            <w:tcW w:w="1880" w:type="dxa"/>
            <w:vAlign w:val="bottom"/>
          </w:tcPr>
          <w:p>
            <w:pPr>
              <w:ind w:left="380"/>
              <w:spacing w:after="0"/>
              <w:rPr>
                <w:sz w:val="20"/>
                <w:szCs w:val="20"/>
                <w:color w:val="auto"/>
              </w:rPr>
            </w:pPr>
            <w:r>
              <w:rPr>
                <w:rFonts w:ascii="Arial" w:cs="Arial" w:eastAsia="Arial" w:hAnsi="Arial"/>
                <w:sz w:val="18"/>
                <w:szCs w:val="18"/>
                <w:color w:val="auto"/>
              </w:rPr>
              <w:t>Desktop</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15,936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47,745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40,453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1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21,706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60,183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42,800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r>
      <w:tr>
        <w:trPr>
          <w:trHeight w:val="257"/>
        </w:trPr>
        <w:tc>
          <w:tcPr>
            <w:tcW w:w="18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37,642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29,729</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107,928</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83,253</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r>
      <w:tr>
        <w:trPr>
          <w:trHeight w:val="20"/>
        </w:trPr>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9"/>
              </w:rPr>
              <w:t>Three Months Ended</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56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26,378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19,731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73,654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440" w:type="dxa"/>
            <w:vAlign w:val="bottom"/>
          </w:tcPr>
          <w:p>
            <w:pPr>
              <w:spacing w:after="0"/>
              <w:rPr>
                <w:sz w:val="21"/>
                <w:szCs w:val="21"/>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11,264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34,274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29,052</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37,642</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29,729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107,928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83,253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8" w:lineRule="exact"/>
        <w:rPr>
          <w:sz w:val="20"/>
          <w:szCs w:val="20"/>
          <w:color w:val="auto"/>
        </w:rPr>
      </w:pPr>
    </w:p>
    <w:p>
      <w:pPr>
        <w:ind w:left="1800" w:right="520" w:hanging="1144"/>
        <w:spacing w:after="0" w:line="277" w:lineRule="auto"/>
        <w:tabs>
          <w:tab w:leader="none" w:pos="1152"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3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1" w:lineRule="exact"/>
        <w:rPr>
          <w:rFonts w:ascii="Arial" w:cs="Arial" w:eastAsia="Arial" w:hAnsi="Arial"/>
          <w:sz w:val="17"/>
          <w:szCs w:val="17"/>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September 30,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2240" w:type="dxa"/>
            <w:vAlign w:val="bottom"/>
            <w:vMerge w:val="restart"/>
          </w:tcPr>
          <w:p>
            <w:pPr>
              <w:jc w:val="center"/>
              <w:ind w:right="464"/>
              <w:spacing w:after="0"/>
              <w:rPr>
                <w:sz w:val="20"/>
                <w:szCs w:val="20"/>
                <w:color w:val="auto"/>
              </w:rPr>
            </w:pPr>
            <w:r>
              <w:rPr>
                <w:rFonts w:ascii="Arial" w:cs="Arial" w:eastAsia="Arial" w:hAnsi="Arial"/>
                <w:sz w:val="14"/>
                <w:szCs w:val="14"/>
                <w:b w:val="1"/>
                <w:bCs w:val="1"/>
                <w:color w:val="auto"/>
                <w:w w:val="93"/>
              </w:rPr>
              <w:t>Significant Other</w:t>
            </w:r>
          </w:p>
        </w:tc>
        <w:tc>
          <w:tcPr>
            <w:tcW w:w="182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2240" w:type="dxa"/>
            <w:vAlign w:val="bottom"/>
          </w:tcPr>
          <w:p>
            <w:pPr>
              <w:jc w:val="center"/>
              <w:ind w:right="46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424"/>
              <w:spacing w:after="0"/>
              <w:rPr>
                <w:sz w:val="20"/>
                <w:szCs w:val="20"/>
                <w:color w:val="auto"/>
              </w:rPr>
            </w:pPr>
            <w:r>
              <w:rPr>
                <w:rFonts w:ascii="Arial" w:cs="Arial" w:eastAsia="Arial" w:hAnsi="Arial"/>
                <w:sz w:val="14"/>
                <w:szCs w:val="14"/>
                <w:b w:val="1"/>
                <w:bCs w:val="1"/>
                <w:color w:val="auto"/>
                <w:w w:val="94"/>
              </w:rPr>
              <w:t>(Level 2)</w:t>
            </w:r>
          </w:p>
        </w:tc>
        <w:tc>
          <w:tcPr>
            <w:tcW w:w="18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13,447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13,447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jc w:val="right"/>
              <w:ind w:right="124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92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4"/>
                <w:szCs w:val="14"/>
                <w:color w:val="auto"/>
              </w:rPr>
            </w:pPr>
          </w:p>
        </w:tc>
        <w:tc>
          <w:tcPr>
            <w:tcW w:w="182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8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2"/>
                <w:szCs w:val="12"/>
                <w:color w:val="auto"/>
              </w:rPr>
            </w:pPr>
          </w:p>
        </w:tc>
        <w:tc>
          <w:tcPr>
            <w:tcW w:w="19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8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13,692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13,692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8"/>
              </w:rPr>
              <w:t>U.S. Treasury, government and agency debt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7,524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2"/>
              <w:spacing w:after="0"/>
              <w:rPr>
                <w:sz w:val="20"/>
                <w:szCs w:val="20"/>
                <w:color w:val="auto"/>
              </w:rPr>
            </w:pPr>
            <w:r>
              <w:rPr>
                <w:rFonts w:ascii="Arial" w:cs="Arial" w:eastAsia="Arial" w:hAnsi="Arial"/>
                <w:sz w:val="18"/>
                <w:szCs w:val="18"/>
                <w:color w:val="auto"/>
              </w:rPr>
              <w:t>7,524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ind w:left="16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At September 30, 2019 and December 31, 2018, cash equivalents of $13.4 million and $13.7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December 31, 2018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000" w:type="dxa"/>
            <w:vAlign w:val="bottom"/>
          </w:tcPr>
          <w:p>
            <w:pPr>
              <w:jc w:val="center"/>
              <w:ind w:right="144"/>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8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2"/>
                <w:szCs w:val="12"/>
                <w:color w:val="auto"/>
              </w:rPr>
            </w:pPr>
          </w:p>
        </w:tc>
        <w:tc>
          <w:tcPr>
            <w:tcW w:w="10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80" w:type="dxa"/>
            <w:vAlign w:val="bottom"/>
            <w:gridSpan w:val="2"/>
          </w:tcPr>
          <w:p>
            <w:pPr>
              <w:jc w:val="right"/>
              <w:ind w:right="404"/>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Available-for-sale—short-term:</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7,526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4"/>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2"/>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had no available-for-sale securities as of September 30, 2019. For the three and nine months ended September 30, 2019, there were no realized gains (losses) and there were no unrealized holding gains (losses) reclassified out of accumulated other comprehensive loss into the condensed consolidated statements of operations for the sale of available-for-sale investments. For the nine months ended September 30, 2018, the Company sold $9.2 million of available-for-sale investments, on which the realized gains were de minimis and there were no unrealized holding gains (losses) reclassified out of accumulated other comprehensive loss into the condensed consolidated statements of operations.</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195,467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230,423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1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3,122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6,133</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207,033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239,678</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restricted cash as of September 30, 2019 and December 31,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September 30, 2019 and December 31, 2018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16,878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16,878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17,588</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amortization—intangible assets:</w:t>
            </w: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(7,414)</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Amortization of intangible assets for the three months ended September 30, 2019 and 2018 was $0.7 million and $0.8 million, respectively, and $2.3 million and $2.4 million for the nine months ended September 30, 2019 and 2018, respectively. The estimated remaining amortization expense associated with the Company's intangible assets was as follows as of September 30,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2,826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1,512</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7,870</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9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semi-annually thereafter, but with certain retention grants vesting 50% on each of the first and second anniversaries of the grant date. Options, RSAs, and RSUs granted under the plans accelerate under certain circumstances for certain participants upon a change in control, as defined in the governing plan. An aggregate of 4,377,171 shares remained available for future grants at September 30, 2019 under the plans.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Shares Under Option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Average 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3,488</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1,184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2019</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4,324</w:t>
            </w:r>
          </w:p>
        </w:tc>
        <w:tc>
          <w:tcPr>
            <w:tcW w:w="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7.24 years</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14,566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2019</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2,370</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5.94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total intrinsic values of options exercised during the nine months ended September 30, 2019 was $1.3 million. At September 30, 2019, the Company had unrecognized employee stock-based compensation expense relating to nonvested stock options of approximately $4.6 million, which is expected to be recognized over a weighted-average period of 2.75 years. The weighted-average grant date fair value per share of stock options granted during the nine months ended September 30, 2019 was $2.85. Total fair value of options vested during the nine months ended September 30, 2019 was $1.3 million.</w:t>
      </w:r>
    </w:p>
    <w:p>
      <w:pPr>
        <w:spacing w:after="0" w:line="11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September 30, 2019</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September 30, 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w w:val="99"/>
              </w:rPr>
              <w:t>September 30, 2019</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9"/>
              </w:rPr>
              <w:t>September 30, 2018</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5.4</w:t>
            </w:r>
          </w:p>
        </w:tc>
        <w:tc>
          <w:tcPr>
            <w:tcW w:w="14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580" w:type="dxa"/>
            <w:vAlign w:val="bottom"/>
            <w:gridSpan w:val="5"/>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598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Restricted Stock Awards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00" w:type="dxa"/>
            <w:vAlign w:val="bottom"/>
            <w:gridSpan w:val="6"/>
          </w:tcPr>
          <w:p>
            <w:pPr>
              <w:ind w:left="660"/>
              <w:spacing w:after="0"/>
              <w:rPr>
                <w:sz w:val="20"/>
                <w:szCs w:val="20"/>
                <w:color w:val="auto"/>
              </w:rPr>
            </w:pPr>
            <w:r>
              <w:rPr>
                <w:rFonts w:ascii="Arial" w:cs="Arial" w:eastAsia="Arial" w:hAnsi="Arial"/>
                <w:sz w:val="18"/>
                <w:szCs w:val="18"/>
                <w:color w:val="auto"/>
              </w:rPr>
              <w:t>A summary of RSA activity for the nine months ended September 30, 2019 is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4"/>
            <w:vMerge w:val="restart"/>
          </w:tcPr>
          <w:p>
            <w:pPr>
              <w:jc w:val="right"/>
              <w:ind w:right="219"/>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vMerge w:val="restart"/>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Nonvested shares of restricted stock awards outstanding at December 31, 2018</w:t>
            </w: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gridSpan w:val="2"/>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Nonvested shares of restricted stock awards outstanding at September 30, 2019</w:t>
            </w: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aggregate fair value of restricted stock with service conditions that vested during the nine months ended September 30, 2019 was $0.1 million. At September 30, 2019, the Company had unrecognized stock-based compensation expense for RSAs with service conditions of $37.9 thousand, which is expected to be recognized over a weighted-average period of 0.6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for the nine months ended September 30, 2019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December 31, 2018</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4,856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(2,199)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outstanding at September 30, 2019</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8,353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weighted-average grant date fair value per share of RSUs granted during the nine months ended September 30, 2019 was $4.77, which included 1.6 million RSUs that vest 50% annually over two years. The aggregate fair value of RSUs that vested during nine months ended September 30, 2019 was $11.3 million. At September 30, 2019, the intrinsic value of nonvested RSUs was $72.8 million. At September 30, 2019, the Company had unrecognized stock-based compensation expense relating to nonvested RSUs of approximately $26.5 million, which is expected to be recognized over a weighted-average period of 2.3 years.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37" w:lineRule="exact"/>
        <w:rPr>
          <w:sz w:val="20"/>
          <w:szCs w:val="20"/>
          <w:color w:val="auto"/>
        </w:rPr>
      </w:pPr>
    </w:p>
    <w:p>
      <w:pPr>
        <w:ind w:right="120" w:firstLine="648"/>
        <w:spacing w:after="0" w:line="213" w:lineRule="auto"/>
        <w:rPr>
          <w:sz w:val="20"/>
          <w:szCs w:val="20"/>
          <w:color w:val="auto"/>
        </w:rPr>
      </w:pPr>
      <w:r>
        <w:rPr>
          <w:rFonts w:ascii="Arial" w:cs="Arial" w:eastAsia="Arial" w:hAnsi="Arial"/>
          <w:sz w:val="18"/>
          <w:szCs w:val="18"/>
          <w:color w:val="auto"/>
        </w:rPr>
        <w:t>As of September 30, 2019, the Company has reserved 2,001,256 shares of its common stock for issuance under the ESPP. The ESPP has an evergreen provision pursuant to which the share reserve will automatically increase on January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in an amount equal to 1% of the total number of shares of capital stock outstanding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preceding calendar year, although the Company’s board of directors may provide for a lesser increase, or no increase, in any year.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56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3,530</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Technology and development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6,669</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Restructuring and other exit costs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13,877</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13,016</w:t>
            </w: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8—Restructuring and Other Exit Costs</w:t>
      </w:r>
    </w:p>
    <w:p>
      <w:pPr>
        <w:spacing w:after="0" w:line="17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part of its on-going efforts to control costs and create efficiencies, the Company undertook restructuring events in 2018 to streamline operations, prioritize resources for growth initiatives and increase profitability. Restructuring and other exit costs of $3.4 million were incurred during the nine months ended September 30, 2018 related to severance and one-time termination benefit costs. There were no restructuring charges incurred during the three months ended September 30,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and other exit cost activity for the nine months ended September 30,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January 1, 2018</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Restructuring and other exit costs</w:t>
            </w: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
        </w:trPr>
        <w:tc>
          <w:tcPr>
            <w:tcW w:w="9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restructuring and other exit costs</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Non-cash stock-based compensation for restructuring and other exit costs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97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September 30, 2018</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0"/>
        </w:trPr>
        <w:tc>
          <w:tcPr>
            <w:tcW w:w="9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December 31, 2018, the Company had $0.1 million accrued restructuring and other exit costs remaining. No restructuring and other exit costs were incurred during the three and nine months ended September 30, 2019, and all remaining accrued costs associated with the 2018 restructuring events were paid in the first quarter of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7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4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recorded an income tax expense of $0.1 million and an income tax benefit of $0.6 million for the three and nine months ended September 30, 2019, respectively, and income tax expenses of $0.1 million and $0.2 million for the three and nine months ended September 30, 2018, respectively. The tax provision for the three and nine months ended September 30, 2019 is primarily the result of the release of a foreign valuation allowance resulting from a change to a cost plus arrangement for a foreign subsidiary, the domestic valuation allowance, and the tax liability associated with the foreign subsidiaries.</w:t>
      </w:r>
    </w:p>
    <w:p>
      <w:pPr>
        <w:spacing w:after="0" w:line="5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a federal corporate rate reduction from 34% to 21%. For additional information and a discussion of the impact of the Tax Act on the Company, refer to Note 15 of the "Notes to Consolidated Financial Statements" within our Annual Report on Form 10-K for December 31, 2018.</w:t>
      </w: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5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There were no material changes to the Company's unrecognized tax benefits in the nine months ended September 30, 2019, and the Company does not expect to have any significant changes to unrecognized tax benefits through the end of the fiscal year. Because of the Company's history of tax losses, all years remain open to tax audit.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September 30, 2019 and December 31, 2018, the Company had $2.5 million and $2.9 million, respectively, of letters of credit associated with office leases available for borrowing, on which there were no outstanding borrowings as of either date. The Company also has operating lease agreements, discussed in more detail in Note 11.</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9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w:t>
      </w:r>
    </w:p>
    <w:p>
      <w:pPr>
        <w:sectPr>
          <w:pgSz w:w="11900" w:h="16838" w:orient="portrait"/>
          <w:cols w:equalWidth="0" w:num="1">
            <w:col w:w="11420"/>
          </w:cols>
          <w:pgMar w:left="240" w:top="125"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indemnification under such agreements and there are no claims that the Company is aware of that could have a material effect on the Company’s condensed consolidated financial statements.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September 30, 2019. However, based on management’s knowledge as of September 30, 2019,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9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 Obligations</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adopted ASC 842 as of January 1, 2019. As part of the implementation, the Company recognized its lease liabilities, including the current and non-current portions, within its condensed consolidated balance sheet as of the adoption date, which represents the present value of the Company’s obligation related to the estimated future lease payments. The Company also recognized a right-of-use asset, or ROU asset, which represents the right to use the leased asset over the period of the lease. The ROU asset was calculated as the lease liability less any asset or liability balances that existed at the time of adoption.</w:t>
      </w:r>
    </w:p>
    <w:p>
      <w:pPr>
        <w:spacing w:after="0" w:line="10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lease term is generally specified in the lease agreement, however certain agreements provide for lease term extensions or early termination options. To determine the period for the estimated future lease payments, the Company evaluates whether it is reasonably certain that it will exercise the option at the commencement date and periodically thereafter. Certain data center lease agreements include one year extension options or month-to-month extension options, and one or more of these extensions have been assumed for each lease that the Company believes to be an integral part of our business in the near term. The lease terms of the Company’s operating leases generally range from one year to ten years, and the weighted average remaining lease term of leases included in the lease liability is 6.28 years as of September 30, 2019.</w:t>
      </w:r>
    </w:p>
    <w:p>
      <w:pPr>
        <w:spacing w:after="0" w:line="9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To determine the estimated future lease payments, the Company reviews each of its lease agreements to identify the various payment components. For real estate and equipment leases, the Company includes only the actual lease components in its determination of future lease payments, and for its data center leases, includes both the fixed lease and non-lease components in the estimated future lease payments. This typically includes a fixed minimum power commitment that is included in the data center agreements, but it does not include any variable or usage-based additional charges. Once the estimated future lease payments are determined, the Company uses a discount rate to calculate the present value of the future lease payments. As of September 30, 2019, a weighted average discount rate of 4.73% has been applied to the remaining lease payments to calculate the lease liabilities included within the condensed consolidated balance sheet. This represents the incremental borrowing rate the Company would be subject to on borrowings from its available revolving debt agreement (See Note 12).</w:t>
      </w:r>
    </w:p>
    <w:p>
      <w:pPr>
        <w:spacing w:after="0" w:line="9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For the three and nine months ended September 30, 2019, the Company recognized $2.0 million and $5.7 million, respectively, of lease expense under ASC 842, which included operating lease expenses associated with leases included in the lease liability and ROU asset on the condensed consolidated balance sheet. In addition, for the three and nine months ended September 30, 2019, the Company recognized $0.1 million and $0.5 million, respectively, of lease expense related to short-term leases that are not included in the ROU asset or lease liability balances. For the three and nine months ended September 30, 2018, the Company recognized rental expenses of $3.2 million and $9.7 million, respectively, under ASC 840, which included expenses related to short-term leases, and also included certain non-lease components including variable capacity related expenses at the data centers. The Company also received rental income of $48.4 thousand and $0.2 million for real estate leases for which it subleases the property to a third party during the three months ended September 30, 2019 and 2018, respectively, and $0.2 million and $0.6 million for the nine months ended September 30, 2019 and 2018, respectively.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the Company's lease liabilities were as follows (in thousands):</w:t>
      </w: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942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2019</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1,932</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7,905</w:t>
            </w:r>
          </w:p>
        </w:tc>
      </w:tr>
      <w:tr>
        <w:trPr>
          <w:trHeight w:val="27"/>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4,348</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2,284</w:t>
            </w:r>
          </w:p>
        </w:tc>
      </w:tr>
      <w:tr>
        <w:trPr>
          <w:trHeight w:val="27"/>
        </w:trPr>
        <w:tc>
          <w:tcPr>
            <w:tcW w:w="9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1,968</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8,491</w:t>
            </w:r>
          </w:p>
        </w:tc>
      </w:tr>
      <w:tr>
        <w:trPr>
          <w:trHeight w:val="27"/>
        </w:trPr>
        <w:tc>
          <w:tcPr>
            <w:tcW w:w="9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payments (undiscounted)</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26,928</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(3,440)</w:t>
            </w:r>
          </w:p>
        </w:tc>
      </w:tr>
      <w:tr>
        <w:trPr>
          <w:trHeight w:val="27"/>
        </w:trPr>
        <w:tc>
          <w:tcPr>
            <w:tcW w:w="9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Lease liabilities—total (discounted)</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23,488</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addition to the leases included in these condensed consolidated financial statements, the Company entered into a lease agreement for an office location in New Jersey during the first half of 2019 that has not yet commenced as of September 30, 2019. The Company anticipates the recognition of approximately $0.4 million additional lease liabilities related to the New Jersey lease when the property is made available to the Company for use, which is expected to occur in the fourth quarter of 2019.</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12—Debt</w:t>
      </w:r>
    </w:p>
    <w:p>
      <w:pPr>
        <w:spacing w:after="0" w:line="18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September 2018, the Company amended and restated its loan and security agreement with Silicon Valley Bank ("SVB") (the "Loan Agreement"). The Loan Agreement provides a senior secured revolving credit facility of up to $40.0 million with a maturity date of September 26, 2020. The Company incurred $0.1 million of debt issuance fees that were capitalized and are being amortized over the term of the Loan Agreement.</w:t>
      </w:r>
    </w:p>
    <w:p>
      <w:pPr>
        <w:spacing w:after="0" w:line="1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(a) LIBOR plus 2.50% if a streamline period applies or (b) LIBOR plus 4.00% if a streamline period does not apply. If the Company elects prime, advances bear interest at a rate of (a) prime plus 0.50% if a streamline period applies or (b) prime plus 2.00% if a streamline period does not apply. A streamline period is any period during which an event of default does not exist and the Company's Adjusted Quick Ratio (as defined in the Loan Agreement) is at least 1.05 for each day in the preceding month.</w:t>
      </w:r>
    </w:p>
    <w:p>
      <w:pPr>
        <w:spacing w:after="0" w:line="13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If a streamline period is not in effect, the Company is required to maintain a lockbox arrangement where clients' payments received in the lockbox will immediately reduce the amounts outstanding on the credit facility.</w:t>
      </w:r>
    </w:p>
    <w:p>
      <w:pPr>
        <w:spacing w:after="0" w:line="13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Loan Agreement requires the Company to comply with financial covenants, including a minimum Adjusted Quick Ratio and the achievement of certain Adjusted EBITDA targets. On a monthly basis, or quarterly if there were no advances outstanding during the calendar quarter, the Company is required to maintain a minimum Adjusted Quick Ratio of: (i) 1.00 if the trailing six month Adjusted EBITDA is $0 or less, or (ii) 0.90 if the trailing six month Adjusted EBITDA is greater than $0. If the Company’s Adjusted Quick Ratio is 1.05 or greater, a streamline period applies. As of September 30, 2019, the Company's Adjusted Quick Ratio was 1.15, which is in compliance with its covenant requirement and is higher than the minimum Adjusted Quick Ratio required to qualify for a streamline period. The Company must also maintain the following trailing twelve month Adjusted EBITDA targets as of the end of each quarter as follows: (1) September 30, 2018 through June 30, 2019 Adjusted EBITDA must be within 20% of the Adjusted EBITDA projections that were delivered to Silicon Valley Bank; (2) September 30, 2019 Adjusted EBITDA of $1 or greater; and (3) December 31, 2019 and thereafter, Adjusted EBITDA of $5.0 million or greater. As of September 30, 2019, the Company was in compliance with the Adjusted EBITDA covenant.</w:t>
      </w:r>
    </w:p>
    <w:p>
      <w:pPr>
        <w:spacing w:after="0" w:line="126"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2019, there were no amounts outstanding under the Loan Agreement. Future availability under the credit facility is dependent on several factors including the available borrowing base and compliance with future covenant requirements.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189"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 xml:space="preserve">On October 21, 2019, the Company acquired RTK.io for cash consideration of $11 million. </w:t>
      </w:r>
      <w:r>
        <w:rPr>
          <w:rFonts w:ascii="Arial" w:cs="Arial" w:eastAsia="Arial" w:hAnsi="Arial"/>
          <w:sz w:val="16"/>
          <w:szCs w:val="16"/>
          <w:color w:val="222222"/>
        </w:rPr>
        <w:t>RTK.io is a provider of header bidding solutions that</w:t>
      </w:r>
      <w:r>
        <w:rPr>
          <w:rFonts w:ascii="Arial" w:cs="Arial" w:eastAsia="Arial" w:hAnsi="Arial"/>
          <w:sz w:val="16"/>
          <w:szCs w:val="16"/>
          <w:color w:val="auto"/>
        </w:rPr>
        <w:t xml:space="preserve"> </w:t>
      </w:r>
      <w:r>
        <w:rPr>
          <w:rFonts w:ascii="Arial" w:cs="Arial" w:eastAsia="Arial" w:hAnsi="Arial"/>
          <w:sz w:val="16"/>
          <w:szCs w:val="16"/>
          <w:color w:val="222222"/>
        </w:rPr>
        <w:t xml:space="preserve">have much in common with the Company’s Demand Manager product, including a foundation in Prebid, the advertising technology industry's open source framework. The Company plans to integrate the two solutions to extend its Demand Manager product portfolio and client base, and to add talented header bidding experts and Prebid developers to its team. </w:t>
      </w:r>
      <w:r>
        <w:rPr>
          <w:rFonts w:ascii="Arial" w:cs="Arial" w:eastAsia="Arial" w:hAnsi="Arial"/>
          <w:sz w:val="16"/>
          <w:szCs w:val="16"/>
          <w:color w:val="000000"/>
        </w:rPr>
        <w:t>The initial accounting for the acquisition is expected to be completed by December 31, 2019.</w:t>
      </w: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125" w:right="4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non-GAAP loss per share, profitability, net income (loss), Adjusted EBITDA, earnings per share, and cash flow; strategic objectives, including focus on header bidding, mobile, video, Demand Manager, and private marketplace opportunities; investments in our business; development of our technology;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and expansion of our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benefits from supply path optimization;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3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grow and to manage our growth effectively;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sources of advertising demand and aggregators of advertising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 and to fill the increased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cause buyers and sellers to use our solution to purchase and sell higher value advertising and to expand the use of our solution by buyers and sellers utilizing evolving digital media platforms, including connected television, or CTV;</w:t>
      </w:r>
    </w:p>
    <w:p>
      <w:pPr>
        <w:spacing w:after="0" w:line="35" w:lineRule="exact"/>
        <w:rPr>
          <w:rFonts w:ascii="Arial" w:cs="Arial" w:eastAsia="Arial" w:hAnsi="Arial"/>
          <w:sz w:val="18"/>
          <w:szCs w:val="18"/>
          <w:i w:val="1"/>
          <w:iCs w:val="1"/>
          <w:color w:val="auto"/>
        </w:rPr>
      </w:pPr>
    </w:p>
    <w:p>
      <w:pPr>
        <w:jc w:val="both"/>
        <w:ind w:left="660" w:right="8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 including shifts in digital advertising growth from desktop to mobile channels and other platforms and from display to video formats and the introduction and market acceptance of Demand Manager;</w:t>
      </w:r>
    </w:p>
    <w:p>
      <w:pPr>
        <w:spacing w:after="0" w:line="46" w:lineRule="exact"/>
        <w:rPr>
          <w:rFonts w:ascii="Arial" w:cs="Arial" w:eastAsia="Arial" w:hAnsi="Arial"/>
          <w:sz w:val="18"/>
          <w:szCs w:val="18"/>
          <w:i w:val="1"/>
          <w:iCs w:val="1"/>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header bidding, private marketplace, mobile, video, Demand Manager, and traffic shaping;</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lower fees and take rate and the need to grow through advertising spend increases rather than fee increases;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compensate for a reduced take rate by increasing the volume and/or value of transactions on our platform and increasing our fill rate;</w:t>
      </w:r>
    </w:p>
    <w:p>
      <w:pPr>
        <w:spacing w:after="0" w:line="113" w:lineRule="exact"/>
        <w:rPr>
          <w:rFonts w:ascii="Arial" w:cs="Arial" w:eastAsia="Arial" w:hAnsi="Arial"/>
          <w:sz w:val="16"/>
          <w:szCs w:val="16"/>
          <w:i w:val="1"/>
          <w:iCs w:val="1"/>
          <w:color w:val="auto"/>
        </w:rPr>
      </w:pPr>
    </w:p>
    <w:p>
      <w:pPr>
        <w:ind w:left="66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we incur additional investments in technology required to support the increased volume of transactions on our exchange and development of new offerings;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renew our working capital line of credit;</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 and grow our market share in existing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or cookie-blocking technologies and the slow adoption of common identifiers;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desktop display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growing percentage of online and mobile advertising spending captured by owned and operated sites (such as Facebook, Google, and Amazon);</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20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90" w:lineRule="exact"/>
        <w:rPr>
          <w:rFonts w:ascii="Arial" w:cs="Arial" w:eastAsia="Arial" w:hAnsi="Arial"/>
          <w:sz w:val="18"/>
          <w:szCs w:val="18"/>
          <w:i w:val="1"/>
          <w:iCs w:val="1"/>
          <w:color w:val="auto"/>
        </w:rPr>
      </w:pPr>
    </w:p>
    <w:p>
      <w:pPr>
        <w:ind w:left="660" w:right="54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56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for discounts, fee concessions or revisions, rebates, refunds, favorable payment terms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right="74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2018 and subsequent Quarterly Reports on Form 10-Q.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4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other digital media properties, and their representatives, to sell their digital advertising inventory; applications and services for buyers, including advertisers, agencies, agency trading desks, and demand side platforms, or DSPs, to buy digital advertising inventory; and a marketplace over which such transactions are executed. Together, these features power and enhance a comprehensive, transparent, independent advertising marketplace that brings buyers and sellers together and facilitates intelligent decision making and automated transaction execution for the digital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methods, and allows advertising content to be presented to consumers through different channels. Our solution enables buyers and sellers to purchase and sell:</w:t>
      </w:r>
    </w:p>
    <w:p>
      <w:pPr>
        <w:spacing w:after="0" w:line="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are transacted through real-time bidding, which includes (i) direct sale of premium inventory, which we refer to as private marketplace ("PMP"), and (ii) open auction bidding, which we refer to as open marketplace ("OMP"); and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desktop, and connected TV ("CTV"), as well as across various out-of-home channels, such as digital billboards.</w:t>
      </w:r>
    </w:p>
    <w:p>
      <w:pPr>
        <w:spacing w:after="0" w:line="1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generate revenue from transactions where we provide a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between the Company and the seller and the clearing price of the winning bid. We also refer to revenue divided by advertising spend as our take rate.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Trends in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programmatic digital advertising market continues to experience growth. In October 2019, MAGNA estimated that the global programmatic market (excluding search and social) will grow from $44 billion in 2019 to $75 billion by 2023, which represents a 14% compound annual growth rate over that period. The expansion of the growth is continuously driven by the market need for automated buying and selling of advertising inventory, through various channels and across all formats.</w:t>
      </w:r>
    </w:p>
    <w:p>
      <w:pPr>
        <w:spacing w:after="0" w:line="146"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An ongoing trend in the digital advertising industry is automating inventory transactions through new and developing channels, including mobile, which has market growth rates exceeding those of the desktop channel and is a critical area of operational focus for us. According to MAGNA estimates, mobile advertising is a $26 billion global market in 2019 that is expected to increase to $56 billion by 2023, producing a compound annual growth rate of 22%. Consistent with industry trends, our mobile business is growing faster than desktop. Our mobile revenue increased $17.4 million, or 41%, for the nine months ended September 30, 2019, compared to the nine months ended September 30, 2018, while our desktop revenue increased 18% during the same period. Our mobile business consists of two components, mobile web and mobile applications. Initially our mobile business was built upon mobile web, which is more similar to our desktop business, but our mobile application has become the growth driver behind our mobile business and has shown growth rates in excess of industry projections. Revenue from mobile applications is approximately half of our mobile business.</w:t>
      </w:r>
    </w:p>
    <w:p>
      <w:pPr>
        <w:spacing w:after="0" w:line="12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Another important trend in the digital advertising industry is automating inventory transactions across all formats. We enable an omni-channel approach to expand beyond traditional display advertising and have observed growth trends in emerging formats like video and audio. According to MAGNA estimates, video advertising was $25 billion in 2019 and is projected to increase to $57 billion in 2023, with a compound annual growth rate of 22%. We expect video to be a meaningful driver of our future growth with a longer-term opportunity in connected television, or CTV, advertising as more linear TV budgets shift to programmatic.</w:t>
      </w:r>
    </w:p>
    <w:p>
      <w:pPr>
        <w:spacing w:after="0" w:line="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growth of programmatic advertising is also expanding into geographic markets outside of the United States, and in some markets, the adoption rate of programmatic digital advertising is greater than in the United States. We attribute advertising spend to the geographic location of the seller on whose inventory the advertising spend was directed. Our markets outside of the United States are more heavily built upon desktop display advertising than they are on mobile, and as such are subject to the same factors impacting our desktop business as described below. In addition, as programmatic advertising has grown in markets outside of the United States, we have seen more competitors enter those markets aggressively and gain market share. Another factor impacting our business is that a large share of the growth in digital advertising spending worldwide is being captured by owned and operated sites, such as Facebook, Google, and increasingly Amazon.</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 Trends Impacting Our Business</w:t>
      </w:r>
    </w:p>
    <w:p>
      <w:pPr>
        <w:spacing w:after="0" w:line="90"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In recent years, we have seen an industry-wide slowdown in the growth rate for traditional desktop advertising, and the growth rate for this portion of the market is expected to flatten in future years. According to MAGNA, programmatic desktop advertising is expected to grow at a 1% compound annual growth rate over the 2019-2023 period. This results from the market shift to mobile channels and other emerging formats noted above. These market factors still present long-term growth opportunities as we pursue spend consolidation on our platform; however, in the near term, these trends are dampening our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overall growth rate, because desktop advertising continues to be a meaningful part of our core business, representing 44% of revenue in the first nine months of 2019.</w:t>
      </w:r>
    </w:p>
    <w:p>
      <w:pPr>
        <w:spacing w:after="0" w:line="6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Header bidding, which increases competition for ad inventory by exposing impressions simultaneously to multiple sources of demand in a competitive auction, has been a transformative change in programmatic digital advertising over the last several years. While we initially lagged industry adoption, header bidding now represents more than 80% of our revenue. Header bidding is going through an additional technical evolution from the client side, which involves the browser running the auction, to a server-side solution, in which a server runs the auction and offers the potential for improved performance and speed. We believe that our investments in our client-side header bidding solution, as well as server-side header bidding, have the potential to improve our competitiveness in all markets in future periods. However, we must continue to address certain technical and operational challenges, as described under "Risk Factors" in our Annual Report on Form 10-K for the year ended December 31, 2018, in order to realize our header bidding solution's full potential.</w:t>
      </w:r>
    </w:p>
    <w:p>
      <w:pPr>
        <w:spacing w:after="0" w:line="8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While the rise of header bidding increased revenue for sellers, it also created new challenges. Managing multiple exchanges on the page is technically complex, and in the early days of header bidding this complexity was exacerbated by the lack of independent technology standards. In 2017, we began to address these issues through our support of Prebid, a free and open source suite of software products designed by advertising community developers to enable publishers to implement header bidding on their websites and from within their apps. Despite Prebid’s adoption by a number of the world’s largest sellers, deploying and customizing it still requires dedicated technical resources. In May 2019, we introduced the beta version of Demand Manager, a new service that makes it easy for sellers to deploy, configure, and optimize their own Prebid-based header bidding solutions. This tool allows sellers to more effectively monetize their inventory. On October 21, 2019, we acquired RTK.io for cash consideration of $11 million. </w:t>
      </w:r>
      <w:r>
        <w:rPr>
          <w:rFonts w:ascii="Arial" w:cs="Arial" w:eastAsia="Arial" w:hAnsi="Arial"/>
          <w:sz w:val="16"/>
          <w:szCs w:val="16"/>
          <w:color w:val="222222"/>
        </w:rPr>
        <w:t>RTK.io is a provider of header bidding</w:t>
      </w:r>
      <w:r>
        <w:rPr>
          <w:rFonts w:ascii="Arial" w:cs="Arial" w:eastAsia="Arial" w:hAnsi="Arial"/>
          <w:sz w:val="16"/>
          <w:szCs w:val="16"/>
          <w:color w:val="auto"/>
        </w:rPr>
        <w:t xml:space="preserve"> </w:t>
      </w:r>
      <w:r>
        <w:rPr>
          <w:rFonts w:ascii="Arial" w:cs="Arial" w:eastAsia="Arial" w:hAnsi="Arial"/>
          <w:sz w:val="16"/>
          <w:szCs w:val="16"/>
          <w:color w:val="222222"/>
        </w:rPr>
        <w:t xml:space="preserve">solutions that have much in common with our Demand Manager product, including a foundation in Prebid. We plan to integrate the two solutions to extend its Demand Manager product portfolio and client base, and to add talented header bidding experts and Prebid developers to its team. </w:t>
      </w:r>
      <w:r>
        <w:rPr>
          <w:rFonts w:ascii="Arial" w:cs="Arial" w:eastAsia="Arial" w:hAnsi="Arial"/>
          <w:sz w:val="16"/>
          <w:szCs w:val="16"/>
          <w:color w:val="000000"/>
        </w:rPr>
        <w:t>We believe that adoption of</w:t>
      </w:r>
      <w:r>
        <w:rPr>
          <w:rFonts w:ascii="Arial" w:cs="Arial" w:eastAsia="Arial" w:hAnsi="Arial"/>
          <w:sz w:val="16"/>
          <w:szCs w:val="16"/>
          <w:color w:val="222222"/>
        </w:rPr>
        <w:t xml:space="preserve"> </w:t>
      </w:r>
      <w:r>
        <w:rPr>
          <w:rFonts w:ascii="Arial" w:cs="Arial" w:eastAsia="Arial" w:hAnsi="Arial"/>
          <w:sz w:val="16"/>
          <w:szCs w:val="16"/>
          <w:color w:val="000000"/>
        </w:rPr>
        <w:t>these tools will further strengthen our relationship with sellers and contribute to our future revenue growth.</w:t>
      </w:r>
    </w:p>
    <w:p>
      <w:pPr>
        <w:spacing w:after="0" w:line="6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an effort to capture more inventory for our buyers and deliver better monetization to our sellers, and to provide better transparency and predictability to all our clients, we made first price our default auction dynamic for header bidding transactions in 2018. This means that the first price or highest bid in our auction wins and that first price is passed to the downstream auction. To assist buyers in increasing advertising campaign returns and performance through the utilization of first price auction dynamics, we built and implemented an optional feature at no additional cost, which we call Estimated Market Rate ("EMR").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bid on digital advertising inventory consistent with market values while preserving demand and budget for sellers on our platform. In addition to increasing the rate at which buyers win in our auctions, and the monetization that winning provides to sellers, our first price auction dynamic and EMR solution have contributed to higher CPMs, or cost per ad unit, for our header bidding inventory. While most exchanges had already transitioned to first price auction dynamics, the largest exchange — Google Ad Exchange — recently fully transitioned to first price auction dynamics in September 2019. As part of this transition, Google also removed a feature called last look, whereby it was able to run an auction after all other exchanges had provided their auction results. We believe that these changes will have a neutral to slightly positive impact on our business.</w:t>
      </w:r>
    </w:p>
    <w:p>
      <w:pPr>
        <w:spacing w:after="0" w:line="6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Supply Path Optimization, or SPO, refers to efforts by buyers to consolidate the number of vendors they work with to find the most effective and cost-efficient paths to procure media. This practice emerged in 2018 and continues to gain momentum in 2019. SPO is important to buyers because it can increase the proportion of their advertising that is ultimately spent on working media, with the goal of increasing return on their advertising spending, and can help them gain efficiencies by reducing the number of vendors they work with in a complex ecosystem. There are a number of criteria that buyers use to evaluate supply partners, including transparency, cost, quality of inventory, privacy standards, brand safety, and fraudulent traffic prevention policies. We believe we are well positioned to benefit from supply path optimization in the long run, as a result of our broad inventory supply, buyer tools such as traffic shaping and EMR, which reduce the overall cost of working with us, our transparency, and our brand safety measures.</w:t>
      </w:r>
    </w:p>
    <w:p>
      <w:pPr>
        <w:spacing w:after="0" w:line="5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Ad tech exchange intermediaries like us have experienced market demands for greater transparency and reduced costs from all participants. The fees that we charge, or take rate, have been reduced significantly over the last several years. While we were able to increase take rates slightly over the course of 2018, we do not expect significant further increases in take rates.</w:t>
      </w:r>
    </w:p>
    <w:p>
      <w:pPr>
        <w:spacing w:after="0" w:line="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take rate can be impacted by the type of advertising spend transacted on our platform, OMP or PMP, which carry different rates. OMP fees are higher than PMP, and our overall take rate could change depending on the mix. In addition, any discounts we negotiate with brands or agencies to consolidate spend in exchange for lower seller fees may also impact the average rate we are able to charge. If pressure for reduced costs continue, or if mix changes unfavorably, our revenue growth may be negatively impacted if we are not able to offset the related take rate reductions through increasing the volume of total advertising spend transacted on our platform.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Revenue growth from our traditional desktop display business has benefited from year-over-year take rate increases. Lower industry growth rates in desktop will make growth of desktop revenue more challenging unless we are able to grow market share through SPO or the expansion of additional inventory. Our strategic focus is on growth areas—including mobile, video, PMPs, Demand Manager, and header bidding—that are expected to represent a majority of our revenue in future periods. However, despite our progress in mobile, our traditional desktop display business is expected to continue to represent a significant part of our revenue in the near term. Therefore, the mix of our desktop display business will continue to have a significant effect on our growth until our advertising spend mix has shifted more fully to growth areas.</w:t>
      </w:r>
    </w:p>
    <w:p>
      <w:pPr>
        <w:spacing w:after="0" w:line="13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our revenue growth may be limited.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 Reduction Initiatives</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addition to strategic decisions made to reduce costs paid by our clients on our platform while growing revenue through transaction volume, we have also focused on the cost structure of our business to enable us to compete more effectively. We must operate efficiently to relieve the pressure on our margins and cash resources that has resulted from our price reductions undertaken in 2017, and to compensate for the ongoing investments in technology and data processing capabilities required to support the increased volume of transactions that our growth plans require. As part of these efforts,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are continuously evaluating our costs and pursuing additional cost-control and efficiency opportunities, including increased automation, across all aspects of the Company. However, we anticipate significant increases in ad request volume, and are developing internal tools to manage the volume increases and investing in software architectural improvements, filtering, and cloud services to accelerate innovation and further enable efficiencies.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Uncertainty Resulting from Privacy Regulations</w:t>
      </w:r>
    </w:p>
    <w:p>
      <w:pPr>
        <w:spacing w:after="0" w:line="18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business is highly susceptible to emerging privacy regulations and oversight. In Europe, data protection authorities have started to clarify certain requirements under the European General Data Protection Regulation, or GDPR, but uncertainty remains. Data protection authorities in a number of territories have expressed a desire to focus on the advertising technology ecosystem specifically.</w:t>
      </w:r>
    </w:p>
    <w:p>
      <w:pPr>
        <w:spacing w:after="0" w:line="12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to the GDPR, a number of new privacy regulations will come into effect in 2020. The California legislature passed the California Consumer Privacy Act (CCPA) in 2018, which was signed into law. This regulation imposes new obligations on businesses that handle the personal information of California residents. The obligations imposed will require the Company to devote significant resources towards compliance. Certain requirements remain unclear due to ambiguities in the drafting or incomplete guidance. These ambiguities and resulting impact on our business will need to be resolved over time. In addition, other privacy bills have been introduced at both the state and federal level. In September 2019, a new ballot initiative was introduced in California, which, if passed, would amend the CCPA and impose more stringent requirements on handling the personal information of California residents in 2021. Certain international territories are also imposing new or expanded privacy obligations. For example, Brazil's data protection regulation, the LGPD, will also come into effect in August 2020. In the coming years, we expect further consumer privacy regulation worldwide.</w:t>
      </w:r>
    </w:p>
    <w:p>
      <w:pPr>
        <w:spacing w:after="0" w:line="3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Until prevailing compliance practices standardize, the impact of worldwide privacy regulations on our business and, consequently, our revenue could be negatively impacted.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are regularly reviewed by our chief operating decision maker, principally to make decisions about how we allocate our resources and to measure our consolidated operating performance.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generate revenue from the purchase and sale of digital advertising inventory through our marketplace. We recognize revenue upon the fulfillment of our contractual obligations in connection with a completed transaction, subject to satisfying all other revenue recognition criteria. Our revenue recognition policies are discussed in more detail within Note 3 of the accompanying Notes to the Condensed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9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Our cost of revenue consists primarily of data center costs, bandwidth costs, depreciation and maintenance expense of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supporting our revenue-producing platform, amortization of software costs for the development of our revenue-producing platform, amortization expense associated with acquired developed technologies, personnel costs, facilities-related costs, and cloud computing costs. Personnel costs included in cost of revenue include salaries, bonuses, stock-based compensation, and employee benefit costs,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54"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personnel costs, including stock-based compensation and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our sales organization,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our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4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personnel costs, including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5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consist primarily of employee termination costs,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charges.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related to our credit facility and was insignificant for the nine months ended September 30, 2019 and 2018.</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 and the Euro.</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Provision (benefit) for income taxes consists of federal, state, and foreign income taxes and is primarily the result of the release of a foreign valuation allowance resulting from a change to a cost-plus arrangement for a foreign subsidiary, the domestic valuation allowance, and the tax liability associated with foreign subsidiaries. Due to uncertainty as to the realization of benefits from the predominant portion of our domestic and international net deferred tax assets, including net operating loss carryforwards and research and development tax credits, we have a full valuation allowance reserved against such net deferred tax assets. We intend to continue to maintain a full valuation allowance on our deferred tax assets until there is sufficient evidence to support the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reversal of all or some portion of these allowances. Release of the valuation allowance would result in the recognition of certain net deferred tax assets and a decrease to income tax expense or recognition of a benefit for the period the release is recorded. However, the exact timing and amount of the valuation allowance release are subject to change on the basis of the level of profitability that we are able to achieve.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60" w:type="dxa"/>
            <w:vAlign w:val="bottom"/>
          </w:tcPr>
          <w:p>
            <w:pPr>
              <w:jc w:val="right"/>
              <w:ind w:right="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6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w w:val="98"/>
              </w:rPr>
              <w:t>Favorable/(Unfavorable)</w:t>
            </w:r>
          </w:p>
        </w:tc>
        <w:tc>
          <w:tcPr>
            <w:tcW w:w="12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60" w:type="dxa"/>
            <w:vAlign w:val="bottom"/>
          </w:tcPr>
          <w:p>
            <w:pPr>
              <w:jc w:val="right"/>
              <w:ind w:right="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2"/>
              </w:rPr>
              <w:t>Favorable/(Unfavorable)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660" w:type="dxa"/>
            <w:vAlign w:val="bottom"/>
            <w:gridSpan w:val="2"/>
          </w:tcPr>
          <w:p>
            <w:pPr>
              <w:jc w:val="right"/>
              <w:ind w:right="6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660" w:type="dxa"/>
            <w:vAlign w:val="bottom"/>
            <w:gridSpan w:val="2"/>
          </w:tcPr>
          <w:p>
            <w:pPr>
              <w:jc w:val="right"/>
              <w:ind w:right="6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340" w:type="dxa"/>
            <w:vAlign w:val="bottom"/>
            <w:tcBorders>
              <w:top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36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37,642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29,729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107,928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83,253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40" w:type="dxa"/>
            <w:vAlign w:val="bottom"/>
          </w:tcPr>
          <w:p>
            <w:pPr>
              <w:ind w:left="20"/>
              <w:spacing w:after="0"/>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13,869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14,687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44,514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11,040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10,654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33,151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34,046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Technology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9,299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29,848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29,038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9,121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9,355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29,428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33,340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6"/>
                <w:szCs w:val="16"/>
                <w:color w:val="auto"/>
              </w:rPr>
              <w:t>Total expenses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44,323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43,995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136,497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144,378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380"/>
              <w:spacing w:after="0"/>
              <w:rPr>
                <w:sz w:val="20"/>
                <w:szCs w:val="20"/>
                <w:color w:val="auto"/>
              </w:rPr>
            </w:pPr>
            <w:r>
              <w:rPr>
                <w:rFonts w:ascii="Arial" w:cs="Arial" w:eastAsia="Arial" w:hAnsi="Arial"/>
                <w:sz w:val="16"/>
                <w:szCs w:val="16"/>
                <w:color w:val="auto"/>
              </w:rPr>
              <w:t>Other income, net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(59,359)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380"/>
              <w:spacing w:after="0"/>
              <w:rPr>
                <w:sz w:val="20"/>
                <w:szCs w:val="20"/>
                <w:color w:val="auto"/>
              </w:rPr>
            </w:pPr>
            <w:r>
              <w:rPr>
                <w:rFonts w:ascii="Arial" w:cs="Arial" w:eastAsia="Arial" w:hAnsi="Arial"/>
                <w:sz w:val="16"/>
                <w:szCs w:val="16"/>
                <w:color w:val="auto"/>
              </w:rPr>
              <w:t>Provision (benefit) for income taxes</w:t>
            </w:r>
          </w:p>
        </w:tc>
        <w:tc>
          <w:tcPr>
            <w:tcW w:w="1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1560" w:type="dxa"/>
            <w:vAlign w:val="bottom"/>
          </w:tcPr>
          <w:p>
            <w:pPr>
              <w:jc w:val="right"/>
              <w:ind w:right="146"/>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(59,592)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6"/>
                <w:szCs w:val="16"/>
                <w:color w:val="auto"/>
              </w:rPr>
              <w:t>NM - Not Meaningful</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ectPr>
          <w:pgSz w:w="11900" w:h="16838" w:orient="portrait"/>
          <w:cols w:equalWidth="0" w:num="1">
            <w:col w:w="11420"/>
          </w:cols>
          <w:pgMar w:left="240" w:top="125" w:right="239" w:bottom="1440" w:gutter="0" w:footer="0" w:header="0"/>
        </w:sectPr>
      </w:pPr>
    </w:p>
    <w:p>
      <w:pPr>
        <w:ind w:left="280" w:hanging="238"/>
        <w:spacing w:after="0"/>
        <w:tabs>
          <w:tab w:leader="none" w:pos="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Stock-based compensation expense included in our expenses was as follows: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4"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6"/>
          <w:szCs w:val="16"/>
          <w:color w:val="auto"/>
        </w:rPr>
        <w:t>Cost of revenue</w:t>
      </w:r>
    </w:p>
    <w:p>
      <w:pPr>
        <w:spacing w:after="0" w:line="99" w:lineRule="exact"/>
        <w:rPr>
          <w:rFonts w:ascii="Arial" w:cs="Arial" w:eastAsia="Arial" w:hAnsi="Arial"/>
          <w:sz w:val="14"/>
          <w:szCs w:val="14"/>
          <w:color w:val="auto"/>
        </w:rPr>
      </w:pPr>
    </w:p>
    <w:p>
      <w:pPr>
        <w:ind w:left="280" w:right="2800"/>
        <w:spacing w:after="0" w:line="397" w:lineRule="auto"/>
        <w:rPr>
          <w:rFonts w:ascii="Arial" w:cs="Arial" w:eastAsia="Arial" w:hAnsi="Arial"/>
          <w:sz w:val="14"/>
          <w:szCs w:val="14"/>
          <w:color w:val="auto"/>
        </w:rPr>
      </w:pPr>
      <w:r>
        <w:rPr>
          <w:rFonts w:ascii="Arial" w:cs="Arial" w:eastAsia="Arial" w:hAnsi="Arial"/>
          <w:sz w:val="14"/>
          <w:szCs w:val="14"/>
          <w:color w:val="auto"/>
        </w:rPr>
        <w:t>Sales and marketing Technology and development General and administrative Restructuring and other exit costs</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6"/>
          <w:szCs w:val="16"/>
          <w:color w:val="auto"/>
        </w:rPr>
        <w:t>Total stock-based 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16"/>
                <w:szCs w:val="16"/>
                <w:color w:val="auto"/>
              </w:rPr>
            </w:pPr>
          </w:p>
        </w:tc>
      </w:tr>
      <w:tr>
        <w:trPr>
          <w:trHeight w:val="264"/>
        </w:trPr>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44"/>
        </w:trPr>
        <w:tc>
          <w:tcPr>
            <w:tcW w:w="44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21"/>
                <w:szCs w:val="21"/>
                <w:color w:val="auto"/>
              </w:rPr>
            </w:pPr>
          </w:p>
        </w:tc>
      </w:tr>
      <w:tr>
        <w:trPr>
          <w:trHeight w:val="249"/>
        </w:trPr>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1"/>
                <w:szCs w:val="21"/>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1"/>
                <w:szCs w:val="21"/>
                <w:color w:val="auto"/>
              </w:rPr>
            </w:pPr>
          </w:p>
        </w:tc>
        <w:tc>
          <w:tcPr>
            <w:tcW w:w="68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256</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1,378</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4,182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3,530</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1,157</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3,382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2,163</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2,068</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1,910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6,005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6,669</w:t>
            </w:r>
          </w:p>
        </w:tc>
      </w:tr>
      <w:tr>
        <w:trPr>
          <w:trHeight w:val="270"/>
        </w:trPr>
        <w:tc>
          <w:tcPr>
            <w:tcW w:w="44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398</w:t>
            </w:r>
          </w:p>
        </w:tc>
      </w:tr>
      <w:tr>
        <w:trPr>
          <w:trHeight w:val="33"/>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4,713</w:t>
            </w:r>
          </w:p>
        </w:tc>
        <w:tc>
          <w:tcPr>
            <w:tcW w:w="120" w:type="dxa"/>
            <w:vAlign w:val="bottom"/>
          </w:tcPr>
          <w:p>
            <w:pPr>
              <w:spacing w:after="0"/>
              <w:rPr>
                <w:sz w:val="18"/>
                <w:szCs w:val="18"/>
                <w:color w:val="auto"/>
              </w:rPr>
            </w:pP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3,860</w:t>
            </w:r>
          </w:p>
        </w:tc>
        <w:tc>
          <w:tcPr>
            <w:tcW w:w="120" w:type="dxa"/>
            <w:vAlign w:val="bottom"/>
          </w:tcPr>
          <w:p>
            <w:pPr>
              <w:spacing w:after="0"/>
              <w:rPr>
                <w:sz w:val="18"/>
                <w:szCs w:val="18"/>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13,877</w:t>
            </w:r>
          </w:p>
        </w:tc>
        <w:tc>
          <w:tcPr>
            <w:tcW w:w="100" w:type="dxa"/>
            <w:vAlign w:val="bottom"/>
          </w:tcPr>
          <w:p>
            <w:pPr>
              <w:spacing w:after="0"/>
              <w:rPr>
                <w:sz w:val="18"/>
                <w:szCs w:val="18"/>
                <w:color w:val="auto"/>
              </w:rPr>
            </w:pPr>
          </w:p>
        </w:tc>
        <w:tc>
          <w:tcPr>
            <w:tcW w:w="68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13,016</w:t>
            </w:r>
          </w:p>
        </w:tc>
      </w:tr>
      <w:tr>
        <w:trPr>
          <w:trHeight w:val="33"/>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-1054100</wp:posOffset>
            </wp:positionV>
            <wp:extent cx="72377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-711200</wp:posOffset>
            </wp:positionV>
            <wp:extent cx="72377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-368300</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360"/>
            <w:col w:w="5800"/>
          </w:cols>
          <w:pgMar w:left="240" w:top="125"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(2) Depreciation and amortization expense included in our expenses was as follows:</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56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44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7,737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8,271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23,540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24,785</w:t>
            </w:r>
          </w:p>
        </w:tc>
      </w:tr>
      <w:tr>
        <w:trPr>
          <w:trHeight w:val="237"/>
        </w:trPr>
        <w:tc>
          <w:tcPr>
            <w:tcW w:w="560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44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455</w:t>
            </w:r>
          </w:p>
        </w:tc>
      </w:tr>
      <w:tr>
        <w:trPr>
          <w:trHeight w:val="33"/>
        </w:trPr>
        <w:tc>
          <w:tcPr>
            <w:tcW w:w="5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r>
      <w:tr>
        <w:trPr>
          <w:trHeight w:val="237"/>
        </w:trPr>
        <w:tc>
          <w:tcPr>
            <w:tcW w:w="560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44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432</w:t>
            </w:r>
          </w:p>
        </w:tc>
      </w:tr>
      <w:tr>
        <w:trPr>
          <w:trHeight w:val="33"/>
        </w:trPr>
        <w:tc>
          <w:tcPr>
            <w:tcW w:w="5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 expense</w:t>
            </w:r>
          </w:p>
        </w:tc>
        <w:tc>
          <w:tcPr>
            <w:tcW w:w="44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8,027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24,841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26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2018</w:t>
            </w: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2019</w:t>
            </w:r>
          </w:p>
        </w:tc>
        <w:tc>
          <w:tcPr>
            <w:tcW w:w="1440" w:type="dxa"/>
            <w:vAlign w:val="bottom"/>
          </w:tcPr>
          <w:p>
            <w:pPr>
              <w:jc w:val="right"/>
              <w:ind w:right="31"/>
              <w:spacing w:after="0"/>
              <w:rPr>
                <w:sz w:val="20"/>
                <w:szCs w:val="20"/>
                <w:color w:val="auto"/>
              </w:rPr>
            </w:pPr>
            <w:r>
              <w:rPr>
                <w:rFonts w:ascii="Arial" w:cs="Arial" w:eastAsia="Arial" w:hAnsi="Arial"/>
                <w:sz w:val="14"/>
                <w:szCs w:val="14"/>
                <w:b w:val="1"/>
                <w:bCs w:val="1"/>
                <w:color w:val="auto"/>
                <w:w w:val="99"/>
              </w:rPr>
              <w:t>September 30, 2018</w:t>
            </w:r>
          </w:p>
        </w:tc>
      </w:tr>
      <w:tr>
        <w:trPr>
          <w:trHeight w:val="250"/>
        </w:trPr>
        <w:tc>
          <w:tcPr>
            <w:tcW w:w="5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Revenue</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Cost of revenue</w:t>
            </w:r>
          </w:p>
        </w:tc>
        <w:tc>
          <w:tcPr>
            <w:tcW w:w="1460" w:type="dxa"/>
            <w:vAlign w:val="bottom"/>
          </w:tcPr>
          <w:p>
            <w:pPr>
              <w:jc w:val="right"/>
              <w:ind w:right="17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53</w:t>
            </w:r>
          </w:p>
        </w:tc>
      </w:tr>
      <w:tr>
        <w:trPr>
          <w:trHeight w:val="27"/>
        </w:trPr>
        <w:tc>
          <w:tcPr>
            <w:tcW w:w="5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4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41</w:t>
            </w: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Technology and development</w:t>
            </w:r>
          </w:p>
        </w:tc>
        <w:tc>
          <w:tcPr>
            <w:tcW w:w="1460" w:type="dxa"/>
            <w:vAlign w:val="bottom"/>
          </w:tcPr>
          <w:p>
            <w:pPr>
              <w:jc w:val="right"/>
              <w:ind w:right="17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35</w:t>
            </w:r>
          </w:p>
        </w:tc>
      </w:tr>
      <w:tr>
        <w:trPr>
          <w:trHeight w:val="27"/>
        </w:trPr>
        <w:tc>
          <w:tcPr>
            <w:tcW w:w="5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Restructuring and other exit costs</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4</w:t>
            </w:r>
          </w:p>
        </w:tc>
      </w:tr>
      <w:tr>
        <w:trPr>
          <w:trHeight w:val="27"/>
        </w:trPr>
        <w:tc>
          <w:tcPr>
            <w:tcW w:w="52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expenses</w:t>
            </w:r>
          </w:p>
        </w:tc>
        <w:tc>
          <w:tcPr>
            <w:tcW w:w="14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173</w:t>
            </w:r>
          </w:p>
        </w:tc>
      </w:tr>
      <w:tr>
        <w:trPr>
          <w:trHeight w:val="237"/>
        </w:trPr>
        <w:tc>
          <w:tcPr>
            <w:tcW w:w="5260" w:type="dxa"/>
            <w:vAlign w:val="bottom"/>
          </w:tcPr>
          <w:p>
            <w:pPr>
              <w:ind w:left="260"/>
              <w:spacing w:after="0"/>
              <w:rPr>
                <w:sz w:val="20"/>
                <w:szCs w:val="20"/>
                <w:color w:val="auto"/>
              </w:rPr>
            </w:pPr>
            <w:r>
              <w:rPr>
                <w:rFonts w:ascii="Arial" w:cs="Arial" w:eastAsia="Arial" w:hAnsi="Arial"/>
                <w:sz w:val="18"/>
                <w:szCs w:val="18"/>
                <w:color w:val="auto"/>
              </w:rPr>
              <w:t>Loss from operations</w:t>
            </w:r>
          </w:p>
        </w:tc>
        <w:tc>
          <w:tcPr>
            <w:tcW w:w="14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(73)</w:t>
            </w:r>
          </w:p>
        </w:tc>
      </w:tr>
      <w:tr>
        <w:trPr>
          <w:trHeight w:val="27"/>
        </w:trPr>
        <w:tc>
          <w:tcPr>
            <w:tcW w:w="5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income, net</w:t>
            </w:r>
          </w:p>
        </w:tc>
        <w:tc>
          <w:tcPr>
            <w:tcW w:w="14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r>
      <w:tr>
        <w:trPr>
          <w:trHeight w:val="237"/>
        </w:trPr>
        <w:tc>
          <w:tcPr>
            <w:tcW w:w="526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14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(71)</w:t>
            </w:r>
          </w:p>
        </w:tc>
      </w:tr>
      <w:tr>
        <w:trPr>
          <w:trHeight w:val="27"/>
        </w:trPr>
        <w:tc>
          <w:tcPr>
            <w:tcW w:w="5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Provision (benefit) for income taxes</w:t>
            </w:r>
          </w:p>
        </w:tc>
        <w:tc>
          <w:tcPr>
            <w:tcW w:w="1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r>
      <w:tr>
        <w:trPr>
          <w:trHeight w:val="27"/>
        </w:trPr>
        <w:tc>
          <w:tcPr>
            <w:tcW w:w="52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2019 and 2018</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Revenue increased $7.9 million, or 27%, for the three months ended September 30, 2019 compared to the three months ended September 30, 2018. For the nine months ended September 30, 2019, revenue increased $24.7 million, or 30%, compared to the prior year period. Our revenue growth for the three and nine months ended September 30, 2019 was driven by ongoing increases in advertising spend transacted on our platform and by increases in take rate, or the fee we earn on advertising spend, with the majority of take rate increases having occurred in 2018.</w:t>
      </w:r>
    </w:p>
    <w:p>
      <w:pPr>
        <w:spacing w:after="0" w:line="3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Revenue is impacted by shifts in the mix of advertising spend by transaction type and channel, changes in the fees we charge for our services, and other factors such as changes in the market, our execution of the business, and competition. In addition, an increase in PMP transactions as a percentage of the transactions on our platform could also result in reduced revenue, if not offset by increased volume, because PMP transactions can carry lower fees than OMP transactions. Industry dynamics are challenging due to market and competitive pressures and make it difficult to predict the near-term effect of our growth initiatives. While we anticipate long-term benefits from these initiatives, unless we are able to continue to increase advertising spend on our platform, through higher transaction volumes or higher transaction values or both, our revenue growth may be limited. We expect that revenue in the fourth quarter of 2019 will increase, which is consistent with normal fourth quarter seasonal patterns. However, because take rates in 2019 have been and are expected to be roughly equivalent to those in the fourth quarter of 2018, we expect that year-over-year revenue growth in the fourth quarter of 2019 will be driven primarily by ad spend growth. As a result, the year-over-year percentage revenue growth in the fourth quarter of 2019 will likely be lower than the year-over-year percentage growth rates achieved through the first nine months of 2019.</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Cost of revenue decreased $0.8 million or 6% for the three months ended September 30, 2019 compared to the three months ended September 30, 2018. For the nine months ended September 30, 2019, cost of revenue decreased $0.4 million, or 1%, compared to the prior year period.</w:t>
      </w:r>
    </w:p>
    <w:p>
      <w:pPr>
        <w:spacing w:after="0" w:line="8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cost of revenue to be lower in absolute dollars in 2019 compared to 2018, and to continue to decline slightly for the remainder of 2019 as we have continued our focus on infrastructure serving efficiency.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 We are expanding select data center operations to cloud service providers to accelerate innovation and gain efficiencies, and to support the growth of our business. We expect an increase in cost of revenue expenses over the long term as a result.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Sales and marketing expenses increased $0.4 million, or 4%, for the three months ended September 30, 2019 compared to the three months ended September 30, 2018, primarily due to an increase in personnel costs.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nine months ended September 30, 2019, sales and marketing expenses decreased $0.9 million, or 3%, compared to the prior year period. The decrease was primarily due to the benefit of the prior year's cost control initiatives.</w:t>
      </w:r>
    </w:p>
    <w:p>
      <w:pPr>
        <w:spacing w:after="0" w:line="13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expect sales and marketing expenses to decline slightly in 2019 compared to 2018, and remain flat through the end of 2019. Sales and marketing expense may fluctuate quarter to quarter and period to period, on an absolute dollar basis and as a percentage of revenue, based on revenue levels, the timing of our investments and seasonality in our industry and business.</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Technology and development expenses increased by $1.0 million, or 11%, for the three months ended September 30, 2019 compared to the three months ended September 30, 2018, primarily due to an increase of $1.3 million in personnel costs.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nine months ended September 30, 2019, technology and development expenses increased $0.8 million, or 3%, compared to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expect technology and development expense to increase in 2019 compared to 2018, with small increases in the fourth quarter of 2019 as we make strategic headcount additions to focus on the engineering aspect of our new developments, including Demand Manager and other initiatives.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these investments, the timing and the rate of the amortization of capitalized projects and the timing and amounts of future capitalized internal use software development costs.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General and administrative expenses decreased by $0.2 million, or 3%, for the three months ended September 30, 2019 compared to the three months ended September 30, 2018. The decrease is primarily due to the benefit of the prior year's cost control initiatives.</w:t>
      </w:r>
    </w:p>
    <w:p>
      <w:pPr>
        <w:spacing w:after="0" w:line="106"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For the nine months ended September 30, 2019, general and administrative expenses decreased $3.9 million, or 12%, compared to the prior year period, primarily due to a $2.0 million decrease in personnel costs as a result of our 2018 cost control initiatives and professional services fees, which decreased $1.5 million in the current year period.</w:t>
      </w:r>
    </w:p>
    <w:p>
      <w:pPr>
        <w:spacing w:after="0" w:line="141"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We expect general and administrative expenses to decrease in 2019 compared to 2018 as a result of our prior year cost control initiatives. 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part of our on-going evaluation of efficiency and implementation of cost-control measures, during the first quarter of 2018 we undertook measures to reduce headcount by approximately 100 people, or 19% of our workforce, and to reduce other operating costs. Our actions included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nine months ended September 30, 2018, we incurred restructuring and other exit costs of $3.4 million for severance and other one-time employee termination benefits related to headcount reductions that were made in the first quarter of 2018 (see Note 8 to the condensed consolidated financial statements). There were no restructuring and other exit costs incurred during the three months ended September 30, 2018, or during the three and nine months ended September 30, 2019. All remaining accrued costs as of December 31, 2018 associated with the 2018 restructuring events were paid in the first quarter of 2019.</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2019</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r>
      <w:tr>
        <w:trPr>
          <w:trHeight w:val="249"/>
        </w:trPr>
        <w:tc>
          <w:tcPr>
            <w:tcW w:w="56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21"/>
                <w:szCs w:val="21"/>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 net</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exchange gain, net</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w:t>
            </w:r>
          </w:p>
        </w:tc>
      </w:tr>
      <w:tr>
        <w:trPr>
          <w:trHeight w:val="20"/>
        </w:trPr>
        <w:tc>
          <w:tcPr>
            <w:tcW w:w="5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Foreign exchange gain, net is impacted by movements in exchange rates and the amount of foreign currency-denominated receivables and payables, which are impacted by our billings to buyers and payments to sellers. During the three and nine months ended September 30, 2019, the net foreign exchange gain was primarily attributable to the currency movements between the British Pound and the European Euro relative to the U.S. Dollar.</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recorded an income tax expense of $0.1 million and an income tax benefit of $0.6 million for the three and nine months ended September 30, 2019, respectively, and income tax expenses of $0.1 million and $0.2 million for the three and nine months ended September 30, 2018, respectively. The tax provision for the three and nine months ended September 30, 2019 is primarily the result of the release of a foreign valuation allowance resulting from a change to a cost-plus arrangement for a foreign subsidiary, the domestic valuation allowance, and the tax liability associated with foreign subsidiaries.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principal sources of liquidity are our cash and cash equivalents, marketable securities, cash generated from operations, and our credit facility with Silicon Valley Bank ("SVB"). At September 30, 2019, we had cash and cash equivalents of $85.1 million, of which $12.1 million was held in foreign currency cash accounts.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w:t>
      </w:r>
    </w:p>
    <w:p>
      <w:pPr>
        <w:spacing w:after="0" w:line="3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2018, we amended and restated our loan and security agreement with SVB (the "Loan Agreement"). The Loan Agreement provides a senior secured revolving credit facility of up to $40.0 million with a maturity date of September 26, 2020. Pursuant to the Loan Agreement, we are required to comply with financial covenants. While we are currently in compliance with these covenants, this could change in the future depending on our operating results.</w:t>
      </w:r>
    </w:p>
    <w:p>
      <w:pPr>
        <w:spacing w:after="0" w:line="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At September 30, 2019, we had no amounts outstanding under our Loan Agreement with SVB. Future availability under the credit facility is dependent on several factors including the available borrowing base and compliance with future covenant requirements. See Note 12 of "Notes to Condensed Consolidated Financial Statements" for additional information regarding the Loan Agreement.</w:t>
      </w:r>
    </w:p>
    <w:p>
      <w:pPr>
        <w:spacing w:after="0" w:line="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believe our existing cash and cash equivalents and investment balances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Some buyers have been demanding longer terms to pay us later and some sellers have been demanding shorter terms to collect from us earlier. We may not have the leverage to resist these demands given the competitive nature of our business. If this continues, more of our cash will be required to fund our payment cycle and therefore not available for other uses. Some buyers have also began experiencing financial difficulty and have been forced into filing for bankruptcy protection, and we may be forced to pay sellers even if we are unable to collect from buyers. Our future capital requirements and the adequacy of available funds will depend on many factors, including those set forth in Part II, Item 1A: "Risk Factors" of our Annual Report on Form 10-K for the year ended December 31, 2018 and in Part II, Item 1A of our subsequent Quarterly Reports on Form 10-Q.</w:t>
      </w:r>
    </w:p>
    <w:p>
      <w:pPr>
        <w:spacing w:after="0" w:line="12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ability to renew our existing credit facility, which matures in September 2020, or to enter into a new credit facility to replace or supplement the existing facility may be limited due to various factors, including the status of our business, global credit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market conditions, and perceptions of our business or industry by sources of financing. In particular, it may be difficult to renew or replace our existing credit facility if we are not able to demonstrate a path to consistently produce positive cash flow. In addition, even if credit is available, lenders may seek more restrictive covenants and higher interest rates that may reduce our borrowing capacity, increase our costs, and reduce our operating flexibility.</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5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September 30, 2018</w:t>
            </w:r>
          </w:p>
        </w:tc>
      </w:tr>
      <w:tr>
        <w:trPr>
          <w:trHeight w:val="250"/>
        </w:trPr>
        <w:tc>
          <w:tcPr>
            <w:tcW w:w="7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(22,552)</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Cash flows (used in) provided by investing activities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28,844</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4,670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5,712</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cash flows from operating activities are primarily driven by revenues generated from advertising activity, offset by the cash costs of operations, and significantly influenced by increases or decreases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5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For the nine months ended September 30, 2019, net cash provided by operating activities was $9.8 million compared to net cash used in operating activities of $22.6 million for the nine months ended September 30, 2018. Our operating activities included our net losses of $27.0 million and $59.6 million for the nine months ended September 30, 2019 and 2018, respectively, which were offset by non-cash adjustments of $38.1 million and $39.2 million, respectively. In the first three quarters of 2019, net changes in our working capital reduced cash provided by operating activities by $1.3 million. Net cash used in operating activities for the first three quarters of 2018 was increased by a net decrease in our working capital of $2.1 million. The net changes in working capital for both periods are primarily due to the timing of cash receipts from buyers and the timing of payments to sellers.</w:t>
      </w:r>
    </w:p>
    <w:p>
      <w:pPr>
        <w:spacing w:after="0" w:line="43" w:lineRule="exact"/>
        <w:rPr>
          <w:sz w:val="20"/>
          <w:szCs w:val="20"/>
          <w:color w:val="auto"/>
        </w:rPr>
      </w:pPr>
    </w:p>
    <w:p>
      <w:pPr>
        <w:ind w:left="660" w:right="900"/>
        <w:spacing w:after="0" w:line="399" w:lineRule="auto"/>
        <w:rPr>
          <w:sz w:val="20"/>
          <w:szCs w:val="20"/>
          <w:color w:val="auto"/>
        </w:rPr>
      </w:pPr>
      <w:r>
        <w:rPr>
          <w:rFonts w:ascii="Arial" w:cs="Arial" w:eastAsia="Arial" w:hAnsi="Arial"/>
          <w:sz w:val="18"/>
          <w:szCs w:val="18"/>
          <w:color w:val="auto"/>
        </w:rPr>
        <w:t xml:space="preserve">We believe that cash flows from operations will continue to be negatively impacted by our ongoing net losses and working capital needs. </w:t>
      </w:r>
      <w:r>
        <w:rPr>
          <w:rFonts w:ascii="Arial" w:cs="Arial" w:eastAsia="Arial" w:hAnsi="Arial"/>
          <w:sz w:val="18"/>
          <w:szCs w:val="18"/>
          <w:b w:val="1"/>
          <w:bCs w:val="1"/>
          <w:i w:val="1"/>
          <w:iCs w:val="1"/>
          <w:color w:val="auto"/>
        </w:rPr>
        <w:t>Investing Activities</w:t>
      </w:r>
    </w:p>
    <w:p>
      <w:pPr>
        <w:spacing w:after="0" w:line="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 As we execute on our strategy to be a high volume, low cost advertising exchange, we are developing solutions to manage the growth of our digital advertising inventory volume more efficiently. We anticipate investment in internal use software development to remain relatively consistent with past years' investment levels as we continue to innovate new solutions on our platform. As the business continues to grow, we expect our investment in property and equipment to slightly increase compared to 2018. Historically, a majority of our purchases in property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 Investments in, and maturities of, available-for-sale securities and acquisitions of businesses vary from period-to-period.</w:t>
      </w:r>
    </w:p>
    <w:p>
      <w:pPr>
        <w:spacing w:after="0" w:line="3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nine months ended September 30, 2019 and 2018, our investing activities used net cash of $4.1 million and provided net cash of $28.8 million, respectively. For the nine months ended September 30, 2019 and 2018, we had net maturities of investments in available-for-sale securities of $7.5 million and $31.7 million, respectively. In addition, we had cash inflows of $9.2 million during the nine months ended September 30, 2018 related to sales of available-for-sale securities. These cash inflows were offset by purchases of property and equipment of $5.6 million and $5.5 million during the nine months ended September 30, 2019 and 2018, respectively, and investments in our internally developed software of $6.0 million and $6.6 million, respectively.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9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For the nine months ended September 30, 2019 and 2018, we used net cash of $0.8 million and $0.5 million, respectively, for financing activities. Cash outflows from financing activities for the nine months ended September 30, 2019 and 2018 included payments of $1.8 million and $0.7 million, respectively, for income tax deposits paid in respect of vesting of stock-based compensation awards that were reimbursed by the award recipients through surrender of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have any relationships with other entities or financial partnerships, such as entities often referred to as structured finance or special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purpose entities that have been established for the purpose of facilitating off-balance sheet arrangements or other contractually narrow or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purposes. We did not have any other off-balance sheet arrangements at September 30, 2019 other than the short-term operating leases and the indemnification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9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principal commitments consist of leases for our various office facilities, including our corporate headquarters in Los Angeles, California, and operating lease agreements including data centers that expire at various times through 2030. At September 30, 2019, expected future commitments relating to operating leases associated with leases included in the lease liability and ROU asset on the condensed consolidated balance sheet were $26.9 million. See Note 11 of "Notes to Condensed Consolidated Financial Statements" for our lease commitment for each of the next five years and thereafter. In certain cases, the terms of the lease agreements provide for rental payments on a graduated basis. We received rental income from subleases totaling $48.4 thousand and $0.2 million for the three and nine months ended September 30, 2019, respectively.</w:t>
      </w:r>
    </w:p>
    <w:p>
      <w:pPr>
        <w:spacing w:after="0" w:line="4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nine months ended September 30, 2019 and we do not expect to have any significant changes to unrecognized tax benefits through December 31, 2019.</w:t>
      </w:r>
    </w:p>
    <w:p>
      <w:pPr>
        <w:spacing w:after="0" w:line="3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September 30,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6"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intangible asset impairment analysis, (iv) assumptions used in the valuation models to determine the fair value of stock options and stock-based compensation expense, (v) the assumptions used in the valuation of acquired assets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and liabilities in business combinations, and (vi) income taxes, including the realization of tax assets and estimates of tax liabilities. There have been no significant changes in our accounting policies from those disclosed in our audited consolidated financial statements and notes thereto for the year ended December 31, 2018 included in our Annual Report on Form 10-K.</w:t>
      </w:r>
    </w:p>
    <w:p>
      <w:pPr>
        <w:spacing w:after="0" w:line="46" w:lineRule="exact"/>
        <w:rPr>
          <w:sz w:val="20"/>
          <w:szCs w:val="20"/>
          <w:color w:val="auto"/>
        </w:rPr>
      </w:pPr>
    </w:p>
    <w:p>
      <w:pPr>
        <w:ind w:left="660" w:right="440"/>
        <w:spacing w:after="0" w:line="399"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generate revenue from transactions where we provide a platform for the purchase and sale of digital advertising inventory. Our advertising automation solution is a marketplace that includes sellers of inventory (providers of websites, mobile applications and other digital media properties, and their representatives) and buyers of inventory (including advertisers, agencies, agency trading desks, and demand-side platforms). This solution incorporates proprietary machine-learning algorithms, sophisticated data processing, high-volume storage, detailed analytics capabilities, and a distributed infrastructure. Together, these features form the basis for our automated advertising solution that brings buyers and sellers together and facilitates intelligent decision-making and automated transaction execution for the digital advertising inventory managed on our platform.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14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8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have determined that we do not act as the principal in the purchase and sale of digital advertising inventory because we are not the primary obligor and do not set prices agreed upon within the auction marketplace, and therefore we report revenue on a net basis.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2019, our disclosure controls and procedures were effective at the reasonable assurance level.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September 30, 2019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September 30, 2019. However, based on our knowledge as of September 30, 2019,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Investing in our common stock involves a high degree of risk. We describe risks associated with our business in Part I, Item 1A of our Annual Report on Form 10-K for the year ended December 31, 2018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 There are no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660" w:right="7680" w:hanging="4"/>
        <w:spacing w:after="0" w:line="371" w:lineRule="auto"/>
        <w:tabs>
          <w:tab w:leader="none" w:pos="91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Recent Sales of Unregistered Securities </w:t>
      </w:r>
      <w:r>
        <w:rPr>
          <w:rFonts w:ascii="Arial" w:cs="Arial" w:eastAsia="Arial" w:hAnsi="Arial"/>
          <w:sz w:val="18"/>
          <w:szCs w:val="18"/>
          <w:color w:val="auto"/>
        </w:rPr>
        <w:t>None.</w:t>
      </w:r>
    </w:p>
    <w:p>
      <w:pPr>
        <w:spacing w:after="0" w:line="48" w:lineRule="exact"/>
        <w:rPr>
          <w:rFonts w:ascii="Arial" w:cs="Arial" w:eastAsia="Arial" w:hAnsi="Arial"/>
          <w:sz w:val="18"/>
          <w:szCs w:val="18"/>
          <w:i w:val="1"/>
          <w:iCs w:val="1"/>
          <w:color w:val="auto"/>
        </w:rPr>
      </w:pPr>
    </w:p>
    <w:p>
      <w:pPr>
        <w:ind w:left="920" w:hanging="264"/>
        <w:spacing w:after="0"/>
        <w:tabs>
          <w:tab w:leader="none" w:pos="9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September 30, 2019, all of the proceeds from our initial public offering of common stock effected through a Registration Statement on Form S-1 (File No. 333-193739) have been applied as described in our final prospectus filed with the SEC pursuant to Rule 424(b) of the Securities Act and other period reports previously filed with the SEC.</w:t>
      </w:r>
    </w:p>
    <w:p>
      <w:pPr>
        <w:spacing w:after="0" w:line="141" w:lineRule="exact"/>
        <w:rPr>
          <w:sz w:val="20"/>
          <w:szCs w:val="20"/>
          <w:color w:val="auto"/>
        </w:rPr>
      </w:pPr>
    </w:p>
    <w:p>
      <w:pPr>
        <w:ind w:left="660" w:right="5220" w:hanging="4"/>
        <w:spacing w:after="0" w:line="387" w:lineRule="auto"/>
        <w:tabs>
          <w:tab w:leader="none" w:pos="90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spacing w:after="0" w:line="1"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 There were no repurchases of common stock during the three months ended September 30, 2019.</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58"/>
        </w:trPr>
        <w:tc>
          <w:tcPr>
            <w:tcW w:w="230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8"/>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Sixth Amended and Restated Certificate of Incorporation of the Registrant (incorporated by reference to Exhibit 3.1 to the</w:t>
              </w:r>
            </w:hyperlink>
          </w:p>
        </w:tc>
        <w:tc>
          <w:tcPr>
            <w:tcW w:w="160" w:type="dxa"/>
            <w:vAlign w:val="bottom"/>
            <w:gridSpan w:val="2"/>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Registrant's Quarterly Report on Form 10-Q filed with the Commission on May 15, 2014).</w:t>
              </w:r>
            </w:hyperlink>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tcBorders>
              <w:bottom w:val="single" w:sz="8" w:color="0000FF"/>
            </w:tcBorders>
            <w:gridSpan w:val="5"/>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Amended and Restated Bylaws of the Registrant (incorporated by reference to Exhibit 3.1 to the Registrant's Current</w:t>
              </w:r>
            </w:hyperlink>
          </w:p>
        </w:tc>
        <w:tc>
          <w:tcPr>
            <w:tcW w:w="540" w:type="dxa"/>
            <w:vAlign w:val="bottom"/>
            <w:gridSpan w:val="5"/>
          </w:tcPr>
          <w:p>
            <w:pPr>
              <w:spacing w:after="0"/>
              <w:rPr>
                <w:sz w:val="21"/>
                <w:szCs w:val="2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Report on Form 8-K filed with the Commission on April 8, 2016).</w:t>
              </w:r>
            </w:hyperlink>
          </w:p>
        </w:tc>
        <w:tc>
          <w:tcPr>
            <w:tcW w:w="4180" w:type="dxa"/>
            <w:vAlign w:val="bottom"/>
            <w:gridSpan w:val="8"/>
          </w:tcPr>
          <w:p>
            <w:pPr>
              <w:spacing w:after="0"/>
              <w:rPr>
                <w:sz w:val="17"/>
                <w:szCs w:val="17"/>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0000FF"/>
                <w:w w:val="92"/>
              </w:rPr>
              <w:t>Certification of Principal Executive Officer Pursuant to Exchange Act Rules 13a-14(a) and 15d-14(a), as adopted pursuant</w:t>
            </w: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tcBorders>
            <w:gridSpan w:val="9"/>
          </w:tcPr>
          <w:p>
            <w:pPr>
              <w:spacing w:after="0" w:line="196" w:lineRule="exact"/>
              <w:rPr>
                <w:sz w:val="20"/>
                <w:szCs w:val="20"/>
                <w:color w:val="auto"/>
              </w:rPr>
            </w:pPr>
            <w:r>
              <w:rPr>
                <w:rFonts w:ascii="Arial" w:cs="Arial" w:eastAsia="Arial" w:hAnsi="Arial"/>
                <w:sz w:val="18"/>
                <w:szCs w:val="18"/>
                <w:color w:val="0000FF"/>
              </w:rPr>
              <w:t>to Section 302 of the Sarbanes-Oxley Act of 2002.</w:t>
            </w:r>
          </w:p>
        </w:tc>
        <w:tc>
          <w:tcPr>
            <w:tcW w:w="140" w:type="dxa"/>
            <w:vAlign w:val="bottom"/>
          </w:tcPr>
          <w:p>
            <w:pPr>
              <w:spacing w:after="0"/>
              <w:rPr>
                <w:sz w:val="17"/>
                <w:szCs w:val="17"/>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Certification of Principal Financial Officer Pursuant to Exchange Act Rules 13a-14(a) and 15d-14(a), as adopted pursuant</w:t>
            </w:r>
          </w:p>
        </w:tc>
        <w:tc>
          <w:tcPr>
            <w:tcW w:w="180" w:type="dxa"/>
            <w:vAlign w:val="bottom"/>
            <w:gridSpan w:val="3"/>
          </w:tcPr>
          <w:p>
            <w:pPr>
              <w:spacing w:after="0"/>
              <w:rPr>
                <w:sz w:val="21"/>
                <w:szCs w:val="2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sz w:val="20"/>
                <w:szCs w:val="20"/>
                <w:color w:val="auto"/>
              </w:rPr>
            </w:pPr>
            <w:r>
              <w:rPr>
                <w:rFonts w:ascii="Arial" w:cs="Arial" w:eastAsia="Arial" w:hAnsi="Arial"/>
                <w:sz w:val="18"/>
                <w:szCs w:val="18"/>
                <w:color w:val="0000FF"/>
              </w:rPr>
              <w:t>to Section 302 of the Sarbanes-Oxley Act of 2002.</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50"/>
        </w:trPr>
        <w:tc>
          <w:tcPr>
            <w:tcW w:w="2300" w:type="dxa"/>
            <w:vAlign w:val="bottom"/>
          </w:tcPr>
          <w:p>
            <w:pPr>
              <w:ind w:left="40"/>
              <w:spacing w:after="0" w:line="250" w:lineRule="exact"/>
              <w:rPr>
                <w:sz w:val="20"/>
                <w:szCs w:val="20"/>
                <w:color w:val="auto"/>
              </w:rPr>
            </w:pPr>
            <w:r>
              <w:rPr>
                <w:rFonts w:ascii="Arial" w:cs="Arial" w:eastAsia="Arial" w:hAnsi="Arial"/>
                <w:sz w:val="18"/>
                <w:szCs w:val="18"/>
                <w:color w:val="auto"/>
              </w:rPr>
              <w:t>32*</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Certification of the Principal Executive Officer and Principal Financial Officer Pursuant to 18 U.S.C. Section 1350, as</w:t>
            </w:r>
          </w:p>
        </w:tc>
        <w:tc>
          <w:tcPr>
            <w:tcW w:w="440" w:type="dxa"/>
            <w:vAlign w:val="bottom"/>
            <w:gridSpan w:val="4"/>
          </w:tcPr>
          <w:p>
            <w:pPr>
              <w:spacing w:after="0"/>
              <w:rPr>
                <w:sz w:val="21"/>
                <w:szCs w:val="2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gridSpan w:val="10"/>
          </w:tcPr>
          <w:p>
            <w:pPr>
              <w:spacing w:after="0" w:line="196" w:lineRule="exact"/>
              <w:rPr>
                <w:sz w:val="20"/>
                <w:szCs w:val="20"/>
                <w:color w:val="auto"/>
              </w:rPr>
            </w:pPr>
            <w:r>
              <w:rPr>
                <w:rFonts w:ascii="Arial" w:cs="Arial" w:eastAsia="Arial" w:hAnsi="Arial"/>
                <w:sz w:val="18"/>
                <w:szCs w:val="18"/>
                <w:color w:val="0000FF"/>
              </w:rPr>
              <w:t>adopted pursuant to Section 906 of the Sarbanes-Oxley Act of 2002.</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3"/>
            <w:shd w:val="clear" w:color="auto" w:fill="0000FF"/>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r>
      <w:tr>
        <w:trPr>
          <w:trHeight w:val="276"/>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w w:val="97"/>
              </w:rPr>
              <w:t>Instance Document- the instance document does not appear in the Interactive Data File because its XBRL tags are</w:t>
            </w: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20"/>
                <w:szCs w:val="20"/>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3"/>
                <w:szCs w:val="23"/>
                <w:color w:val="auto"/>
              </w:rPr>
            </w:pPr>
          </w:p>
        </w:tc>
        <w:tc>
          <w:tcPr>
            <w:tcW w:w="8960" w:type="dxa"/>
            <w:vAlign w:val="bottom"/>
            <w:gridSpan w:val="10"/>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500" w:right="80" w:hanging="492"/>
        <w:spacing w:after="0" w:line="232" w:lineRule="auto"/>
        <w:tabs>
          <w:tab w:leader="none" w:pos="50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67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Duly Authorized Officer)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November 6, 2019</w:t>
      </w:r>
    </w:p>
    <w:p>
      <w:pPr>
        <w:sectPr>
          <w:pgSz w:w="11900" w:h="16838" w:orient="portrait"/>
          <w:cols w:equalWidth="0" w:num="1">
            <w:col w:w="10940"/>
          </w:cols>
          <w:pgMar w:left="240" w:top="125" w:right="71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3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25" w:lineRule="exact"/>
        <w:rPr>
          <w:rFonts w:ascii="Arial" w:cs="Arial" w:eastAsia="Arial" w:hAnsi="Arial"/>
          <w:sz w:val="18"/>
          <w:szCs w:val="18"/>
          <w:color w:val="auto"/>
        </w:rPr>
      </w:pPr>
    </w:p>
    <w:p>
      <w:pPr>
        <w:ind w:left="1300" w:right="240" w:hanging="644"/>
        <w:spacing w:after="0" w:line="355"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1300" w:right="40" w:hanging="644"/>
        <w:spacing w:after="0" w:line="28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800" w:right="440" w:hanging="495"/>
        <w:spacing w:after="0" w:line="261" w:lineRule="auto"/>
        <w:tabs>
          <w:tab w:leader="none" w:pos="18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ind w:left="1800" w:right="160" w:hanging="495"/>
        <w:spacing w:after="0" w:line="261" w:lineRule="auto"/>
        <w:tabs>
          <w:tab w:leader="none" w:pos="18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1800" w:hanging="495"/>
        <w:spacing w:after="0" w:line="275" w:lineRule="auto"/>
        <w:tabs>
          <w:tab w:leader="none" w:pos="18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6"/>
          <w:szCs w:val="16"/>
          <w:color w:val="auto"/>
        </w:rPr>
      </w:pPr>
    </w:p>
    <w:p>
      <w:pPr>
        <w:ind w:left="1800" w:right="40" w:hanging="495"/>
        <w:spacing w:after="0" w:line="261" w:lineRule="auto"/>
        <w:tabs>
          <w:tab w:leader="none" w:pos="18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1300" w:right="420" w:hanging="644"/>
        <w:spacing w:after="0" w:line="315"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7"/>
          <w:szCs w:val="17"/>
          <w:color w:val="auto"/>
        </w:rPr>
      </w:pPr>
    </w:p>
    <w:p>
      <w:pPr>
        <w:ind w:left="1800" w:right="340" w:hanging="495"/>
        <w:spacing w:after="0" w:line="275" w:lineRule="auto"/>
        <w:tabs>
          <w:tab w:leader="none" w:pos="18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6"/>
          <w:szCs w:val="16"/>
          <w:color w:val="auto"/>
        </w:rPr>
      </w:pPr>
    </w:p>
    <w:p>
      <w:pPr>
        <w:ind w:left="1800" w:right="300" w:hanging="455"/>
        <w:spacing w:after="0" w:line="275" w:lineRule="auto"/>
        <w:tabs>
          <w:tab w:leader="none" w:pos="1800" w:val="left"/>
        </w:tabs>
        <w:numPr>
          <w:ilvl w:val="2"/>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ind w:left="4020"/>
        <w:spacing w:after="0"/>
        <w:tabs>
          <w:tab w:leader="none" w:pos="678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43815</wp:posOffset>
            </wp:positionV>
            <wp:extent cx="2255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0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1120"/>
        <w:spacing w:after="0"/>
        <w:tabs>
          <w:tab w:leader="none" w:pos="7340" w:val="left"/>
        </w:tabs>
        <w:rPr>
          <w:sz w:val="20"/>
          <w:szCs w:val="20"/>
          <w:color w:val="auto"/>
        </w:rPr>
      </w:pPr>
      <w:r>
        <w:rPr>
          <w:rFonts w:ascii="Arial" w:cs="Arial" w:eastAsia="Arial" w:hAnsi="Arial"/>
          <w:sz w:val="16"/>
          <w:szCs w:val="16"/>
          <w:color w:val="auto"/>
        </w:rPr>
        <w:t>Date November 6, 2019</w:t>
      </w:r>
      <w:r>
        <w:rPr>
          <w:sz w:val="20"/>
          <w:szCs w:val="20"/>
          <w:color w:val="auto"/>
        </w:rPr>
        <w:tab/>
      </w:r>
      <w:r>
        <w:rPr>
          <w:rFonts w:ascii="Arial" w:cs="Arial" w:eastAsia="Arial" w:hAnsi="Arial"/>
          <w:sz w:val="15"/>
          <w:szCs w:val="15"/>
          <w:color w:val="auto"/>
        </w:rPr>
        <w:t>(Principal Executive Officer)</w:t>
      </w:r>
    </w:p>
    <w:p>
      <w:pPr>
        <w:sectPr>
          <w:pgSz w:w="11900" w:h="16838" w:orient="portrait"/>
          <w:cols w:equalWidth="0" w:num="1">
            <w:col w:w="11420"/>
          </w:cols>
          <w:pgMar w:left="240" w:top="58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1100" w:hanging="6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960" w:right="240" w:hanging="482"/>
        <w:spacing w:after="0" w:line="355"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960" w:right="40" w:hanging="482"/>
        <w:spacing w:after="0" w:line="281"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8"/>
          <w:szCs w:val="18"/>
          <w:color w:val="auto"/>
        </w:rPr>
      </w:pPr>
    </w:p>
    <w:p>
      <w:pPr>
        <w:ind w:left="960" w:hanging="482"/>
        <w:spacing w:after="0" w:line="27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620" w:right="280" w:hanging="493"/>
        <w:spacing w:after="0" w:line="279"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620" w:right="560" w:hanging="493"/>
        <w:spacing w:after="0" w:line="279"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620" w:right="720" w:hanging="493"/>
        <w:spacing w:after="0" w:line="355"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620" w:right="20" w:hanging="493"/>
        <w:spacing w:after="0" w:line="279"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960" w:right="420" w:hanging="482"/>
        <w:spacing w:after="0" w:line="310" w:lineRule="auto"/>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620" w:right="180" w:hanging="331"/>
        <w:spacing w:after="0" w:line="281" w:lineRule="auto"/>
        <w:tabs>
          <w:tab w:leader="none" w:pos="1620" w:val="left"/>
        </w:tabs>
        <w:numPr>
          <w:ilvl w:val="2"/>
          <w:numId w:val="15"/>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8"/>
          <w:szCs w:val="18"/>
          <w:color w:val="auto"/>
        </w:rPr>
      </w:pPr>
    </w:p>
    <w:p>
      <w:pPr>
        <w:ind w:left="1620" w:right="140" w:hanging="331"/>
        <w:spacing w:after="0" w:line="281" w:lineRule="auto"/>
        <w:tabs>
          <w:tab w:leader="none" w:pos="1620" w:val="left"/>
        </w:tabs>
        <w:numPr>
          <w:ilvl w:val="2"/>
          <w:numId w:val="15"/>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tbl>
      <w:tblPr>
        <w:tblLayout w:type="fixed"/>
        <w:tblInd w:w="780" w:type="dxa"/>
        <w:tblCellMar>
          <w:top w:w="0" w:type="dxa"/>
          <w:left w:w="0" w:type="dxa"/>
          <w:bottom w:w="0" w:type="dxa"/>
          <w:right w:w="0" w:type="dxa"/>
        </w:tblCellMar>
      </w:tblPr>
      <w:tr>
        <w:trPr>
          <w:trHeight w:val="206"/>
        </w:trPr>
        <w:tc>
          <w:tcPr>
            <w:tcW w:w="5660" w:type="dxa"/>
            <w:vAlign w:val="bottom"/>
          </w:tcPr>
          <w:p>
            <w:pPr>
              <w:ind w:left="2900"/>
              <w:spacing w:after="0"/>
              <w:rPr>
                <w:sz w:val="20"/>
                <w:szCs w:val="20"/>
                <w:color w:val="auto"/>
              </w:rPr>
            </w:pPr>
            <w:r>
              <w:rPr>
                <w:rFonts w:ascii="Arial" w:cs="Arial" w:eastAsia="Arial" w:hAnsi="Arial"/>
                <w:sz w:val="16"/>
                <w:szCs w:val="16"/>
                <w:color w:val="auto"/>
              </w:rPr>
              <w:t>Signature:</w:t>
            </w:r>
          </w:p>
        </w:tc>
        <w:tc>
          <w:tcPr>
            <w:tcW w:w="3540" w:type="dxa"/>
            <w:vAlign w:val="bottom"/>
          </w:tcPr>
          <w:p>
            <w:pPr>
              <w:ind w:left="20"/>
              <w:spacing w:after="0"/>
              <w:rPr>
                <w:sz w:val="20"/>
                <w:szCs w:val="20"/>
                <w:color w:val="auto"/>
              </w:rPr>
            </w:pPr>
            <w:r>
              <w:rPr>
                <w:rFonts w:ascii="Arial" w:cs="Arial" w:eastAsia="Arial" w:hAnsi="Arial"/>
                <w:sz w:val="16"/>
                <w:szCs w:val="16"/>
                <w:color w:val="auto"/>
              </w:rPr>
              <w:t>/s/ David Day</w:t>
            </w:r>
          </w:p>
        </w:tc>
      </w:tr>
      <w:tr>
        <w:trPr>
          <w:trHeight w:val="47"/>
        </w:trPr>
        <w:tc>
          <w:tcPr>
            <w:tcW w:w="566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40"/>
        </w:trPr>
        <w:tc>
          <w:tcPr>
            <w:tcW w:w="5660" w:type="dxa"/>
            <w:vAlign w:val="bottom"/>
          </w:tcPr>
          <w:p>
            <w:pPr>
              <w:spacing w:after="0"/>
              <w:rPr>
                <w:sz w:val="20"/>
                <w:szCs w:val="20"/>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David Day</w:t>
            </w:r>
          </w:p>
        </w:tc>
      </w:tr>
      <w:tr>
        <w:trPr>
          <w:trHeight w:val="203"/>
        </w:trPr>
        <w:tc>
          <w:tcPr>
            <w:tcW w:w="5660" w:type="dxa"/>
            <w:vAlign w:val="bottom"/>
          </w:tcPr>
          <w:p>
            <w:pPr>
              <w:spacing w:after="0"/>
              <w:rPr>
                <w:sz w:val="17"/>
                <w:szCs w:val="17"/>
                <w:color w:val="auto"/>
              </w:rPr>
            </w:pPr>
          </w:p>
        </w:tc>
        <w:tc>
          <w:tcPr>
            <w:tcW w:w="3540" w:type="dxa"/>
            <w:vAlign w:val="bottom"/>
          </w:tcPr>
          <w:p>
            <w:pPr>
              <w:ind w:left="760"/>
              <w:spacing w:after="0"/>
              <w:rPr>
                <w:sz w:val="20"/>
                <w:szCs w:val="20"/>
                <w:color w:val="auto"/>
              </w:rPr>
            </w:pPr>
            <w:r>
              <w:rPr>
                <w:rFonts w:ascii="Arial" w:cs="Arial" w:eastAsia="Arial" w:hAnsi="Arial"/>
                <w:sz w:val="16"/>
                <w:szCs w:val="16"/>
                <w:color w:val="auto"/>
              </w:rPr>
              <w:t>Chief Financial Officer</w:t>
            </w: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Date November 6, 2019</w:t>
            </w:r>
          </w:p>
        </w:tc>
        <w:tc>
          <w:tcPr>
            <w:tcW w:w="3540" w:type="dxa"/>
            <w:vAlign w:val="bottom"/>
          </w:tcPr>
          <w:p>
            <w:pPr>
              <w:ind w:left="76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1080"/>
          </w:cols>
          <w:pgMar w:left="580" w:top="58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w:t>
      </w:r>
    </w:p>
    <w:p>
      <w:pPr>
        <w:spacing w:after="0" w:line="397" w:lineRule="exact"/>
        <w:rPr>
          <w:sz w:val="20"/>
          <w:szCs w:val="20"/>
          <w:color w:val="auto"/>
        </w:rPr>
      </w:pPr>
    </w:p>
    <w:p>
      <w:pPr>
        <w:jc w:val="center"/>
        <w:ind w:left="980" w:right="100"/>
        <w:spacing w:after="0" w:line="386"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374" w:lineRule="exact"/>
        <w:rPr>
          <w:sz w:val="20"/>
          <w:szCs w:val="20"/>
          <w:color w:val="auto"/>
        </w:rPr>
      </w:pPr>
    </w:p>
    <w:p>
      <w:pPr>
        <w:jc w:val="both"/>
        <w:ind w:right="36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93" w:lineRule="exact"/>
        <w:rPr>
          <w:sz w:val="20"/>
          <w:szCs w:val="20"/>
          <w:color w:val="auto"/>
        </w:rPr>
      </w:pPr>
    </w:p>
    <w:p>
      <w:pPr>
        <w:ind w:left="660" w:right="320" w:hanging="328"/>
        <w:spacing w:after="0" w:line="40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September 30, 2019, to which this certification is attached as Exhibit 32 (the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Michael Barrett</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43815</wp:posOffset>
            </wp:positionV>
            <wp:extent cx="2324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7"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David Day</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332" w:lineRule="exact"/>
        <w:rPr>
          <w:sz w:val="20"/>
          <w:szCs w:val="20"/>
          <w:color w:val="auto"/>
        </w:rPr>
      </w:pPr>
    </w:p>
    <w:p>
      <w:pPr>
        <w:ind w:right="360"/>
        <w:spacing w:after="0" w:line="423" w:lineRule="auto"/>
        <w:rPr>
          <w:sz w:val="20"/>
          <w:szCs w:val="20"/>
          <w:color w:val="auto"/>
        </w:rPr>
      </w:pPr>
      <w:r>
        <w:rPr>
          <w:rFonts w:ascii="Arial" w:cs="Arial" w:eastAsia="Arial" w:hAnsi="Arial"/>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310"/>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4">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Archives/edgar/data/1595974/000159597414000004/rubi20140331exhibit31.htm" TargetMode="External"/><Relationship Id="rId13" Type="http://schemas.openxmlformats.org/officeDocument/2006/relationships/hyperlink" Target="http://www.sec.gov/Archives/edgar/data/1595974/000162828016014095/ex31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2019-12-28T02:49:07Z</dcterms:created>
  <dcterms:modified xsi:type="dcterms:W3CDTF">2019-12-28T02:49:07Z</dcterms:modified>
</cp:coreProperties>
</file>