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4736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7364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Evans Katie Seitz</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MAGNITE,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BROADWAY,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MAGNITE,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MGNI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1"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91"/>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4"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700" w:type="dxa"/>
            <w:vAlign w:val="bottom"/>
            <w:gridSpan w:val="8"/>
          </w:tcPr>
          <w:p>
            <w:pPr>
              <w:ind w:left="140"/>
              <w:spacing w:after="0" w:line="143" w:lineRule="exact"/>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2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NY</w:t>
            </w:r>
          </w:p>
        </w:tc>
        <w:tc>
          <w:tcPr>
            <w:tcW w:w="880" w:type="dxa"/>
            <w:vAlign w:val="bottom"/>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10001</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4280" w:type="dxa"/>
            <w:vAlign w:val="bottom"/>
            <w:tcBorders>
              <w:bottom w:val="single" w:sz="8" w:color="2C2C2C"/>
            </w:tcBorders>
            <w:gridSpan w:val="10"/>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01/01/2023</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4"/>
              </w:rPr>
              <w:t>113,821</w:t>
            </w:r>
            <w:r>
              <w:rPr>
                <w:rFonts w:ascii="Times New Roman" w:cs="Times New Roman" w:eastAsia="Times New Roman" w:hAnsi="Times New Roman"/>
                <w:sz w:val="21"/>
                <w:szCs w:val="21"/>
                <w:color w:val="008000"/>
                <w:w w:val="94"/>
                <w:vertAlign w:val="superscript"/>
              </w:rPr>
              <w:t>(1)</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(2)</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493,434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8"/>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01/01/2023</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40,602</w:t>
            </w:r>
          </w:p>
        </w:tc>
        <w:tc>
          <w:tcPr>
            <w:tcW w:w="320" w:type="dxa"/>
            <w:vAlign w:val="bottom"/>
          </w:tcPr>
          <w:p>
            <w:pPr>
              <w:spacing w:after="0"/>
              <w:rPr>
                <w:sz w:val="20"/>
                <w:szCs w:val="20"/>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8"/>
              </w:rPr>
              <w:t>40,602</w:t>
            </w:r>
          </w:p>
        </w:tc>
        <w:tc>
          <w:tcPr>
            <w:tcW w:w="60" w:type="dxa"/>
            <w:vAlign w:val="bottom"/>
          </w:tcPr>
          <w:p>
            <w:pPr>
              <w:spacing w:after="0"/>
              <w:rPr>
                <w:sz w:val="20"/>
                <w:szCs w:val="20"/>
                <w:color w:val="auto"/>
              </w:rPr>
            </w:pPr>
          </w:p>
        </w:tc>
        <w:tc>
          <w:tcPr>
            <w:tcW w:w="680" w:type="dxa"/>
            <w:vAlign w:val="bottom"/>
            <w:gridSpan w:val="2"/>
          </w:tcPr>
          <w:p>
            <w:pPr>
              <w:ind w:left="80"/>
              <w:spacing w:after="0" w:line="2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r>
              <w:rPr>
                <w:rFonts w:ascii="Times New Roman" w:cs="Times New Roman" w:eastAsia="Times New Roman" w:hAnsi="Times New Roman"/>
                <w:sz w:val="21"/>
                <w:szCs w:val="21"/>
                <w:color w:val="008000"/>
                <w:vertAlign w:val="superscript"/>
              </w:rPr>
              <w:t>(2)</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40,602</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as follows: 30,826 on February 15, 2024, 7,114 on each May 15, August 15, November 15, and February 15 thereafter until November 15, 2026 and 4,741 on February 15, 2027, subject to continued service to the Issuer through each vesting date. This equity grant may be subject to accelerated vesting in the event the Reporting Person's employment is terminated under certain circumstances.</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Equity grant under the Company's 2014 Equity Incentive Plan.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 vesting one share of the Issuer's common stock.</w:t>
      </w:r>
    </w:p>
    <w:p>
      <w:pPr>
        <w:spacing w:after="0" w:line="42" w:lineRule="exact"/>
        <w:rPr>
          <w:rFonts w:ascii="Times New Roman" w:cs="Times New Roman" w:eastAsia="Times New Roman" w:hAnsi="Times New Roman"/>
          <w:sz w:val="13"/>
          <w:szCs w:val="13"/>
          <w:color w:val="008000"/>
        </w:rPr>
      </w:pPr>
    </w:p>
    <w:p>
      <w:pPr>
        <w:ind w:left="40" w:right="4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the PSU will be determined based on the Issuer's total stockholder return ("TSR") for the three-year period beginning on the grant date of the award relative to the TSRs of the companies in the Russell 2000 index over that period. The number of PSUs reported in column 5 reflects the target number of PSUs subject to the award. The award is eligible to vest as to 0% to 150% of the target number of PSUs.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Saltz, attorney-in-fact 01/04/2023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8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4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00262" TargetMode="External"/><Relationship Id="rId13"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2023-01-04T18:33:54Z</dcterms:created>
  <dcterms:modified xsi:type="dcterms:W3CDTF">2023-01-04T18:33:54Z</dcterms:modified>
</cp:coreProperties>
</file>