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3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0"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(Mark One)</w:t>
      </w:r>
    </w:p>
    <w:p>
      <w:pPr>
        <w:spacing w:after="0" w:line="224" w:lineRule="exact"/>
        <w:rPr>
          <w:sz w:val="24"/>
          <w:szCs w:val="24"/>
          <w:color w:val="auto"/>
        </w:rPr>
      </w:pPr>
    </w:p>
    <w:p>
      <w:pPr>
        <w:ind w:left="1360" w:hanging="195"/>
        <w:spacing w:after="0"/>
        <w:tabs>
          <w:tab w:leader="none" w:pos="1360" w:val="left"/>
        </w:tabs>
        <w:numPr>
          <w:ilvl w:val="0"/>
          <w:numId w:val="1"/>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0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 the quarterly period ended March 31, 2022</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OR</w:t>
      </w:r>
    </w:p>
    <w:p>
      <w:pPr>
        <w:spacing w:after="0" w:line="6" w:lineRule="exact"/>
        <w:rPr>
          <w:sz w:val="24"/>
          <w:szCs w:val="24"/>
          <w:color w:val="auto"/>
        </w:rPr>
      </w:pPr>
    </w:p>
    <w:p>
      <w:pPr>
        <w:jc w:val="center"/>
        <w:ind w:left="3260" w:right="1120" w:hanging="2123"/>
        <w:spacing w:after="0" w:line="274" w:lineRule="auto"/>
        <w:tabs>
          <w:tab w:leader="none" w:pos="1343"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For the transition period from _____________ to _____________</w:t>
      </w:r>
    </w:p>
    <w:p>
      <w:pPr>
        <w:spacing w:after="0" w:line="1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Commission File Number: 001-36384</w:t>
      </w:r>
    </w:p>
    <w:p>
      <w:pPr>
        <w:spacing w:after="0" w:line="32"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MAGNITE, INC.</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8"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__________________</w:t>
      </w:r>
    </w:p>
    <w:p>
      <w:pPr>
        <w:spacing w:after="0" w:line="120" w:lineRule="exact"/>
        <w:rPr>
          <w:sz w:val="24"/>
          <w:szCs w:val="24"/>
          <w:color w:val="auto"/>
        </w:rPr>
      </w:pPr>
    </w:p>
    <w:p>
      <w:pPr>
        <w:ind w:left="1860"/>
        <w:spacing w:after="0"/>
        <w:tabs>
          <w:tab w:leader="none" w:pos="8580" w:val="left"/>
        </w:tabs>
        <w:rPr>
          <w:sz w:val="20"/>
          <w:szCs w:val="20"/>
          <w:color w:val="auto"/>
        </w:rPr>
      </w:pPr>
      <w:r>
        <w:rPr>
          <w:rFonts w:ascii="Times New Roman" w:cs="Times New Roman" w:eastAsia="Times New Roman" w:hAnsi="Times New Roman"/>
          <w:sz w:val="17"/>
          <w:szCs w:val="17"/>
          <w:b w:val="1"/>
          <w:bCs w:val="1"/>
          <w:color w:val="auto"/>
        </w:rPr>
        <w:t>Delaware</w:t>
      </w:r>
      <w:r>
        <w:rPr>
          <w:sz w:val="20"/>
          <w:szCs w:val="20"/>
          <w:color w:val="auto"/>
        </w:rPr>
        <w:tab/>
      </w:r>
      <w:r>
        <w:rPr>
          <w:rFonts w:ascii="Times New Roman" w:cs="Times New Roman" w:eastAsia="Times New Roman" w:hAnsi="Times New Roman"/>
          <w:sz w:val="17"/>
          <w:szCs w:val="17"/>
          <w:b w:val="1"/>
          <w:bCs w:val="1"/>
          <w:color w:val="auto"/>
        </w:rPr>
        <w:t>20-8881738</w:t>
      </w:r>
    </w:p>
    <w:p>
      <w:pPr>
        <w:spacing w:after="0" w:line="19" w:lineRule="exact"/>
        <w:rPr>
          <w:sz w:val="24"/>
          <w:szCs w:val="24"/>
          <w:color w:val="auto"/>
        </w:rPr>
      </w:pPr>
    </w:p>
    <w:p>
      <w:pPr>
        <w:ind w:left="640"/>
        <w:spacing w:after="0"/>
        <w:tabs>
          <w:tab w:leader="none" w:pos="7740" w:val="left"/>
        </w:tabs>
        <w:rPr>
          <w:sz w:val="20"/>
          <w:szCs w:val="20"/>
          <w:color w:val="auto"/>
        </w:rPr>
      </w:pPr>
      <w:r>
        <w:rPr>
          <w:rFonts w:ascii="Times New Roman" w:cs="Times New Roman" w:eastAsia="Times New Roman" w:hAnsi="Times New Roman"/>
          <w:sz w:val="17"/>
          <w:szCs w:val="17"/>
          <w:color w:val="auto"/>
        </w:rPr>
        <w:t>(State or other jurisdiction of incorporation or</w:t>
      </w:r>
      <w:r>
        <w:rPr>
          <w:sz w:val="20"/>
          <w:szCs w:val="20"/>
          <w:color w:val="auto"/>
        </w:rPr>
        <w:tab/>
      </w:r>
      <w:r>
        <w:rPr>
          <w:rFonts w:ascii="Times New Roman" w:cs="Times New Roman" w:eastAsia="Times New Roman" w:hAnsi="Times New Roman"/>
          <w:sz w:val="17"/>
          <w:szCs w:val="17"/>
          <w:color w:val="auto"/>
        </w:rPr>
        <w:t>(I.R.S. Employer Identification No.)</w:t>
      </w:r>
    </w:p>
    <w:p>
      <w:pPr>
        <w:ind w:left="1760"/>
        <w:spacing w:after="0"/>
        <w:rPr>
          <w:sz w:val="20"/>
          <w:szCs w:val="20"/>
          <w:color w:val="auto"/>
        </w:rPr>
      </w:pPr>
      <w:r>
        <w:rPr>
          <w:rFonts w:ascii="Times New Roman" w:cs="Times New Roman" w:eastAsia="Times New Roman" w:hAnsi="Times New Roman"/>
          <w:sz w:val="17"/>
          <w:szCs w:val="17"/>
          <w:color w:val="auto"/>
        </w:rPr>
        <w:t>organization)</w:t>
      </w:r>
    </w:p>
    <w:p>
      <w:pPr>
        <w:spacing w:after="0" w:line="1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1250 Broadway, 15th Floor</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10001</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(Address of principal executive offices, including zip code)</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pacing w:after="0" w:line="30" w:lineRule="exact"/>
        <w:rPr>
          <w:sz w:val="24"/>
          <w:szCs w:val="24"/>
          <w:color w:val="auto"/>
        </w:rPr>
      </w:pPr>
    </w:p>
    <w:p>
      <w:pPr>
        <w:ind w:left="5500" w:hanging="415"/>
        <w:spacing w:after="0"/>
        <w:tabs>
          <w:tab w:leader="none" w:pos="5500"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243-2769</w:t>
      </w:r>
    </w:p>
    <w:p>
      <w:pPr>
        <w:spacing w:after="0" w:line="81" w:lineRule="exact"/>
        <w:rPr>
          <w:rFonts w:ascii="Times New Roman" w:cs="Times New Roman" w:eastAsia="Times New Roman" w:hAnsi="Times New Roman"/>
          <w:sz w:val="17"/>
          <w:szCs w:val="17"/>
          <w:b w:val="1"/>
          <w:bCs w:val="1"/>
          <w:color w:val="auto"/>
        </w:rPr>
      </w:pPr>
    </w:p>
    <w:p>
      <w:pPr>
        <w:ind w:left="50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______________</w:t>
      </w: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Securities registered pursuant to Section 12(b) of the Act:</w:t>
      </w:r>
    </w:p>
    <w:p>
      <w:pPr>
        <w:spacing w:after="0" w:line="141" w:lineRule="exact"/>
        <w:rPr>
          <w:sz w:val="24"/>
          <w:szCs w:val="24"/>
          <w:color w:val="auto"/>
        </w:rPr>
      </w:pPr>
    </w:p>
    <w:p>
      <w:pPr>
        <w:ind w:left="1440"/>
        <w:spacing w:after="0"/>
        <w:tabs>
          <w:tab w:leader="none" w:pos="4460" w:val="left"/>
          <w:tab w:leader="none" w:pos="7160" w:val="left"/>
        </w:tabs>
        <w:rPr>
          <w:sz w:val="20"/>
          <w:szCs w:val="20"/>
          <w:color w:val="auto"/>
        </w:rPr>
      </w:pPr>
      <w:r>
        <w:rPr>
          <w:rFonts w:ascii="Times New Roman" w:cs="Times New Roman" w:eastAsia="Times New Roman" w:hAnsi="Times New Roman"/>
          <w:sz w:val="17"/>
          <w:szCs w:val="17"/>
          <w:color w:val="auto"/>
        </w:rPr>
        <w:t>Title of each class</w:t>
      </w:r>
      <w:r>
        <w:rPr>
          <w:sz w:val="20"/>
          <w:szCs w:val="20"/>
          <w:color w:val="auto"/>
        </w:rPr>
        <w:tab/>
      </w:r>
      <w:r>
        <w:rPr>
          <w:rFonts w:ascii="Times New Roman" w:cs="Times New Roman" w:eastAsia="Times New Roman" w:hAnsi="Times New Roman"/>
          <w:sz w:val="17"/>
          <w:szCs w:val="17"/>
          <w:color w:val="auto"/>
        </w:rPr>
        <w:t>Trading Symbol(s)</w:t>
      </w:r>
      <w:r>
        <w:rPr>
          <w:sz w:val="20"/>
          <w:szCs w:val="20"/>
          <w:color w:val="auto"/>
        </w:rPr>
        <w:tab/>
      </w:r>
      <w:r>
        <w:rPr>
          <w:rFonts w:ascii="Times New Roman" w:cs="Times New Roman" w:eastAsia="Times New Roman" w:hAnsi="Times New Roman"/>
          <w:sz w:val="17"/>
          <w:szCs w:val="17"/>
          <w:color w:val="auto"/>
        </w:rPr>
        <w:t>Name of each exchange on which registered</w:t>
      </w:r>
    </w:p>
    <w:p>
      <w:pPr>
        <w:spacing w:after="0" w:line="30" w:lineRule="exact"/>
        <w:rPr>
          <w:sz w:val="24"/>
          <w:szCs w:val="24"/>
          <w:color w:val="auto"/>
        </w:rPr>
      </w:pPr>
    </w:p>
    <w:p>
      <w:pPr>
        <w:ind w:left="400"/>
        <w:spacing w:after="0"/>
        <w:tabs>
          <w:tab w:leader="none" w:pos="4880" w:val="left"/>
          <w:tab w:leader="none" w:pos="7600" w:val="left"/>
        </w:tabs>
        <w:rPr>
          <w:sz w:val="20"/>
          <w:szCs w:val="20"/>
          <w:color w:val="auto"/>
        </w:rPr>
      </w:pPr>
      <w:r>
        <w:rPr>
          <w:rFonts w:ascii="Times New Roman" w:cs="Times New Roman" w:eastAsia="Times New Roman" w:hAnsi="Times New Roman"/>
          <w:sz w:val="17"/>
          <w:szCs w:val="17"/>
          <w:b w:val="1"/>
          <w:bCs w:val="1"/>
          <w:color w:val="auto"/>
        </w:rPr>
        <w:t>Common stock, par value $0.00001 per share</w:t>
      </w:r>
      <w:r>
        <w:rPr>
          <w:sz w:val="20"/>
          <w:szCs w:val="20"/>
          <w:color w:val="auto"/>
        </w:rPr>
        <w:tab/>
      </w:r>
      <w:r>
        <w:rPr>
          <w:rFonts w:ascii="Times New Roman" w:cs="Times New Roman" w:eastAsia="Times New Roman" w:hAnsi="Times New Roman"/>
          <w:sz w:val="17"/>
          <w:szCs w:val="17"/>
          <w:b w:val="1"/>
          <w:bCs w:val="1"/>
          <w:color w:val="auto"/>
        </w:rPr>
        <w:t>MGNI</w:t>
      </w:r>
      <w:r>
        <w:rPr>
          <w:sz w:val="20"/>
          <w:szCs w:val="20"/>
          <w:color w:val="auto"/>
        </w:rPr>
        <w:tab/>
      </w:r>
      <w:r>
        <w:rPr>
          <w:rFonts w:ascii="Times New Roman" w:cs="Times New Roman" w:eastAsia="Times New Roman" w:hAnsi="Times New Roman"/>
          <w:sz w:val="17"/>
          <w:szCs w:val="17"/>
          <w:b w:val="1"/>
          <w:bCs w:val="1"/>
          <w:color w:val="auto"/>
        </w:rPr>
        <w:t>Nasdaq Global Select Market</w:t>
      </w:r>
    </w:p>
    <w:p>
      <w:pPr>
        <w:spacing w:after="0" w:line="213" w:lineRule="exact"/>
        <w:rPr>
          <w:sz w:val="24"/>
          <w:szCs w:val="24"/>
          <w:color w:val="auto"/>
        </w:rPr>
      </w:pPr>
    </w:p>
    <w:p>
      <w:pPr>
        <w:jc w:val="both"/>
        <w:spacing w:after="0" w:line="22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54" w:lineRule="exact"/>
        <w:rPr>
          <w:sz w:val="24"/>
          <w:szCs w:val="24"/>
          <w:color w:val="auto"/>
        </w:rPr>
      </w:pPr>
    </w:p>
    <w:p>
      <w:pPr>
        <w:jc w:val="both"/>
        <w:spacing w:after="0" w:line="22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w:t>
      </w:r>
    </w:p>
    <w:p>
      <w:pPr>
        <w:spacing w:after="0" w:line="42"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ind w:left="20"/>
        <w:spacing w:after="0" w:line="196" w:lineRule="exact"/>
        <w:tabs>
          <w:tab w:leader="none" w:pos="5420" w:val="left"/>
          <w:tab w:leader="none" w:pos="11060" w:val="left"/>
        </w:tabs>
        <w:rPr>
          <w:sz w:val="20"/>
          <w:szCs w:val="20"/>
          <w:color w:val="auto"/>
        </w:rPr>
      </w:pPr>
      <w:r>
        <w:rPr>
          <w:rFonts w:ascii="Times New Roman" w:cs="Times New Roman" w:eastAsia="Times New Roman" w:hAnsi="Times New Roman"/>
          <w:sz w:val="17"/>
          <w:szCs w:val="17"/>
          <w:color w:val="auto"/>
        </w:rPr>
        <w:t>Large 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Accelerated filer</w:t>
      </w:r>
      <w:r>
        <w:rPr>
          <w:sz w:val="20"/>
          <w:szCs w:val="20"/>
          <w:color w:val="auto"/>
        </w:rPr>
        <w:tab/>
      </w:r>
      <w:r>
        <w:rPr>
          <w:rFonts w:ascii="MS PGothic" w:cs="MS PGothic" w:eastAsia="MS PGothic" w:hAnsi="MS PGothic"/>
          <w:sz w:val="14"/>
          <w:szCs w:val="14"/>
          <w:color w:val="auto"/>
        </w:rPr>
        <w:t>☐</w:t>
      </w:r>
    </w:p>
    <w:p>
      <w:pPr>
        <w:spacing w:after="0" w:line="115" w:lineRule="exact"/>
        <w:rPr>
          <w:sz w:val="24"/>
          <w:szCs w:val="24"/>
          <w:color w:val="auto"/>
        </w:rPr>
      </w:pPr>
    </w:p>
    <w:p>
      <w:pPr>
        <w:ind w:left="20"/>
        <w:spacing w:after="0" w:line="196" w:lineRule="exact"/>
        <w:tabs>
          <w:tab w:leader="none" w:pos="5300" w:val="left"/>
          <w:tab w:leader="none" w:pos="11060" w:val="left"/>
        </w:tabs>
        <w:rPr>
          <w:sz w:val="20"/>
          <w:szCs w:val="20"/>
          <w:color w:val="auto"/>
        </w:rPr>
      </w:pPr>
      <w:r>
        <w:rPr>
          <w:rFonts w:ascii="Times New Roman" w:cs="Times New Roman" w:eastAsia="Times New Roman" w:hAnsi="Times New Roman"/>
          <w:sz w:val="17"/>
          <w:szCs w:val="17"/>
          <w:color w:val="auto"/>
        </w:rPr>
        <w:t>Non-accelerated filer</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115" w:lineRule="exact"/>
        <w:rPr>
          <w:sz w:val="24"/>
          <w:szCs w:val="24"/>
          <w:color w:val="auto"/>
        </w:rPr>
      </w:pPr>
    </w:p>
    <w:p>
      <w:pPr>
        <w:ind w:left="5620"/>
        <w:spacing w:after="0" w:line="196" w:lineRule="exact"/>
        <w:tabs>
          <w:tab w:leader="none" w:pos="11060" w:val="left"/>
        </w:tabs>
        <w:rPr>
          <w:sz w:val="20"/>
          <w:szCs w:val="20"/>
          <w:color w:val="auto"/>
        </w:rPr>
      </w:pPr>
      <w:r>
        <w:rPr>
          <w:rFonts w:ascii="Times New Roman" w:cs="Times New Roman" w:eastAsia="Times New Roman" w:hAnsi="Times New Roman"/>
          <w:sz w:val="17"/>
          <w:szCs w:val="17"/>
          <w:color w:val="auto"/>
        </w:rPr>
        <w:t>Emerging growth company</w:t>
      </w:r>
      <w:r>
        <w:rPr>
          <w:sz w:val="20"/>
          <w:szCs w:val="20"/>
          <w:color w:val="auto"/>
        </w:rPr>
        <w:tab/>
      </w:r>
      <w:r>
        <w:rPr>
          <w:rFonts w:ascii="MS PGothic" w:cs="MS PGothic" w:eastAsia="MS PGothic" w:hAnsi="MS PGothic"/>
          <w:sz w:val="14"/>
          <w:szCs w:val="14"/>
          <w:color w:val="auto"/>
        </w:rPr>
        <w:t>☐</w:t>
      </w:r>
    </w:p>
    <w:p>
      <w:pPr>
        <w:spacing w:after="0" w:line="245" w:lineRule="exact"/>
        <w:rPr>
          <w:sz w:val="24"/>
          <w:szCs w:val="24"/>
          <w:color w:val="auto"/>
        </w:rPr>
      </w:pPr>
    </w:p>
    <w:p>
      <w:pPr>
        <w:ind w:right="440"/>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ind w:right="2560"/>
        <w:spacing w:after="0" w:line="275"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Act).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Indicate the number of shares outstanding of each of the registrant's classes of common stock, as of the latest practicable date.</w:t>
      </w:r>
    </w:p>
    <w:p>
      <w:pPr>
        <w:spacing w:after="0" w:line="114" w:lineRule="exact"/>
        <w:rPr>
          <w:sz w:val="24"/>
          <w:szCs w:val="24"/>
          <w:color w:val="auto"/>
        </w:rPr>
      </w:pPr>
    </w:p>
    <w:p>
      <w:pPr>
        <w:ind w:left="3360"/>
        <w:spacing w:after="0"/>
        <w:tabs>
          <w:tab w:leader="none" w:pos="6620" w:val="left"/>
        </w:tabs>
        <w:rPr>
          <w:sz w:val="20"/>
          <w:szCs w:val="20"/>
          <w:color w:val="auto"/>
        </w:rPr>
      </w:pPr>
      <w:r>
        <w:rPr>
          <w:rFonts w:ascii="Times New Roman" w:cs="Times New Roman" w:eastAsia="Times New Roman" w:hAnsi="Times New Roman"/>
          <w:sz w:val="16"/>
          <w:szCs w:val="16"/>
          <w:b w:val="1"/>
          <w:bCs w:val="1"/>
          <w:color w:val="auto"/>
        </w:rPr>
        <w:t>Class</w:t>
      </w:r>
      <w:r>
        <w:rPr>
          <w:sz w:val="20"/>
          <w:szCs w:val="20"/>
          <w:color w:val="auto"/>
        </w:rPr>
        <w:tab/>
      </w:r>
      <w:r>
        <w:rPr>
          <w:rFonts w:ascii="Times New Roman" w:cs="Times New Roman" w:eastAsia="Times New Roman" w:hAnsi="Times New Roman"/>
          <w:sz w:val="16"/>
          <w:szCs w:val="16"/>
          <w:b w:val="1"/>
          <w:bCs w:val="1"/>
          <w:color w:val="auto"/>
        </w:rPr>
        <w:t>Outstanding as of April 27,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946785</wp:posOffset>
            </wp:positionH>
            <wp:positionV relativeFrom="paragraph">
              <wp:posOffset>16510</wp:posOffset>
            </wp:positionV>
            <wp:extent cx="52489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248910" cy="825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p>
      <w:pPr>
        <w:spacing w:after="0" w:line="32" w:lineRule="exact"/>
        <w:rPr>
          <w:sz w:val="24"/>
          <w:szCs w:val="24"/>
          <w:color w:val="auto"/>
        </w:rPr>
      </w:pPr>
    </w:p>
    <w:p>
      <w:pPr>
        <w:ind w:left="2220"/>
        <w:spacing w:after="0"/>
        <w:tabs>
          <w:tab w:leader="none" w:pos="7260" w:val="left"/>
        </w:tabs>
        <w:rPr>
          <w:sz w:val="20"/>
          <w:szCs w:val="20"/>
          <w:color w:val="auto"/>
        </w:rPr>
      </w:pPr>
      <w:r>
        <w:rPr>
          <w:rFonts w:ascii="Times New Roman" w:cs="Times New Roman" w:eastAsia="Times New Roman" w:hAnsi="Times New Roman"/>
          <w:sz w:val="17"/>
          <w:szCs w:val="17"/>
          <w:b w:val="1"/>
          <w:bCs w:val="1"/>
          <w:color w:val="auto"/>
        </w:rPr>
        <w:t>Common Stock, $0.00001 par value</w:t>
      </w:r>
      <w:r>
        <w:rPr>
          <w:sz w:val="20"/>
          <w:szCs w:val="20"/>
          <w:color w:val="auto"/>
        </w:rPr>
        <w:tab/>
      </w:r>
      <w:r>
        <w:rPr>
          <w:rFonts w:ascii="Times New Roman" w:cs="Times New Roman" w:eastAsia="Times New Roman" w:hAnsi="Times New Roman"/>
          <w:sz w:val="17"/>
          <w:szCs w:val="17"/>
          <w:b w:val="1"/>
          <w:bCs w:val="1"/>
          <w:color w:val="auto"/>
        </w:rPr>
        <w:t>131,910,148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516890</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5"/>
        </w:trPr>
        <w:tc>
          <w:tcPr>
            <w:tcW w:w="10280" w:type="dxa"/>
            <w:vAlign w:val="bottom"/>
            <w:gridSpan w:val="21"/>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3"/>
        </w:trPr>
        <w:tc>
          <w:tcPr>
            <w:tcW w:w="112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340" w:type="dxa"/>
            <w:vAlign w:val="bottom"/>
            <w:gridSpan w:val="11"/>
          </w:tcPr>
          <w:p>
            <w:pPr>
              <w:jc w:val="center"/>
              <w:ind w:right="3980"/>
              <w:spacing w:after="0"/>
              <w:rPr>
                <w:sz w:val="20"/>
                <w:szCs w:val="20"/>
                <w:color w:val="auto"/>
              </w:rPr>
            </w:pPr>
            <w:r>
              <w:rPr>
                <w:rFonts w:ascii="Times New Roman" w:cs="Times New Roman" w:eastAsia="Times New Roman" w:hAnsi="Times New Roman"/>
                <w:sz w:val="17"/>
                <w:szCs w:val="17"/>
                <w:b w:val="1"/>
                <w:bCs w:val="1"/>
                <w:color w:val="auto"/>
              </w:rPr>
              <w:t>MAGNITE, INC.</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0" w:type="dxa"/>
            <w:vAlign w:val="bottom"/>
            <w:gridSpan w:val="12"/>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QUARTERLY REPORT ON FORM 10-Q</w:t>
            </w: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0" w:type="dxa"/>
            <w:vAlign w:val="bottom"/>
            <w:gridSpan w:val="12"/>
          </w:tcPr>
          <w:p>
            <w:pPr>
              <w:jc w:val="center"/>
              <w:ind w:right="232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6"/>
          </w:tcPr>
          <w:p>
            <w:pPr>
              <w:ind w:left="100"/>
              <w:spacing w:after="0"/>
              <w:rPr>
                <w:sz w:val="20"/>
                <w:szCs w:val="20"/>
                <w:color w:val="auto"/>
              </w:rPr>
            </w:pPr>
            <w:r>
              <w:rPr>
                <w:rFonts w:ascii="Times New Roman" w:cs="Times New Roman" w:eastAsia="Times New Roman" w:hAnsi="Times New Roman"/>
                <w:sz w:val="17"/>
                <w:szCs w:val="17"/>
                <w:b w:val="1"/>
                <w:bCs w:val="1"/>
                <w:color w:val="auto"/>
              </w:rPr>
              <w:t>Page No.</w:t>
            </w:r>
          </w:p>
        </w:tc>
        <w:tc>
          <w:tcPr>
            <w:tcW w:w="0" w:type="dxa"/>
            <w:vAlign w:val="bottom"/>
          </w:tcPr>
          <w:p>
            <w:pPr>
              <w:spacing w:after="0"/>
              <w:rPr>
                <w:sz w:val="1"/>
                <w:szCs w:val="1"/>
                <w:color w:val="auto"/>
              </w:rPr>
            </w:pPr>
          </w:p>
        </w:tc>
      </w:tr>
      <w:tr>
        <w:trPr>
          <w:trHeight w:val="174"/>
        </w:trPr>
        <w:tc>
          <w:tcPr>
            <w:tcW w:w="1120" w:type="dxa"/>
            <w:vAlign w:val="bottom"/>
          </w:tcPr>
          <w:p>
            <w:pPr>
              <w:ind w:left="120"/>
              <w:spacing w:after="0" w:line="174" w:lineRule="exact"/>
              <w:rPr>
                <w:sz w:val="20"/>
                <w:szCs w:val="20"/>
                <w:color w:val="auto"/>
              </w:rPr>
            </w:pPr>
            <w:r>
              <w:rPr>
                <w:rFonts w:ascii="Times New Roman" w:cs="Times New Roman" w:eastAsia="Times New Roman" w:hAnsi="Times New Roman"/>
                <w:sz w:val="17"/>
                <w:szCs w:val="17"/>
                <w:color w:val="auto"/>
              </w:rPr>
              <w:t>Part I.</w:t>
            </w:r>
          </w:p>
        </w:tc>
        <w:tc>
          <w:tcPr>
            <w:tcW w:w="2160" w:type="dxa"/>
            <w:vAlign w:val="bottom"/>
            <w:gridSpan w:val="8"/>
          </w:tcPr>
          <w:p>
            <w:pPr>
              <w:spacing w:after="0" w:line="174" w:lineRule="exact"/>
              <w:rPr>
                <w:sz w:val="20"/>
                <w:szCs w:val="20"/>
                <w:color w:val="auto"/>
              </w:rPr>
            </w:pPr>
            <w:r>
              <w:rPr>
                <w:rFonts w:ascii="Times New Roman" w:cs="Times New Roman" w:eastAsia="Times New Roman" w:hAnsi="Times New Roman"/>
                <w:sz w:val="17"/>
                <w:szCs w:val="17"/>
                <w:color w:val="0000FF"/>
                <w:w w:val="99"/>
              </w:rPr>
              <w:t>FINANCIAL INFORMATION</w:t>
            </w:r>
          </w:p>
        </w:tc>
        <w:tc>
          <w:tcPr>
            <w:tcW w:w="7000" w:type="dxa"/>
            <w:vAlign w:val="bottom"/>
            <w:gridSpan w:val="12"/>
          </w:tcPr>
          <w:p>
            <w:pPr>
              <w:spacing w:after="0"/>
              <w:rPr>
                <w:sz w:val="15"/>
                <w:szCs w:val="15"/>
                <w:color w:val="auto"/>
              </w:rPr>
            </w:pPr>
          </w:p>
        </w:tc>
        <w:tc>
          <w:tcPr>
            <w:tcW w:w="520" w:type="dxa"/>
            <w:vAlign w:val="bottom"/>
            <w:tcBorders>
              <w:top w:val="single" w:sz="8" w:color="auto"/>
            </w:tcBorders>
            <w:gridSpan w:val="4"/>
          </w:tcPr>
          <w:p>
            <w:pPr>
              <w:jc w:val="center"/>
              <w:ind w:left="274"/>
              <w:spacing w:after="0" w:line="174" w:lineRule="exact"/>
              <w:rPr>
                <w:sz w:val="20"/>
                <w:szCs w:val="20"/>
                <w:color w:val="auto"/>
              </w:rPr>
            </w:pPr>
            <w:r>
              <w:rPr>
                <w:rFonts w:ascii="Times New Roman" w:cs="Times New Roman" w:eastAsia="Times New Roman" w:hAnsi="Times New Roman"/>
                <w:sz w:val="17"/>
                <w:szCs w:val="17"/>
                <w:color w:val="0000FF"/>
                <w:w w:val="93"/>
              </w:rPr>
              <w:t>3</w:t>
            </w:r>
          </w:p>
        </w:tc>
        <w:tc>
          <w:tcPr>
            <w:tcW w:w="3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1.</w:t>
            </w:r>
          </w:p>
        </w:tc>
        <w:tc>
          <w:tcPr>
            <w:tcW w:w="4080" w:type="dxa"/>
            <w:vAlign w:val="bottom"/>
            <w:gridSpan w:val="10"/>
          </w:tcPr>
          <w:p>
            <w:pPr>
              <w:spacing w:after="0"/>
              <w:rPr>
                <w:sz w:val="20"/>
                <w:szCs w:val="20"/>
                <w:color w:val="auto"/>
              </w:rPr>
            </w:pPr>
            <w:r>
              <w:rPr>
                <w:rFonts w:ascii="Times New Roman" w:cs="Times New Roman" w:eastAsia="Times New Roman" w:hAnsi="Times New Roman"/>
                <w:sz w:val="17"/>
                <w:szCs w:val="17"/>
                <w:color w:val="0000FF"/>
              </w:rPr>
              <w:t>Condensed Consolidated Financial Statements (Unaudited)</w:t>
            </w:r>
          </w:p>
        </w:tc>
        <w:tc>
          <w:tcPr>
            <w:tcW w:w="5080" w:type="dxa"/>
            <w:vAlign w:val="bottom"/>
            <w:gridSpan w:val="10"/>
          </w:tcPr>
          <w:p>
            <w:pPr>
              <w:spacing w:after="0"/>
              <w:rPr>
                <w:sz w:val="17"/>
                <w:szCs w:val="17"/>
                <w:color w:val="auto"/>
              </w:rPr>
            </w:pPr>
          </w:p>
        </w:tc>
        <w:tc>
          <w:tcPr>
            <w:tcW w:w="520" w:type="dxa"/>
            <w:vAlign w:val="bottom"/>
            <w:gridSpan w:val="4"/>
          </w:tcPr>
          <w:p>
            <w:pPr>
              <w:jc w:val="center"/>
              <w:ind w:left="274"/>
              <w:spacing w:after="0"/>
              <w:rPr>
                <w:sz w:val="20"/>
                <w:szCs w:val="20"/>
                <w:color w:val="auto"/>
              </w:rPr>
            </w:pPr>
            <w:r>
              <w:rPr>
                <w:rFonts w:ascii="Times New Roman" w:cs="Times New Roman" w:eastAsia="Times New Roman" w:hAnsi="Times New Roman"/>
                <w:sz w:val="17"/>
                <w:szCs w:val="17"/>
                <w:color w:val="0000FF"/>
                <w:w w:val="93"/>
              </w:rPr>
              <w:t>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6020" w:type="dxa"/>
            <w:vAlign w:val="bottom"/>
            <w:gridSpan w:val="13"/>
          </w:tcPr>
          <w:p>
            <w:pPr>
              <w:spacing w:after="0"/>
              <w:rPr>
                <w:sz w:val="20"/>
                <w:szCs w:val="20"/>
                <w:color w:val="auto"/>
              </w:rPr>
            </w:pPr>
            <w:r>
              <w:rPr>
                <w:rFonts w:ascii="Times New Roman" w:cs="Times New Roman" w:eastAsia="Times New Roman" w:hAnsi="Times New Roman"/>
                <w:sz w:val="17"/>
                <w:szCs w:val="17"/>
                <w:color w:val="0000FF"/>
              </w:rPr>
              <w:t>Condensed Consolidated Balance Sheets as of March 31, 2022 and December 31, 2021</w:t>
            </w:r>
          </w:p>
        </w:tc>
        <w:tc>
          <w:tcPr>
            <w:tcW w:w="3140" w:type="dxa"/>
            <w:vAlign w:val="bottom"/>
            <w:gridSpan w:val="7"/>
          </w:tcPr>
          <w:p>
            <w:pPr>
              <w:spacing w:after="0"/>
              <w:rPr>
                <w:sz w:val="17"/>
                <w:szCs w:val="17"/>
                <w:color w:val="auto"/>
              </w:rPr>
            </w:pPr>
          </w:p>
        </w:tc>
        <w:tc>
          <w:tcPr>
            <w:tcW w:w="520" w:type="dxa"/>
            <w:vAlign w:val="bottom"/>
            <w:gridSpan w:val="4"/>
          </w:tcPr>
          <w:p>
            <w:pPr>
              <w:jc w:val="center"/>
              <w:ind w:left="274"/>
              <w:spacing w:after="0"/>
              <w:rPr>
                <w:sz w:val="20"/>
                <w:szCs w:val="20"/>
                <w:color w:val="auto"/>
              </w:rPr>
            </w:pPr>
            <w:r>
              <w:rPr>
                <w:rFonts w:ascii="Times New Roman" w:cs="Times New Roman" w:eastAsia="Times New Roman" w:hAnsi="Times New Roman"/>
                <w:sz w:val="17"/>
                <w:szCs w:val="17"/>
                <w:color w:val="0000FF"/>
                <w:w w:val="93"/>
              </w:rPr>
              <w:t>4</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8080" w:type="dxa"/>
            <w:vAlign w:val="bottom"/>
            <w:gridSpan w:val="16"/>
          </w:tcPr>
          <w:p>
            <w:pPr>
              <w:spacing w:after="0"/>
              <w:rPr>
                <w:sz w:val="20"/>
                <w:szCs w:val="20"/>
                <w:color w:val="auto"/>
              </w:rPr>
            </w:pPr>
            <w:r>
              <w:rPr>
                <w:rFonts w:ascii="Times New Roman" w:cs="Times New Roman" w:eastAsia="Times New Roman" w:hAnsi="Times New Roman"/>
                <w:sz w:val="17"/>
                <w:szCs w:val="17"/>
                <w:color w:val="0000FF"/>
              </w:rPr>
              <w:t>Condensed Consolidated Statements of Operations for the Three Months Ended March 31, 2022 and March 31, 2021</w:t>
            </w:r>
          </w:p>
        </w:tc>
        <w:tc>
          <w:tcPr>
            <w:tcW w:w="1080" w:type="dxa"/>
            <w:vAlign w:val="bottom"/>
            <w:gridSpan w:val="4"/>
          </w:tcPr>
          <w:p>
            <w:pPr>
              <w:spacing w:after="0"/>
              <w:rPr>
                <w:sz w:val="17"/>
                <w:szCs w:val="17"/>
                <w:color w:val="auto"/>
              </w:rPr>
            </w:pPr>
          </w:p>
        </w:tc>
        <w:tc>
          <w:tcPr>
            <w:tcW w:w="520" w:type="dxa"/>
            <w:vAlign w:val="bottom"/>
            <w:gridSpan w:val="4"/>
          </w:tcPr>
          <w:p>
            <w:pPr>
              <w:jc w:val="center"/>
              <w:ind w:left="274"/>
              <w:spacing w:after="0"/>
              <w:rPr>
                <w:sz w:val="20"/>
                <w:szCs w:val="20"/>
                <w:color w:val="auto"/>
              </w:rPr>
            </w:pPr>
            <w:r>
              <w:rPr>
                <w:rFonts w:ascii="Times New Roman" w:cs="Times New Roman" w:eastAsia="Times New Roman" w:hAnsi="Times New Roman"/>
                <w:sz w:val="17"/>
                <w:szCs w:val="17"/>
                <w:color w:val="0000FF"/>
                <w:w w:val="93"/>
              </w:rPr>
              <w:t>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20" w:type="dxa"/>
            <w:vAlign w:val="bottom"/>
          </w:tcPr>
          <w:p>
            <w:pPr>
              <w:spacing w:after="0"/>
              <w:rPr>
                <w:sz w:val="19"/>
                <w:szCs w:val="19"/>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Condensed Consolidated Statements of Comprehensive Income (Loss) for the Three Months Ended March 31, 2022 and March 31,</w:t>
            </w:r>
          </w:p>
        </w:tc>
        <w:tc>
          <w:tcPr>
            <w:tcW w:w="520" w:type="dxa"/>
            <w:vAlign w:val="bottom"/>
            <w:gridSpan w:val="4"/>
            <w:vMerge w:val="restart"/>
          </w:tcPr>
          <w:p>
            <w:pPr>
              <w:jc w:val="center"/>
              <w:ind w:left="274"/>
              <w:spacing w:after="0"/>
              <w:rPr>
                <w:sz w:val="20"/>
                <w:szCs w:val="20"/>
                <w:color w:val="auto"/>
              </w:rPr>
            </w:pPr>
            <w:r>
              <w:rPr>
                <w:rFonts w:ascii="Times New Roman" w:cs="Times New Roman" w:eastAsia="Times New Roman" w:hAnsi="Times New Roman"/>
                <w:sz w:val="17"/>
                <w:szCs w:val="17"/>
                <w:color w:val="0000FF"/>
                <w:w w:val="93"/>
              </w:rPr>
              <w:t>6</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8"/>
        </w:trPr>
        <w:tc>
          <w:tcPr>
            <w:tcW w:w="1120" w:type="dxa"/>
            <w:vAlign w:val="bottom"/>
          </w:tcPr>
          <w:p>
            <w:pPr>
              <w:spacing w:after="0"/>
              <w:rPr>
                <w:sz w:val="11"/>
                <w:szCs w:val="11"/>
                <w:color w:val="auto"/>
              </w:rPr>
            </w:pPr>
          </w:p>
        </w:tc>
        <w:tc>
          <w:tcPr>
            <w:tcW w:w="580" w:type="dxa"/>
            <w:vAlign w:val="bottom"/>
            <w:tcBorders>
              <w:top w:val="single" w:sz="8" w:color="0000FF"/>
            </w:tcBorders>
            <w:gridSpan w:val="3"/>
          </w:tcPr>
          <w:p>
            <w:pPr>
              <w:spacing w:after="0" w:line="115" w:lineRule="exact"/>
              <w:rPr>
                <w:sz w:val="20"/>
                <w:szCs w:val="20"/>
                <w:color w:val="auto"/>
              </w:rPr>
            </w:pPr>
            <w:r>
              <w:rPr>
                <w:rFonts w:ascii="Times New Roman" w:cs="Times New Roman" w:eastAsia="Times New Roman" w:hAnsi="Times New Roman"/>
                <w:sz w:val="13"/>
                <w:szCs w:val="13"/>
                <w:color w:val="0000FF"/>
              </w:rPr>
              <w:t>2021</w:t>
            </w:r>
          </w:p>
        </w:tc>
        <w:tc>
          <w:tcPr>
            <w:tcW w:w="28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420" w:type="dxa"/>
            <w:vAlign w:val="bottom"/>
            <w:tcBorders>
              <w:top w:val="single" w:sz="8" w:color="0000FF"/>
            </w:tcBorders>
          </w:tcPr>
          <w:p>
            <w:pPr>
              <w:spacing w:after="0"/>
              <w:rPr>
                <w:sz w:val="11"/>
                <w:szCs w:val="11"/>
                <w:color w:val="auto"/>
              </w:rPr>
            </w:pPr>
          </w:p>
        </w:tc>
        <w:tc>
          <w:tcPr>
            <w:tcW w:w="100" w:type="dxa"/>
            <w:vAlign w:val="bottom"/>
            <w:tcBorders>
              <w:top w:val="single" w:sz="8" w:color="0000FF"/>
            </w:tcBorders>
          </w:tcPr>
          <w:p>
            <w:pPr>
              <w:spacing w:after="0"/>
              <w:rPr>
                <w:sz w:val="11"/>
                <w:szCs w:val="11"/>
                <w:color w:val="auto"/>
              </w:rPr>
            </w:pPr>
          </w:p>
        </w:tc>
        <w:tc>
          <w:tcPr>
            <w:tcW w:w="360" w:type="dxa"/>
            <w:vAlign w:val="bottom"/>
            <w:tcBorders>
              <w:top w:val="single" w:sz="8" w:color="0000FF"/>
            </w:tcBorders>
          </w:tcPr>
          <w:p>
            <w:pPr>
              <w:spacing w:after="0"/>
              <w:rPr>
                <w:sz w:val="11"/>
                <w:szCs w:val="11"/>
                <w:color w:val="auto"/>
              </w:rPr>
            </w:pPr>
          </w:p>
        </w:tc>
        <w:tc>
          <w:tcPr>
            <w:tcW w:w="1660" w:type="dxa"/>
            <w:vAlign w:val="bottom"/>
            <w:tcBorders>
              <w:top w:val="single" w:sz="8" w:color="0000FF"/>
            </w:tcBorders>
          </w:tcPr>
          <w:p>
            <w:pPr>
              <w:spacing w:after="0"/>
              <w:rPr>
                <w:sz w:val="11"/>
                <w:szCs w:val="11"/>
                <w:color w:val="auto"/>
              </w:rPr>
            </w:pPr>
          </w:p>
        </w:tc>
        <w:tc>
          <w:tcPr>
            <w:tcW w:w="260" w:type="dxa"/>
            <w:vAlign w:val="bottom"/>
            <w:tcBorders>
              <w:top w:val="single" w:sz="8" w:color="0000FF"/>
            </w:tcBorders>
          </w:tcPr>
          <w:p>
            <w:pPr>
              <w:spacing w:after="0"/>
              <w:rPr>
                <w:sz w:val="11"/>
                <w:szCs w:val="11"/>
                <w:color w:val="auto"/>
              </w:rPr>
            </w:pPr>
          </w:p>
        </w:tc>
        <w:tc>
          <w:tcPr>
            <w:tcW w:w="80" w:type="dxa"/>
            <w:vAlign w:val="bottom"/>
            <w:tcBorders>
              <w:top w:val="single" w:sz="8" w:color="0000FF"/>
            </w:tcBorders>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18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1740" w:type="dxa"/>
            <w:vAlign w:val="bottom"/>
            <w:tcBorders>
              <w:top w:val="single" w:sz="8" w:color="0000FF"/>
            </w:tcBorders>
          </w:tcPr>
          <w:p>
            <w:pPr>
              <w:spacing w:after="0"/>
              <w:rPr>
                <w:sz w:val="11"/>
                <w:szCs w:val="11"/>
                <w:color w:val="auto"/>
              </w:rPr>
            </w:pPr>
          </w:p>
        </w:tc>
        <w:tc>
          <w:tcPr>
            <w:tcW w:w="160" w:type="dxa"/>
            <w:vAlign w:val="bottom"/>
            <w:tcBorders>
              <w:top w:val="single" w:sz="8" w:color="0000FF"/>
            </w:tcBorders>
          </w:tcPr>
          <w:p>
            <w:pPr>
              <w:spacing w:after="0"/>
              <w:rPr>
                <w:sz w:val="11"/>
                <w:szCs w:val="11"/>
                <w:color w:val="auto"/>
              </w:rPr>
            </w:pPr>
          </w:p>
        </w:tc>
        <w:tc>
          <w:tcPr>
            <w:tcW w:w="40" w:type="dxa"/>
            <w:vAlign w:val="bottom"/>
            <w:tcBorders>
              <w:top w:val="single" w:sz="8" w:color="0000FF"/>
            </w:tcBorders>
          </w:tcPr>
          <w:p>
            <w:pPr>
              <w:spacing w:after="0"/>
              <w:rPr>
                <w:sz w:val="11"/>
                <w:szCs w:val="11"/>
                <w:color w:val="auto"/>
              </w:rPr>
            </w:pPr>
          </w:p>
        </w:tc>
        <w:tc>
          <w:tcPr>
            <w:tcW w:w="620" w:type="dxa"/>
            <w:vAlign w:val="bottom"/>
            <w:tcBorders>
              <w:top w:val="single" w:sz="8" w:color="0000FF"/>
            </w:tcBorders>
          </w:tcPr>
          <w:p>
            <w:pPr>
              <w:spacing w:after="0"/>
              <w:rPr>
                <w:sz w:val="11"/>
                <w:szCs w:val="11"/>
                <w:color w:val="auto"/>
              </w:rPr>
            </w:pPr>
          </w:p>
        </w:tc>
        <w:tc>
          <w:tcPr>
            <w:tcW w:w="320" w:type="dxa"/>
            <w:vAlign w:val="bottom"/>
            <w:tcBorders>
              <w:top w:val="single" w:sz="8" w:color="0000FF"/>
            </w:tcBorders>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4"/>
            <w:vMerge w:val="continue"/>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1120" w:type="dxa"/>
            <w:vAlign w:val="bottom"/>
          </w:tcPr>
          <w:p>
            <w:pPr>
              <w:spacing w:after="0"/>
              <w:rPr>
                <w:sz w:val="2"/>
                <w:szCs w:val="2"/>
                <w:color w:val="auto"/>
              </w:rPr>
            </w:pPr>
          </w:p>
        </w:tc>
        <w:tc>
          <w:tcPr>
            <w:tcW w:w="580" w:type="dxa"/>
            <w:vAlign w:val="bottom"/>
            <w:gridSpan w:val="3"/>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20" w:type="dxa"/>
            <w:vAlign w:val="bottom"/>
            <w:gridSpan w:val="2"/>
          </w:tcPr>
          <w:p>
            <w:pPr>
              <w:spacing w:after="0"/>
              <w:rPr>
                <w:sz w:val="2"/>
                <w:szCs w:val="2"/>
                <w:color w:val="auto"/>
              </w:rPr>
            </w:pPr>
          </w:p>
        </w:tc>
        <w:tc>
          <w:tcPr>
            <w:tcW w:w="34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000" w:type="dxa"/>
            <w:vAlign w:val="bottom"/>
            <w:gridSpan w:val="2"/>
          </w:tcPr>
          <w:p>
            <w:pPr>
              <w:spacing w:after="0"/>
              <w:rPr>
                <w:sz w:val="2"/>
                <w:szCs w:val="2"/>
                <w:color w:val="auto"/>
              </w:rPr>
            </w:pPr>
          </w:p>
        </w:tc>
        <w:tc>
          <w:tcPr>
            <w:tcW w:w="1940" w:type="dxa"/>
            <w:vAlign w:val="bottom"/>
            <w:gridSpan w:val="3"/>
          </w:tcPr>
          <w:p>
            <w:pPr>
              <w:spacing w:after="0"/>
              <w:rPr>
                <w:sz w:val="2"/>
                <w:szCs w:val="2"/>
                <w:color w:val="auto"/>
              </w:rPr>
            </w:pPr>
          </w:p>
        </w:tc>
        <w:tc>
          <w:tcPr>
            <w:tcW w:w="620" w:type="dxa"/>
            <w:vAlign w:val="bottom"/>
          </w:tcPr>
          <w:p>
            <w:pPr>
              <w:spacing w:after="0"/>
              <w:rPr>
                <w:sz w:val="2"/>
                <w:szCs w:val="2"/>
                <w:color w:val="auto"/>
              </w:rPr>
            </w:pPr>
          </w:p>
        </w:tc>
        <w:tc>
          <w:tcPr>
            <w:tcW w:w="4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7"/>
        </w:trPr>
        <w:tc>
          <w:tcPr>
            <w:tcW w:w="1120" w:type="dxa"/>
            <w:vAlign w:val="bottom"/>
          </w:tcPr>
          <w:p>
            <w:pPr>
              <w:spacing w:after="0"/>
              <w:rPr>
                <w:sz w:val="17"/>
                <w:szCs w:val="17"/>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Condensed Consolidated Statements of Stockholders' Equity for the Three Months Ended March 31, 2022 and March 31, 2021</w:t>
            </w:r>
          </w:p>
        </w:tc>
        <w:tc>
          <w:tcPr>
            <w:tcW w:w="520" w:type="dxa"/>
            <w:vAlign w:val="bottom"/>
            <w:gridSpan w:val="4"/>
          </w:tcPr>
          <w:p>
            <w:pPr>
              <w:jc w:val="center"/>
              <w:ind w:left="274"/>
              <w:spacing w:after="0"/>
              <w:rPr>
                <w:sz w:val="20"/>
                <w:szCs w:val="20"/>
                <w:color w:val="auto"/>
              </w:rPr>
            </w:pPr>
            <w:r>
              <w:rPr>
                <w:rFonts w:ascii="Times New Roman" w:cs="Times New Roman" w:eastAsia="Times New Roman" w:hAnsi="Times New Roman"/>
                <w:sz w:val="17"/>
                <w:szCs w:val="17"/>
                <w:color w:val="0000FF"/>
                <w:w w:val="93"/>
              </w:rPr>
              <w:t>7</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940" w:type="dxa"/>
            <w:vAlign w:val="bottom"/>
            <w:gridSpan w:val="3"/>
            <w:shd w:val="clear" w:color="auto" w:fill="0000FF"/>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Condensed Consolidated Statements of Cash Flows for the Three Months Ended March 31, 2022 and March 31, 2021</w:t>
            </w:r>
          </w:p>
        </w:tc>
        <w:tc>
          <w:tcPr>
            <w:tcW w:w="520" w:type="dxa"/>
            <w:vAlign w:val="bottom"/>
            <w:gridSpan w:val="4"/>
          </w:tcPr>
          <w:p>
            <w:pPr>
              <w:jc w:val="center"/>
              <w:ind w:left="274"/>
              <w:spacing w:after="0"/>
              <w:rPr>
                <w:sz w:val="20"/>
                <w:szCs w:val="20"/>
                <w:color w:val="auto"/>
              </w:rPr>
            </w:pPr>
            <w:r>
              <w:rPr>
                <w:rFonts w:ascii="Times New Roman" w:cs="Times New Roman" w:eastAsia="Times New Roman" w:hAnsi="Times New Roman"/>
                <w:sz w:val="17"/>
                <w:szCs w:val="17"/>
                <w:color w:val="0000FF"/>
                <w:w w:val="93"/>
              </w:rPr>
              <w:t>8</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2980" w:type="dxa"/>
            <w:vAlign w:val="bottom"/>
            <w:gridSpan w:val="6"/>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spacing w:after="0"/>
              <w:rPr>
                <w:sz w:val="17"/>
                <w:szCs w:val="17"/>
                <w:color w:val="auto"/>
              </w:rPr>
            </w:pPr>
          </w:p>
        </w:tc>
        <w:tc>
          <w:tcPr>
            <w:tcW w:w="91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Notes to Condensed Consolidated Financial Statements</w:t>
            </w:r>
          </w:p>
        </w:tc>
        <w:tc>
          <w:tcPr>
            <w:tcW w:w="520" w:type="dxa"/>
            <w:vAlign w:val="bottom"/>
            <w:gridSpan w:val="4"/>
          </w:tcPr>
          <w:p>
            <w:pPr>
              <w:jc w:val="center"/>
              <w:ind w:left="254"/>
              <w:spacing w:after="0"/>
              <w:rPr>
                <w:sz w:val="20"/>
                <w:szCs w:val="20"/>
                <w:color w:val="auto"/>
              </w:rPr>
            </w:pPr>
            <w:r>
              <w:rPr>
                <w:rFonts w:ascii="Times New Roman" w:cs="Times New Roman" w:eastAsia="Times New Roman" w:hAnsi="Times New Roman"/>
                <w:sz w:val="17"/>
                <w:szCs w:val="17"/>
                <w:color w:val="0000FF"/>
              </w:rPr>
              <w:t>10</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298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2.</w:t>
            </w:r>
          </w:p>
        </w:tc>
        <w:tc>
          <w:tcPr>
            <w:tcW w:w="91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3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31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3.</w:t>
            </w:r>
          </w:p>
        </w:tc>
        <w:tc>
          <w:tcPr>
            <w:tcW w:w="418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4980" w:type="dxa"/>
            <w:vAlign w:val="bottom"/>
            <w:gridSpan w:val="8"/>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51</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4.</w:t>
            </w:r>
          </w:p>
        </w:tc>
        <w:tc>
          <w:tcPr>
            <w:tcW w:w="170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7460" w:type="dxa"/>
            <w:vAlign w:val="bottom"/>
            <w:gridSpan w:val="14"/>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52</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Part II.</w:t>
            </w:r>
          </w:p>
        </w:tc>
        <w:tc>
          <w:tcPr>
            <w:tcW w:w="91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520" w:type="dxa"/>
            <w:vAlign w:val="bottom"/>
            <w:gridSpan w:val="4"/>
          </w:tcPr>
          <w:p>
            <w:pPr>
              <w:jc w:val="center"/>
              <w:ind w:left="254"/>
              <w:spacing w:after="0"/>
              <w:rPr>
                <w:sz w:val="20"/>
                <w:szCs w:val="20"/>
                <w:color w:val="auto"/>
              </w:rPr>
            </w:pPr>
            <w:r>
              <w:rPr>
                <w:rFonts w:ascii="Times New Roman" w:cs="Times New Roman" w:eastAsia="Times New Roman" w:hAnsi="Times New Roman"/>
                <w:sz w:val="17"/>
                <w:szCs w:val="17"/>
                <w:color w:val="0000FF"/>
              </w:rPr>
              <w:t>53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1.</w:t>
            </w:r>
          </w:p>
        </w:tc>
        <w:tc>
          <w:tcPr>
            <w:tcW w:w="128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w w:val="99"/>
              </w:rPr>
              <w:t>Legal Proceedings</w:t>
            </w:r>
          </w:p>
        </w:tc>
        <w:tc>
          <w:tcPr>
            <w:tcW w:w="520" w:type="dxa"/>
            <w:vAlign w:val="bottom"/>
            <w:tcBorders>
              <w:top w:val="single" w:sz="8" w:color="0000FF"/>
            </w:tcBorders>
            <w:gridSpan w:val="2"/>
          </w:tcPr>
          <w:p>
            <w:pPr>
              <w:spacing w:after="0"/>
              <w:rPr>
                <w:sz w:val="17"/>
                <w:szCs w:val="17"/>
                <w:color w:val="auto"/>
              </w:rPr>
            </w:pPr>
          </w:p>
        </w:tc>
        <w:tc>
          <w:tcPr>
            <w:tcW w:w="7360" w:type="dxa"/>
            <w:vAlign w:val="bottom"/>
            <w:gridSpan w:val="13"/>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1A.</w:t>
            </w:r>
          </w:p>
        </w:tc>
        <w:tc>
          <w:tcPr>
            <w:tcW w:w="9160" w:type="dxa"/>
            <w:vAlign w:val="bottom"/>
            <w:gridSpan w:val="20"/>
          </w:tcPr>
          <w:p>
            <w:pPr>
              <w:spacing w:after="0"/>
              <w:rPr>
                <w:sz w:val="20"/>
                <w:szCs w:val="20"/>
                <w:color w:val="auto"/>
              </w:rPr>
            </w:pPr>
            <w:r>
              <w:rPr>
                <w:rFonts w:ascii="Times New Roman" w:cs="Times New Roman" w:eastAsia="Times New Roman" w:hAnsi="Times New Roman"/>
                <w:sz w:val="17"/>
                <w:szCs w:val="17"/>
                <w:color w:val="0000FF"/>
              </w:rPr>
              <w:t>Risk Factors</w:t>
            </w:r>
          </w:p>
        </w:tc>
        <w:tc>
          <w:tcPr>
            <w:tcW w:w="520" w:type="dxa"/>
            <w:vAlign w:val="bottom"/>
            <w:gridSpan w:val="4"/>
          </w:tcPr>
          <w:p>
            <w:pPr>
              <w:jc w:val="center"/>
              <w:ind w:left="254"/>
              <w:spacing w:after="0"/>
              <w:rPr>
                <w:sz w:val="20"/>
                <w:szCs w:val="20"/>
                <w:color w:val="auto"/>
              </w:rPr>
            </w:pPr>
            <w:r>
              <w:rPr>
                <w:rFonts w:ascii="Times New Roman" w:cs="Times New Roman" w:eastAsia="Times New Roman" w:hAnsi="Times New Roman"/>
                <w:sz w:val="17"/>
                <w:szCs w:val="17"/>
                <w:color w:val="0000FF"/>
              </w:rPr>
              <w:t>53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300" w:type="dxa"/>
            <w:vAlign w:val="bottom"/>
            <w:gridSpan w:val="7"/>
          </w:tcPr>
          <w:p>
            <w:pPr>
              <w:spacing w:after="0" w:line="20" w:lineRule="exact"/>
              <w:rPr>
                <w:sz w:val="1"/>
                <w:szCs w:val="1"/>
                <w:color w:val="auto"/>
              </w:rPr>
            </w:pPr>
          </w:p>
        </w:tc>
        <w:tc>
          <w:tcPr>
            <w:tcW w:w="500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3"/>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2.</w:t>
            </w:r>
          </w:p>
        </w:tc>
        <w:tc>
          <w:tcPr>
            <w:tcW w:w="91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7"/>
                <w:szCs w:val="17"/>
                <w:color w:val="0000FF"/>
              </w:rPr>
              <w:t>Unregistered Sales of Equity Securities and Use of Proceeds</w:t>
            </w:r>
          </w:p>
        </w:tc>
        <w:tc>
          <w:tcPr>
            <w:tcW w:w="3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53</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Item 6.</w:t>
            </w:r>
          </w:p>
        </w:tc>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w w:val="98"/>
              </w:rPr>
              <w:t>Exhibits</w:t>
            </w:r>
          </w:p>
        </w:tc>
        <w:tc>
          <w:tcPr>
            <w:tcW w:w="8580" w:type="dxa"/>
            <w:vAlign w:val="bottom"/>
            <w:gridSpan w:val="17"/>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7"/>
                <w:szCs w:val="17"/>
                <w:color w:val="0000FF"/>
              </w:rPr>
              <w:t>55</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Signatures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gridSpan w:val="4"/>
          </w:tcPr>
          <w:p>
            <w:pPr>
              <w:jc w:val="center"/>
              <w:ind w:left="254"/>
              <w:spacing w:after="0"/>
              <w:rPr>
                <w:sz w:val="20"/>
                <w:szCs w:val="20"/>
                <w:color w:val="auto"/>
              </w:rPr>
            </w:pPr>
            <w:r>
              <w:rPr>
                <w:rFonts w:ascii="Times New Roman" w:cs="Times New Roman" w:eastAsia="Times New Roman" w:hAnsi="Times New Roman"/>
                <w:sz w:val="17"/>
                <w:szCs w:val="17"/>
                <w:color w:val="0000FF"/>
              </w:rPr>
              <w:t>56</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4"/>
        </w:trPr>
        <w:tc>
          <w:tcPr>
            <w:tcW w:w="1120" w:type="dxa"/>
            <w:vAlign w:val="bottom"/>
          </w:tcPr>
          <w:p>
            <w:pPr>
              <w:spacing w:after="0"/>
              <w:rPr>
                <w:sz w:val="24"/>
                <w:szCs w:val="24"/>
                <w:color w:val="auto"/>
              </w:rPr>
            </w:pPr>
          </w:p>
        </w:tc>
        <w:tc>
          <w:tcPr>
            <w:tcW w:w="6020" w:type="dxa"/>
            <w:vAlign w:val="bottom"/>
            <w:gridSpan w:val="13"/>
          </w:tcPr>
          <w:p>
            <w:pPr>
              <w:jc w:val="center"/>
              <w:ind w:left="2895"/>
              <w:spacing w:after="0"/>
              <w:rPr>
                <w:sz w:val="20"/>
                <w:szCs w:val="20"/>
                <w:color w:val="auto"/>
              </w:rPr>
            </w:pPr>
            <w:r>
              <w:rPr>
                <w:rFonts w:ascii="Times New Roman" w:cs="Times New Roman" w:eastAsia="Times New Roman" w:hAnsi="Times New Roman"/>
                <w:sz w:val="17"/>
                <w:szCs w:val="17"/>
                <w:color w:val="auto"/>
                <w:w w:val="93"/>
              </w:rPr>
              <w:t>2</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8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Condensed Consolidated Financial Statements</w:t>
      </w:r>
    </w:p>
    <w:p>
      <w:pPr>
        <w:spacing w:after="0" w:line="200" w:lineRule="exact"/>
        <w:rPr>
          <w:sz w:val="20"/>
          <w:szCs w:val="20"/>
          <w:color w:val="auto"/>
        </w:rPr>
      </w:pPr>
    </w:p>
    <w:p>
      <w:pPr>
        <w:spacing w:after="0" w:line="305"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par values)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5"/>
                <w:szCs w:val="15"/>
                <w:color w:val="auto"/>
              </w:rPr>
            </w:pPr>
          </w:p>
        </w:tc>
        <w:tc>
          <w:tcPr>
            <w:tcW w:w="150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23"/>
        </w:trPr>
        <w:tc>
          <w:tcPr>
            <w:tcW w:w="77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204,589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230,401</w:t>
            </w:r>
          </w:p>
        </w:tc>
        <w:tc>
          <w:tcPr>
            <w:tcW w:w="0" w:type="dxa"/>
            <w:vAlign w:val="bottom"/>
          </w:tcPr>
          <w:p>
            <w:pPr>
              <w:spacing w:after="0"/>
              <w:rPr>
                <w:sz w:val="1"/>
                <w:szCs w:val="1"/>
                <w:color w:val="auto"/>
              </w:rPr>
            </w:pPr>
          </w:p>
        </w:tc>
      </w:tr>
      <w:tr>
        <w:trPr>
          <w:trHeight w:val="259"/>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4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782,956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927,781</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22,219</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19,934</w:t>
            </w:r>
          </w:p>
        </w:tc>
        <w:tc>
          <w:tcPr>
            <w:tcW w:w="0" w:type="dxa"/>
            <w:vAlign w:val="bottom"/>
          </w:tcPr>
          <w:p>
            <w:pPr>
              <w:spacing w:after="0"/>
              <w:rPr>
                <w:sz w:val="1"/>
                <w:szCs w:val="1"/>
                <w:color w:val="auto"/>
              </w:rPr>
            </w:pPr>
          </w:p>
        </w:tc>
      </w:tr>
      <w:tr>
        <w:trPr>
          <w:trHeight w:val="239"/>
        </w:trPr>
        <w:tc>
          <w:tcPr>
            <w:tcW w:w="77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1,009,764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1,178,116</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34,986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34,067</w:t>
            </w:r>
          </w:p>
        </w:tc>
        <w:tc>
          <w:tcPr>
            <w:tcW w:w="0" w:type="dxa"/>
            <w:vAlign w:val="bottom"/>
          </w:tcPr>
          <w:p>
            <w:pPr>
              <w:spacing w:after="0"/>
              <w:rPr>
                <w:sz w:val="1"/>
                <w:szCs w:val="1"/>
                <w:color w:val="auto"/>
              </w:rPr>
            </w:pPr>
          </w:p>
        </w:tc>
      </w:tr>
      <w:tr>
        <w:trPr>
          <w:trHeight w:val="259"/>
        </w:trPr>
        <w:tc>
          <w:tcPr>
            <w:tcW w:w="7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Right-of-use lease asset</w:t>
            </w:r>
          </w:p>
        </w:tc>
        <w:tc>
          <w:tcPr>
            <w:tcW w:w="24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72,363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76,986</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Internal use software development costs, net</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20,837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20,093</w:t>
            </w:r>
          </w:p>
        </w:tc>
        <w:tc>
          <w:tcPr>
            <w:tcW w:w="0" w:type="dxa"/>
            <w:vAlign w:val="bottom"/>
          </w:tcPr>
          <w:p>
            <w:pPr>
              <w:spacing w:after="0"/>
              <w:rPr>
                <w:sz w:val="1"/>
                <w:szCs w:val="1"/>
                <w:color w:val="auto"/>
              </w:rPr>
            </w:pPr>
          </w:p>
        </w:tc>
      </w:tr>
      <w:tr>
        <w:trPr>
          <w:trHeight w:val="259"/>
        </w:trPr>
        <w:tc>
          <w:tcPr>
            <w:tcW w:w="7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Intangible assets, net</w:t>
            </w:r>
          </w:p>
        </w:tc>
        <w:tc>
          <w:tcPr>
            <w:tcW w:w="24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399,419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426,615</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Goodwill</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978,216</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969,873</w:t>
            </w:r>
          </w:p>
        </w:tc>
        <w:tc>
          <w:tcPr>
            <w:tcW w:w="0" w:type="dxa"/>
            <w:vAlign w:val="bottom"/>
          </w:tcPr>
          <w:p>
            <w:pPr>
              <w:spacing w:after="0"/>
              <w:rPr>
                <w:sz w:val="1"/>
                <w:szCs w:val="1"/>
                <w:color w:val="auto"/>
              </w:rPr>
            </w:pPr>
          </w:p>
        </w:tc>
      </w:tr>
      <w:tr>
        <w:trPr>
          <w:trHeight w:val="259"/>
        </w:trPr>
        <w:tc>
          <w:tcPr>
            <w:tcW w:w="77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Other assets, non-current</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6,877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6,862</w:t>
            </w:r>
          </w:p>
        </w:tc>
        <w:tc>
          <w:tcPr>
            <w:tcW w:w="0" w:type="dxa"/>
            <w:vAlign w:val="bottom"/>
          </w:tcPr>
          <w:p>
            <w:pPr>
              <w:spacing w:after="0"/>
              <w:rPr>
                <w:sz w:val="1"/>
                <w:szCs w:val="1"/>
                <w:color w:val="auto"/>
              </w:rPr>
            </w:pPr>
          </w:p>
        </w:tc>
      </w:tr>
      <w:tr>
        <w:trPr>
          <w:trHeight w:val="238"/>
        </w:trPr>
        <w:tc>
          <w:tcPr>
            <w:tcW w:w="7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2,522,462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2,712,612</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859,178</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1,000,956</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liabilities, current</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18,638</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19,142</w:t>
            </w:r>
          </w:p>
        </w:tc>
        <w:tc>
          <w:tcPr>
            <w:tcW w:w="0" w:type="dxa"/>
            <w:vAlign w:val="bottom"/>
          </w:tcPr>
          <w:p>
            <w:pPr>
              <w:spacing w:after="0"/>
              <w:rPr>
                <w:sz w:val="1"/>
                <w:szCs w:val="1"/>
                <w:color w:val="auto"/>
              </w:rPr>
            </w:pPr>
          </w:p>
        </w:tc>
      </w:tr>
      <w:tr>
        <w:trPr>
          <w:trHeight w:val="259"/>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 current</w:t>
            </w:r>
          </w:p>
        </w:tc>
        <w:tc>
          <w:tcPr>
            <w:tcW w:w="24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5,903</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5,697</w:t>
            </w:r>
          </w:p>
        </w:tc>
        <w:tc>
          <w:tcPr>
            <w:tcW w:w="0" w:type="dxa"/>
            <w:vAlign w:val="bottom"/>
          </w:tcPr>
          <w:p>
            <w:pPr>
              <w:spacing w:after="0"/>
              <w:rPr>
                <w:sz w:val="1"/>
                <w:szCs w:val="1"/>
                <w:color w:val="auto"/>
              </w:rPr>
            </w:pPr>
          </w:p>
        </w:tc>
      </w:tr>
      <w:tr>
        <w:trPr>
          <w:trHeight w:val="239"/>
        </w:trPr>
        <w:tc>
          <w:tcPr>
            <w:tcW w:w="7760" w:type="dxa"/>
            <w:vAlign w:val="bottom"/>
          </w:tcPr>
          <w:p>
            <w:pPr>
              <w:ind w:left="4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Pr>
          <w:p>
            <w:pPr>
              <w:spacing w:after="0"/>
              <w:rPr>
                <w:sz w:val="20"/>
                <w:szCs w:val="20"/>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887,319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1,029,395</w:t>
            </w: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Debt, non-current, net of debt issuance costs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720,710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720,023</w:t>
            </w:r>
          </w:p>
        </w:tc>
        <w:tc>
          <w:tcPr>
            <w:tcW w:w="0" w:type="dxa"/>
            <w:vAlign w:val="bottom"/>
          </w:tcPr>
          <w:p>
            <w:pPr>
              <w:spacing w:after="0"/>
              <w:rPr>
                <w:sz w:val="1"/>
                <w:szCs w:val="1"/>
                <w:color w:val="auto"/>
              </w:rPr>
            </w:pPr>
          </w:p>
        </w:tc>
      </w:tr>
      <w:tr>
        <w:trPr>
          <w:trHeight w:val="259"/>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240" w:type="dxa"/>
            <w:vAlign w:val="bottom"/>
          </w:tcPr>
          <w:p>
            <w:pPr>
              <w:spacing w:after="0"/>
              <w:rPr>
                <w:sz w:val="22"/>
                <w:szCs w:val="22"/>
                <w:color w:val="auto"/>
              </w:rPr>
            </w:pPr>
          </w:p>
        </w:tc>
        <w:tc>
          <w:tcPr>
            <w:tcW w:w="144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11,509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13,303</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 non-current</w:t>
            </w:r>
          </w:p>
        </w:tc>
        <w:tc>
          <w:tcPr>
            <w:tcW w:w="24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62,777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66,487</w:t>
            </w:r>
          </w:p>
        </w:tc>
        <w:tc>
          <w:tcPr>
            <w:tcW w:w="0" w:type="dxa"/>
            <w:vAlign w:val="bottom"/>
          </w:tcPr>
          <w:p>
            <w:pPr>
              <w:spacing w:after="0"/>
              <w:rPr>
                <w:sz w:val="1"/>
                <w:szCs w:val="1"/>
                <w:color w:val="auto"/>
              </w:rPr>
            </w:pPr>
          </w:p>
        </w:tc>
      </w:tr>
      <w:tr>
        <w:trPr>
          <w:trHeight w:val="259"/>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2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2,237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2,647</w:t>
            </w:r>
          </w:p>
        </w:tc>
        <w:tc>
          <w:tcPr>
            <w:tcW w:w="0" w:type="dxa"/>
            <w:vAlign w:val="bottom"/>
          </w:tcPr>
          <w:p>
            <w:pPr>
              <w:spacing w:after="0"/>
              <w:rPr>
                <w:sz w:val="1"/>
                <w:szCs w:val="1"/>
                <w:color w:val="auto"/>
              </w:rPr>
            </w:pPr>
          </w:p>
        </w:tc>
      </w:tr>
      <w:tr>
        <w:trPr>
          <w:trHeight w:val="239"/>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1,684,552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1,831,855</w:t>
            </w:r>
          </w:p>
        </w:tc>
        <w:tc>
          <w:tcPr>
            <w:tcW w:w="0" w:type="dxa"/>
            <w:vAlign w:val="bottom"/>
          </w:tcPr>
          <w:p>
            <w:pPr>
              <w:spacing w:after="0"/>
              <w:rPr>
                <w:sz w:val="1"/>
                <w:szCs w:val="1"/>
                <w:color w:val="auto"/>
              </w:rPr>
            </w:pPr>
          </w:p>
        </w:tc>
      </w:tr>
      <w:tr>
        <w:trPr>
          <w:trHeight w:val="239"/>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12)</w:t>
            </w:r>
          </w:p>
        </w:tc>
        <w:tc>
          <w:tcPr>
            <w:tcW w:w="2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7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Preferred stock, $0.00001 par value, 10,000 shares authorized at March 31, 2022 and December 31, 2021; 0</w:t>
            </w:r>
          </w:p>
        </w:tc>
        <w:tc>
          <w:tcPr>
            <w:tcW w:w="2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shares issued and outstanding at March 31, 2022 and December 31, 2021</w:t>
            </w:r>
          </w:p>
        </w:tc>
        <w:tc>
          <w:tcPr>
            <w:tcW w:w="24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1"/>
                <w:szCs w:val="21"/>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Common stock, $0.00001 par value; 500,000 shares authorized at March 31, 2022 and December 31, 2021;</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132,052 and 132,553 shares issued at March 31, 2022 and December 31, 2021, respectively, and 132,052</w:t>
            </w:r>
          </w:p>
        </w:tc>
        <w:tc>
          <w:tcPr>
            <w:tcW w:w="24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and 132,204 shares outstanding at March 31, 2022 and December 31, 2021, respectively</w:t>
            </w:r>
          </w:p>
        </w:tc>
        <w:tc>
          <w:tcPr>
            <w:tcW w:w="24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59"/>
        </w:trPr>
        <w:tc>
          <w:tcPr>
            <w:tcW w:w="7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1,278,218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1,282,589</w:t>
            </w: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(1,376)</w:t>
            </w:r>
          </w:p>
        </w:tc>
        <w:tc>
          <w:tcPr>
            <w:tcW w:w="0" w:type="dxa"/>
            <w:vAlign w:val="bottom"/>
          </w:tcPr>
          <w:p>
            <w:pPr>
              <w:spacing w:after="0"/>
              <w:rPr>
                <w:sz w:val="1"/>
                <w:szCs w:val="1"/>
                <w:color w:val="auto"/>
              </w:rPr>
            </w:pPr>
          </w:p>
        </w:tc>
      </w:tr>
      <w:tr>
        <w:trPr>
          <w:trHeight w:val="220"/>
        </w:trPr>
        <w:tc>
          <w:tcPr>
            <w:tcW w:w="77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Treasury stock at cost, 0 and 349 shares outstanding at March 31, 2022 and December 31, 2021, respectively</w:t>
            </w:r>
          </w:p>
        </w:tc>
        <w:tc>
          <w:tcPr>
            <w:tcW w:w="24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(6,007)</w:t>
            </w:r>
          </w:p>
        </w:tc>
        <w:tc>
          <w:tcPr>
            <w:tcW w:w="0" w:type="dxa"/>
            <w:vAlign w:val="bottom"/>
          </w:tcPr>
          <w:p>
            <w:pPr>
              <w:spacing w:after="0"/>
              <w:rPr>
                <w:sz w:val="1"/>
                <w:szCs w:val="1"/>
                <w:color w:val="auto"/>
              </w:rPr>
            </w:pPr>
          </w:p>
        </w:tc>
      </w:tr>
      <w:tr>
        <w:trPr>
          <w:trHeight w:val="259"/>
        </w:trPr>
        <w:tc>
          <w:tcPr>
            <w:tcW w:w="7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Borders>
              <w:bottom w:val="single" w:sz="8" w:color="auto"/>
            </w:tcBorders>
            <w:shd w:val="clear" w:color="auto" w:fill="CCEEFF"/>
          </w:tcPr>
          <w:p>
            <w:pPr>
              <w:spacing w:after="0"/>
              <w:rPr>
                <w:sz w:val="22"/>
                <w:szCs w:val="22"/>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(439,044)</w:t>
            </w:r>
          </w:p>
        </w:tc>
        <w:tc>
          <w:tcPr>
            <w:tcW w:w="100" w:type="dxa"/>
            <w:vAlign w:val="bottom"/>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(394,451)</w:t>
            </w:r>
          </w:p>
        </w:tc>
        <w:tc>
          <w:tcPr>
            <w:tcW w:w="0" w:type="dxa"/>
            <w:vAlign w:val="bottom"/>
          </w:tcPr>
          <w:p>
            <w:pPr>
              <w:spacing w:after="0"/>
              <w:rPr>
                <w:sz w:val="1"/>
                <w:szCs w:val="1"/>
                <w:color w:val="auto"/>
              </w:rPr>
            </w:pPr>
          </w:p>
        </w:tc>
      </w:tr>
      <w:tr>
        <w:trPr>
          <w:trHeight w:val="239"/>
        </w:trPr>
        <w:tc>
          <w:tcPr>
            <w:tcW w:w="7760" w:type="dxa"/>
            <w:vAlign w:val="bottom"/>
            <w:tcBorders>
              <w:bottom w:val="single" w:sz="8" w:color="CCEEFF"/>
            </w:tcBorders>
          </w:tcPr>
          <w:p>
            <w:pPr>
              <w:ind w:left="6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837,910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rPr>
              <w:t>880,757</w:t>
            </w:r>
          </w:p>
        </w:tc>
        <w:tc>
          <w:tcPr>
            <w:tcW w:w="0" w:type="dxa"/>
            <w:vAlign w:val="bottom"/>
          </w:tcPr>
          <w:p>
            <w:pPr>
              <w:spacing w:after="0"/>
              <w:rPr>
                <w:sz w:val="1"/>
                <w:szCs w:val="1"/>
                <w:color w:val="auto"/>
              </w:rPr>
            </w:pPr>
          </w:p>
        </w:tc>
      </w:tr>
      <w:tr>
        <w:trPr>
          <w:trHeight w:val="238"/>
        </w:trPr>
        <w:tc>
          <w:tcPr>
            <w:tcW w:w="776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2,522,462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2,712,612</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4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3"/>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60" w:type="dxa"/>
            <w:vAlign w:val="bottom"/>
          </w:tcPr>
          <w:p>
            <w:pPr>
              <w:spacing w:after="0"/>
              <w:rPr>
                <w:sz w:val="15"/>
                <w:szCs w:val="15"/>
                <w:color w:val="auto"/>
              </w:rPr>
            </w:pPr>
          </w:p>
        </w:tc>
        <w:tc>
          <w:tcPr>
            <w:tcW w:w="144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0" w:type="dxa"/>
            <w:vAlign w:val="bottom"/>
          </w:tcPr>
          <w:p>
            <w:pPr>
              <w:spacing w:after="0"/>
              <w:rPr>
                <w:sz w:val="1"/>
                <w:szCs w:val="1"/>
                <w:color w:val="auto"/>
              </w:rPr>
            </w:pPr>
          </w:p>
        </w:tc>
      </w:tr>
      <w:tr>
        <w:trPr>
          <w:trHeight w:val="218"/>
        </w:trPr>
        <w:tc>
          <w:tcPr>
            <w:tcW w:w="7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118,075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60,715</w:t>
            </w:r>
          </w:p>
        </w:tc>
        <w:tc>
          <w:tcPr>
            <w:tcW w:w="0" w:type="dxa"/>
            <w:vAlign w:val="bottom"/>
          </w:tcPr>
          <w:p>
            <w:pPr>
              <w:spacing w:after="0"/>
              <w:rPr>
                <w:sz w:val="1"/>
                <w:szCs w:val="1"/>
                <w:color w:val="auto"/>
              </w:rPr>
            </w:pP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Expenses: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Cost of revenue</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59,396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20,756</w:t>
            </w:r>
          </w:p>
        </w:tc>
        <w:tc>
          <w:tcPr>
            <w:tcW w:w="0" w:type="dxa"/>
            <w:vAlign w:val="bottom"/>
          </w:tcPr>
          <w:p>
            <w:pPr>
              <w:spacing w:after="0"/>
              <w:rPr>
                <w:sz w:val="1"/>
                <w:szCs w:val="1"/>
                <w:color w:val="auto"/>
              </w:rPr>
            </w:pPr>
          </w:p>
        </w:tc>
      </w:tr>
      <w:tr>
        <w:trPr>
          <w:trHeight w:val="220"/>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Sales and marketing</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22,589</w:t>
            </w: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14,266</w:t>
            </w:r>
          </w:p>
        </w:tc>
        <w:tc>
          <w:tcPr>
            <w:tcW w:w="0" w:type="dxa"/>
            <w:vAlign w:val="bottom"/>
          </w:tcPr>
          <w:p>
            <w:pPr>
              <w:spacing w:after="0"/>
              <w:rPr>
                <w:sz w:val="1"/>
                <w:szCs w:val="1"/>
                <w:color w:val="auto"/>
              </w:rPr>
            </w:pPr>
          </w:p>
        </w:tc>
      </w:tr>
      <w:tr>
        <w:trPr>
          <w:trHeight w:val="220"/>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14,158</w:t>
            </w: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Merger, acquisition, and restructuring costs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2,722</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expenses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157,899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74,491</w:t>
            </w:r>
          </w:p>
        </w:tc>
        <w:tc>
          <w:tcPr>
            <w:tcW w:w="0" w:type="dxa"/>
            <w:vAlign w:val="bottom"/>
          </w:tcPr>
          <w:p>
            <w:pPr>
              <w:spacing w:after="0"/>
              <w:rPr>
                <w:sz w:val="1"/>
                <w:szCs w:val="1"/>
                <w:color w:val="auto"/>
              </w:rPr>
            </w:pPr>
          </w:p>
        </w:tc>
      </w:tr>
      <w:tr>
        <w:trPr>
          <w:trHeight w:val="21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from operations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(39,824)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(13,776)</w:t>
            </w:r>
          </w:p>
        </w:tc>
        <w:tc>
          <w:tcPr>
            <w:tcW w:w="0" w:type="dxa"/>
            <w:vAlign w:val="bottom"/>
          </w:tcPr>
          <w:p>
            <w:pPr>
              <w:spacing w:after="0"/>
              <w:rPr>
                <w:sz w:val="1"/>
                <w:szCs w:val="1"/>
                <w:color w:val="auto"/>
              </w:rPr>
            </w:pP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c>
          <w:tcPr>
            <w:tcW w:w="0" w:type="dxa"/>
            <w:vAlign w:val="bottom"/>
          </w:tcPr>
          <w:p>
            <w:pPr>
              <w:spacing w:after="0"/>
              <w:rPr>
                <w:sz w:val="1"/>
                <w:szCs w:val="1"/>
                <w:color w:val="auto"/>
              </w:rPr>
            </w:pPr>
          </w:p>
        </w:tc>
      </w:tr>
      <w:tr>
        <w:trPr>
          <w:trHeight w:val="220"/>
        </w:trPr>
        <w:tc>
          <w:tcPr>
            <w:tcW w:w="7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Other income</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exchange loss, net</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0" w:type="dxa"/>
            <w:vAlign w:val="bottom"/>
          </w:tcPr>
          <w:p>
            <w:pPr>
              <w:spacing w:after="0"/>
              <w:rPr>
                <w:sz w:val="1"/>
                <w:szCs w:val="1"/>
                <w:color w:val="auto"/>
              </w:rPr>
            </w:pPr>
          </w:p>
        </w:tc>
      </w:tr>
      <w:tr>
        <w:trPr>
          <w:trHeight w:val="21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w:t>
            </w:r>
          </w:p>
        </w:tc>
        <w:tc>
          <w:tcPr>
            <w:tcW w:w="0" w:type="dxa"/>
            <w:vAlign w:val="bottom"/>
          </w:tcPr>
          <w:p>
            <w:pPr>
              <w:spacing w:after="0"/>
              <w:rPr>
                <w:sz w:val="1"/>
                <w:szCs w:val="1"/>
                <w:color w:val="auto"/>
              </w:rPr>
            </w:pPr>
          </w:p>
        </w:tc>
      </w:tr>
      <w:tr>
        <w:trPr>
          <w:trHeight w:val="21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24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(12,711)</w:t>
            </w:r>
          </w:p>
        </w:tc>
        <w:tc>
          <w:tcPr>
            <w:tcW w:w="0" w:type="dxa"/>
            <w:vAlign w:val="bottom"/>
          </w:tcPr>
          <w:p>
            <w:pPr>
              <w:spacing w:after="0"/>
              <w:rPr>
                <w:sz w:val="1"/>
                <w:szCs w:val="1"/>
                <w:color w:val="auto"/>
              </w:rPr>
            </w:pPr>
          </w:p>
        </w:tc>
      </w:tr>
      <w:tr>
        <w:trPr>
          <w:trHeight w:val="220"/>
        </w:trPr>
        <w:tc>
          <w:tcPr>
            <w:tcW w:w="7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c>
          <w:tcPr>
            <w:tcW w:w="0" w:type="dxa"/>
            <w:vAlign w:val="bottom"/>
          </w:tcPr>
          <w:p>
            <w:pPr>
              <w:spacing w:after="0"/>
              <w:rPr>
                <w:sz w:val="1"/>
                <w:szCs w:val="1"/>
                <w:color w:val="auto"/>
              </w:rPr>
            </w:pPr>
          </w:p>
        </w:tc>
      </w:tr>
      <w:tr>
        <w:trPr>
          <w:trHeight w:val="21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(12,877)</w:t>
            </w:r>
          </w:p>
        </w:tc>
        <w:tc>
          <w:tcPr>
            <w:tcW w:w="0" w:type="dxa"/>
            <w:vAlign w:val="bottom"/>
          </w:tcPr>
          <w:p>
            <w:pPr>
              <w:spacing w:after="0"/>
              <w:rPr>
                <w:sz w:val="1"/>
                <w:szCs w:val="1"/>
                <w:color w:val="auto"/>
              </w:rPr>
            </w:pP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per share:</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760" w:type="dxa"/>
            <w:vAlign w:val="bottom"/>
            <w:tcBorders>
              <w:bottom w:val="single" w:sz="8" w:color="CCEEFF"/>
            </w:tcBorders>
            <w:shd w:val="clear" w:color="auto" w:fill="CCEEFF"/>
          </w:tcPr>
          <w:p>
            <w:pPr>
              <w:ind w:left="340"/>
              <w:spacing w:after="0" w:line="194" w:lineRule="exact"/>
              <w:rPr>
                <w:sz w:val="20"/>
                <w:szCs w:val="20"/>
                <w:color w:val="auto"/>
              </w:rPr>
            </w:pPr>
            <w:r>
              <w:rPr>
                <w:rFonts w:ascii="Times New Roman" w:cs="Times New Roman" w:eastAsia="Times New Roman" w:hAnsi="Times New Roman"/>
                <w:sz w:val="17"/>
                <w:szCs w:val="17"/>
                <w:color w:val="auto"/>
              </w:rPr>
              <w:t>Basic and Diluted</w:t>
            </w:r>
          </w:p>
        </w:tc>
        <w:tc>
          <w:tcPr>
            <w:tcW w:w="240" w:type="dxa"/>
            <w:vAlign w:val="bottom"/>
            <w:tcBorders>
              <w:bottom w:val="single" w:sz="8" w:color="auto"/>
            </w:tcBorders>
            <w:shd w:val="clear" w:color="auto" w:fill="CCEEFF"/>
          </w:tcPr>
          <w:p>
            <w:pPr>
              <w:jc w:val="right"/>
              <w:ind w:right="54"/>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(0.34)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54"/>
              <w:spacing w:after="0" w:line="194" w:lineRule="exact"/>
              <w:rPr>
                <w:sz w:val="20"/>
                <w:szCs w:val="20"/>
                <w:color w:val="auto"/>
              </w:rPr>
            </w:pPr>
            <w:r>
              <w:rPr>
                <w:rFonts w:ascii="Times New Roman" w:cs="Times New Roman" w:eastAsia="Times New Roman" w:hAnsi="Times New Roman"/>
                <w:sz w:val="17"/>
                <w:szCs w:val="17"/>
                <w:color w:val="auto"/>
              </w:rPr>
              <w:t>$</w:t>
            </w:r>
          </w:p>
        </w:tc>
        <w:tc>
          <w:tcPr>
            <w:tcW w:w="1440" w:type="dxa"/>
            <w:vAlign w:val="bottom"/>
            <w:tcBorders>
              <w:bottom w:val="single" w:sz="8" w:color="auto"/>
            </w:tcBorders>
            <w:shd w:val="clear" w:color="auto" w:fill="CCEEFF"/>
          </w:tcPr>
          <w:p>
            <w:pPr>
              <w:jc w:val="right"/>
              <w:spacing w:after="0" w:line="194" w:lineRule="exact"/>
              <w:rPr>
                <w:sz w:val="20"/>
                <w:szCs w:val="20"/>
                <w:color w:val="auto"/>
              </w:rPr>
            </w:pPr>
            <w:r>
              <w:rPr>
                <w:rFonts w:ascii="Times New Roman" w:cs="Times New Roman" w:eastAsia="Times New Roman" w:hAnsi="Times New Roman"/>
                <w:sz w:val="17"/>
                <w:szCs w:val="17"/>
                <w:color w:val="auto"/>
              </w:rPr>
              <w:t>(0.11)</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Weighted average shares used to compute net loss per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7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77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Basic and Diluted</w:t>
            </w:r>
          </w:p>
        </w:tc>
        <w:tc>
          <w:tcPr>
            <w:tcW w:w="24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132,236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115,296</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INCOME (LOSS)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0" w:type="dxa"/>
            <w:vAlign w:val="bottom"/>
            <w:gridSpan w:val="4"/>
          </w:tcPr>
          <w:p>
            <w:pPr>
              <w:jc w:val="right"/>
              <w:ind w:right="99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1"/>
        </w:trPr>
        <w:tc>
          <w:tcPr>
            <w:tcW w:w="7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5"/>
                <w:szCs w:val="15"/>
                <w:color w:val="auto"/>
              </w:rPr>
            </w:pPr>
          </w:p>
        </w:tc>
        <w:tc>
          <w:tcPr>
            <w:tcW w:w="1420" w:type="dxa"/>
            <w:vAlign w:val="bottom"/>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18"/>
        </w:trPr>
        <w:tc>
          <w:tcPr>
            <w:tcW w:w="7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(44,593)</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(12,877)</w:t>
            </w:r>
          </w:p>
        </w:tc>
      </w:tr>
      <w:tr>
        <w:trPr>
          <w:trHeight w:val="220"/>
        </w:trPr>
        <w:tc>
          <w:tcPr>
            <w:tcW w:w="78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0"/>
        </w:trPr>
        <w:tc>
          <w:tcPr>
            <w:tcW w:w="78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13"/>
        </w:trPr>
        <w:tc>
          <w:tcPr>
            <w:tcW w:w="78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w:t>
            </w:r>
          </w:p>
        </w:tc>
      </w:tr>
      <w:tr>
        <w:trPr>
          <w:trHeight w:val="23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(44,483)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(13,190)</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04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1"/>
        </w:trPr>
        <w:tc>
          <w:tcPr>
            <w:tcW w:w="3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gridSpan w:val="7"/>
            <w:vMerge w:val="restart"/>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4"/>
            <w:vMerge w:val="continue"/>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4"/>
                <w:szCs w:val="14"/>
                <w:b w:val="1"/>
                <w:bCs w:val="1"/>
                <w:color w:val="auto"/>
              </w:rPr>
              <w:t>Other</w:t>
            </w: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gridSpan w:val="9"/>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94"/>
        </w:trPr>
        <w:tc>
          <w:tcPr>
            <w:tcW w:w="34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gridSpan w:val="7"/>
            <w:vMerge w:val="continue"/>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3"/>
            <w:vMerge w:val="restart"/>
          </w:tcPr>
          <w:p>
            <w:pPr>
              <w:spacing w:after="0" w:line="116" w:lineRule="exact"/>
              <w:rPr>
                <w:sz w:val="20"/>
                <w:szCs w:val="20"/>
                <w:color w:val="auto"/>
              </w:rPr>
            </w:pPr>
            <w:r>
              <w:rPr>
                <w:rFonts w:ascii="Times New Roman" w:cs="Times New Roman" w:eastAsia="Times New Roman" w:hAnsi="Times New Roman"/>
                <w:sz w:val="13"/>
                <w:szCs w:val="13"/>
                <w:b w:val="1"/>
                <w:bCs w:val="1"/>
                <w:color w:val="auto"/>
              </w:rPr>
              <w:t>Paid-In</w:t>
            </w:r>
          </w:p>
        </w:tc>
        <w:tc>
          <w:tcPr>
            <w:tcW w:w="1100" w:type="dxa"/>
            <w:vAlign w:val="bottom"/>
            <w:gridSpan w:val="5"/>
            <w:vMerge w:val="restart"/>
          </w:tcPr>
          <w:p>
            <w:pPr>
              <w:ind w:left="20"/>
              <w:spacing w:after="0" w:line="116"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080" w:type="dxa"/>
            <w:vAlign w:val="bottom"/>
            <w:gridSpan w:val="4"/>
            <w:vMerge w:val="restart"/>
          </w:tcPr>
          <w:p>
            <w:pPr>
              <w:jc w:val="center"/>
              <w:ind w:right="180"/>
              <w:spacing w:after="0" w:line="116"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80" w:type="dxa"/>
            <w:vAlign w:val="bottom"/>
            <w:gridSpan w:val="9"/>
            <w:vMerge w:val="continue"/>
          </w:tcPr>
          <w:p>
            <w:pPr>
              <w:spacing w:after="0"/>
              <w:rPr>
                <w:sz w:val="8"/>
                <w:szCs w:val="8"/>
                <w:color w:val="auto"/>
              </w:rPr>
            </w:pPr>
          </w:p>
        </w:tc>
        <w:tc>
          <w:tcPr>
            <w:tcW w:w="920" w:type="dxa"/>
            <w:vAlign w:val="bottom"/>
            <w:gridSpan w:val="3"/>
            <w:vMerge w:val="restart"/>
          </w:tcPr>
          <w:p>
            <w:pPr>
              <w:jc w:val="center"/>
              <w:ind w:right="60"/>
              <w:spacing w:after="0" w:line="116"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3"/>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gridSpan w:val="3"/>
            <w:vMerge w:val="continue"/>
          </w:tcPr>
          <w:p>
            <w:pPr>
              <w:spacing w:after="0" w:line="20" w:lineRule="exact"/>
              <w:rPr>
                <w:sz w:val="1"/>
                <w:szCs w:val="1"/>
                <w:color w:val="auto"/>
              </w:rPr>
            </w:pPr>
          </w:p>
        </w:tc>
        <w:tc>
          <w:tcPr>
            <w:tcW w:w="1100" w:type="dxa"/>
            <w:vAlign w:val="bottom"/>
            <w:gridSpan w:val="5"/>
            <w:vMerge w:val="continue"/>
          </w:tcPr>
          <w:p>
            <w:pPr>
              <w:spacing w:after="0" w:line="20" w:lineRule="exact"/>
              <w:rPr>
                <w:sz w:val="1"/>
                <w:szCs w:val="1"/>
                <w:color w:val="auto"/>
              </w:rPr>
            </w:pPr>
          </w:p>
        </w:tc>
        <w:tc>
          <w:tcPr>
            <w:tcW w:w="1080" w:type="dxa"/>
            <w:vAlign w:val="bottom"/>
            <w:gridSpan w:val="4"/>
            <w:vMerge w:val="continue"/>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gridSpan w:val="3"/>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5"/>
        </w:trPr>
        <w:tc>
          <w:tcPr>
            <w:tcW w:w="3460" w:type="dxa"/>
            <w:vAlign w:val="bottom"/>
          </w:tcPr>
          <w:p>
            <w:pPr>
              <w:spacing w:after="0"/>
              <w:rPr>
                <w:sz w:val="16"/>
                <w:szCs w:val="16"/>
                <w:color w:val="auto"/>
              </w:rPr>
            </w:pPr>
          </w:p>
        </w:tc>
        <w:tc>
          <w:tcPr>
            <w:tcW w:w="700" w:type="dxa"/>
            <w:vAlign w:val="bottom"/>
            <w:gridSpan w:val="2"/>
          </w:tcPr>
          <w:p>
            <w:pPr>
              <w:jc w:val="right"/>
              <w:ind w:right="4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80" w:type="dxa"/>
            <w:vAlign w:val="bottom"/>
          </w:tcPr>
          <w:p>
            <w:pPr>
              <w:spacing w:after="0"/>
              <w:rPr>
                <w:sz w:val="16"/>
                <w:szCs w:val="16"/>
                <w:color w:val="auto"/>
              </w:rPr>
            </w:pP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7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6"/>
                <w:szCs w:val="16"/>
                <w:color w:val="auto"/>
              </w:rPr>
            </w:pPr>
          </w:p>
        </w:tc>
        <w:tc>
          <w:tcPr>
            <w:tcW w:w="7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3"/>
              </w:rPr>
              <w:t>Equity</w:t>
            </w:r>
          </w:p>
        </w:tc>
        <w:tc>
          <w:tcPr>
            <w:tcW w:w="0" w:type="dxa"/>
            <w:vAlign w:val="bottom"/>
          </w:tcPr>
          <w:p>
            <w:pPr>
              <w:spacing w:after="0"/>
              <w:rPr>
                <w:sz w:val="1"/>
                <w:szCs w:val="1"/>
                <w:color w:val="auto"/>
              </w:rPr>
            </w:pPr>
          </w:p>
        </w:tc>
      </w:tr>
      <w:tr>
        <w:trPr>
          <w:trHeight w:val="205"/>
        </w:trPr>
        <w:tc>
          <w:tcPr>
            <w:tcW w:w="34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Balance at December 31, 2020</w:t>
            </w: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114,029</w:t>
            </w:r>
          </w:p>
        </w:tc>
        <w:tc>
          <w:tcPr>
            <w:tcW w:w="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777,084</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(957)</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(394,516)</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381,613</w:t>
            </w:r>
          </w:p>
        </w:tc>
        <w:tc>
          <w:tcPr>
            <w:tcW w:w="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5"/>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Capped call options</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w w:val="98"/>
              </w:rPr>
              <w:t>(38,960)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(12,877)</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Balance at March 31, 2021</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116,113</w:t>
            </w:r>
          </w:p>
        </w:tc>
        <w:tc>
          <w:tcPr>
            <w:tcW w:w="8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6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751,017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(1,270)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(407,393)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top w:val="single" w:sz="8" w:color="auto"/>
              <w:bottom w:val="single" w:sz="8" w:color="auto"/>
            </w:tcBorders>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4"/>
              <w:spacing w:after="0"/>
              <w:rPr>
                <w:sz w:val="20"/>
                <w:szCs w:val="20"/>
                <w:color w:val="auto"/>
              </w:rPr>
            </w:pPr>
            <w:r>
              <w:rPr>
                <w:rFonts w:ascii="Times New Roman" w:cs="Times New Roman" w:eastAsia="Times New Roman" w:hAnsi="Times New Roman"/>
                <w:sz w:val="16"/>
                <w:szCs w:val="16"/>
                <w:color w:val="auto"/>
                <w:w w:val="74"/>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342,356</w:t>
            </w:r>
          </w:p>
        </w:tc>
        <w:tc>
          <w:tcPr>
            <w:tcW w:w="2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3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20" w:type="dxa"/>
            <w:vAlign w:val="bottom"/>
            <w:gridSpan w:val="7"/>
          </w:tcPr>
          <w:p>
            <w:pPr>
              <w:jc w:val="right"/>
              <w:ind w:right="83"/>
              <w:spacing w:after="0" w:line="155"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3"/>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gridSpan w:val="3"/>
          </w:tcPr>
          <w:p>
            <w:pPr>
              <w:jc w:val="center"/>
              <w:ind w:right="260"/>
              <w:spacing w:after="0" w:line="155"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80" w:type="dxa"/>
            <w:vAlign w:val="bottom"/>
            <w:gridSpan w:val="9"/>
          </w:tcPr>
          <w:p>
            <w:pPr>
              <w:ind w:left="300"/>
              <w:spacing w:after="0" w:line="155" w:lineRule="exact"/>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3"/>
                <w:szCs w:val="13"/>
                <w:color w:val="auto"/>
              </w:rPr>
            </w:pPr>
          </w:p>
        </w:tc>
        <w:tc>
          <w:tcPr>
            <w:tcW w:w="760" w:type="dxa"/>
            <w:vAlign w:val="bottom"/>
            <w:gridSpan w:val="2"/>
          </w:tcPr>
          <w:p>
            <w:pPr>
              <w:jc w:val="center"/>
              <w:ind w:right="240"/>
              <w:spacing w:after="0" w:line="155"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65"/>
        </w:trPr>
        <w:tc>
          <w:tcPr>
            <w:tcW w:w="3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840" w:type="dxa"/>
            <w:vAlign w:val="bottom"/>
            <w:gridSpan w:val="3"/>
            <w:vMerge w:val="restart"/>
          </w:tcPr>
          <w:p>
            <w:pPr>
              <w:ind w:left="120"/>
              <w:spacing w:after="0" w:line="129" w:lineRule="exact"/>
              <w:rPr>
                <w:sz w:val="20"/>
                <w:szCs w:val="20"/>
                <w:color w:val="auto"/>
              </w:rPr>
            </w:pPr>
            <w:r>
              <w:rPr>
                <w:rFonts w:ascii="Times New Roman" w:cs="Times New Roman" w:eastAsia="Times New Roman" w:hAnsi="Times New Roman"/>
                <w:sz w:val="14"/>
                <w:szCs w:val="14"/>
                <w:b w:val="1"/>
                <w:bCs w:val="1"/>
                <w:color w:val="auto"/>
              </w:rPr>
              <w:t>Paid-In</w:t>
            </w:r>
          </w:p>
        </w:tc>
        <w:tc>
          <w:tcPr>
            <w:tcW w:w="60" w:type="dxa"/>
            <w:vAlign w:val="bottom"/>
          </w:tcPr>
          <w:p>
            <w:pPr>
              <w:spacing w:after="0"/>
              <w:rPr>
                <w:sz w:val="5"/>
                <w:szCs w:val="5"/>
                <w:color w:val="auto"/>
              </w:rPr>
            </w:pPr>
          </w:p>
        </w:tc>
        <w:tc>
          <w:tcPr>
            <w:tcW w:w="1040" w:type="dxa"/>
            <w:vAlign w:val="bottom"/>
            <w:gridSpan w:val="4"/>
            <w:vMerge w:val="restart"/>
          </w:tcPr>
          <w:p>
            <w:pPr>
              <w:ind w:left="20"/>
              <w:spacing w:after="0" w:line="12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020" w:type="dxa"/>
            <w:vAlign w:val="bottom"/>
            <w:gridSpan w:val="3"/>
            <w:vMerge w:val="restart"/>
          </w:tcPr>
          <w:p>
            <w:pPr>
              <w:jc w:val="center"/>
              <w:ind w:right="120"/>
              <w:spacing w:after="0" w:line="129" w:lineRule="exact"/>
              <w:rPr>
                <w:sz w:val="20"/>
                <w:szCs w:val="20"/>
                <w:color w:val="auto"/>
              </w:rPr>
            </w:pPr>
            <w:r>
              <w:rPr>
                <w:rFonts w:ascii="Times New Roman" w:cs="Times New Roman" w:eastAsia="Times New Roman" w:hAnsi="Times New Roman"/>
                <w:sz w:val="14"/>
                <w:szCs w:val="14"/>
                <w:b w:val="1"/>
                <w:bCs w:val="1"/>
                <w:color w:val="auto"/>
                <w:w w:val="98"/>
              </w:rPr>
              <w:t>Accumulated</w:t>
            </w:r>
          </w:p>
        </w:tc>
        <w:tc>
          <w:tcPr>
            <w:tcW w:w="60" w:type="dxa"/>
            <w:vAlign w:val="bottom"/>
            <w:tcBorders>
              <w:bottom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920" w:type="dxa"/>
            <w:vAlign w:val="bottom"/>
            <w:gridSpan w:val="3"/>
            <w:vMerge w:val="restart"/>
          </w:tcPr>
          <w:p>
            <w:pPr>
              <w:jc w:val="center"/>
              <w:ind w:right="80"/>
              <w:spacing w:after="0" w:line="129"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45"/>
        </w:trPr>
        <w:tc>
          <w:tcPr>
            <w:tcW w:w="34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gridSpan w:val="5"/>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3"/>
                <w:szCs w:val="3"/>
                <w:color w:val="auto"/>
              </w:rPr>
            </w:pPr>
          </w:p>
        </w:tc>
        <w:tc>
          <w:tcPr>
            <w:tcW w:w="76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1020" w:type="dxa"/>
            <w:vAlign w:val="bottom"/>
            <w:gridSpan w:val="3"/>
            <w:vMerge w:val="continue"/>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gridSpan w:val="4"/>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92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5"/>
            <w:vMerge w:val="continue"/>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60" w:type="dxa"/>
            <w:vAlign w:val="bottom"/>
          </w:tcPr>
          <w:p>
            <w:pPr>
              <w:spacing w:after="0"/>
              <w:rPr>
                <w:sz w:val="16"/>
                <w:szCs w:val="16"/>
                <w:color w:val="auto"/>
              </w:rPr>
            </w:pPr>
          </w:p>
        </w:tc>
        <w:tc>
          <w:tcPr>
            <w:tcW w:w="1040" w:type="dxa"/>
            <w:vAlign w:val="bottom"/>
            <w:gridSpan w:val="4"/>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80" w:type="dxa"/>
            <w:vAlign w:val="bottom"/>
          </w:tcPr>
          <w:p>
            <w:pPr>
              <w:spacing w:after="0"/>
              <w:rPr>
                <w:sz w:val="16"/>
                <w:szCs w:val="16"/>
                <w:color w:val="auto"/>
              </w:rPr>
            </w:pPr>
          </w:p>
        </w:tc>
        <w:tc>
          <w:tcPr>
            <w:tcW w:w="90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Deficit</w:t>
            </w:r>
          </w:p>
        </w:tc>
        <w:tc>
          <w:tcPr>
            <w:tcW w:w="74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05"/>
        </w:trPr>
        <w:tc>
          <w:tcPr>
            <w:tcW w:w="346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Balance at December 31, 2021</w:t>
            </w: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132,553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ind w:right="383"/>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1,282,589</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w w:val="98"/>
              </w:rPr>
              <w:t>(1,376)</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(394,451)</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(6,007)</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880,757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Exercise of common stock options</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w w:val="91"/>
              </w:rPr>
              <w:t>311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1,107</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Issuance of common stock related to RSU vesting</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1"/>
              </w:rPr>
              <w:t>783</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Shares withheld related to net share settlement</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(4,260)</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Retirement of common stock</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(18,145)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18,145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16,927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110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3"/>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4"/>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w w:val="87"/>
              </w:rPr>
              <w:t>—</w:t>
            </w:r>
          </w:p>
        </w:tc>
        <w:tc>
          <w:tcPr>
            <w:tcW w:w="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87"/>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(44,593)</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3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Balance at March 31, 2022</w:t>
            </w:r>
          </w:p>
        </w:tc>
        <w:tc>
          <w:tcPr>
            <w:tcW w:w="220" w:type="dxa"/>
            <w:vAlign w:val="bottom"/>
          </w:tcPr>
          <w:p>
            <w:pPr>
              <w:spacing w:after="0"/>
              <w:rPr>
                <w:sz w:val="17"/>
                <w:szCs w:val="17"/>
                <w:color w:val="auto"/>
              </w:rPr>
            </w:pPr>
          </w:p>
        </w:tc>
        <w:tc>
          <w:tcPr>
            <w:tcW w:w="78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132,052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Borders>
              <w:top w:val="single" w:sz="8" w:color="auto"/>
              <w:bottom w:val="single" w:sz="8" w:color="auto"/>
            </w:tcBorders>
          </w:tcPr>
          <w:p>
            <w:pPr>
              <w:jc w:val="right"/>
              <w:ind w:right="383"/>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Borders>
              <w:top w:val="single" w:sz="8" w:color="auto"/>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w w:val="74"/>
              </w:rPr>
              <w:t>$</w:t>
            </w:r>
          </w:p>
        </w:tc>
        <w:tc>
          <w:tcPr>
            <w:tcW w:w="8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1,278,218</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top w:val="single" w:sz="8" w:color="auto"/>
              <w:bottom w:val="single" w:sz="8" w:color="auto"/>
            </w:tcBorders>
            <w:gridSpan w:val="2"/>
          </w:tcPr>
          <w:p>
            <w:pPr>
              <w:ind w:left="320"/>
              <w:spacing w:after="0"/>
              <w:rPr>
                <w:sz w:val="20"/>
                <w:szCs w:val="20"/>
                <w:color w:val="auto"/>
              </w:rPr>
            </w:pPr>
            <w:r>
              <w:rPr>
                <w:rFonts w:ascii="Times New Roman" w:cs="Times New Roman" w:eastAsia="Times New Roman" w:hAnsi="Times New Roman"/>
                <w:sz w:val="16"/>
                <w:szCs w:val="16"/>
                <w:color w:val="auto"/>
                <w:w w:val="98"/>
              </w:rPr>
              <w:t>(1,266)</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6"/>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(439,044)</w:t>
            </w:r>
          </w:p>
        </w:tc>
        <w:tc>
          <w:tcPr>
            <w:tcW w:w="80" w:type="dxa"/>
            <w:vAlign w:val="bottom"/>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gridSpan w:val="2"/>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837,910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80" w:type="dxa"/>
            <w:vAlign w:val="bottom"/>
            <w:gridSpan w:val="3"/>
          </w:tcPr>
          <w:p>
            <w:pPr>
              <w:jc w:val="right"/>
              <w:ind w:right="1003"/>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80"/>
        </w:trPr>
        <w:tc>
          <w:tcPr>
            <w:tcW w:w="78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8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283"/>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91"/>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ACTIVITIES:</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10"/>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loss</w:t>
            </w:r>
          </w:p>
        </w:tc>
        <w:tc>
          <w:tcPr>
            <w:tcW w:w="2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(44,593)</w:t>
            </w:r>
          </w:p>
        </w:tc>
        <w:tc>
          <w:tcPr>
            <w:tcW w:w="28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(12,877)</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45,866</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12,485</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40" w:type="dxa"/>
            <w:vAlign w:val="bottom"/>
          </w:tcPr>
          <w:p>
            <w:pPr>
              <w:spacing w:after="0"/>
              <w:rPr>
                <w:sz w:val="17"/>
                <w:szCs w:val="17"/>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16,589</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6,993</w:t>
            </w: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Impairment of intangible assets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3,320</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(Gain) loss on disposal of property and equipment</w:t>
            </w:r>
          </w:p>
        </w:tc>
        <w:tc>
          <w:tcPr>
            <w:tcW w:w="2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w:t>
            </w: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Provision for doubtful accounts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(571)</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Amortization of debt discount and issuance costs</w:t>
            </w:r>
          </w:p>
        </w:tc>
        <w:tc>
          <w:tcPr>
            <w:tcW w:w="240" w:type="dxa"/>
            <w:vAlign w:val="bottom"/>
          </w:tcPr>
          <w:p>
            <w:pPr>
              <w:spacing w:after="0"/>
              <w:rPr>
                <w:sz w:val="17"/>
                <w:szCs w:val="17"/>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1,700</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Non-cash lease expense</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610</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2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(1,891)</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r>
      <w:tr>
        <w:trPr>
          <w:trHeight w:val="209"/>
        </w:trPr>
        <w:tc>
          <w:tcPr>
            <w:tcW w:w="7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Unrealized foreign currency (gains) losses, net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458</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r>
      <w:tr>
        <w:trPr>
          <w:trHeight w:val="205"/>
        </w:trPr>
        <w:tc>
          <w:tcPr>
            <w:tcW w:w="78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Changes in operating assets and liabilities, net of effect of business acquisitions:</w:t>
            </w:r>
          </w:p>
        </w:tc>
        <w:tc>
          <w:tcPr>
            <w:tcW w:w="2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9"/>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receivable</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146,241</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70,252</w:t>
            </w:r>
          </w:p>
        </w:tc>
      </w:tr>
      <w:tr>
        <w:trPr>
          <w:trHeight w:val="205"/>
        </w:trPr>
        <w:tc>
          <w:tcPr>
            <w:tcW w:w="782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2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(2,279)</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1,578</w:t>
            </w:r>
          </w:p>
        </w:tc>
      </w:tr>
      <w:tr>
        <w:trPr>
          <w:trHeight w:val="209"/>
        </w:trPr>
        <w:tc>
          <w:tcPr>
            <w:tcW w:w="78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(141,312)</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(80,074)</w:t>
            </w:r>
          </w:p>
        </w:tc>
      </w:tr>
      <w:tr>
        <w:trPr>
          <w:trHeight w:val="205"/>
        </w:trPr>
        <w:tc>
          <w:tcPr>
            <w:tcW w:w="782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Other liabilities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(2,504)</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w:t>
            </w:r>
          </w:p>
        </w:tc>
      </w:tr>
      <w:tr>
        <w:trPr>
          <w:trHeight w:val="202"/>
        </w:trPr>
        <w:tc>
          <w:tcPr>
            <w:tcW w:w="7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21,632</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r>
      <w:tr>
        <w:trPr>
          <w:trHeight w:val="185"/>
        </w:trPr>
        <w:tc>
          <w:tcPr>
            <w:tcW w:w="7820" w:type="dxa"/>
            <w:vAlign w:val="bottom"/>
          </w:tcPr>
          <w:p>
            <w:pPr>
              <w:ind w:left="20"/>
              <w:spacing w:after="0" w:line="182" w:lineRule="exact"/>
              <w:rPr>
                <w:sz w:val="20"/>
                <w:szCs w:val="20"/>
                <w:color w:val="auto"/>
              </w:rPr>
            </w:pPr>
            <w:r>
              <w:rPr>
                <w:rFonts w:ascii="Times New Roman" w:cs="Times New Roman" w:eastAsia="Times New Roman" w:hAnsi="Times New Roman"/>
                <w:sz w:val="16"/>
                <w:szCs w:val="16"/>
                <w:color w:val="auto"/>
              </w:rPr>
              <w:t>INVESTING ACTIVITIES:</w:t>
            </w:r>
          </w:p>
        </w:tc>
        <w:tc>
          <w:tcPr>
            <w:tcW w:w="2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(7,184)</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(1,317)</w:t>
            </w: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Capitalized internal use software development costs</w:t>
            </w:r>
          </w:p>
        </w:tc>
        <w:tc>
          <w:tcPr>
            <w:tcW w:w="2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(3,382)</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(1,955)</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Mergers and acquisitions, net of cash acquired</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(20,755)</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(31,321)</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(3,272)</w:t>
            </w:r>
          </w:p>
        </w:tc>
      </w:tr>
      <w:tr>
        <w:trPr>
          <w:trHeight w:val="18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ACTIVITIES:</w:t>
            </w:r>
          </w:p>
        </w:tc>
        <w:tc>
          <w:tcPr>
            <w:tcW w:w="2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Convertible Senior Notes offering</w:t>
            </w:r>
          </w:p>
        </w:tc>
        <w:tc>
          <w:tcPr>
            <w:tcW w:w="240" w:type="dxa"/>
            <w:vAlign w:val="bottom"/>
          </w:tcPr>
          <w:p>
            <w:pPr>
              <w:spacing w:after="0"/>
              <w:rPr>
                <w:sz w:val="17"/>
                <w:szCs w:val="17"/>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389,000</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 for capped call options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(38,960)</w:t>
            </w: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 for debt issuance costs</w:t>
            </w:r>
          </w:p>
        </w:tc>
        <w:tc>
          <w:tcPr>
            <w:tcW w:w="240" w:type="dxa"/>
            <w:vAlign w:val="bottom"/>
          </w:tcPr>
          <w:p>
            <w:pPr>
              <w:spacing w:after="0"/>
              <w:rPr>
                <w:sz w:val="17"/>
                <w:szCs w:val="17"/>
                <w:color w:val="auto"/>
              </w:rPr>
            </w:pPr>
          </w:p>
        </w:tc>
        <w:tc>
          <w:tcPr>
            <w:tcW w:w="1480" w:type="dxa"/>
            <w:vAlign w:val="bottom"/>
          </w:tcPr>
          <w:p>
            <w:pPr>
              <w:jc w:val="right"/>
              <w:ind w:right="43"/>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(198)</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exercise of stock options</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1,107</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5,785</w:t>
            </w: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Repayment of debt</w:t>
            </w:r>
          </w:p>
        </w:tc>
        <w:tc>
          <w:tcPr>
            <w:tcW w:w="2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(900)</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Repayment of financing lease</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(197)</w:t>
            </w:r>
          </w:p>
        </w:tc>
        <w:tc>
          <w:tcPr>
            <w:tcW w:w="28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7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40" w:type="dxa"/>
            <w:vAlign w:val="bottom"/>
          </w:tcPr>
          <w:p>
            <w:pPr>
              <w:spacing w:after="0"/>
              <w:rPr>
                <w:sz w:val="17"/>
                <w:szCs w:val="17"/>
                <w:color w:val="auto"/>
              </w:rPr>
            </w:pPr>
          </w:p>
        </w:tc>
        <w:tc>
          <w:tcPr>
            <w:tcW w:w="14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(12,138)</w:t>
            </w:r>
          </w:p>
        </w:tc>
        <w:tc>
          <w:tcPr>
            <w:tcW w:w="2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9"/>
        </w:trPr>
        <w:tc>
          <w:tcPr>
            <w:tcW w:w="7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paid related to net share settlement</w:t>
            </w:r>
          </w:p>
        </w:tc>
        <w:tc>
          <w:tcPr>
            <w:tcW w:w="24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(4,260)</w:t>
            </w:r>
          </w:p>
        </w:tc>
        <w:tc>
          <w:tcPr>
            <w:tcW w:w="28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198"/>
        </w:trPr>
        <w:tc>
          <w:tcPr>
            <w:tcW w:w="7820" w:type="dxa"/>
            <w:vAlign w:val="bottom"/>
            <w:tcBorders>
              <w:bottom w:val="single" w:sz="8" w:color="CCEEFF"/>
            </w:tcBorders>
          </w:tcPr>
          <w:p>
            <w:pPr>
              <w:ind w:left="640"/>
              <w:spacing w:after="0"/>
              <w:rPr>
                <w:sz w:val="20"/>
                <w:szCs w:val="20"/>
                <w:color w:val="auto"/>
              </w:rPr>
            </w:pPr>
            <w:r>
              <w:rPr>
                <w:rFonts w:ascii="Times New Roman" w:cs="Times New Roman" w:eastAsia="Times New Roman" w:hAnsi="Times New Roman"/>
                <w:sz w:val="16"/>
                <w:szCs w:val="16"/>
                <w:color w:val="auto"/>
              </w:rPr>
              <w:t>Net cash (used in) provided by financing activities</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(16,388)</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355,627</w:t>
            </w:r>
          </w:p>
        </w:tc>
      </w:tr>
      <w:tr>
        <w:trPr>
          <w:trHeight w:val="202"/>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268</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w:t>
            </w:r>
          </w:p>
        </w:tc>
      </w:tr>
      <w:tr>
        <w:trPr>
          <w:trHeight w:val="198"/>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CHANGE IN CASH, CASH EQUIVALENTS AND RESTRICTED CASH</w:t>
            </w:r>
          </w:p>
        </w:tc>
        <w:tc>
          <w:tcPr>
            <w:tcW w:w="2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(25,809)</w:t>
            </w:r>
          </w:p>
        </w:tc>
        <w:tc>
          <w:tcPr>
            <w:tcW w:w="2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350,873</w:t>
            </w:r>
          </w:p>
        </w:tc>
      </w:tr>
      <w:tr>
        <w:trPr>
          <w:trHeight w:val="20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Beginning of period</w:t>
            </w:r>
          </w:p>
        </w:tc>
        <w:tc>
          <w:tcPr>
            <w:tcW w:w="2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230,693</w:t>
            </w:r>
          </w:p>
        </w:tc>
        <w:tc>
          <w:tcPr>
            <w:tcW w:w="280" w:type="dxa"/>
            <w:vAlign w:val="bottom"/>
            <w:tcBorders>
              <w:bottom w:val="single" w:sz="8" w:color="auto"/>
            </w:tcBorders>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117,731</w:t>
            </w:r>
          </w:p>
        </w:tc>
      </w:tr>
      <w:tr>
        <w:trPr>
          <w:trHeight w:val="202"/>
        </w:trPr>
        <w:tc>
          <w:tcPr>
            <w:tcW w:w="7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 End of period</w:t>
            </w:r>
          </w:p>
        </w:tc>
        <w:tc>
          <w:tcPr>
            <w:tcW w:w="24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ind w:right="43"/>
              <w:spacing w:after="0"/>
              <w:rPr>
                <w:sz w:val="20"/>
                <w:szCs w:val="20"/>
                <w:color w:val="auto"/>
              </w:rPr>
            </w:pPr>
            <w:r>
              <w:rPr>
                <w:rFonts w:ascii="Times New Roman" w:cs="Times New Roman" w:eastAsia="Times New Roman" w:hAnsi="Times New Roman"/>
                <w:sz w:val="16"/>
                <w:szCs w:val="16"/>
                <w:color w:val="auto"/>
              </w:rPr>
              <w:t>204,884</w:t>
            </w:r>
          </w:p>
        </w:tc>
        <w:tc>
          <w:tcPr>
            <w:tcW w:w="28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468,604</w:t>
            </w:r>
          </w:p>
        </w:tc>
      </w:tr>
      <w:tr>
        <w:trPr>
          <w:trHeight w:val="20"/>
        </w:trPr>
        <w:tc>
          <w:tcPr>
            <w:tcW w:w="78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67" w:lineRule="exact"/>
        <w:rPr>
          <w:sz w:val="20"/>
          <w:szCs w:val="20"/>
          <w:color w:val="auto"/>
        </w:rPr>
      </w:pPr>
    </w:p>
    <w:p>
      <w:pPr>
        <w:ind w:left="898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8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35"/>
        </w:trPr>
        <w:tc>
          <w:tcPr>
            <w:tcW w:w="81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RECONCILIATION OF CASH, CASH EQUIVALENTS AND RESTRICTED CASH TO CONSOLIDATED BALANCE</w:t>
            </w: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SHEETS</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2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204,589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468,550</w:t>
            </w: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 included in prepaid expenses and other current assets</w:t>
            </w: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cash included in other assets, non-current</w:t>
            </w: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r>
      <w:tr>
        <w:trPr>
          <w:trHeight w:val="200"/>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cash, cash equivalents and restricted cash</w:t>
            </w:r>
          </w:p>
        </w:tc>
        <w:tc>
          <w:tcPr>
            <w:tcW w:w="2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204,884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468,604</w:t>
            </w:r>
          </w:p>
        </w:tc>
      </w:tr>
      <w:tr>
        <w:trPr>
          <w:trHeight w:val="20"/>
        </w:trPr>
        <w:tc>
          <w:tcPr>
            <w:tcW w:w="8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12"/>
        </w:trPr>
        <w:tc>
          <w:tcPr>
            <w:tcW w:w="8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SUPPLEMENTAL DISCLOSURES OF OTHER CASH FLOW INFORMATION:</w:t>
            </w: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w:t>
            </w: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paid for interest</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5,668</w:t>
            </w:r>
          </w:p>
        </w:tc>
        <w:tc>
          <w:tcPr>
            <w:tcW w:w="1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Capitalized assets financed by accounts payable and accrued expenses</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6,050</w:t>
            </w: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Capitalized stock-based compensation</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120" w:type="dxa"/>
            <w:vAlign w:val="bottom"/>
          </w:tcPr>
          <w:p>
            <w:pPr>
              <w:spacing w:after="0"/>
              <w:rPr>
                <w:sz w:val="17"/>
                <w:szCs w:val="17"/>
                <w:color w:val="auto"/>
              </w:rPr>
            </w:pP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w:t>
            </w: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consideration - indemnification claims holdback</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5"/>
        </w:trPr>
        <w:tc>
          <w:tcPr>
            <w:tcW w:w="8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Debt issuance costs included in accrued expenses and other liabilities</w:t>
            </w: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1,349</w:t>
            </w:r>
          </w:p>
        </w:tc>
      </w:tr>
      <w:tr>
        <w:trPr>
          <w:trHeight w:val="209"/>
        </w:trPr>
        <w:tc>
          <w:tcPr>
            <w:tcW w:w="8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discount, non-cash</w:t>
            </w: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11,000</w:t>
            </w: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to unaudited condensed consolidated financial statements are an integral part of these statements.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MAGNITE, INC.</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1—Organization and Summary of Significant Accounting Policies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Company Overview</w:t>
      </w:r>
    </w:p>
    <w:p>
      <w:pPr>
        <w:spacing w:after="0" w:line="93" w:lineRule="exact"/>
        <w:rPr>
          <w:sz w:val="20"/>
          <w:szCs w:val="20"/>
          <w:color w:val="auto"/>
        </w:rPr>
      </w:pPr>
    </w:p>
    <w:p>
      <w:pPr>
        <w:ind w:right="140" w:firstLine="621"/>
        <w:spacing w:after="0" w:line="259" w:lineRule="auto"/>
        <w:rPr>
          <w:sz w:val="20"/>
          <w:szCs w:val="20"/>
          <w:color w:val="auto"/>
        </w:rPr>
      </w:pPr>
      <w:r>
        <w:rPr>
          <w:rFonts w:ascii="Times New Roman" w:cs="Times New Roman" w:eastAsia="Times New Roman" w:hAnsi="Times New Roman"/>
          <w:sz w:val="17"/>
          <w:szCs w:val="17"/>
          <w:color w:val="auto"/>
        </w:rPr>
        <w:t>Magnite, Inc. ("Magnite" or the "Company"), formerly known as The Rubicon Project, Inc., was formed in Delaware and began operations on April 20, 2007. On April 1, 2020, Magnite completed a stock-for-stock merger with Telaria, Inc. ("Telaria" and such merger the "Telaria Merger"), a leading sell-side advertising platform and provider of connected television ("CTV") technology. On April 30, 2021, the Company completed its acquisition of SpotX, Inc. ("SpotX" and such acquisition the "SpotX Acquisition"), a leading CTV and video advertising platform. On July 1, 2021, the Company completed its acquisition of SpringServe, LLC ("SpringServe" and such acquisition the "SpringServe Acquisition"), a leading ad serving platform for CTV. The Company operates a sell-side advertising platform that offers buyers and sellers of digital advertising a single partner for transacting globally across all channels, formats, and auction types. Magnite has its principal offices in New York City, Los Angeles, London, and Sydney, and additional offices in Europe, Asia, North America, and South America.</w:t>
      </w:r>
    </w:p>
    <w:p>
      <w:pPr>
        <w:spacing w:after="0" w:line="59" w:lineRule="exact"/>
        <w:rPr>
          <w:sz w:val="20"/>
          <w:szCs w:val="20"/>
          <w:color w:val="auto"/>
        </w:rPr>
      </w:pPr>
    </w:p>
    <w:p>
      <w:pPr>
        <w:ind w:right="20" w:firstLine="621"/>
        <w:spacing w:after="0" w:line="261" w:lineRule="auto"/>
        <w:rPr>
          <w:sz w:val="20"/>
          <w:szCs w:val="20"/>
          <w:color w:val="auto"/>
        </w:rPr>
      </w:pPr>
      <w:r>
        <w:rPr>
          <w:rFonts w:ascii="Times New Roman" w:cs="Times New Roman" w:eastAsia="Times New Roman" w:hAnsi="Times New Roman"/>
          <w:sz w:val="17"/>
          <w:szCs w:val="17"/>
          <w:color w:val="auto"/>
        </w:rPr>
        <w:t>The Company provides a technology solution to automate the purchase and sale of digital advertising inventory for buyers and sellers. The Company’s platform features applications and services for sellers of digital advertising inventory, or publishers, that own or operate websites, applications, CTV channels, and other digital media properties, to manage and monetize their inventory; applications and services for buyers, including advertisers, agencies, agency trading desks, and demand side platforms, to buy digital advertising inventory; and a transparent, independent marketplace that brings buyers and sellers together and facilitates intelligent decision making and automated transaction execution at scale. The Company's clients include many of the world's leading sellers and buyers of digital advertising inventory.</w:t>
      </w:r>
    </w:p>
    <w:p>
      <w:pPr>
        <w:spacing w:after="0" w:line="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Summary of Significant Accounting Policies</w:t>
      </w:r>
    </w:p>
    <w:p>
      <w:pPr>
        <w:spacing w:after="0" w:line="119" w:lineRule="exact"/>
        <w:rPr>
          <w:sz w:val="20"/>
          <w:szCs w:val="20"/>
          <w:color w:val="auto"/>
        </w:rPr>
      </w:pPr>
    </w:p>
    <w:p>
      <w:pPr>
        <w:ind w:right="320" w:firstLine="621"/>
        <w:spacing w:after="0" w:line="261" w:lineRule="auto"/>
        <w:rPr>
          <w:sz w:val="20"/>
          <w:szCs w:val="20"/>
          <w:color w:val="auto"/>
        </w:rPr>
      </w:pPr>
      <w:r>
        <w:rPr>
          <w:rFonts w:ascii="Times New Roman" w:cs="Times New Roman" w:eastAsia="Times New Roman" w:hAnsi="Times New Roman"/>
          <w:sz w:val="17"/>
          <w:szCs w:val="17"/>
          <w:color w:val="auto"/>
        </w:rPr>
        <w:t>The accompanying unaudited condensed consolidated financial statements have been prepared in accordance with accounting principles generally accepted in the United States of America, or GAAP, for interim financial information and the instructions to Form 10-Q and Article 10 of Regulation S-X. Accordingly, they do not include all of the information and footnotes required by GAAP for complete financial statements. In the opinion of management, all adjustments (consisting of normal recurring adjustments) considered necessary for a fair statement of the results for the interim period presented have been included. Operating results for the three months ended March 31, 2022 are not necessarily indicative of the results that may be expected for any future interim period, the year ending December 31, 2022, or for any future year.</w:t>
      </w:r>
    </w:p>
    <w:p>
      <w:pPr>
        <w:spacing w:after="0" w:line="57" w:lineRule="exact"/>
        <w:rPr>
          <w:sz w:val="20"/>
          <w:szCs w:val="20"/>
          <w:color w:val="auto"/>
        </w:rPr>
      </w:pPr>
    </w:p>
    <w:p>
      <w:pPr>
        <w:ind w:right="140" w:firstLine="621"/>
        <w:spacing w:after="0" w:line="272" w:lineRule="auto"/>
        <w:rPr>
          <w:sz w:val="20"/>
          <w:szCs w:val="20"/>
          <w:color w:val="auto"/>
        </w:rPr>
      </w:pPr>
      <w:r>
        <w:rPr>
          <w:rFonts w:ascii="Times New Roman" w:cs="Times New Roman" w:eastAsia="Times New Roman" w:hAnsi="Times New Roman"/>
          <w:sz w:val="17"/>
          <w:szCs w:val="17"/>
          <w:color w:val="auto"/>
        </w:rPr>
        <w:t>The condensed consolidated balance sheet at December 31, 2021 has been derived from the audited financial statements at that date, but does not include all of the disclosures required by GAAP. The accompanying condensed consolidated financial statements should be read in conjunction with the Company's audited consolidated financial statements and notes thereto for the year ended December 31, 2021 included in its 2021 Annual Report on Form 10-K.</w:t>
      </w:r>
    </w:p>
    <w:p>
      <w:pPr>
        <w:spacing w:after="0" w:line="34" w:lineRule="exact"/>
        <w:rPr>
          <w:sz w:val="20"/>
          <w:szCs w:val="20"/>
          <w:color w:val="auto"/>
        </w:rPr>
      </w:pPr>
    </w:p>
    <w:p>
      <w:pPr>
        <w:ind w:right="240" w:firstLine="621"/>
        <w:spacing w:after="0" w:line="291" w:lineRule="auto"/>
        <w:rPr>
          <w:sz w:val="20"/>
          <w:szCs w:val="20"/>
          <w:color w:val="auto"/>
        </w:rPr>
      </w:pPr>
      <w:r>
        <w:rPr>
          <w:rFonts w:ascii="Times New Roman" w:cs="Times New Roman" w:eastAsia="Times New Roman" w:hAnsi="Times New Roman"/>
          <w:sz w:val="17"/>
          <w:szCs w:val="17"/>
          <w:color w:val="auto"/>
        </w:rPr>
        <w:t>There have been no significant changes in the Company's accounting policies from those disclosed in its audited consolidated financial statements and notes thereto for the year ended December 31, 2021 included in its Annual Report on Form 10-K.</w:t>
      </w:r>
    </w:p>
    <w:p>
      <w:pPr>
        <w:spacing w:after="0" w:line="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19" w:lineRule="exact"/>
        <w:rPr>
          <w:sz w:val="20"/>
          <w:szCs w:val="20"/>
          <w:color w:val="auto"/>
        </w:rPr>
      </w:pPr>
    </w:p>
    <w:p>
      <w:pPr>
        <w:ind w:firstLine="621"/>
        <w:spacing w:after="0" w:line="248" w:lineRule="auto"/>
        <w:rPr>
          <w:sz w:val="20"/>
          <w:szCs w:val="20"/>
          <w:color w:val="auto"/>
        </w:rPr>
      </w:pPr>
      <w:r>
        <w:rPr>
          <w:rFonts w:ascii="Times New Roman" w:cs="Times New Roman" w:eastAsia="Times New Roman" w:hAnsi="Times New Roman"/>
          <w:sz w:val="17"/>
          <w:szCs w:val="17"/>
          <w:color w:val="auto"/>
        </w:rPr>
        <w:t xml:space="preserve">The preparation of condensed consolidated financial statements in conformity with GAAP requires management to make estimates and assumptions that affect the reported and disclosed financial statements and accompanying footnotes. Due to the economic uncertainty as a result of the COVID-19 pandemic, geopolitical events, including the conflict in Ukraine, and economic and macro-economic factors like labor shortages, supply chain disruptions, and inflation impacting the markets and communities in which our clients operate, it has become more difficult to apply certain assumptions and judgments into these estimates. </w:t>
      </w:r>
      <w:r>
        <w:rPr>
          <w:rFonts w:ascii="Times New Roman" w:cs="Times New Roman" w:eastAsia="Times New Roman" w:hAnsi="Times New Roman"/>
          <w:sz w:val="17"/>
          <w:szCs w:val="17"/>
          <w:color w:val="212529"/>
        </w:rPr>
        <w:t>The extent of the impact of these factors on the Company's operational and financial performance will depend on future developments, which are highly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uncertain and cannot be predicted, including but not limited to the duration and how quickly and to what extent normal economic and operating conditions can resume. During the three months ended March 31, 2022, this uncertainty continued to result in a higher level of judgment related to its estimates and assumptions. As of the date of issuance of the condensed consolidated financial statements for the three months ended March 31, 2022, the Company is not aware of any specific event or circumstance that would require the Company to update its estimates, judgments, or revise the carrying value of its assets or liabilities. These estimates may change, as new events occur and additional information is obtained, and are recognized in the consolidated financial statements as soon as they become known. Actual results could differ materially from these estimates.</w:t>
      </w:r>
    </w:p>
    <w:p>
      <w:pPr>
        <w:spacing w:after="0" w:line="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Recently Adopted Accounting Standards</w:t>
      </w:r>
    </w:p>
    <w:p>
      <w:pPr>
        <w:spacing w:after="0" w:line="91" w:lineRule="exact"/>
        <w:rPr>
          <w:sz w:val="20"/>
          <w:szCs w:val="20"/>
          <w:color w:val="auto"/>
        </w:rPr>
      </w:pPr>
    </w:p>
    <w:p>
      <w:pPr>
        <w:ind w:right="80" w:firstLine="621"/>
        <w:spacing w:after="0" w:line="273" w:lineRule="auto"/>
        <w:rPr>
          <w:sz w:val="20"/>
          <w:szCs w:val="20"/>
          <w:color w:val="auto"/>
        </w:rPr>
      </w:pPr>
      <w:r>
        <w:rPr>
          <w:rFonts w:ascii="Times New Roman" w:cs="Times New Roman" w:eastAsia="Times New Roman" w:hAnsi="Times New Roman"/>
          <w:sz w:val="17"/>
          <w:szCs w:val="17"/>
          <w:color w:val="auto"/>
        </w:rPr>
        <w:t>In July 2021, the FASB issued Update No. 2021-05, Leases (Topic 842)—</w:t>
      </w:r>
      <w:r>
        <w:rPr>
          <w:rFonts w:ascii="Times New Roman" w:cs="Times New Roman" w:eastAsia="Times New Roman" w:hAnsi="Times New Roman"/>
          <w:sz w:val="17"/>
          <w:szCs w:val="17"/>
          <w:i w:val="1"/>
          <w:iCs w:val="1"/>
          <w:color w:val="auto"/>
        </w:rPr>
        <w:t>Lessors – Certain Leases with Variable Lease Payments</w:t>
      </w:r>
      <w:r>
        <w:rPr>
          <w:rFonts w:ascii="Times New Roman" w:cs="Times New Roman" w:eastAsia="Times New Roman" w:hAnsi="Times New Roman"/>
          <w:sz w:val="17"/>
          <w:szCs w:val="17"/>
          <w:color w:val="auto"/>
        </w:rPr>
        <w:t xml:space="preserve"> ("ASU 2021-05"). ASU 2021-05 requires a lessor to classify a lease with variable lease payments that do not depend on an index or rate as an operating lease if specified criteria are met. The Company adopted ASU 2021-05 on January 1, 2022 on a</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prospective basis, which did not have a material impact on the Company’s condensed consolidated financial statements and related disclosures.</w:t>
      </w:r>
    </w:p>
    <w:p>
      <w:pPr>
        <w:spacing w:after="0" w:line="11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 Not Yet Adopted</w:t>
      </w:r>
    </w:p>
    <w:p>
      <w:pPr>
        <w:spacing w:after="0" w:line="117" w:lineRule="exact"/>
        <w:rPr>
          <w:sz w:val="20"/>
          <w:szCs w:val="20"/>
          <w:color w:val="auto"/>
        </w:rPr>
      </w:pPr>
    </w:p>
    <w:p>
      <w:pPr>
        <w:ind w:right="40" w:firstLine="621"/>
        <w:spacing w:after="0" w:line="259"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Business Combinations (Topic 805) – </w:t>
      </w:r>
      <w:r>
        <w:rPr>
          <w:rFonts w:ascii="Times New Roman" w:cs="Times New Roman" w:eastAsia="Times New Roman" w:hAnsi="Times New Roman"/>
          <w:sz w:val="17"/>
          <w:szCs w:val="17"/>
          <w:i w:val="1"/>
          <w:iCs w:val="1"/>
          <w:color w:val="auto"/>
        </w:rPr>
        <w:t>Accounting for Contract Assets and Contract Liabilities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Contracts with Customers </w:t>
      </w:r>
      <w:r>
        <w:rPr>
          <w:rFonts w:ascii="Times New Roman" w:cs="Times New Roman" w:eastAsia="Times New Roman" w:hAnsi="Times New Roman"/>
          <w:sz w:val="17"/>
          <w:szCs w:val="17"/>
          <w:color w:val="auto"/>
        </w:rPr>
        <w:t>("ASU 2021-08"). ASU 2021-08 requires the recognition and measurement of contract assets and contract liabilities acquired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business combination in accordance with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Considerations to determine the amount of contract assets and contract liabilities to record at the acquisition date include the terms of the acquired contract, such as timing of payment, identification of each performance obligation in the contract and allocation of the contract transaction price to each identified performance obligation on a relative standalone selling price basis as of contract inception. ASU 2021-08 is effective for the Company beginning in the first quarter of 2023. ASU 2021-08 should be applied prospectively for acquisitions occurring on or after the effective date of the amendments. Early adoption of the proposed amendments would be permitted, including adoption in an interim period. The Company is currently assessing the impact this standard will have on the Company’s consolidated financial statements.</w:t>
      </w:r>
    </w:p>
    <w:p>
      <w:pPr>
        <w:spacing w:after="0" w:line="48" w:lineRule="exact"/>
        <w:rPr>
          <w:sz w:val="20"/>
          <w:szCs w:val="20"/>
          <w:color w:val="auto"/>
        </w:rPr>
      </w:pPr>
    </w:p>
    <w:p>
      <w:pPr>
        <w:ind w:right="180" w:firstLine="621"/>
        <w:spacing w:after="0" w:line="291" w:lineRule="auto"/>
        <w:rPr>
          <w:sz w:val="20"/>
          <w:szCs w:val="20"/>
          <w:color w:val="auto"/>
        </w:rPr>
      </w:pPr>
      <w:r>
        <w:rPr>
          <w:rFonts w:ascii="Times New Roman" w:cs="Times New Roman" w:eastAsia="Times New Roman" w:hAnsi="Times New Roman"/>
          <w:sz w:val="17"/>
          <w:szCs w:val="17"/>
          <w:color w:val="auto"/>
        </w:rPr>
        <w:t>The Company does not believe there are any other recently issued and effective or not yet effective pronouncements that would have or are expected to have any significant effect on the Company’s financial position, cash flows or results of operations.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2—Net Loss Per Share</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the basic and diluted net loss per share:</w:t>
      </w:r>
    </w:p>
    <w:p>
      <w:pPr>
        <w:spacing w:after="0" w:line="130"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80" w:type="dxa"/>
            <w:vAlign w:val="bottom"/>
          </w:tcPr>
          <w:p>
            <w:pPr>
              <w:spacing w:after="0"/>
              <w:rPr>
                <w:sz w:val="16"/>
                <w:szCs w:val="16"/>
                <w:color w:val="auto"/>
              </w:rPr>
            </w:pPr>
          </w:p>
        </w:tc>
        <w:tc>
          <w:tcPr>
            <w:tcW w:w="160" w:type="dxa"/>
            <w:vAlign w:val="bottom"/>
            <w:tcBorders>
              <w:top w:val="single" w:sz="8" w:color="auto"/>
              <w:bottom w:val="single" w:sz="8" w:color="auto"/>
            </w:tcBorders>
          </w:tcPr>
          <w:p>
            <w:pPr>
              <w:spacing w:after="0"/>
              <w:rPr>
                <w:sz w:val="16"/>
                <w:szCs w:val="16"/>
                <w:color w:val="auto"/>
              </w:rPr>
            </w:pPr>
          </w:p>
        </w:tc>
        <w:tc>
          <w:tcPr>
            <w:tcW w:w="132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86"/>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4"/>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25"/>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Basic and Diluted Income (Loss) Per Share: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(44,593)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(12,877)</w:t>
            </w:r>
          </w:p>
        </w:tc>
      </w:tr>
      <w:tr>
        <w:trPr>
          <w:trHeight w:val="22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132,236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115,296</w:t>
            </w:r>
          </w:p>
        </w:tc>
      </w:tr>
      <w:tr>
        <w:trPr>
          <w:trHeight w:val="213"/>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common shares outstanding used to compute net loss per share</w:t>
            </w: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132,236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115,296</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Basic and diluted net loss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(0.11)</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ind w:right="300" w:firstLine="621"/>
        <w:spacing w:after="0" w:line="291" w:lineRule="auto"/>
        <w:rPr>
          <w:sz w:val="20"/>
          <w:szCs w:val="20"/>
          <w:color w:val="auto"/>
        </w:rPr>
      </w:pPr>
      <w:r>
        <w:rPr>
          <w:rFonts w:ascii="Times New Roman" w:cs="Times New Roman" w:eastAsia="Times New Roman" w:hAnsi="Times New Roman"/>
          <w:sz w:val="17"/>
          <w:szCs w:val="17"/>
          <w:color w:val="auto"/>
        </w:rPr>
        <w:t>The following weighted-average shares have been excluded from the calculation of diluted net loss per share attributable to common stockholders for each period presented because they are anti-dilutive:</w:t>
      </w:r>
    </w:p>
    <w:p>
      <w:pPr>
        <w:spacing w:after="0" w:line="59" w:lineRule="exact"/>
        <w:rPr>
          <w:sz w:val="20"/>
          <w:szCs w:val="20"/>
          <w:color w:val="auto"/>
        </w:rPr>
      </w:pPr>
    </w:p>
    <w:p>
      <w:pPr>
        <w:ind w:left="9100"/>
        <w:spacing w:after="0"/>
        <w:rPr>
          <w:sz w:val="20"/>
          <w:szCs w:val="20"/>
          <w:color w:val="auto"/>
        </w:rPr>
      </w:pPr>
      <w:r>
        <w:rPr>
          <w:rFonts w:ascii="Times New Roman" w:cs="Times New Roman" w:eastAsia="Times New Roman" w:hAnsi="Times New Roman"/>
          <w:sz w:val="16"/>
          <w:szCs w:val="16"/>
          <w:b w:val="1"/>
          <w:bCs w:val="1"/>
          <w:color w:val="auto"/>
        </w:rPr>
        <w:t>Three Months Ended</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80" w:type="dxa"/>
            <w:vAlign w:val="bottom"/>
          </w:tcPr>
          <w:p>
            <w:pPr>
              <w:spacing w:after="0"/>
              <w:rPr>
                <w:sz w:val="16"/>
                <w:szCs w:val="16"/>
                <w:color w:val="auto"/>
              </w:rPr>
            </w:pPr>
          </w:p>
        </w:tc>
        <w:tc>
          <w:tcPr>
            <w:tcW w:w="148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380" w:type="dxa"/>
            <w:vAlign w:val="bottom"/>
            <w:tcBorders>
              <w:top w:val="single" w:sz="8" w:color="auto"/>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86"/>
        </w:trPr>
        <w:tc>
          <w:tcPr>
            <w:tcW w:w="8380" w:type="dxa"/>
            <w:vAlign w:val="bottom"/>
          </w:tcPr>
          <w:p>
            <w:pPr>
              <w:spacing w:after="0"/>
              <w:rPr>
                <w:sz w:val="16"/>
                <w:szCs w:val="16"/>
                <w:color w:val="auto"/>
              </w:rPr>
            </w:pPr>
          </w:p>
        </w:tc>
        <w:tc>
          <w:tcPr>
            <w:tcW w:w="2860" w:type="dxa"/>
            <w:vAlign w:val="bottom"/>
            <w:gridSpan w:val="3"/>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2,593</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5,400</w:t>
            </w:r>
          </w:p>
        </w:tc>
      </w:tr>
      <w:tr>
        <w:trPr>
          <w:trHeight w:val="220"/>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restricted stock units</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2,415</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7,496</w:t>
            </w:r>
          </w:p>
        </w:tc>
      </w:tr>
      <w:tr>
        <w:trPr>
          <w:trHeight w:val="22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performance stock units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w:t>
            </w:r>
          </w:p>
        </w:tc>
      </w:tr>
      <w:tr>
        <w:trPr>
          <w:trHeight w:val="220"/>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ESPP shares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w:t>
            </w:r>
          </w:p>
        </w:tc>
      </w:tr>
      <w:tr>
        <w:trPr>
          <w:trHeight w:val="22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6,262</w:t>
            </w:r>
          </w:p>
        </w:tc>
        <w:tc>
          <w:tcPr>
            <w:tcW w:w="100" w:type="dxa"/>
            <w:vAlign w:val="bottom"/>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shares excluded from net loss per share</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11,422</w:t>
            </w:r>
          </w:p>
        </w:tc>
        <w:tc>
          <w:tcPr>
            <w:tcW w:w="100" w:type="dxa"/>
            <w:vAlign w:val="bottom"/>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13,183</w:t>
            </w:r>
          </w:p>
        </w:tc>
      </w:tr>
      <w:tr>
        <w:trPr>
          <w:trHeight w:val="20"/>
        </w:trPr>
        <w:tc>
          <w:tcPr>
            <w:tcW w:w="83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ind w:right="340" w:firstLine="621"/>
        <w:spacing w:after="0" w:line="263" w:lineRule="auto"/>
        <w:rPr>
          <w:sz w:val="20"/>
          <w:szCs w:val="20"/>
          <w:color w:val="auto"/>
        </w:rPr>
      </w:pPr>
      <w:r>
        <w:rPr>
          <w:rFonts w:ascii="Times New Roman" w:cs="Times New Roman" w:eastAsia="Times New Roman" w:hAnsi="Times New Roman"/>
          <w:sz w:val="17"/>
          <w:szCs w:val="17"/>
          <w:color w:val="auto"/>
        </w:rPr>
        <w:t>For the three months ended March 31, 2022, outstanding performance stock units granted during April 2020, April 2021, August 2021, and February 2022 based on a current achievement level of 121%, 0%, 0%, and 51%, respectively, were excluded from the calculation of diluted net loss per share because they were anti-dilutive. For the three months ended March 31, 2021, outstanding performance stock units granted during April 2020, based on a current achievement level of 150%, were excluded from the calculation of diluted net loss per share because they were anti-dilutive. Refer to Note 9—"Stock-Based Compensation" for additional information related to performance stock units.</w:t>
      </w:r>
    </w:p>
    <w:p>
      <w:pPr>
        <w:spacing w:after="0" w:line="67" w:lineRule="exact"/>
        <w:rPr>
          <w:sz w:val="20"/>
          <w:szCs w:val="20"/>
          <w:color w:val="auto"/>
        </w:rPr>
      </w:pPr>
    </w:p>
    <w:p>
      <w:pPr>
        <w:ind w:right="260" w:firstLine="621"/>
        <w:spacing w:after="0" w:line="263" w:lineRule="auto"/>
        <w:rPr>
          <w:sz w:val="20"/>
          <w:szCs w:val="20"/>
          <w:color w:val="auto"/>
        </w:rPr>
      </w:pPr>
      <w:r>
        <w:rPr>
          <w:rFonts w:ascii="Times New Roman" w:cs="Times New Roman" w:eastAsia="Times New Roman" w:hAnsi="Times New Roman"/>
          <w:sz w:val="17"/>
          <w:szCs w:val="17"/>
          <w:color w:val="auto"/>
        </w:rPr>
        <w:t xml:space="preserve">For the three months ended March 31, 2022 and 2021, shares that would be issuable assuming conversion of all of the Convertible Senior Notes (as defined in Note 13) were excluded from the calculation of diluted net loss per share because they were anti-dilutive. Diluted earnings per share for the Convertible Senior Notes is calculated under the if-converted method in accordance with ASC 260, </w:t>
      </w:r>
      <w:r>
        <w:rPr>
          <w:rFonts w:ascii="Times New Roman" w:cs="Times New Roman" w:eastAsia="Times New Roman" w:hAnsi="Times New Roman"/>
          <w:sz w:val="17"/>
          <w:szCs w:val="17"/>
          <w:i w:val="1"/>
          <w:iCs w:val="1"/>
          <w:color w:val="auto"/>
        </w:rPr>
        <w:t>Earnings Per Share</w:t>
      </w:r>
      <w:r>
        <w:rPr>
          <w:rFonts w:ascii="Times New Roman" w:cs="Times New Roman" w:eastAsia="Times New Roman" w:hAnsi="Times New Roman"/>
          <w:sz w:val="17"/>
          <w:szCs w:val="17"/>
          <w:color w:val="auto"/>
        </w:rPr>
        <w:t>. The Convertible Senior Notes have an initial conversion rate of 15.6539 shares of common stock per $1,000 principal amount of the Convertible Senior Notes, which will be subject to anti-dilution adjustments in certain circumstances. As of March 31, 2022 and 2021, the number of shares that would be issuable assuming conversion of all of</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500"/>
        <w:spacing w:after="0" w:line="291" w:lineRule="auto"/>
        <w:rPr>
          <w:sz w:val="20"/>
          <w:szCs w:val="20"/>
          <w:color w:val="auto"/>
        </w:rPr>
      </w:pPr>
      <w:r>
        <w:rPr>
          <w:rFonts w:ascii="Times New Roman" w:cs="Times New Roman" w:eastAsia="Times New Roman" w:hAnsi="Times New Roman"/>
          <w:sz w:val="17"/>
          <w:szCs w:val="17"/>
          <w:color w:val="auto"/>
        </w:rPr>
        <w:t>the Convertible Senior Notes is approximately 6,261,560. Refer to Note 13—"Debt" for additional information related to accounting for Convertible Senior Notes issued and associated Capped Call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3—Revenue</w:t>
      </w:r>
    </w:p>
    <w:p>
      <w:pPr>
        <w:spacing w:after="0" w:line="195" w:lineRule="exact"/>
        <w:rPr>
          <w:sz w:val="20"/>
          <w:szCs w:val="20"/>
          <w:color w:val="auto"/>
        </w:rPr>
      </w:pPr>
    </w:p>
    <w:p>
      <w:pPr>
        <w:jc w:val="both"/>
        <w:ind w:firstLine="621"/>
        <w:spacing w:after="0" w:line="266" w:lineRule="auto"/>
        <w:rPr>
          <w:sz w:val="20"/>
          <w:szCs w:val="20"/>
          <w:color w:val="auto"/>
        </w:rPr>
      </w:pPr>
      <w:r>
        <w:rPr>
          <w:rFonts w:ascii="Times New Roman" w:cs="Times New Roman" w:eastAsia="Times New Roman" w:hAnsi="Times New Roman"/>
          <w:sz w:val="17"/>
          <w:szCs w:val="17"/>
          <w:color w:val="auto"/>
        </w:rPr>
        <w:t>For the majority of transactions on the Company's platforms, the Company reports revenue on a net basis as it does not act as the principal in the purchase and sale of digital advertising inventory because it does not have control of the digital advertising inventory and does not set prices agreed upon within the auction marketplace. For certain advertising campaigns that are transacted through insertion orders, the Company reports revenue on a gross basis, based primarily on its determination that the Company acts as the primary obligor in the delivery of advertising campaigns for buyers with respect to such transactions.</w:t>
      </w:r>
    </w:p>
    <w:p>
      <w:pPr>
        <w:spacing w:after="0" w:line="65" w:lineRule="exact"/>
        <w:rPr>
          <w:sz w:val="20"/>
          <w:szCs w:val="20"/>
          <w:color w:val="auto"/>
        </w:rPr>
      </w:pPr>
    </w:p>
    <w:p>
      <w:pPr>
        <w:jc w:val="both"/>
        <w:ind w:firstLine="621"/>
        <w:spacing w:after="0" w:line="272" w:lineRule="auto"/>
        <w:rPr>
          <w:sz w:val="20"/>
          <w:szCs w:val="20"/>
          <w:color w:val="auto"/>
        </w:rPr>
      </w:pPr>
      <w:r>
        <w:rPr>
          <w:rFonts w:ascii="Times New Roman" w:cs="Times New Roman" w:eastAsia="Times New Roman" w:hAnsi="Times New Roman"/>
          <w:sz w:val="17"/>
          <w:szCs w:val="17"/>
          <w:color w:val="auto"/>
        </w:rPr>
        <w:t>For periods prior to the SpotX Acquisition, revenue reported on a gross basis was generally less than 3% of the Company's total revenue. As a result of the SpotX Acquisition, an increased percentage of the Company's revenue is reported on a gross basis. The following table presents our revenue recognized on a net basis and on a gross basis for the three months ended March 31, 2022 and March 31, 2021, respectively.</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6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00" w:type="dxa"/>
            <w:vAlign w:val="bottom"/>
          </w:tcPr>
          <w:p>
            <w:pPr>
              <w:spacing w:after="0"/>
              <w:rPr>
                <w:sz w:val="15"/>
                <w:szCs w:val="15"/>
                <w:color w:val="auto"/>
              </w:rPr>
            </w:pPr>
          </w:p>
        </w:tc>
      </w:tr>
      <w:tr>
        <w:trPr>
          <w:trHeight w:val="23"/>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1"/>
        </w:trPr>
        <w:tc>
          <w:tcPr>
            <w:tcW w:w="7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w w:val="98"/>
              </w:rPr>
              <w:t>March 31, 2021</w:t>
            </w:r>
          </w:p>
        </w:tc>
        <w:tc>
          <w:tcPr>
            <w:tcW w:w="500" w:type="dxa"/>
            <w:vAlign w:val="bottom"/>
            <w:tcBorders>
              <w:bottom w:val="single" w:sz="8" w:color="auto"/>
            </w:tcBorders>
          </w:tcPr>
          <w:p>
            <w:pPr>
              <w:spacing w:after="0"/>
              <w:rPr>
                <w:sz w:val="15"/>
                <w:szCs w:val="15"/>
                <w:color w:val="auto"/>
              </w:rPr>
            </w:pPr>
          </w:p>
        </w:tc>
      </w:tr>
      <w:tr>
        <w:trPr>
          <w:trHeight w:val="187"/>
        </w:trPr>
        <w:tc>
          <w:tcPr>
            <w:tcW w:w="7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(in thousands, except percentages)</w:t>
            </w:r>
          </w:p>
        </w:tc>
        <w:tc>
          <w:tcPr>
            <w:tcW w:w="500" w:type="dxa"/>
            <w:vAlign w:val="bottom"/>
          </w:tcPr>
          <w:p>
            <w:pPr>
              <w:spacing w:after="0"/>
              <w:rPr>
                <w:sz w:val="16"/>
                <w:szCs w:val="16"/>
                <w:color w:val="auto"/>
              </w:rPr>
            </w:pPr>
          </w:p>
        </w:tc>
      </w:tr>
      <w:tr>
        <w:trPr>
          <w:trHeight w:val="22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0"/>
        </w:trPr>
        <w:tc>
          <w:tcPr>
            <w:tcW w:w="7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Net basis</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85 %</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58,996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97 %</w:t>
            </w:r>
          </w:p>
        </w:tc>
      </w:tr>
      <w:tr>
        <w:trPr>
          <w:trHeight w:val="220"/>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Gross basis</w:t>
            </w:r>
          </w:p>
        </w:tc>
        <w:tc>
          <w:tcPr>
            <w:tcW w:w="18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w:t>
            </w:r>
          </w:p>
        </w:tc>
      </w:tr>
      <w:tr>
        <w:trPr>
          <w:trHeight w:val="213"/>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118,075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60,715</w:t>
            </w:r>
          </w:p>
        </w:tc>
        <w:tc>
          <w:tcPr>
            <w:tcW w:w="10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20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458"/>
        </w:trPr>
        <w:tc>
          <w:tcPr>
            <w:tcW w:w="868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auto"/>
              </w:rPr>
              <w:t>The following table presents our revenue by channel for the three months ended March 31, 2022 and 2021:</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75"/>
        </w:trPr>
        <w:tc>
          <w:tcPr>
            <w:tcW w:w="7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6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500" w:type="dxa"/>
            <w:vAlign w:val="bottom"/>
          </w:tcPr>
          <w:p>
            <w:pPr>
              <w:spacing w:after="0"/>
              <w:rPr>
                <w:sz w:val="23"/>
                <w:szCs w:val="23"/>
                <w:color w:val="auto"/>
              </w:rPr>
            </w:pPr>
          </w:p>
        </w:tc>
      </w:tr>
      <w:tr>
        <w:trPr>
          <w:trHeight w:val="23"/>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gridSpan w:val="3"/>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r>
        <w:trPr>
          <w:trHeight w:val="181"/>
        </w:trPr>
        <w:tc>
          <w:tcPr>
            <w:tcW w:w="7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3"/>
          </w:tcPr>
          <w:p>
            <w:pPr>
              <w:ind w:left="360"/>
              <w:spacing w:after="0"/>
              <w:rPr>
                <w:sz w:val="20"/>
                <w:szCs w:val="20"/>
                <w:color w:val="auto"/>
              </w:rPr>
            </w:pPr>
            <w:r>
              <w:rPr>
                <w:rFonts w:ascii="Times New Roman" w:cs="Times New Roman" w:eastAsia="Times New Roman" w:hAnsi="Times New Roman"/>
                <w:sz w:val="14"/>
                <w:szCs w:val="14"/>
                <w:b w:val="1"/>
                <w:bCs w:val="1"/>
                <w:color w:val="auto"/>
                <w:w w:val="98"/>
              </w:rPr>
              <w:t>March 31, 2022</w:t>
            </w:r>
          </w:p>
        </w:tc>
        <w:tc>
          <w:tcPr>
            <w:tcW w:w="5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4"/>
                <w:szCs w:val="14"/>
                <w:b w:val="1"/>
                <w:bCs w:val="1"/>
                <w:color w:val="auto"/>
                <w:w w:val="98"/>
              </w:rPr>
              <w:t>March 31, 2021</w:t>
            </w:r>
          </w:p>
        </w:tc>
        <w:tc>
          <w:tcPr>
            <w:tcW w:w="500" w:type="dxa"/>
            <w:vAlign w:val="bottom"/>
            <w:tcBorders>
              <w:bottom w:val="single" w:sz="8" w:color="auto"/>
            </w:tcBorders>
          </w:tcPr>
          <w:p>
            <w:pPr>
              <w:spacing w:after="0"/>
              <w:rPr>
                <w:sz w:val="15"/>
                <w:szCs w:val="15"/>
                <w:color w:val="auto"/>
              </w:rPr>
            </w:pPr>
          </w:p>
        </w:tc>
      </w:tr>
      <w:tr>
        <w:trPr>
          <w:trHeight w:val="187"/>
        </w:trPr>
        <w:tc>
          <w:tcPr>
            <w:tcW w:w="7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7"/>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8"/>
              </w:rPr>
              <w:t>(in thousands, except percentages)</w:t>
            </w:r>
          </w:p>
        </w:tc>
        <w:tc>
          <w:tcPr>
            <w:tcW w:w="500" w:type="dxa"/>
            <w:vAlign w:val="bottom"/>
          </w:tcPr>
          <w:p>
            <w:pPr>
              <w:spacing w:after="0"/>
              <w:rPr>
                <w:sz w:val="16"/>
                <w:szCs w:val="16"/>
                <w:color w:val="auto"/>
              </w:rPr>
            </w:pPr>
          </w:p>
        </w:tc>
      </w:tr>
      <w:tr>
        <w:trPr>
          <w:trHeight w:val="225"/>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Channel:</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r>
      <w:tr>
        <w:trPr>
          <w:trHeight w:val="220"/>
        </w:trPr>
        <w:tc>
          <w:tcPr>
            <w:tcW w:w="7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CTV</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51,440</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44 %</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11,976</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20 %</w:t>
            </w:r>
          </w:p>
        </w:tc>
      </w:tr>
      <w:tr>
        <w:trPr>
          <w:trHeight w:val="220"/>
        </w:trPr>
        <w:tc>
          <w:tcPr>
            <w:tcW w:w="7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Desktop</w:t>
            </w:r>
          </w:p>
        </w:tc>
        <w:tc>
          <w:tcPr>
            <w:tcW w:w="1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27,606</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23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20,851</w:t>
            </w: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34</w:t>
            </w:r>
          </w:p>
        </w:tc>
      </w:tr>
      <w:tr>
        <w:trPr>
          <w:trHeight w:val="220"/>
        </w:trPr>
        <w:tc>
          <w:tcPr>
            <w:tcW w:w="7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Mobile</w:t>
            </w: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39,029</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27,888</w:t>
            </w:r>
          </w:p>
        </w:tc>
        <w:tc>
          <w:tcPr>
            <w:tcW w:w="10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46</w:t>
            </w:r>
          </w:p>
        </w:tc>
      </w:tr>
      <w:tr>
        <w:trPr>
          <w:trHeight w:val="238"/>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118,075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60,715</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100 %</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presents the Company's revenue disaggregated by geographic location, based on the location of the Company's sellers:</w:t>
      </w:r>
    </w:p>
    <w:p>
      <w:pPr>
        <w:spacing w:after="0" w:line="135" w:lineRule="exact"/>
        <w:rPr>
          <w:sz w:val="20"/>
          <w:szCs w:val="20"/>
          <w:color w:val="auto"/>
        </w:rPr>
      </w:pPr>
    </w:p>
    <w:p>
      <w:pPr>
        <w:jc w:val="center"/>
        <w:ind w:left="83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5316855</wp:posOffset>
            </wp:positionH>
            <wp:positionV relativeFrom="paragraph">
              <wp:posOffset>28575</wp:posOffset>
            </wp:positionV>
            <wp:extent cx="18237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6" w:lineRule="exact"/>
        <w:rPr>
          <w:sz w:val="20"/>
          <w:szCs w:val="20"/>
          <w:color w:val="auto"/>
        </w:rPr>
      </w:pPr>
    </w:p>
    <w:p>
      <w:pPr>
        <w:ind w:left="8600"/>
        <w:spacing w:after="0"/>
        <w:tabs>
          <w:tab w:leader="none" w:pos="10080" w:val="left"/>
        </w:tabs>
        <w:rPr>
          <w:sz w:val="20"/>
          <w:szCs w:val="20"/>
          <w:color w:val="auto"/>
        </w:rPr>
      </w:pPr>
      <w:r>
        <w:rPr>
          <w:rFonts w:ascii="Times New Roman" w:cs="Times New Roman" w:eastAsia="Times New Roman" w:hAnsi="Times New Roman"/>
          <w:sz w:val="14"/>
          <w:szCs w:val="14"/>
          <w:b w:val="1"/>
          <w:bCs w:val="1"/>
          <w:color w:val="auto"/>
        </w:rPr>
        <w:t>March 31, 2022</w:t>
      </w:r>
      <w:r>
        <w:rPr>
          <w:sz w:val="20"/>
          <w:szCs w:val="20"/>
          <w:color w:val="auto"/>
        </w:rPr>
        <w:tab/>
      </w:r>
      <w:r>
        <w:rPr>
          <w:rFonts w:ascii="Times New Roman" w:cs="Times New Roman" w:eastAsia="Times New Roman" w:hAnsi="Times New Roman"/>
          <w:sz w:val="13"/>
          <w:szCs w:val="13"/>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5316855</wp:posOffset>
            </wp:positionH>
            <wp:positionV relativeFrom="paragraph">
              <wp:posOffset>28575</wp:posOffset>
            </wp:positionV>
            <wp:extent cx="18237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3720" cy="8255"/>
                    </a:xfrm>
                    <a:prstGeom prst="rect">
                      <a:avLst/>
                    </a:prstGeom>
                    <a:noFill/>
                  </pic:spPr>
                </pic:pic>
              </a:graphicData>
            </a:graphic>
          </wp:anchor>
        </w:drawing>
      </w:r>
    </w:p>
    <w:p>
      <w:pPr>
        <w:spacing w:after="0" w:line="26" w:lineRule="exact"/>
        <w:rPr>
          <w:sz w:val="20"/>
          <w:szCs w:val="20"/>
          <w:color w:val="auto"/>
        </w:rPr>
      </w:pPr>
    </w:p>
    <w:p>
      <w:pPr>
        <w:ind w:left="938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42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90,408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42,611</w:t>
            </w:r>
          </w:p>
        </w:tc>
      </w:tr>
      <w:tr>
        <w:trPr>
          <w:trHeight w:val="22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International</w:t>
            </w:r>
          </w:p>
        </w:tc>
        <w:tc>
          <w:tcPr>
            <w:tcW w:w="4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27,667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18,104</w:t>
            </w:r>
          </w:p>
        </w:tc>
      </w:tr>
      <w:tr>
        <w:trPr>
          <w:trHeight w:val="23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42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118,075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4"/>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60,715</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20" w:firstLine="621"/>
        <w:spacing w:after="0" w:line="261" w:lineRule="auto"/>
        <w:rPr>
          <w:sz w:val="20"/>
          <w:szCs w:val="20"/>
          <w:color w:val="auto"/>
        </w:rPr>
      </w:pPr>
      <w:r>
        <w:rPr>
          <w:rFonts w:ascii="Times New Roman" w:cs="Times New Roman" w:eastAsia="Times New Roman" w:hAnsi="Times New Roman"/>
          <w:sz w:val="17"/>
          <w:szCs w:val="17"/>
          <w:color w:val="auto"/>
        </w:rPr>
        <w:t>Payment terms are specified in agreements between the Company and the buyers and sellers on its platform. The Company generally bills buyers at the end of each month for the full purchase price of impressions filled in that month. The Company recognizes volume discounts as a reduction of revenue as they are incurred. Specific payment terms may vary by agreement, but are generally seventy-five days or less. The Company's accounts receivable are recorded at the amount of gross billings to buyers, net of allowances for the amounts the Company is responsible to collect. The Company's accounts payable related to amounts due to sellers are recorded at the net amount payable to sellers (see Note 5). Accordingly, both accounts receivable and accounts payable appear large in relation to revenue reported on a net basis.</w:t>
      </w:r>
    </w:p>
    <w:p>
      <w:pPr>
        <w:spacing w:after="0" w:line="70" w:lineRule="exact"/>
        <w:rPr>
          <w:sz w:val="20"/>
          <w:szCs w:val="20"/>
          <w:color w:val="auto"/>
        </w:rPr>
      </w:pPr>
    </w:p>
    <w:p>
      <w:pPr>
        <w:ind w:right="160" w:firstLine="621"/>
        <w:spacing w:after="0" w:line="266" w:lineRule="auto"/>
        <w:rPr>
          <w:sz w:val="20"/>
          <w:szCs w:val="20"/>
          <w:color w:val="auto"/>
        </w:rPr>
      </w:pPr>
      <w:r>
        <w:rPr>
          <w:rFonts w:ascii="Times New Roman" w:cs="Times New Roman" w:eastAsia="Times New Roman" w:hAnsi="Times New Roman"/>
          <w:sz w:val="17"/>
          <w:szCs w:val="17"/>
          <w:color w:val="auto"/>
        </w:rPr>
        <w:t>Accounts receivable are recorded at the invoiced amount, are unsecured, and do not bear interest. The allowance for doubtful accounts is reviewed quarterly, requires judgment, and is based on the best estimate of the amount of probable credit losses in existing accounts receivable. The Company reviews the status of the then-outstanding accounts receivable on a customer-by-customer basis, taking into consideration the aging schedule of receivables, its historical collection experience, current information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right="160"/>
        <w:spacing w:after="0" w:line="272" w:lineRule="auto"/>
        <w:rPr>
          <w:sz w:val="20"/>
          <w:szCs w:val="20"/>
          <w:color w:val="auto"/>
        </w:rPr>
      </w:pPr>
      <w:r>
        <w:rPr>
          <w:rFonts w:ascii="Times New Roman" w:cs="Times New Roman" w:eastAsia="Times New Roman" w:hAnsi="Times New Roman"/>
          <w:sz w:val="17"/>
          <w:szCs w:val="17"/>
          <w:color w:val="auto"/>
        </w:rPr>
        <w:t>regarding the client, subsequent collection history, and other relevant data, in establishing the allowance for doubtful accounts. Accounts receivable is presented net of an allowance for doubtful accounts of $2.1 million at March 31, 2022, and $3.5 million at December 31, 2021. Accounts receivable are written off against the allowance for doubtful accounts when the Company determines amounts are no longer collectible.</w:t>
      </w:r>
    </w:p>
    <w:p>
      <w:pPr>
        <w:spacing w:after="0" w:line="60" w:lineRule="exact"/>
        <w:rPr>
          <w:sz w:val="20"/>
          <w:szCs w:val="20"/>
          <w:color w:val="auto"/>
        </w:rPr>
      </w:pPr>
    </w:p>
    <w:p>
      <w:pPr>
        <w:ind w:right="40" w:firstLine="621"/>
        <w:spacing w:after="0" w:line="272" w:lineRule="auto"/>
        <w:rPr>
          <w:sz w:val="20"/>
          <w:szCs w:val="20"/>
          <w:color w:val="auto"/>
        </w:rPr>
      </w:pPr>
      <w:r>
        <w:rPr>
          <w:rFonts w:ascii="Times New Roman" w:cs="Times New Roman" w:eastAsia="Times New Roman" w:hAnsi="Times New Roman"/>
          <w:sz w:val="17"/>
          <w:szCs w:val="17"/>
          <w:color w:val="auto"/>
        </w:rPr>
        <w:t>The Company reviews the associated payable to sellers for recovery of buyer receivable allowance and write-offs; in some cases, the Company can reduce the payable to sellers. The reduction of seller payables related to recovery of uncollected buyer receivables is netted against allowance expense. The contra seller payables related to recoveries were $1.2 million and $2.1 million as of March 31, 2022 and December 31, 2021, respectively.</w:t>
      </w:r>
    </w:p>
    <w:p>
      <w:pPr>
        <w:spacing w:after="0" w:line="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is a summary of activity in the allowance for doubtful accounts for the three months ended March 31, 2022 and 2021:</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60" w:type="dxa"/>
            <w:vAlign w:val="bottom"/>
            <w:gridSpan w:val="4"/>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1"/>
        </w:trPr>
        <w:tc>
          <w:tcPr>
            <w:tcW w:w="87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4"/>
                <w:szCs w:val="14"/>
                <w:b w:val="1"/>
                <w:bCs w:val="1"/>
                <w:color w:val="auto"/>
                <w:w w:val="98"/>
              </w:rPr>
              <w:t>March 31, 2021</w:t>
            </w:r>
          </w:p>
        </w:tc>
      </w:tr>
      <w:tr>
        <w:trPr>
          <w:trHeight w:val="187"/>
        </w:trPr>
        <w:tc>
          <w:tcPr>
            <w:tcW w:w="8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360" w:type="dxa"/>
            <w:vAlign w:val="bottom"/>
            <w:gridSpan w:val="4"/>
          </w:tcPr>
          <w:p>
            <w:pPr>
              <w:jc w:val="right"/>
              <w:ind w:right="73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 beginning balance December 31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3,475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w:t>
            </w:r>
          </w:p>
        </w:tc>
      </w:tr>
      <w:tr>
        <w:trPr>
          <w:trHeight w:val="220"/>
        </w:trPr>
        <w:tc>
          <w:tcPr>
            <w:tcW w:w="8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Write-offs</w:t>
            </w:r>
          </w:p>
        </w:tc>
        <w:tc>
          <w:tcPr>
            <w:tcW w:w="1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r>
      <w:tr>
        <w:trPr>
          <w:trHeight w:val="220"/>
        </w:trPr>
        <w:tc>
          <w:tcPr>
            <w:tcW w:w="8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Increase (decrease) in provision for expected credit losses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w:t>
            </w:r>
          </w:p>
        </w:tc>
      </w:tr>
      <w:tr>
        <w:trPr>
          <w:trHeight w:val="220"/>
        </w:trPr>
        <w:tc>
          <w:tcPr>
            <w:tcW w:w="8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Recoveries of previous write-offs</w:t>
            </w: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38"/>
        </w:trPr>
        <w:tc>
          <w:tcPr>
            <w:tcW w:w="8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Allowance for doubtful accounts, ending balance March 31</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2,096</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w:t>
            </w:r>
          </w:p>
        </w:tc>
      </w:tr>
      <w:tr>
        <w:trPr>
          <w:trHeight w:val="20"/>
        </w:trPr>
        <w:tc>
          <w:tcPr>
            <w:tcW w:w="8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4" w:lineRule="exact"/>
        <w:rPr>
          <w:sz w:val="20"/>
          <w:szCs w:val="20"/>
          <w:color w:val="auto"/>
        </w:rPr>
      </w:pPr>
    </w:p>
    <w:p>
      <w:pPr>
        <w:ind w:right="180" w:firstLine="621"/>
        <w:spacing w:after="0" w:line="263" w:lineRule="auto"/>
        <w:rPr>
          <w:sz w:val="20"/>
          <w:szCs w:val="20"/>
          <w:color w:val="auto"/>
        </w:rPr>
      </w:pPr>
      <w:r>
        <w:rPr>
          <w:rFonts w:ascii="Times New Roman" w:cs="Times New Roman" w:eastAsia="Times New Roman" w:hAnsi="Times New Roman"/>
          <w:sz w:val="17"/>
          <w:szCs w:val="17"/>
          <w:color w:val="auto"/>
        </w:rPr>
        <w:t>During the three months ended March 31, 2022, the provision for expected credit losses associated with accounts receivable decreased by $1.5 million, offset by decreases of contra seller payables related to recoveries of uncollected buyer receivables of $0.9 million, which resulted in $0.6 million of bad debt expense. During the three months ended March 31, 2021, the provision for expected credit losses associated with accounts receivable decreased by $0.9 million and was offset by decreases of contra seller payables related to recoveries of uncollected buyer receivables of $0.7 million, which resulted in $0.2 million of bad debt expense during the period.</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4—Fair Value Measurements</w:t>
      </w:r>
    </w:p>
    <w:p>
      <w:pPr>
        <w:spacing w:after="0" w:line="1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Recurring Fair Value Measurements</w:t>
      </w:r>
    </w:p>
    <w:p>
      <w:pPr>
        <w:spacing w:after="0" w:line="119" w:lineRule="exact"/>
        <w:rPr>
          <w:sz w:val="20"/>
          <w:szCs w:val="20"/>
          <w:color w:val="auto"/>
        </w:rPr>
      </w:pPr>
    </w:p>
    <w:p>
      <w:pPr>
        <w:ind w:right="40" w:firstLine="621"/>
        <w:spacing w:after="0" w:line="263" w:lineRule="auto"/>
        <w:rPr>
          <w:sz w:val="20"/>
          <w:szCs w:val="20"/>
          <w:color w:val="auto"/>
        </w:rPr>
      </w:pPr>
      <w:r>
        <w:rPr>
          <w:rFonts w:ascii="Times New Roman" w:cs="Times New Roman" w:eastAsia="Times New Roman" w:hAnsi="Times New Roman"/>
          <w:sz w:val="17"/>
          <w:szCs w:val="17"/>
          <w:color w:val="auto"/>
        </w:rPr>
        <w:t>Fair value represents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Observable inputs are based on market data obtained from independent sources. The fair value hierarchy is based on the following three levels of inputs, of which the first two are considered observable and the last one is considered unobservable:</w:t>
      </w:r>
    </w:p>
    <w:p>
      <w:pPr>
        <w:spacing w:after="0" w:line="132" w:lineRule="exact"/>
        <w:rPr>
          <w:sz w:val="20"/>
          <w:szCs w:val="20"/>
          <w:color w:val="auto"/>
        </w:rPr>
      </w:pPr>
    </w:p>
    <w:p>
      <w:pPr>
        <w:ind w:left="1100" w:right="820" w:hanging="476"/>
        <w:spacing w:after="0" w:line="291" w:lineRule="auto"/>
        <w:tabs>
          <w:tab w:leader="none" w:pos="109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Quoted prices (unadjusted) in active markets for identical assets or liabilities that the Company has the ability to access at the measurement date.</w:t>
      </w:r>
    </w:p>
    <w:p>
      <w:pPr>
        <w:spacing w:after="0" w:line="30"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prices included within Level 1 that are observable for the asset or liability, either directly or indirectly.</w:t>
      </w:r>
    </w:p>
    <w:p>
      <w:pPr>
        <w:spacing w:after="0" w:line="102" w:lineRule="exact"/>
        <w:rPr>
          <w:rFonts w:ascii="Times New Roman" w:cs="Times New Roman" w:eastAsia="Times New Roman" w:hAnsi="Times New Roman"/>
          <w:sz w:val="17"/>
          <w:szCs w:val="17"/>
          <w:color w:val="auto"/>
        </w:rPr>
      </w:pPr>
    </w:p>
    <w:p>
      <w:pPr>
        <w:ind w:left="1080" w:hanging="456"/>
        <w:spacing w:after="0"/>
        <w:tabs>
          <w:tab w:leader="none" w:pos="108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Unobservable inputs.</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sets forth a summary of financial instruments that are measured at fair value on a recurring basis at March 31, 2022:</w:t>
      </w:r>
    </w:p>
    <w:p>
      <w:pPr>
        <w:spacing w:after="0" w:line="205"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680" w:type="dxa"/>
            <w:vAlign w:val="bottom"/>
            <w:vMerge w:val="restart"/>
          </w:tcPr>
          <w:p>
            <w:pPr>
              <w:jc w:val="center"/>
              <w:ind w:left="307"/>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920" w:type="dxa"/>
            <w:vAlign w:val="bottom"/>
            <w:vMerge w:val="restart"/>
          </w:tcPr>
          <w:p>
            <w:pPr>
              <w:jc w:val="center"/>
              <w:ind w:left="847"/>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jc w:val="center"/>
              <w:ind w:right="248"/>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68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vMerge w:val="restart"/>
          </w:tcPr>
          <w:p>
            <w:pPr>
              <w:jc w:val="right"/>
              <w:ind w:right="48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1"/>
                <w:szCs w:val="11"/>
                <w:color w:val="auto"/>
              </w:rPr>
            </w:pPr>
          </w:p>
        </w:tc>
        <w:tc>
          <w:tcPr>
            <w:tcW w:w="1720" w:type="dxa"/>
            <w:vAlign w:val="bottom"/>
          </w:tcPr>
          <w:p>
            <w:pPr>
              <w:jc w:val="center"/>
              <w:ind w:right="248"/>
              <w:spacing w:after="0" w:line="131"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680" w:type="dxa"/>
            <w:vAlign w:val="bottom"/>
          </w:tcPr>
          <w:p>
            <w:pPr>
              <w:jc w:val="center"/>
              <w:ind w:left="327"/>
              <w:spacing w:after="0" w:line="131" w:lineRule="exact"/>
              <w:rPr>
                <w:sz w:val="20"/>
                <w:szCs w:val="20"/>
                <w:color w:val="auto"/>
              </w:rPr>
            </w:pPr>
            <w:r>
              <w:rPr>
                <w:rFonts w:ascii="Times New Roman" w:cs="Times New Roman" w:eastAsia="Times New Roman" w:hAnsi="Times New Roman"/>
                <w:sz w:val="14"/>
                <w:szCs w:val="14"/>
                <w:b w:val="1"/>
                <w:bCs w:val="1"/>
                <w:color w:val="auto"/>
                <w:w w:val="97"/>
              </w:rPr>
              <w:t>Observable Inputs</w:t>
            </w:r>
          </w:p>
        </w:tc>
        <w:tc>
          <w:tcPr>
            <w:tcW w:w="1920" w:type="dxa"/>
            <w:vAlign w:val="bottom"/>
          </w:tcPr>
          <w:p>
            <w:pPr>
              <w:ind w:left="800"/>
              <w:spacing w:after="0" w:line="131" w:lineRule="exact"/>
              <w:rPr>
                <w:sz w:val="20"/>
                <w:szCs w:val="20"/>
                <w:color w:val="auto"/>
              </w:rPr>
            </w:pPr>
            <w:r>
              <w:rPr>
                <w:rFonts w:ascii="Times New Roman" w:cs="Times New Roman" w:eastAsia="Times New Roman" w:hAnsi="Times New Roman"/>
                <w:sz w:val="14"/>
                <w:szCs w:val="14"/>
                <w:b w:val="1"/>
                <w:bCs w:val="1"/>
                <w:color w:val="auto"/>
                <w:w w:val="95"/>
              </w:rPr>
              <w:t>Unobservable Inpu</w:t>
            </w: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680" w:type="dxa"/>
            <w:vAlign w:val="bottom"/>
          </w:tcPr>
          <w:p>
            <w:pPr>
              <w:jc w:val="center"/>
              <w:ind w:left="367"/>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920" w:type="dxa"/>
            <w:vAlign w:val="bottom"/>
          </w:tcPr>
          <w:p>
            <w:pPr>
              <w:jc w:val="center"/>
              <w:ind w:left="867"/>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0" w:type="dxa"/>
            <w:vAlign w:val="bottom"/>
          </w:tcPr>
          <w:p>
            <w:pPr>
              <w:spacing w:after="0"/>
              <w:rPr>
                <w:sz w:val="1"/>
                <w:szCs w:val="1"/>
                <w:color w:val="auto"/>
              </w:rPr>
            </w:pPr>
          </w:p>
        </w:tc>
      </w:tr>
      <w:tr>
        <w:trPr>
          <w:trHeight w:val="23"/>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00" w:type="dxa"/>
            <w:vAlign w:val="bottom"/>
            <w:tcBorders>
              <w:bottom w:val="single" w:sz="8" w:color="auto"/>
            </w:tcBorders>
            <w:gridSpan w:val="2"/>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0" w:type="dxa"/>
            <w:vAlign w:val="bottom"/>
            <w:gridSpan w:val="2"/>
          </w:tcPr>
          <w:p>
            <w:pPr>
              <w:jc w:val="right"/>
              <w:ind w:right="86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7,870</w:t>
            </w:r>
          </w:p>
        </w:tc>
        <w:tc>
          <w:tcPr>
            <w:tcW w:w="34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ind w:right="28"/>
              <w:spacing w:after="0"/>
              <w:rPr>
                <w:sz w:val="20"/>
                <w:szCs w:val="20"/>
                <w:color w:val="auto"/>
              </w:rPr>
            </w:pPr>
            <w:r>
              <w:rPr>
                <w:rFonts w:ascii="Times New Roman" w:cs="Times New Roman" w:eastAsia="Times New Roman" w:hAnsi="Times New Roman"/>
                <w:sz w:val="17"/>
                <w:szCs w:val="17"/>
                <w:color w:val="auto"/>
              </w:rPr>
              <w:t>7,870</w:t>
            </w:r>
          </w:p>
        </w:tc>
        <w:tc>
          <w:tcPr>
            <w:tcW w:w="1680" w:type="dxa"/>
            <w:vAlign w:val="bottom"/>
            <w:shd w:val="clear" w:color="auto" w:fill="CCEEFF"/>
          </w:tcPr>
          <w:p>
            <w:pPr>
              <w:jc w:val="right"/>
              <w:ind w:right="1427"/>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r>
        <w:trPr>
          <w:trHeight w:val="26"/>
        </w:trPr>
        <w:tc>
          <w:tcPr>
            <w:tcW w:w="36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720" w:type="dxa"/>
            <w:vAlign w:val="bottom"/>
            <w:shd w:val="clear" w:color="auto" w:fill="CCEEFF"/>
          </w:tcPr>
          <w:p>
            <w:pPr>
              <w:spacing w:after="0"/>
              <w:rPr>
                <w:sz w:val="2"/>
                <w:szCs w:val="2"/>
                <w:color w:val="auto"/>
              </w:rPr>
            </w:pPr>
          </w:p>
        </w:tc>
        <w:tc>
          <w:tcPr>
            <w:tcW w:w="168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sets forth a summary of financial instruments that are measured at fair value on a recurring basis at December 31, 2021:</w:t>
      </w:r>
    </w:p>
    <w:p>
      <w:pPr>
        <w:spacing w:after="0" w:line="231"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20" w:type="dxa"/>
            <w:vAlign w:val="bottom"/>
          </w:tcPr>
          <w:p>
            <w:pPr>
              <w:jc w:val="center"/>
              <w:ind w:right="228"/>
              <w:spacing w:after="0"/>
              <w:rPr>
                <w:sz w:val="20"/>
                <w:szCs w:val="20"/>
                <w:color w:val="auto"/>
              </w:rPr>
            </w:pPr>
            <w:r>
              <w:rPr>
                <w:rFonts w:ascii="Times New Roman" w:cs="Times New Roman" w:eastAsia="Times New Roman" w:hAnsi="Times New Roman"/>
                <w:sz w:val="14"/>
                <w:szCs w:val="14"/>
                <w:b w:val="1"/>
                <w:bCs w:val="1"/>
                <w:color w:val="auto"/>
                <w:w w:val="98"/>
              </w:rPr>
              <w:t>Quoted Prices in</w:t>
            </w:r>
          </w:p>
        </w:tc>
        <w:tc>
          <w:tcPr>
            <w:tcW w:w="1700" w:type="dxa"/>
            <w:vAlign w:val="bottom"/>
            <w:vMerge w:val="restart"/>
          </w:tcPr>
          <w:p>
            <w:pPr>
              <w:jc w:val="center"/>
              <w:ind w:left="327"/>
              <w:spacing w:after="0"/>
              <w:rPr>
                <w:sz w:val="20"/>
                <w:szCs w:val="20"/>
                <w:color w:val="auto"/>
              </w:rPr>
            </w:pPr>
            <w:r>
              <w:rPr>
                <w:rFonts w:ascii="Times New Roman" w:cs="Times New Roman" w:eastAsia="Times New Roman" w:hAnsi="Times New Roman"/>
                <w:sz w:val="14"/>
                <w:szCs w:val="14"/>
                <w:b w:val="1"/>
                <w:bCs w:val="1"/>
                <w:color w:val="auto"/>
                <w:w w:val="98"/>
              </w:rPr>
              <w:t>Significant Other</w:t>
            </w:r>
          </w:p>
        </w:tc>
        <w:tc>
          <w:tcPr>
            <w:tcW w:w="1920" w:type="dxa"/>
            <w:vAlign w:val="bottom"/>
            <w:vMerge w:val="restart"/>
          </w:tcPr>
          <w:p>
            <w:pPr>
              <w:jc w:val="center"/>
              <w:ind w:left="807"/>
              <w:spacing w:after="0"/>
              <w:rPr>
                <w:sz w:val="20"/>
                <w:szCs w:val="20"/>
                <w:color w:val="auto"/>
              </w:rPr>
            </w:pPr>
            <w:r>
              <w:rPr>
                <w:rFonts w:ascii="Times New Roman" w:cs="Times New Roman" w:eastAsia="Times New Roman" w:hAnsi="Times New Roman"/>
                <w:sz w:val="14"/>
                <w:szCs w:val="14"/>
                <w:b w:val="1"/>
                <w:bCs w:val="1"/>
                <w:color w:val="auto"/>
                <w:w w:val="99"/>
              </w:rPr>
              <w:t>Significant</w:t>
            </w:r>
          </w:p>
        </w:tc>
        <w:tc>
          <w:tcPr>
            <w:tcW w:w="0" w:type="dxa"/>
            <w:vAlign w:val="bottom"/>
          </w:tcPr>
          <w:p>
            <w:pPr>
              <w:spacing w:after="0"/>
              <w:rPr>
                <w:sz w:val="1"/>
                <w:szCs w:val="1"/>
                <w:color w:val="auto"/>
              </w:rPr>
            </w:pPr>
          </w:p>
        </w:tc>
      </w:tr>
      <w:tr>
        <w:trPr>
          <w:trHeight w:val="142"/>
        </w:trPr>
        <w:tc>
          <w:tcPr>
            <w:tcW w:w="36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720" w:type="dxa"/>
            <w:vAlign w:val="bottom"/>
          </w:tcPr>
          <w:p>
            <w:pPr>
              <w:jc w:val="center"/>
              <w:ind w:right="248"/>
              <w:spacing w:after="0" w:line="143" w:lineRule="exact"/>
              <w:rPr>
                <w:sz w:val="20"/>
                <w:szCs w:val="20"/>
                <w:color w:val="auto"/>
              </w:rPr>
            </w:pPr>
            <w:r>
              <w:rPr>
                <w:rFonts w:ascii="Times New Roman" w:cs="Times New Roman" w:eastAsia="Times New Roman" w:hAnsi="Times New Roman"/>
                <w:sz w:val="14"/>
                <w:szCs w:val="14"/>
                <w:b w:val="1"/>
                <w:bCs w:val="1"/>
                <w:color w:val="auto"/>
                <w:w w:val="98"/>
              </w:rPr>
              <w:t>Active Markets for</w:t>
            </w:r>
          </w:p>
        </w:tc>
        <w:tc>
          <w:tcPr>
            <w:tcW w:w="1700" w:type="dxa"/>
            <w:vAlign w:val="bottom"/>
            <w:vMerge w:val="continue"/>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1"/>
        </w:trPr>
        <w:tc>
          <w:tcPr>
            <w:tcW w:w="3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vMerge w:val="restart"/>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340" w:type="dxa"/>
            <w:vAlign w:val="bottom"/>
          </w:tcPr>
          <w:p>
            <w:pPr>
              <w:spacing w:after="0"/>
              <w:rPr>
                <w:sz w:val="11"/>
                <w:szCs w:val="11"/>
                <w:color w:val="auto"/>
              </w:rPr>
            </w:pPr>
          </w:p>
        </w:tc>
        <w:tc>
          <w:tcPr>
            <w:tcW w:w="1720" w:type="dxa"/>
            <w:vAlign w:val="bottom"/>
          </w:tcPr>
          <w:p>
            <w:pPr>
              <w:jc w:val="center"/>
              <w:ind w:right="248"/>
              <w:spacing w:after="0" w:line="131" w:lineRule="exact"/>
              <w:rPr>
                <w:sz w:val="20"/>
                <w:szCs w:val="20"/>
                <w:color w:val="auto"/>
              </w:rPr>
            </w:pPr>
            <w:r>
              <w:rPr>
                <w:rFonts w:ascii="Times New Roman" w:cs="Times New Roman" w:eastAsia="Times New Roman" w:hAnsi="Times New Roman"/>
                <w:sz w:val="14"/>
                <w:szCs w:val="14"/>
                <w:b w:val="1"/>
                <w:bCs w:val="1"/>
                <w:color w:val="auto"/>
                <w:w w:val="98"/>
              </w:rPr>
              <w:t>Identical Assets</w:t>
            </w:r>
          </w:p>
        </w:tc>
        <w:tc>
          <w:tcPr>
            <w:tcW w:w="1700" w:type="dxa"/>
            <w:vAlign w:val="bottom"/>
          </w:tcPr>
          <w:p>
            <w:pPr>
              <w:jc w:val="center"/>
              <w:ind w:left="307"/>
              <w:spacing w:after="0" w:line="131" w:lineRule="exact"/>
              <w:rPr>
                <w:sz w:val="20"/>
                <w:szCs w:val="20"/>
                <w:color w:val="auto"/>
              </w:rPr>
            </w:pPr>
            <w:r>
              <w:rPr>
                <w:rFonts w:ascii="Times New Roman" w:cs="Times New Roman" w:eastAsia="Times New Roman" w:hAnsi="Times New Roman"/>
                <w:sz w:val="14"/>
                <w:szCs w:val="14"/>
                <w:b w:val="1"/>
                <w:bCs w:val="1"/>
                <w:color w:val="auto"/>
                <w:w w:val="97"/>
              </w:rPr>
              <w:t>Observable Inputs</w:t>
            </w:r>
          </w:p>
        </w:tc>
        <w:tc>
          <w:tcPr>
            <w:tcW w:w="1920" w:type="dxa"/>
            <w:vAlign w:val="bottom"/>
          </w:tcPr>
          <w:p>
            <w:pPr>
              <w:ind w:left="780"/>
              <w:spacing w:after="0" w:line="131" w:lineRule="exact"/>
              <w:rPr>
                <w:sz w:val="20"/>
                <w:szCs w:val="20"/>
                <w:color w:val="auto"/>
              </w:rPr>
            </w:pPr>
            <w:r>
              <w:rPr>
                <w:rFonts w:ascii="Times New Roman" w:cs="Times New Roman" w:eastAsia="Times New Roman" w:hAnsi="Times New Roman"/>
                <w:sz w:val="14"/>
                <w:szCs w:val="14"/>
                <w:b w:val="1"/>
                <w:bCs w:val="1"/>
                <w:color w:val="auto"/>
                <w:w w:val="97"/>
              </w:rPr>
              <w:t>Unobservable Inpu</w:t>
            </w:r>
          </w:p>
        </w:tc>
        <w:tc>
          <w:tcPr>
            <w:tcW w:w="0" w:type="dxa"/>
            <w:vAlign w:val="bottom"/>
          </w:tcPr>
          <w:p>
            <w:pPr>
              <w:spacing w:after="0"/>
              <w:rPr>
                <w:sz w:val="1"/>
                <w:szCs w:val="1"/>
                <w:color w:val="auto"/>
              </w:rPr>
            </w:pPr>
          </w:p>
        </w:tc>
      </w:tr>
      <w:tr>
        <w:trPr>
          <w:trHeight w:val="183"/>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72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8"/>
              </w:rPr>
              <w:t>(Level 1)</w:t>
            </w:r>
          </w:p>
        </w:tc>
        <w:tc>
          <w:tcPr>
            <w:tcW w:w="1700" w:type="dxa"/>
            <w:vAlign w:val="bottom"/>
          </w:tcPr>
          <w:p>
            <w:pPr>
              <w:jc w:val="center"/>
              <w:ind w:left="347"/>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920" w:type="dxa"/>
            <w:vAlign w:val="bottom"/>
          </w:tcPr>
          <w:p>
            <w:pPr>
              <w:jc w:val="center"/>
              <w:ind w:left="827"/>
              <w:spacing w:after="0"/>
              <w:rPr>
                <w:sz w:val="20"/>
                <w:szCs w:val="20"/>
                <w:color w:val="auto"/>
              </w:rPr>
            </w:pPr>
            <w:r>
              <w:rPr>
                <w:rFonts w:ascii="Times New Roman" w:cs="Times New Roman" w:eastAsia="Times New Roman" w:hAnsi="Times New Roman"/>
                <w:sz w:val="14"/>
                <w:szCs w:val="14"/>
                <w:b w:val="1"/>
                <w:bCs w:val="1"/>
                <w:color w:val="auto"/>
                <w:w w:val="95"/>
              </w:rPr>
              <w:t>(Level 3)</w:t>
            </w:r>
          </w:p>
        </w:tc>
        <w:tc>
          <w:tcPr>
            <w:tcW w:w="0" w:type="dxa"/>
            <w:vAlign w:val="bottom"/>
          </w:tcPr>
          <w:p>
            <w:pPr>
              <w:spacing w:after="0"/>
              <w:rPr>
                <w:sz w:val="1"/>
                <w:szCs w:val="1"/>
                <w:color w:val="auto"/>
              </w:rPr>
            </w:pPr>
          </w:p>
        </w:tc>
      </w:tr>
      <w:tr>
        <w:trPr>
          <w:trHeight w:val="23"/>
        </w:trPr>
        <w:tc>
          <w:tcPr>
            <w:tcW w:w="3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420" w:type="dxa"/>
            <w:vAlign w:val="bottom"/>
            <w:tcBorders>
              <w:bottom w:val="single" w:sz="8" w:color="auto"/>
            </w:tcBorders>
            <w:gridSpan w:val="2"/>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36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gridSpan w:val="2"/>
          </w:tcPr>
          <w:p>
            <w:pPr>
              <w:jc w:val="right"/>
              <w:ind w:right="88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equivalents</w:t>
            </w:r>
          </w:p>
        </w:tc>
        <w:tc>
          <w:tcPr>
            <w:tcW w:w="32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7,869</w:t>
            </w:r>
          </w:p>
        </w:tc>
        <w:tc>
          <w:tcPr>
            <w:tcW w:w="3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72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7"/>
                <w:szCs w:val="17"/>
                <w:color w:val="auto"/>
              </w:rPr>
              <w:t>7,869</w:t>
            </w:r>
          </w:p>
        </w:tc>
        <w:tc>
          <w:tcPr>
            <w:tcW w:w="1700" w:type="dxa"/>
            <w:vAlign w:val="bottom"/>
            <w:shd w:val="clear" w:color="auto" w:fill="CCEEFF"/>
          </w:tcPr>
          <w:p>
            <w:pPr>
              <w:jc w:val="right"/>
              <w:ind w:right="1447"/>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  $</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right="400" w:firstLine="621"/>
        <w:spacing w:after="0" w:line="272" w:lineRule="auto"/>
        <w:rPr>
          <w:sz w:val="20"/>
          <w:szCs w:val="20"/>
          <w:color w:val="auto"/>
        </w:rPr>
      </w:pPr>
      <w:r>
        <w:rPr>
          <w:rFonts w:ascii="Times New Roman" w:cs="Times New Roman" w:eastAsia="Times New Roman" w:hAnsi="Times New Roman"/>
          <w:sz w:val="17"/>
          <w:szCs w:val="17"/>
          <w:color w:val="auto"/>
        </w:rPr>
        <w:t>At March 31, 2022 and December 31, 2021, cash equivalents of $7.9 million and $7.9 million, respectively, consisted of money market funds and commercial paper, with original maturities of three months or less. The carrying amounts of cash equivalents are classified as Level 1 or Level 2 depending on whether or not their fair values are based on quoted market prices for identical securities that are traded in an active market.</w:t>
      </w:r>
    </w:p>
    <w:p>
      <w:pPr>
        <w:spacing w:after="0" w:line="47" w:lineRule="exact"/>
        <w:rPr>
          <w:sz w:val="20"/>
          <w:szCs w:val="20"/>
          <w:color w:val="auto"/>
        </w:rPr>
      </w:pPr>
    </w:p>
    <w:p>
      <w:pPr>
        <w:ind w:right="120" w:firstLine="621"/>
        <w:spacing w:after="0" w:line="261" w:lineRule="auto"/>
        <w:rPr>
          <w:sz w:val="20"/>
          <w:szCs w:val="20"/>
          <w:color w:val="auto"/>
        </w:rPr>
      </w:pPr>
      <w:r>
        <w:rPr>
          <w:rFonts w:ascii="Times New Roman" w:cs="Times New Roman" w:eastAsia="Times New Roman" w:hAnsi="Times New Roman"/>
          <w:sz w:val="17"/>
          <w:szCs w:val="17"/>
          <w:color w:val="auto"/>
        </w:rPr>
        <w:t>At March 31, 2022 and December 31, 2021, the Company had Convertible Senior Notes and Term Loan B Facility (as defined in Note 13) included in its balance sheets. The estimated fair value of the Company's Convertible Senior Notes was $292.5 million and $315.5 million as of March 31, 2022 and December 31, 2021, respectively. The estimated fair value of Convertible Senior Notes is based on market rates and the closing trading price of the Convertible Senior Notes as of March 31, 2022 and is classified as Level 2 in the fair value hierarchy. At March 31, 2022 and December 31, 2021, the estimated fair value of the Company's Term Loan B Facility approximates the carrying value based on borrowing rates currently available to the Company for financing with similar terms and is classified as Level 2 in the fair value hierarchy.</w:t>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transfers between Level 1 and Level 2 fair value measurements during the three months ended March 31, 2022 and 2021.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5—Other Balance Sheet Amounts</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Accounts payable and accrued expenses included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60" w:type="dxa"/>
            <w:vAlign w:val="bottom"/>
          </w:tcPr>
          <w:p>
            <w:pPr>
              <w:spacing w:after="0"/>
              <w:rPr>
                <w:sz w:val="15"/>
                <w:szCs w:val="15"/>
                <w:color w:val="auto"/>
              </w:rPr>
            </w:pPr>
          </w:p>
        </w:tc>
        <w:tc>
          <w:tcPr>
            <w:tcW w:w="142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9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060" w:type="dxa"/>
            <w:vAlign w:val="bottom"/>
            <w:tcBorders>
              <w:bottom w:val="single" w:sz="8" w:color="auto"/>
            </w:tcBorders>
            <w:gridSpan w:val="4"/>
          </w:tcPr>
          <w:p>
            <w:pPr>
              <w:spacing w:after="0" w:line="20" w:lineRule="exact"/>
              <w:rPr>
                <w:sz w:val="1"/>
                <w:szCs w:val="1"/>
                <w:color w:val="auto"/>
              </w:rPr>
            </w:pPr>
          </w:p>
        </w:tc>
      </w:tr>
      <w:tr>
        <w:trPr>
          <w:trHeight w:val="181"/>
        </w:trPr>
        <w:tc>
          <w:tcPr>
            <w:tcW w:w="7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60" w:type="dxa"/>
            <w:vAlign w:val="bottom"/>
            <w:gridSpan w:val="4"/>
          </w:tcPr>
          <w:p>
            <w:pPr>
              <w:jc w:val="right"/>
              <w:ind w:right="113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payable—seller</w:t>
            </w:r>
          </w:p>
        </w:tc>
        <w:tc>
          <w:tcPr>
            <w:tcW w:w="2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821,848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971,220</w:t>
            </w:r>
          </w:p>
        </w:tc>
      </w:tr>
      <w:tr>
        <w:trPr>
          <w:trHeight w:val="220"/>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payable—trade</w:t>
            </w: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16,857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11,904</w:t>
            </w:r>
          </w:p>
        </w:tc>
      </w:tr>
      <w:tr>
        <w:trPr>
          <w:trHeight w:val="220"/>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Accrued employee-related payables</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16,575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16,230</w:t>
            </w:r>
          </w:p>
        </w:tc>
      </w:tr>
      <w:tr>
        <w:trPr>
          <w:trHeight w:val="220"/>
        </w:trPr>
        <w:tc>
          <w:tcPr>
            <w:tcW w:w="7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Accrued holdback - indemnification claims</w:t>
            </w: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3,898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1,602</w:t>
            </w:r>
          </w:p>
        </w:tc>
      </w:tr>
      <w:tr>
        <w:trPr>
          <w:trHeight w:val="238"/>
        </w:trPr>
        <w:tc>
          <w:tcPr>
            <w:tcW w:w="79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859,178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1,000,956</w:t>
            </w: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ind w:right="340" w:firstLine="621"/>
        <w:spacing w:after="0" w:line="291" w:lineRule="auto"/>
        <w:rPr>
          <w:sz w:val="20"/>
          <w:szCs w:val="20"/>
          <w:color w:val="auto"/>
        </w:rPr>
      </w:pPr>
      <w:r>
        <w:rPr>
          <w:rFonts w:ascii="Times New Roman" w:cs="Times New Roman" w:eastAsia="Times New Roman" w:hAnsi="Times New Roman"/>
          <w:sz w:val="17"/>
          <w:szCs w:val="17"/>
          <w:color w:val="auto"/>
        </w:rPr>
        <w:t>Restricted cash was $0.3 million at March 31, 2022 and December 31, 2021, which was included within prepaid expenses and other current assets and other assets, non-current.</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6—Goodwill, Intangible Assets, and Capitalized Costs Incurred in Cloud Computing Arrangements</w:t>
      </w:r>
    </w:p>
    <w:p>
      <w:pPr>
        <w:spacing w:after="0" w:line="182" w:lineRule="exact"/>
        <w:rPr>
          <w:sz w:val="20"/>
          <w:szCs w:val="20"/>
          <w:color w:val="auto"/>
        </w:rPr>
      </w:pPr>
    </w:p>
    <w:p>
      <w:pPr>
        <w:ind w:right="120" w:firstLine="621"/>
        <w:spacing w:after="0" w:line="291" w:lineRule="auto"/>
        <w:rPr>
          <w:sz w:val="20"/>
          <w:szCs w:val="20"/>
          <w:color w:val="auto"/>
        </w:rPr>
      </w:pPr>
      <w:r>
        <w:rPr>
          <w:rFonts w:ascii="Times New Roman" w:cs="Times New Roman" w:eastAsia="Times New Roman" w:hAnsi="Times New Roman"/>
          <w:sz w:val="17"/>
          <w:szCs w:val="17"/>
          <w:color w:val="auto"/>
        </w:rPr>
        <w:t>The Company's goodwill balance as of March 31, 2022 and December 31, 2021 was $978.2 million and $969.9 million, respectively. The increase during the three months ended March 31, 2022 was a result of the Carbon Acquisition (see Note 7).</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intangible assets as of March 31, 2022 and December 31, 2021 included the following:</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Pr>
          <w:p>
            <w:pPr>
              <w:spacing w:after="0"/>
              <w:rPr>
                <w:sz w:val="15"/>
                <w:szCs w:val="15"/>
                <w:color w:val="auto"/>
              </w:rPr>
            </w:pPr>
          </w:p>
        </w:tc>
        <w:tc>
          <w:tcPr>
            <w:tcW w:w="150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40" w:type="dxa"/>
            <w:vAlign w:val="bottom"/>
            <w:tcBorders>
              <w:bottom w:val="single" w:sz="8" w:color="auto"/>
            </w:tcBorders>
            <w:gridSpan w:val="4"/>
          </w:tcPr>
          <w:p>
            <w:pPr>
              <w:spacing w:after="0" w:line="20" w:lineRule="exact"/>
              <w:rPr>
                <w:sz w:val="1"/>
                <w:szCs w:val="1"/>
                <w:color w:val="auto"/>
              </w:rPr>
            </w:pPr>
          </w:p>
        </w:tc>
      </w:tr>
      <w:tr>
        <w:trPr>
          <w:trHeight w:val="181"/>
        </w:trPr>
        <w:tc>
          <w:tcPr>
            <w:tcW w:w="7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40" w:type="dxa"/>
            <w:vAlign w:val="bottom"/>
            <w:gridSpan w:val="4"/>
          </w:tcPr>
          <w:p>
            <w:pPr>
              <w:jc w:val="right"/>
              <w:ind w:right="123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Amortizable intangible assets: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r>
      <w:tr>
        <w:trPr>
          <w:trHeight w:val="220"/>
        </w:trPr>
        <w:tc>
          <w:tcPr>
            <w:tcW w:w="7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Developed technology</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390,378</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378,958</w:t>
            </w:r>
          </w:p>
        </w:tc>
      </w:tr>
      <w:tr>
        <w:trPr>
          <w:trHeight w:val="22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Customer relationships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172,500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173,950</w:t>
            </w:r>
          </w:p>
        </w:tc>
      </w:tr>
      <w:tr>
        <w:trPr>
          <w:trHeight w:val="220"/>
        </w:trPr>
        <w:tc>
          <w:tcPr>
            <w:tcW w:w="7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14,630</w:t>
            </w:r>
          </w:p>
        </w:tc>
      </w:tr>
      <w:tr>
        <w:trPr>
          <w:trHeight w:val="22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Non-compete agreements</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2,270</w:t>
            </w:r>
          </w:p>
        </w:tc>
      </w:tr>
      <w:tr>
        <w:trPr>
          <w:trHeight w:val="220"/>
        </w:trPr>
        <w:tc>
          <w:tcPr>
            <w:tcW w:w="77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Trademarks</w:t>
            </w:r>
          </w:p>
        </w:tc>
        <w:tc>
          <w:tcPr>
            <w:tcW w:w="2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1,400</w:t>
            </w:r>
          </w:p>
        </w:tc>
      </w:tr>
      <w:tr>
        <w:trPr>
          <w:trHeight w:val="213"/>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identifiable intangible assets, gross</w:t>
            </w:r>
          </w:p>
        </w:tc>
        <w:tc>
          <w:tcPr>
            <w:tcW w:w="24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578,908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571,208</w:t>
            </w:r>
          </w:p>
        </w:tc>
      </w:tr>
      <w:tr>
        <w:trPr>
          <w:trHeight w:val="20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Accumulated amortization—intangible assets:</w:t>
            </w: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r>
      <w:tr>
        <w:trPr>
          <w:trHeight w:val="22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Developed technology</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(93,579)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(75,850)</w:t>
            </w:r>
          </w:p>
        </w:tc>
      </w:tr>
      <w:tr>
        <w:trPr>
          <w:trHeight w:val="220"/>
        </w:trPr>
        <w:tc>
          <w:tcPr>
            <w:tcW w:w="7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Customer relationships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(82,390)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(65,702)</w:t>
            </w:r>
          </w:p>
        </w:tc>
      </w:tr>
      <w:tr>
        <w:trPr>
          <w:trHeight w:val="22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w:t>
            </w:r>
          </w:p>
        </w:tc>
      </w:tr>
      <w:tr>
        <w:trPr>
          <w:trHeight w:val="220"/>
        </w:trPr>
        <w:tc>
          <w:tcPr>
            <w:tcW w:w="77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Non-compete agreements</w:t>
            </w:r>
          </w:p>
        </w:tc>
        <w:tc>
          <w:tcPr>
            <w:tcW w:w="2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w:t>
            </w:r>
          </w:p>
        </w:tc>
      </w:tr>
      <w:tr>
        <w:trPr>
          <w:trHeight w:val="220"/>
        </w:trPr>
        <w:tc>
          <w:tcPr>
            <w:tcW w:w="77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Trademarks</w:t>
            </w:r>
          </w:p>
        </w:tc>
        <w:tc>
          <w:tcPr>
            <w:tcW w:w="24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w:t>
            </w:r>
          </w:p>
        </w:tc>
      </w:tr>
      <w:tr>
        <w:trPr>
          <w:trHeight w:val="213"/>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accumulated amortization—intangible assets</w:t>
            </w: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(179,489)</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(144,593)</w:t>
            </w: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identifiable intangible assets, net</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399,419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426,615</w:t>
            </w:r>
          </w:p>
        </w:tc>
      </w:tr>
      <w:tr>
        <w:trPr>
          <w:trHeight w:val="20"/>
        </w:trPr>
        <w:tc>
          <w:tcPr>
            <w:tcW w:w="77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ind w:right="40" w:firstLine="582"/>
        <w:spacing w:after="0" w:line="266" w:lineRule="auto"/>
        <w:rPr>
          <w:sz w:val="20"/>
          <w:szCs w:val="20"/>
          <w:color w:val="auto"/>
        </w:rPr>
      </w:pPr>
      <w:r>
        <w:rPr>
          <w:rFonts w:ascii="Times New Roman" w:cs="Times New Roman" w:eastAsia="Times New Roman" w:hAnsi="Times New Roman"/>
          <w:sz w:val="17"/>
          <w:szCs w:val="17"/>
          <w:color w:val="auto"/>
        </w:rPr>
        <w:t>Amortization of intangible assets for the three months ended March 31, 2022 and 2021 was $38.5 million and $7.6 million, respectively. During the three months ended March 31, 2022, the Company abandoned certain in-process research and development projects and technology intangible assets. The abandonment resulted in $3.3 million of impairment costs, which was included within merger, acquisition, and restructuring costs in the condensed consolidated statement of operations.</w:t>
      </w:r>
    </w:p>
    <w:p>
      <w:pPr>
        <w:spacing w:after="0" w:line="6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7"/>
          <w:szCs w:val="17"/>
          <w:color w:val="auto"/>
        </w:rPr>
        <w:t>The estimated remaining amortization expense associated with the Company's intangible assets was as follows as of March 31, 2022: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40" w:type="dxa"/>
            <w:vAlign w:val="bottom"/>
          </w:tcPr>
          <w:p>
            <w:pPr>
              <w:spacing w:after="0"/>
              <w:rPr>
                <w:sz w:val="15"/>
                <w:szCs w:val="15"/>
                <w:color w:val="auto"/>
              </w:rPr>
            </w:pPr>
          </w:p>
        </w:tc>
        <w:tc>
          <w:tcPr>
            <w:tcW w:w="1340" w:type="dxa"/>
            <w:vAlign w:val="bottom"/>
          </w:tcPr>
          <w:p>
            <w:pPr>
              <w:jc w:val="right"/>
              <w:ind w:right="45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3"/>
        </w:trPr>
        <w:tc>
          <w:tcPr>
            <w:tcW w:w="9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81"/>
        </w:trPr>
        <w:tc>
          <w:tcPr>
            <w:tcW w:w="9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2022</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111,428</w:t>
            </w:r>
          </w:p>
        </w:tc>
      </w:tr>
      <w:tr>
        <w:trPr>
          <w:trHeight w:val="220"/>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104,924</w:t>
            </w:r>
          </w:p>
        </w:tc>
      </w:tr>
      <w:tr>
        <w:trPr>
          <w:trHeight w:val="22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87,294</w:t>
            </w:r>
          </w:p>
        </w:tc>
      </w:tr>
      <w:tr>
        <w:trPr>
          <w:trHeight w:val="220"/>
        </w:trPr>
        <w:tc>
          <w:tcPr>
            <w:tcW w:w="9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70,647</w:t>
            </w:r>
          </w:p>
        </w:tc>
      </w:tr>
      <w:tr>
        <w:trPr>
          <w:trHeight w:val="220"/>
        </w:trPr>
        <w:tc>
          <w:tcPr>
            <w:tcW w:w="9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24,695</w:t>
            </w:r>
          </w:p>
        </w:tc>
      </w:tr>
      <w:tr>
        <w:trPr>
          <w:trHeight w:val="220"/>
        </w:trPr>
        <w:tc>
          <w:tcPr>
            <w:tcW w:w="9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431</w:t>
            </w:r>
          </w:p>
        </w:tc>
      </w:tr>
      <w:tr>
        <w:trPr>
          <w:trHeight w:val="238"/>
        </w:trPr>
        <w:tc>
          <w:tcPr>
            <w:tcW w:w="9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399,419</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right="40" w:firstLine="621"/>
        <w:spacing w:after="0" w:line="266" w:lineRule="auto"/>
        <w:rPr>
          <w:sz w:val="20"/>
          <w:szCs w:val="20"/>
          <w:color w:val="auto"/>
        </w:rPr>
      </w:pPr>
      <w:r>
        <w:rPr>
          <w:rFonts w:ascii="Times New Roman" w:cs="Times New Roman" w:eastAsia="Times New Roman" w:hAnsi="Times New Roman"/>
          <w:sz w:val="17"/>
          <w:szCs w:val="17"/>
          <w:color w:val="auto"/>
        </w:rPr>
        <w:t>The Company capitalizes costs related to arrangements for infrastructure as a service, platform as a service, and software as a service. Capitalized costs associated with these arrangements as of March 31, 2022 and December 31, 2021 were included within prepaid expenses and other current assets and other assets, non-current within the condensed consolidated balance sheet in the amounts of $0.6 million and $0.8 million, and $0.5 million and $0.7 million, respectively. The amortization of these agreements was immaterial for the three months ended March 31, 2022 and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7"/>
          <w:szCs w:val="17"/>
          <w:b w:val="1"/>
          <w:bCs w:val="1"/>
          <w:color w:val="auto"/>
        </w:rPr>
        <w:t>Note 7—Business Combinations</w:t>
      </w:r>
    </w:p>
    <w:p>
      <w:pPr>
        <w:spacing w:after="0" w:line="2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2021 Acquisition—SpotX</w:t>
      </w:r>
    </w:p>
    <w:p>
      <w:pPr>
        <w:spacing w:after="0" w:line="104" w:lineRule="exact"/>
        <w:rPr>
          <w:sz w:val="20"/>
          <w:szCs w:val="20"/>
          <w:color w:val="auto"/>
        </w:rPr>
      </w:pPr>
    </w:p>
    <w:p>
      <w:pPr>
        <w:ind w:firstLine="621"/>
        <w:spacing w:after="0" w:line="257" w:lineRule="auto"/>
        <w:rPr>
          <w:sz w:val="20"/>
          <w:szCs w:val="20"/>
          <w:color w:val="auto"/>
        </w:rPr>
      </w:pPr>
      <w:r>
        <w:rPr>
          <w:rFonts w:ascii="Times New Roman" w:cs="Times New Roman" w:eastAsia="Times New Roman" w:hAnsi="Times New Roman"/>
          <w:sz w:val="17"/>
          <w:szCs w:val="17"/>
          <w:color w:val="auto"/>
        </w:rPr>
        <w:t>On April 30, 2021, the Company completed the SpotX Acquisition, pursuant to a Stock Purchase Agreement, dated as of February 4, 2021 (the "Purchase Agreement"), by and between the Company and RTL US Holdings, Inc. ("RTL"). The initial purchase price for the SpotX Acquisition was $560 million in cash ("Cash Consideration") and 14,000,000 shares of the Company's common stock. Per the terms of the Purchase Agreement, at the completion of the Company’s offering of its Convertible Senior Notes, RTL elected to increase the Cash Consideration by an amount equal to 20% of the gross proceeds of the Convertible Senior Notes (which amount was equal to $80 million) and to reduce the number of shares of common stock it would otherwise receive by a number of shares of common stock equal to 20% of the gross proceeds of the proposed offering of notes ($80 million) divided by the closing price of a share of our common stock on the trading day immediately prior to the date of pricing of the proposed offering of notes ($49.21). As a result of this election, the adjusted purchase price was $1.1 billion, prior to customary working capital adjustments and other adjustments, consisting of $640.0 million in cash plus 12,374,315 shares of common stock (based on the fair value of the Company's common stock on April 30, 2021). The Cash Consideration was subject to customary working capital and other adjustments. The working capital was approximately $65.2 million, including cash balances acquired and other working capital adjustments, resulting in a total purchase price of $1.2 billion. The Company financed the Cash Consideration through borrowings under the Term Loan B Facility and the Convertible Senior Notes (Note 13).</w:t>
      </w:r>
    </w:p>
    <w:p>
      <w:pPr>
        <w:spacing w:after="0" w:line="259" w:lineRule="exact"/>
        <w:rPr>
          <w:sz w:val="20"/>
          <w:szCs w:val="20"/>
          <w:color w:val="auto"/>
        </w:rPr>
      </w:pPr>
    </w:p>
    <w:p>
      <w:pPr>
        <w:ind w:right="20" w:firstLine="621"/>
        <w:spacing w:after="0" w:line="260" w:lineRule="auto"/>
        <w:rPr>
          <w:sz w:val="20"/>
          <w:szCs w:val="20"/>
          <w:color w:val="auto"/>
        </w:rPr>
      </w:pPr>
      <w:r>
        <w:rPr>
          <w:rFonts w:ascii="Times New Roman" w:cs="Times New Roman" w:eastAsia="Times New Roman" w:hAnsi="Times New Roman"/>
          <w:sz w:val="17"/>
          <w:szCs w:val="17"/>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57" w:lineRule="exact"/>
        <w:rPr>
          <w:sz w:val="20"/>
          <w:szCs w:val="20"/>
          <w:color w:val="auto"/>
        </w:rPr>
      </w:pPr>
    </w:p>
    <w:p>
      <w:pPr>
        <w:ind w:right="20" w:firstLine="621"/>
        <w:spacing w:after="0" w:line="261" w:lineRule="auto"/>
        <w:rPr>
          <w:sz w:val="20"/>
          <w:szCs w:val="20"/>
          <w:color w:val="auto"/>
        </w:rPr>
      </w:pPr>
      <w:r>
        <w:rPr>
          <w:rFonts w:ascii="Times New Roman" w:cs="Times New Roman" w:eastAsia="Times New Roman" w:hAnsi="Times New Roman"/>
          <w:sz w:val="17"/>
          <w:szCs w:val="17"/>
          <w:color w:val="auto"/>
        </w:rPr>
        <w:t>Management's purchase price allocation is preliminary and subject to change pending finalization of the valuation, including finalization of tax attributes and tax related liabilities. Under the acquisition method of accounting for business combinations, if the Company identifies changes to acquired deferred tax asset ("DTA") valuation allowances or liabilities related to uncertain tax positions during the measurement period, and they are related to new information obtained about facts and circumstances that existed as of the acquisition date, those changes are considered a measurement-period adjustment, and the Company will record the offset to goodwill. The Company records all other changes to DTA valuation allowances and liabilities related to uncertain tax positions in current- period income tax expense.</w:t>
      </w:r>
    </w:p>
    <w:p>
      <w:pPr>
        <w:spacing w:after="0" w:line="57" w:lineRule="exact"/>
        <w:rPr>
          <w:sz w:val="20"/>
          <w:szCs w:val="20"/>
          <w:color w:val="auto"/>
        </w:rPr>
      </w:pPr>
    </w:p>
    <w:p>
      <w:pPr>
        <w:ind w:right="180" w:firstLine="621"/>
        <w:spacing w:after="0" w:line="263" w:lineRule="auto"/>
        <w:rPr>
          <w:sz w:val="20"/>
          <w:szCs w:val="20"/>
          <w:color w:val="auto"/>
        </w:rPr>
      </w:pPr>
      <w:r>
        <w:rPr>
          <w:rFonts w:ascii="Times New Roman" w:cs="Times New Roman" w:eastAsia="Times New Roman" w:hAnsi="Times New Roman"/>
          <w:sz w:val="17"/>
          <w:szCs w:val="17"/>
          <w:color w:val="auto"/>
        </w:rPr>
        <w:t>For purposes of measuring the estimated fair value, where applicable, of the assets acquired and the liabilities assumed, the Company has applied the guidance in ASC 820, Fair Value Measurement, which establishes a framework for measuring fair value. 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 restructuring charges are not included as components of consideration transferred but are accounted for as expenses in the period in which the costs are incurred.</w:t>
      </w:r>
    </w:p>
    <w:p>
      <w:pPr>
        <w:spacing w:after="0" w:line="4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total purchase consideration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Consideration</w:t>
            </w:r>
          </w:p>
        </w:tc>
        <w:tc>
          <w:tcPr>
            <w:tcW w:w="680" w:type="dxa"/>
            <w:vAlign w:val="bottom"/>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640,000</w:t>
            </w:r>
          </w:p>
        </w:tc>
      </w:tr>
      <w:tr>
        <w:trPr>
          <w:trHeight w:val="22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Consideration (Fair Value of Shares of Magnite common stock)</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495,591</w:t>
            </w:r>
          </w:p>
        </w:tc>
      </w:tr>
      <w:tr>
        <w:trPr>
          <w:trHeight w:val="220"/>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Working capital adjustment</w:t>
            </w:r>
          </w:p>
        </w:tc>
        <w:tc>
          <w:tcPr>
            <w:tcW w:w="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65,152</w:t>
            </w:r>
          </w:p>
        </w:tc>
      </w:tr>
      <w:tr>
        <w:trPr>
          <w:trHeight w:val="238"/>
        </w:trPr>
        <w:tc>
          <w:tcPr>
            <w:tcW w:w="8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purchase consideration</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1,200,743</w:t>
            </w:r>
          </w:p>
        </w:tc>
      </w:tr>
      <w:tr>
        <w:trPr>
          <w:trHeight w:val="20"/>
        </w:trPr>
        <w:tc>
          <w:tcPr>
            <w:tcW w:w="87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60" w:firstLine="621"/>
        <w:spacing w:after="0" w:line="272" w:lineRule="auto"/>
        <w:rPr>
          <w:sz w:val="20"/>
          <w:szCs w:val="20"/>
          <w:color w:val="auto"/>
        </w:rPr>
      </w:pPr>
      <w:r>
        <w:rPr>
          <w:rFonts w:ascii="Times New Roman" w:cs="Times New Roman" w:eastAsia="Times New Roman" w:hAnsi="Times New Roman"/>
          <w:sz w:val="17"/>
          <w:szCs w:val="17"/>
          <w:color w:val="auto"/>
        </w:rPr>
        <w:t>The purchase consideration for the SpotX Acquisition included 12,374,315 shares of the Company's common stock with a fair value of approximately $495.6 million, based on the close price of the Company's common stock at closing on April 30, 2021, which was $40.05 per share, and working capital adjustment of $65.2 million, mainly consisting of cash balances acquired on the date of the SpotX Acquisition and other opening balance sheet adjustments.</w:t>
      </w:r>
    </w:p>
    <w:p>
      <w:pPr>
        <w:spacing w:after="0" w:line="124" w:lineRule="exact"/>
        <w:rPr>
          <w:sz w:val="20"/>
          <w:szCs w:val="20"/>
          <w:color w:val="auto"/>
        </w:rPr>
      </w:pPr>
    </w:p>
    <w:p>
      <w:pPr>
        <w:ind w:right="120" w:firstLine="621"/>
        <w:spacing w:after="0" w:line="291" w:lineRule="auto"/>
        <w:rPr>
          <w:sz w:val="20"/>
          <w:szCs w:val="20"/>
          <w:color w:val="auto"/>
        </w:rPr>
      </w:pPr>
      <w:r>
        <w:rPr>
          <w:rFonts w:ascii="Times New Roman" w:cs="Times New Roman" w:eastAsia="Times New Roman" w:hAnsi="Times New Roman"/>
          <w:sz w:val="17"/>
          <w:szCs w:val="17"/>
          <w:color w:val="auto"/>
        </w:rPr>
        <w:t>During the three months ended March 31, 2022, the Company adjusted the preliminary purchase price allocation for SpotX based on updated fair values associated with the acquired assets and liabilities. Adjustments impacted acquisition related accounts payable and tax accruals.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818"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80" w:firstLine="621"/>
        <w:spacing w:after="0" w:line="291" w:lineRule="auto"/>
        <w:rPr>
          <w:sz w:val="20"/>
          <w:szCs w:val="20"/>
          <w:color w:val="auto"/>
        </w:rPr>
      </w:pPr>
      <w:r>
        <w:rPr>
          <w:rFonts w:ascii="Times New Roman" w:cs="Times New Roman" w:eastAsia="Times New Roman" w:hAnsi="Times New Roman"/>
          <w:sz w:val="17"/>
          <w:szCs w:val="17"/>
          <w:color w:val="auto"/>
        </w:rPr>
        <w:t>The fair value of the purchase price was allocated to the identifiable assets acquired and liabilities assumed based upon their estimated fair values as of the date of the SpotX Acquisition as set forth below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68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81,967</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199,649</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Prepaid and other assets, current</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12,308</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6,823</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429,600</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Right-of-use lease asset</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10,055</w:t>
            </w:r>
          </w:p>
        </w:tc>
      </w:tr>
      <w:tr>
        <w:trPr>
          <w:trHeight w:val="22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6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782,719</w:t>
            </w:r>
          </w:p>
        </w:tc>
      </w:tr>
      <w:tr>
        <w:trPr>
          <w:trHeight w:val="213"/>
        </w:trPr>
        <w:tc>
          <w:tcPr>
            <w:tcW w:w="8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assets to be acquired</w:t>
            </w:r>
          </w:p>
        </w:tc>
        <w:tc>
          <w:tcPr>
            <w:tcW w:w="6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1,523,320</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205,822</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6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6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12,625</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6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103,039</w:t>
            </w:r>
          </w:p>
        </w:tc>
      </w:tr>
      <w:tr>
        <w:trPr>
          <w:trHeight w:val="213"/>
        </w:trPr>
        <w:tc>
          <w:tcPr>
            <w:tcW w:w="8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liabilities to be assumed</w:t>
            </w:r>
          </w:p>
        </w:tc>
        <w:tc>
          <w:tcPr>
            <w:tcW w:w="6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322,577</w:t>
            </w:r>
          </w:p>
        </w:tc>
      </w:tr>
      <w:tr>
        <w:trPr>
          <w:trHeight w:val="238"/>
        </w:trPr>
        <w:tc>
          <w:tcPr>
            <w:tcW w:w="8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purchase price</w:t>
            </w:r>
          </w:p>
        </w:tc>
        <w:tc>
          <w:tcPr>
            <w:tcW w:w="680" w:type="dxa"/>
            <w:vAlign w:val="bottom"/>
            <w:tcBorders>
              <w:bottom w:val="single" w:sz="8" w:color="auto"/>
            </w:tcBorders>
            <w:shd w:val="clear" w:color="auto" w:fill="CCEEFF"/>
          </w:tcPr>
          <w:p>
            <w:pPr>
              <w:jc w:val="right"/>
              <w:ind w:right="49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1,200,743</w:t>
            </w:r>
          </w:p>
        </w:tc>
      </w:tr>
      <w:tr>
        <w:trPr>
          <w:trHeight w:val="20"/>
        </w:trPr>
        <w:tc>
          <w:tcPr>
            <w:tcW w:w="88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firstLine="621"/>
        <w:spacing w:after="0" w:line="263" w:lineRule="auto"/>
        <w:rPr>
          <w:sz w:val="20"/>
          <w:szCs w:val="20"/>
          <w:color w:val="auto"/>
        </w:rPr>
      </w:pPr>
      <w:r>
        <w:rPr>
          <w:rFonts w:ascii="Times New Roman" w:cs="Times New Roman" w:eastAsia="Times New Roman" w:hAnsi="Times New Roman"/>
          <w:sz w:val="17"/>
          <w:szCs w:val="17"/>
          <w:color w:val="auto"/>
        </w:rPr>
        <w:t>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 The acquired intangibles and goodwill resulting from the SpotX Acquisition are not amortizable for tax purposes.</w:t>
      </w:r>
    </w:p>
    <w:p>
      <w:pPr>
        <w:spacing w:after="0" w:line="132" w:lineRule="exact"/>
        <w:rPr>
          <w:sz w:val="20"/>
          <w:szCs w:val="20"/>
          <w:color w:val="auto"/>
        </w:rPr>
      </w:pPr>
    </w:p>
    <w:p>
      <w:pPr>
        <w:ind w:right="320"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summarizes the components of the intangible assets and estimated useful lives as of the date of the SpotX Acquisition (dollars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 Useful Life</w:t>
            </w:r>
          </w:p>
        </w:tc>
      </w:tr>
      <w:tr>
        <w:trPr>
          <w:trHeight w:val="23"/>
        </w:trPr>
        <w:tc>
          <w:tcPr>
            <w:tcW w:w="7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580" w:type="dxa"/>
            <w:vAlign w:val="bottom"/>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280,400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 years</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130,300</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 to 4 years</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Backlog</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&lt;1 year</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5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5,800</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 years*</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Non-compete agreements</w:t>
            </w:r>
          </w:p>
        </w:tc>
        <w:tc>
          <w:tcPr>
            <w:tcW w:w="5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1 year</w:t>
            </w:r>
          </w:p>
        </w:tc>
      </w:tr>
      <w:tr>
        <w:trPr>
          <w:trHeight w:val="220"/>
        </w:trPr>
        <w:tc>
          <w:tcPr>
            <w:tcW w:w="7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Trademarks</w:t>
            </w:r>
          </w:p>
        </w:tc>
        <w:tc>
          <w:tcPr>
            <w:tcW w:w="5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6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7"/>
                <w:szCs w:val="17"/>
                <w:color w:val="auto"/>
              </w:rPr>
              <w:t>&lt;1 year</w:t>
            </w:r>
          </w:p>
        </w:tc>
      </w:tr>
      <w:tr>
        <w:trPr>
          <w:trHeight w:val="219"/>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intangible assets acquired</w:t>
            </w:r>
          </w:p>
        </w:tc>
        <w:tc>
          <w:tcPr>
            <w:tcW w:w="580" w:type="dxa"/>
            <w:vAlign w:val="bottom"/>
            <w:tcBorders>
              <w:bottom w:val="single" w:sz="8" w:color="auto"/>
            </w:tcBorders>
            <w:shd w:val="clear" w:color="auto" w:fill="CCEEFF"/>
          </w:tcPr>
          <w:p>
            <w:pPr>
              <w:jc w:val="right"/>
              <w:ind w:right="374"/>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429,600</w:t>
            </w:r>
          </w:p>
        </w:tc>
        <w:tc>
          <w:tcPr>
            <w:tcW w:w="1660" w:type="dxa"/>
            <w:vAlign w:val="bottom"/>
            <w:tcBorders>
              <w:bottom w:val="single" w:sz="8" w:color="CCEEFF"/>
            </w:tcBorders>
            <w:shd w:val="clear" w:color="auto" w:fill="CCEEFF"/>
          </w:tcPr>
          <w:p>
            <w:pPr>
              <w:spacing w:after="0"/>
              <w:rPr>
                <w:sz w:val="19"/>
                <w:szCs w:val="19"/>
                <w:color w:val="auto"/>
              </w:rPr>
            </w:pPr>
          </w:p>
        </w:tc>
      </w:tr>
    </w:tbl>
    <w:p>
      <w:pPr>
        <w:ind w:left="20" w:right="1080" w:firstLine="1"/>
        <w:spacing w:after="0" w:line="238" w:lineRule="auto"/>
        <w:tabs>
          <w:tab w:leader="none" w:pos="149"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In-process research and development consists of six projects with a weighted-average useful life of 3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-237490</wp:posOffset>
            </wp:positionV>
            <wp:extent cx="10598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234" w:lineRule="exact"/>
        <w:rPr>
          <w:sz w:val="20"/>
          <w:szCs w:val="20"/>
          <w:color w:val="auto"/>
        </w:rPr>
      </w:pPr>
    </w:p>
    <w:p>
      <w:pPr>
        <w:ind w:right="500" w:firstLine="621"/>
        <w:spacing w:after="0" w:line="272" w:lineRule="auto"/>
        <w:rPr>
          <w:sz w:val="20"/>
          <w:szCs w:val="20"/>
          <w:color w:val="auto"/>
        </w:rPr>
      </w:pPr>
      <w:r>
        <w:rPr>
          <w:rFonts w:ascii="Times New Roman" w:cs="Times New Roman" w:eastAsia="Times New Roman" w:hAnsi="Times New Roman"/>
          <w:sz w:val="17"/>
          <w:szCs w:val="17"/>
          <w:color w:val="auto"/>
        </w:rPr>
        <w:t>The fair value of the acquired technology and in-process research and development was valued using the Excess Earnings Method. This methodology included allocating future revenue projections to the existing technologies and applying decay rates and appropriate discount rates that reflect the respective intangible asset's relative risk profile when compared to other intangible assets as well as the discount rate for the overall business.</w:t>
      </w:r>
    </w:p>
    <w:p>
      <w:pPr>
        <w:spacing w:after="0" w:line="98" w:lineRule="exact"/>
        <w:rPr>
          <w:sz w:val="20"/>
          <w:szCs w:val="20"/>
          <w:color w:val="auto"/>
        </w:rPr>
      </w:pPr>
    </w:p>
    <w:p>
      <w:pPr>
        <w:ind w:right="300" w:firstLine="621"/>
        <w:spacing w:after="0" w:line="215" w:lineRule="exact"/>
        <w:rPr>
          <w:sz w:val="20"/>
          <w:szCs w:val="20"/>
          <w:color w:val="auto"/>
        </w:rPr>
      </w:pPr>
      <w:r>
        <w:rPr>
          <w:rFonts w:ascii="Times New Roman" w:cs="Times New Roman" w:eastAsia="Times New Roman" w:hAnsi="Times New Roman"/>
          <w:sz w:val="17"/>
          <w:szCs w:val="17"/>
          <w:color w:val="auto"/>
        </w:rPr>
        <w:t>The Company used the Loss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Revenue and Income Method in its valuation of the existing customer relationships and non-compete agreements. To the extent that future cash flows of the business would be negatively affected in the absence of these relationships and non-compete agreements, they would be deemed to have economic value. 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164" w:lineRule="exact"/>
        <w:rPr>
          <w:sz w:val="20"/>
          <w:szCs w:val="20"/>
          <w:color w:val="auto"/>
        </w:rPr>
      </w:pPr>
    </w:p>
    <w:p>
      <w:pPr>
        <w:jc w:val="both"/>
        <w:ind w:right="340" w:firstLine="621"/>
        <w:spacing w:after="0" w:line="272" w:lineRule="auto"/>
        <w:rPr>
          <w:sz w:val="20"/>
          <w:szCs w:val="20"/>
          <w:color w:val="auto"/>
        </w:rPr>
      </w:pPr>
      <w:r>
        <w:rPr>
          <w:rFonts w:ascii="Times New Roman" w:cs="Times New Roman" w:eastAsia="Times New Roman" w:hAnsi="Times New Roman"/>
          <w:sz w:val="17"/>
          <w:szCs w:val="17"/>
          <w:color w:val="auto"/>
        </w:rPr>
        <w:t>The fair value of the backlog was based on the Excess Earnings Method, taking into consideration the existing contracts as of the date of the SpotX Acquisition and the respective cost to complete the servicing of the existing agreements. The resulting stream of after tax earnings were discounted to present value by applying an appropriate discount rate for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480"/>
        <w:spacing w:after="0" w:line="291" w:lineRule="auto"/>
        <w:rPr>
          <w:sz w:val="20"/>
          <w:szCs w:val="20"/>
          <w:color w:val="auto"/>
        </w:rPr>
      </w:pPr>
      <w:r>
        <w:rPr>
          <w:rFonts w:ascii="Times New Roman" w:cs="Times New Roman" w:eastAsia="Times New Roman" w:hAnsi="Times New Roman"/>
          <w:sz w:val="17"/>
          <w:szCs w:val="17"/>
          <w:color w:val="auto"/>
        </w:rPr>
        <w:t>asset. The discount rate was selected based on the intangible asset’s relative risk profile when compared to the other intangible assets as well as the discount rate for the overall business.</w:t>
      </w:r>
    </w:p>
    <w:p>
      <w:pPr>
        <w:spacing w:after="0" w:line="82" w:lineRule="exact"/>
        <w:rPr>
          <w:sz w:val="20"/>
          <w:szCs w:val="20"/>
          <w:color w:val="auto"/>
        </w:rPr>
      </w:pPr>
    </w:p>
    <w:p>
      <w:pPr>
        <w:ind w:right="380" w:firstLine="621"/>
        <w:spacing w:after="0" w:line="222" w:lineRule="exact"/>
        <w:rPr>
          <w:sz w:val="20"/>
          <w:szCs w:val="20"/>
          <w:color w:val="auto"/>
        </w:rPr>
      </w:pPr>
      <w:r>
        <w:rPr>
          <w:rFonts w:ascii="Times New Roman" w:cs="Times New Roman" w:eastAsia="Times New Roman" w:hAnsi="Times New Roman"/>
          <w:sz w:val="17"/>
          <w:szCs w:val="17"/>
          <w:color w:val="auto"/>
        </w:rPr>
        <w:t>The fair value of the trademarks was based on the Income Approach, specifically the Relief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from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Royalty Method. Under this method, data is obtained regarding actual royalty payments made for similar intangible assets. After the appropriate royalty rate is determined, the reasonable royalty savings is then discounted to its present value over the remaining technological, economic, or legal life of the intangible asset.</w:t>
      </w:r>
    </w:p>
    <w:p>
      <w:pPr>
        <w:spacing w:after="0" w:line="151" w:lineRule="exact"/>
        <w:rPr>
          <w:sz w:val="20"/>
          <w:szCs w:val="20"/>
          <w:color w:val="auto"/>
        </w:rPr>
      </w:pPr>
    </w:p>
    <w:p>
      <w:pPr>
        <w:ind w:right="360" w:firstLine="621"/>
        <w:spacing w:after="0" w:line="263" w:lineRule="auto"/>
        <w:rPr>
          <w:sz w:val="20"/>
          <w:szCs w:val="20"/>
          <w:color w:val="auto"/>
        </w:rPr>
      </w:pPr>
      <w:r>
        <w:rPr>
          <w:rFonts w:ascii="Times New Roman" w:cs="Times New Roman" w:eastAsia="Times New Roman" w:hAnsi="Times New Roman"/>
          <w:sz w:val="17"/>
          <w:szCs w:val="17"/>
          <w:color w:val="auto"/>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backlog, non-compete agreements, and trademarks is included in sales and marketing expenses in the condensed consolidated statements of operations. Once the projects associated with acquired in-process research and development are completed, amortization will be included in cost of revenues in the condensed consolidated statements of operations. The acquired intangible assets and goodwill resulting from the SpotX Acquisition are not tax deductible.</w:t>
      </w:r>
    </w:p>
    <w:p>
      <w:pPr>
        <w:spacing w:after="0" w:line="145" w:lineRule="exact"/>
        <w:rPr>
          <w:sz w:val="20"/>
          <w:szCs w:val="20"/>
          <w:color w:val="auto"/>
        </w:rPr>
      </w:pPr>
    </w:p>
    <w:p>
      <w:pPr>
        <w:ind w:right="40" w:firstLine="621"/>
        <w:spacing w:after="0" w:line="272" w:lineRule="auto"/>
        <w:rPr>
          <w:sz w:val="20"/>
          <w:szCs w:val="20"/>
          <w:color w:val="auto"/>
        </w:rPr>
      </w:pPr>
      <w:r>
        <w:rPr>
          <w:rFonts w:ascii="Times New Roman" w:cs="Times New Roman" w:eastAsia="Times New Roman" w:hAnsi="Times New Roman"/>
          <w:sz w:val="17"/>
          <w:szCs w:val="17"/>
          <w:color w:val="auto"/>
        </w:rPr>
        <w:t>As part of the SpotX Acquisition, deferred tax liabilities were established. As a result of the deferred tax liability balance created by the acquisition, the Company reduced its deferred tax asset valuation allowance by $56.2 million for the year ended December 31, 2021. Such reduction was recognized as an income tax benefit in the post-acquisition consolidated statements of operations for the year ended December 31, 2021.</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2021 Acquisition—SpringServe</w:t>
      </w:r>
    </w:p>
    <w:p>
      <w:pPr>
        <w:spacing w:after="0" w:line="104" w:lineRule="exact"/>
        <w:rPr>
          <w:sz w:val="20"/>
          <w:szCs w:val="20"/>
          <w:color w:val="auto"/>
        </w:rPr>
      </w:pPr>
    </w:p>
    <w:p>
      <w:pPr>
        <w:ind w:right="420" w:firstLine="621"/>
        <w:spacing w:after="0" w:line="291" w:lineRule="auto"/>
        <w:rPr>
          <w:sz w:val="20"/>
          <w:szCs w:val="20"/>
          <w:color w:val="auto"/>
        </w:rPr>
      </w:pPr>
      <w:r>
        <w:rPr>
          <w:rFonts w:ascii="Times New Roman" w:cs="Times New Roman" w:eastAsia="Times New Roman" w:hAnsi="Times New Roman"/>
          <w:sz w:val="17"/>
          <w:szCs w:val="17"/>
          <w:color w:val="auto"/>
        </w:rPr>
        <w:t>On July 1, 2021, the Company, through its wholly-owned subsidiary, SpotX, completed the SpringServe Acquisition. As a result of the SpringServe Acquisition, SpringServe became a wholly-owned subsidiary of SpotX, and a wholly-owned indirect subsidiary of the Company.</w:t>
      </w:r>
    </w:p>
    <w:p>
      <w:pPr>
        <w:spacing w:after="0" w:line="1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total estimated purchase consideration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8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Consideration</w:t>
            </w:r>
          </w:p>
        </w:tc>
        <w:tc>
          <w:tcPr>
            <w:tcW w:w="78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31,136</w:t>
            </w:r>
          </w:p>
        </w:tc>
      </w:tr>
      <w:tr>
        <w:trPr>
          <w:trHeight w:val="22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SpotX initial cash investment in SpringServe</w:t>
            </w:r>
          </w:p>
        </w:tc>
        <w:tc>
          <w:tcPr>
            <w:tcW w:w="7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2,075</w:t>
            </w:r>
          </w:p>
        </w:tc>
      </w:tr>
      <w:tr>
        <w:trPr>
          <w:trHeight w:val="220"/>
        </w:trPr>
        <w:tc>
          <w:tcPr>
            <w:tcW w:w="8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Fair value appreciation of SpotX purchase right</w:t>
            </w:r>
          </w:p>
        </w:tc>
        <w:tc>
          <w:tcPr>
            <w:tcW w:w="7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7,450</w:t>
            </w:r>
          </w:p>
        </w:tc>
      </w:tr>
      <w:tr>
        <w:trPr>
          <w:trHeight w:val="220"/>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Indemnification claims - holdback</w:t>
            </w:r>
          </w:p>
        </w:tc>
        <w:tc>
          <w:tcPr>
            <w:tcW w:w="7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1,409</w:t>
            </w:r>
          </w:p>
        </w:tc>
      </w:tr>
      <w:tr>
        <w:trPr>
          <w:trHeight w:val="213"/>
        </w:trPr>
        <w:tc>
          <w:tcPr>
            <w:tcW w:w="8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purchase consideration</w:t>
            </w:r>
          </w:p>
        </w:tc>
        <w:tc>
          <w:tcPr>
            <w:tcW w:w="780" w:type="dxa"/>
            <w:vAlign w:val="bottom"/>
            <w:tcBorders>
              <w:bottom w:val="single" w:sz="8" w:color="auto"/>
            </w:tcBorders>
          </w:tcPr>
          <w:p>
            <w:pPr>
              <w:jc w:val="right"/>
              <w:ind w:right="594"/>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42,070</w:t>
            </w:r>
          </w:p>
        </w:tc>
      </w:tr>
      <w:tr>
        <w:trPr>
          <w:trHeight w:val="20"/>
        </w:trPr>
        <w:tc>
          <w:tcPr>
            <w:tcW w:w="87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ind w:firstLine="621"/>
        <w:spacing w:after="0" w:line="263" w:lineRule="auto"/>
        <w:rPr>
          <w:sz w:val="20"/>
          <w:szCs w:val="20"/>
          <w:color w:val="auto"/>
        </w:rPr>
      </w:pPr>
      <w:r>
        <w:rPr>
          <w:rFonts w:ascii="Times New Roman" w:cs="Times New Roman" w:eastAsia="Times New Roman" w:hAnsi="Times New Roman"/>
          <w:sz w:val="17"/>
          <w:szCs w:val="17"/>
          <w:color w:val="auto"/>
        </w:rPr>
        <w:t>In 2020, SpotX made a minority investment of $2.1 million in SpringServe in conjunction with a strategic partnership agreement between the two companies, which included an option agreement to purchase SpringServe. At the time of Magnite's acquisition of SpotX, the fair value of SpotX's minority investment and purchase right were valued at a combined $7.5 million for a total minority investment and purchase right of $9.5 million. In connection with the SpringServe Acquisition, approximately $1.4 million of the purchase price was held back to cover possible indemnification claims, which is expected to be paid in cash one year after the acquisition.</w:t>
      </w:r>
    </w:p>
    <w:p>
      <w:pPr>
        <w:spacing w:after="0" w:line="54" w:lineRule="exact"/>
        <w:rPr>
          <w:sz w:val="20"/>
          <w:szCs w:val="20"/>
          <w:color w:val="auto"/>
        </w:rPr>
      </w:pPr>
    </w:p>
    <w:p>
      <w:pPr>
        <w:ind w:right="20" w:firstLine="621"/>
        <w:spacing w:after="0" w:line="260" w:lineRule="auto"/>
        <w:rPr>
          <w:sz w:val="20"/>
          <w:szCs w:val="20"/>
          <w:color w:val="auto"/>
        </w:rPr>
      </w:pPr>
      <w:r>
        <w:rPr>
          <w:rFonts w:ascii="Times New Roman" w:cs="Times New Roman" w:eastAsia="Times New Roman" w:hAnsi="Times New Roman"/>
          <w:sz w:val="17"/>
          <w:szCs w:val="17"/>
          <w:color w:val="auto"/>
        </w:rPr>
        <w:t>In accordance with ASC 805, the Company recorded the acquisition based on the fair value of the consideration transferred and then allocated the purchase price to the identifiable assets acquired and liabilities assumed based on their respective fair values as of the acquisition date. The excess of the value of consideration transferred over the aggregate fair value of those net assets was recorded as goodwill. Any identified definite lived intangible assets will be amortized over their estimated useful lives and any identified intangible assets with indefinite useful lives and goodwill will not be amortized but will be tested for impairment at least annually. All intangible assets and goodwill will be tested for impairment when certain indicators are present. Determining the fair value of assets acquired and liabilities assumed requires management to use significant judgment and estimates including the selection of valuation methodologies, estimates of future revenues and cash flows, discount rates, and selection of comparable companies.</w:t>
      </w:r>
    </w:p>
    <w:p>
      <w:pPr>
        <w:spacing w:after="0" w:line="57" w:lineRule="exact"/>
        <w:rPr>
          <w:sz w:val="20"/>
          <w:szCs w:val="20"/>
          <w:color w:val="auto"/>
        </w:rPr>
      </w:pPr>
    </w:p>
    <w:p>
      <w:pPr>
        <w:ind w:right="80" w:firstLine="621"/>
        <w:spacing w:after="0" w:line="261" w:lineRule="auto"/>
        <w:rPr>
          <w:sz w:val="20"/>
          <w:szCs w:val="20"/>
          <w:color w:val="auto"/>
        </w:rPr>
      </w:pPr>
      <w:r>
        <w:rPr>
          <w:rFonts w:ascii="Times New Roman" w:cs="Times New Roman" w:eastAsia="Times New Roman" w:hAnsi="Times New Roman"/>
          <w:sz w:val="17"/>
          <w:szCs w:val="17"/>
          <w:color w:val="auto"/>
        </w:rPr>
        <w:t>Management's purchase price allocation is preliminary and subject to change pending finalization of the valuation, including finalization of tax attributes and tax related liabilities. Under the acquisition method of accounting for business combinations, if the Company identifies changes to acquired DTA valuation allowances or liabilities related to uncertain tax positions during the measurement period, and they are related to new information obtained about facts and circumstances that existed as of the acquisition date, those changes are considered a measurement-period adjustment, and the Company will record the offset to goodwill. The Company records all other changes to DTA valuation allowances and liabilities related to uncertain tax positions in current- period income tax expense.</w:t>
      </w:r>
    </w:p>
    <w:p>
      <w:pPr>
        <w:spacing w:after="0" w:line="44" w:lineRule="exact"/>
        <w:rPr>
          <w:sz w:val="20"/>
          <w:szCs w:val="20"/>
          <w:color w:val="auto"/>
        </w:rPr>
      </w:pPr>
    </w:p>
    <w:p>
      <w:pPr>
        <w:ind w:right="340" w:firstLine="621"/>
        <w:spacing w:after="0" w:line="291" w:lineRule="auto"/>
        <w:rPr>
          <w:sz w:val="20"/>
          <w:szCs w:val="20"/>
          <w:color w:val="auto"/>
        </w:rPr>
      </w:pPr>
      <w:r>
        <w:rPr>
          <w:rFonts w:ascii="Times New Roman" w:cs="Times New Roman" w:eastAsia="Times New Roman" w:hAnsi="Times New Roman"/>
          <w:sz w:val="17"/>
          <w:szCs w:val="17"/>
          <w:color w:val="auto"/>
        </w:rPr>
        <w:t>For purposes of measuring the estimated fair value, where applicable, of the assets acquired and the liabilities assumed, the Company has applied the guidance in ASC 820, Fair Value Measurement, which establishes a framework for measuring fair value.</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In accordance with ASC 820, fair value is an exit price and is defined as "the price that would be received to sell an asset or paid to transfer a liability in an orderly transaction between market participants at the measurement date." Under ASC 805, acquisition-related transaction costs and acquisition-related restructuring charges are not included as components of consideration transferred but are accounted for as expenses in the period in which the costs are incurred.</w:t>
      </w:r>
    </w:p>
    <w:p>
      <w:pPr>
        <w:spacing w:after="0" w:line="34" w:lineRule="exact"/>
        <w:rPr>
          <w:sz w:val="20"/>
          <w:szCs w:val="20"/>
          <w:color w:val="auto"/>
        </w:rPr>
      </w:pPr>
    </w:p>
    <w:p>
      <w:pPr>
        <w:ind w:right="180" w:firstLine="621"/>
        <w:spacing w:after="0" w:line="291" w:lineRule="auto"/>
        <w:rPr>
          <w:sz w:val="20"/>
          <w:szCs w:val="20"/>
          <w:color w:val="auto"/>
        </w:rPr>
      </w:pPr>
      <w:r>
        <w:rPr>
          <w:rFonts w:ascii="Times New Roman" w:cs="Times New Roman" w:eastAsia="Times New Roman" w:hAnsi="Times New Roman"/>
          <w:sz w:val="17"/>
          <w:szCs w:val="17"/>
          <w:color w:val="auto"/>
        </w:rPr>
        <w:t>The fair value of the purchase price was allocated to the identifiable assets acquired and liabilities assumed based upon their estimated fair values as of the date of the SpringServe Acquisition as set forth below (in thousands):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w:t>
            </w:r>
          </w:p>
        </w:tc>
        <w:tc>
          <w:tcPr>
            <w:tcW w:w="800" w:type="dxa"/>
            <w:vAlign w:val="bottom"/>
            <w:shd w:val="clear" w:color="auto" w:fill="CCEEFF"/>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1,062</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3,234</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Prepaid and other assets, current</w:t>
            </w: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Fixed assets</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Intangible assets</w:t>
            </w: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23,400</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Right-of-use lease asset</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1,879</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8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24,156</w:t>
            </w:r>
          </w:p>
        </w:tc>
      </w:tr>
      <w:tr>
        <w:trPr>
          <w:trHeight w:val="213"/>
        </w:trPr>
        <w:tc>
          <w:tcPr>
            <w:tcW w:w="88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Total assets to be acquired</w:t>
            </w:r>
          </w:p>
        </w:tc>
        <w:tc>
          <w:tcPr>
            <w:tcW w:w="8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53,913</w:t>
            </w:r>
          </w:p>
        </w:tc>
      </w:tr>
      <w:tr>
        <w:trPr>
          <w:trHeight w:val="213"/>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payable and accrued expenses</w:t>
            </w:r>
          </w:p>
        </w:tc>
        <w:tc>
          <w:tcPr>
            <w:tcW w:w="8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w:t>
            </w:r>
          </w:p>
        </w:tc>
      </w:tr>
      <w:tr>
        <w:trPr>
          <w:trHeight w:val="220"/>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8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20"/>
        </w:trPr>
        <w:tc>
          <w:tcPr>
            <w:tcW w:w="8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 liabilities</w:t>
            </w: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3,179</w:t>
            </w:r>
          </w:p>
        </w:tc>
      </w:tr>
      <w:tr>
        <w:trPr>
          <w:trHeight w:val="220"/>
        </w:trPr>
        <w:tc>
          <w:tcPr>
            <w:tcW w:w="8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tax liability, net</w:t>
            </w:r>
          </w:p>
        </w:tc>
        <w:tc>
          <w:tcPr>
            <w:tcW w:w="8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6,154</w:t>
            </w:r>
          </w:p>
        </w:tc>
      </w:tr>
      <w:tr>
        <w:trPr>
          <w:trHeight w:val="213"/>
        </w:trPr>
        <w:tc>
          <w:tcPr>
            <w:tcW w:w="88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liabilities to be assumed</w:t>
            </w:r>
          </w:p>
        </w:tc>
        <w:tc>
          <w:tcPr>
            <w:tcW w:w="80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11,843</w:t>
            </w:r>
          </w:p>
        </w:tc>
      </w:tr>
      <w:tr>
        <w:trPr>
          <w:trHeight w:val="213"/>
        </w:trPr>
        <w:tc>
          <w:tcPr>
            <w:tcW w:w="8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preliminary purchase price</w:t>
            </w:r>
          </w:p>
        </w:tc>
        <w:tc>
          <w:tcPr>
            <w:tcW w:w="800" w:type="dxa"/>
            <w:vAlign w:val="bottom"/>
            <w:tcBorders>
              <w:bottom w:val="single" w:sz="8" w:color="auto"/>
            </w:tcBorders>
          </w:tcPr>
          <w:p>
            <w:pPr>
              <w:jc w:val="right"/>
              <w:ind w:right="614"/>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42,070</w:t>
            </w:r>
          </w:p>
        </w:tc>
      </w:tr>
      <w:tr>
        <w:trPr>
          <w:trHeight w:val="20"/>
        </w:trPr>
        <w:tc>
          <w:tcPr>
            <w:tcW w:w="88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The Company believes the amount of goodwill resulting from the purchase price allocation is primarily attributable to expected synergies from the assembled workforce, an increase in development capabilities, increased offerings to customers, and enhanced opportunities for growth and innovation. Goodwill will not be amortized but instead will be tested for impairment at least annually or more frequently if certain indicators of impairment are present. In the event that goodwill has become impaired, the Company will record an expense for the amount impaired during the quarter in which the determination is made.</w:t>
      </w:r>
    </w:p>
    <w:p>
      <w:pPr>
        <w:spacing w:after="0" w:line="52" w:lineRule="exact"/>
        <w:rPr>
          <w:sz w:val="20"/>
          <w:szCs w:val="20"/>
          <w:color w:val="auto"/>
        </w:rPr>
      </w:pPr>
    </w:p>
    <w:p>
      <w:pPr>
        <w:ind w:right="80"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summarizes the components of the intangible assets and estimated useful lives as of the date of the SpringServe Acquisition (dollars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Estimated Useful Life</w:t>
            </w:r>
          </w:p>
        </w:tc>
      </w:tr>
      <w:tr>
        <w:trPr>
          <w:trHeight w:val="23"/>
        </w:trPr>
        <w:tc>
          <w:tcPr>
            <w:tcW w:w="7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w:t>
            </w:r>
          </w:p>
        </w:tc>
        <w:tc>
          <w:tcPr>
            <w:tcW w:w="6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 years</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relationships</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5,700</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 years</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Trademarks and Trade Names</w:t>
            </w:r>
          </w:p>
        </w:tc>
        <w:tc>
          <w:tcPr>
            <w:tcW w:w="6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 years</w:t>
            </w:r>
          </w:p>
        </w:tc>
      </w:tr>
      <w:tr>
        <w:trPr>
          <w:trHeight w:val="220"/>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6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w:t>
            </w:r>
          </w:p>
        </w:tc>
        <w:tc>
          <w:tcPr>
            <w:tcW w:w="16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 years*</w:t>
            </w:r>
          </w:p>
        </w:tc>
      </w:tr>
      <w:tr>
        <w:trPr>
          <w:trHeight w:val="22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Non-compete agreements</w:t>
            </w:r>
          </w:p>
        </w:tc>
        <w:tc>
          <w:tcPr>
            <w:tcW w:w="6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16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 years</w:t>
            </w:r>
          </w:p>
        </w:tc>
      </w:tr>
      <w:tr>
        <w:trPr>
          <w:trHeight w:val="219"/>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intangible assets acquired</w:t>
            </w:r>
          </w:p>
        </w:tc>
        <w:tc>
          <w:tcPr>
            <w:tcW w:w="6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23,400</w:t>
            </w:r>
          </w:p>
        </w:tc>
        <w:tc>
          <w:tcPr>
            <w:tcW w:w="166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-3175</wp:posOffset>
            </wp:positionV>
            <wp:extent cx="10598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ind w:left="20" w:right="1020" w:firstLine="1"/>
        <w:spacing w:after="0" w:line="259" w:lineRule="auto"/>
        <w:tabs>
          <w:tab w:leader="none" w:pos="149"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In-process research and development consists of two projects with a weighted-average useful life of 3 years. Amortization begins once associated projects are completed and it is determined the projects have alternative future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-255905</wp:posOffset>
            </wp:positionV>
            <wp:extent cx="10598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59815" cy="8255"/>
                    </a:xfrm>
                    <a:prstGeom prst="rect">
                      <a:avLst/>
                    </a:prstGeom>
                    <a:noFill/>
                  </pic:spPr>
                </pic:pic>
              </a:graphicData>
            </a:graphic>
          </wp:anchor>
        </w:drawing>
      </w:r>
    </w:p>
    <w:p>
      <w:pPr>
        <w:spacing w:after="0" w:line="127" w:lineRule="exact"/>
        <w:rPr>
          <w:sz w:val="20"/>
          <w:szCs w:val="20"/>
          <w:color w:val="auto"/>
        </w:rPr>
      </w:pPr>
    </w:p>
    <w:p>
      <w:pPr>
        <w:ind w:right="260" w:firstLine="621"/>
        <w:spacing w:after="0" w:line="272" w:lineRule="auto"/>
        <w:rPr>
          <w:sz w:val="20"/>
          <w:szCs w:val="20"/>
          <w:color w:val="auto"/>
        </w:rPr>
      </w:pPr>
      <w:r>
        <w:rPr>
          <w:rFonts w:ascii="Times New Roman" w:cs="Times New Roman" w:eastAsia="Times New Roman" w:hAnsi="Times New Roman"/>
          <w:sz w:val="17"/>
          <w:szCs w:val="17"/>
          <w:color w:val="auto"/>
        </w:rPr>
        <w:t>The fair value of the acquired technology and in-process research and development was valued using the Excess Earnings Method. This methodology included allocating future revenue projections to the existing technologies and applying decay rates and appropriate discount rates that reflect the respective intangible asset's relative risk profile when compared to other intangible assets as well as considering the risk associated with the overall business.</w:t>
      </w:r>
    </w:p>
    <w:p>
      <w:pPr>
        <w:spacing w:after="0" w:line="34" w:lineRule="exact"/>
        <w:rPr>
          <w:sz w:val="20"/>
          <w:szCs w:val="20"/>
          <w:color w:val="auto"/>
        </w:rPr>
      </w:pPr>
    </w:p>
    <w:p>
      <w:pPr>
        <w:jc w:val="both"/>
        <w:ind w:firstLine="621"/>
        <w:spacing w:after="0" w:line="214" w:lineRule="exact"/>
        <w:rPr>
          <w:sz w:val="20"/>
          <w:szCs w:val="20"/>
          <w:color w:val="auto"/>
        </w:rPr>
      </w:pPr>
      <w:r>
        <w:rPr>
          <w:rFonts w:ascii="Times New Roman" w:cs="Times New Roman" w:eastAsia="Times New Roman" w:hAnsi="Times New Roman"/>
          <w:sz w:val="17"/>
          <w:szCs w:val="17"/>
          <w:color w:val="auto"/>
        </w:rPr>
        <w:t>At the acquisition date, SpringServe had existing customer relationships. To the extent that future cash flows of the business would be negatively affected in the absence of these relationships, they would be deemed to have economic value. In addition, certain employees of SpringServe signed two year non-compete agreements. The Company used the Loss</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Revenue and Income Method in its valuation of the existing customer relationships and non-compete agreements.</w:t>
      </w:r>
    </w:p>
    <w:p>
      <w:pPr>
        <w:spacing w:after="0" w:line="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7"/>
          <w:szCs w:val="17"/>
          <w:color w:val="auto"/>
        </w:rPr>
        <w:t>This method attempts to quantify the scenario whereby the owner loses the right to the intangible asset and the resulting losses of revenue and income. Under this analysis, the value of the cash flows with the intangible asset is compared to the value of the cash flows without the intangible asset and the difference represents the value of the intangible asset. This methodology included applying a discount rate and the expected timing it would take to further enhance customer relationships.</w:t>
      </w:r>
    </w:p>
    <w:p>
      <w:pPr>
        <w:spacing w:after="0" w:line="31" w:lineRule="exact"/>
        <w:rPr>
          <w:sz w:val="20"/>
          <w:szCs w:val="20"/>
          <w:color w:val="auto"/>
        </w:rPr>
      </w:pPr>
    </w:p>
    <w:p>
      <w:pPr>
        <w:ind w:right="40" w:firstLine="621"/>
        <w:spacing w:after="0" w:line="229" w:lineRule="exact"/>
        <w:rPr>
          <w:sz w:val="20"/>
          <w:szCs w:val="20"/>
          <w:color w:val="auto"/>
        </w:rPr>
      </w:pPr>
      <w:r>
        <w:rPr>
          <w:rFonts w:ascii="Times New Roman" w:cs="Times New Roman" w:eastAsia="Times New Roman" w:hAnsi="Times New Roman"/>
          <w:sz w:val="17"/>
          <w:szCs w:val="17"/>
          <w:color w:val="auto"/>
        </w:rPr>
        <w:t>The fair value of the trademarks and trade names were based on the Income Approach, specifically the Relief</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from</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Royalty Method. Under this method, data is obtained regarding actual royalty payments made for similar intangible assets. After the</w:t>
      </w: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60"/>
        <w:spacing w:after="0" w:line="291" w:lineRule="auto"/>
        <w:rPr>
          <w:sz w:val="20"/>
          <w:szCs w:val="20"/>
          <w:color w:val="auto"/>
        </w:rPr>
      </w:pPr>
      <w:r>
        <w:rPr>
          <w:rFonts w:ascii="Times New Roman" w:cs="Times New Roman" w:eastAsia="Times New Roman" w:hAnsi="Times New Roman"/>
          <w:sz w:val="17"/>
          <w:szCs w:val="17"/>
          <w:color w:val="auto"/>
        </w:rPr>
        <w:t>appropriate royalty rate is determined, the reasonable royalty savings is then discounted to its present value over the remaining technological, economic, or legal life of the intangible asset.</w:t>
      </w:r>
    </w:p>
    <w:p>
      <w:pPr>
        <w:spacing w:after="0" w:line="18" w:lineRule="exact"/>
        <w:rPr>
          <w:sz w:val="20"/>
          <w:szCs w:val="20"/>
          <w:color w:val="auto"/>
        </w:rPr>
      </w:pPr>
    </w:p>
    <w:p>
      <w:pPr>
        <w:ind w:firstLine="621"/>
        <w:spacing w:after="0" w:line="263" w:lineRule="auto"/>
        <w:rPr>
          <w:sz w:val="20"/>
          <w:szCs w:val="20"/>
          <w:color w:val="auto"/>
        </w:rPr>
      </w:pPr>
      <w:r>
        <w:rPr>
          <w:rFonts w:ascii="Times New Roman" w:cs="Times New Roman" w:eastAsia="Times New Roman" w:hAnsi="Times New Roman"/>
          <w:sz w:val="17"/>
          <w:szCs w:val="17"/>
          <w:color w:val="auto"/>
        </w:rPr>
        <w:t>Intangible assets are generally amortized on a straight-line basis, which approximates the pattern in which the economic benefits are consumed, over their estimated useful lives. Amortization of developed technology is included in cost of revenues and the amortization of customer relationships, non-compete agreements, and trademarks is included in sales and marketing expenses in the condensed consolidated statements of operations. Once the projects associated with acquired in-process research and development are completed, amortization will be included in cost of revenues in the condensed consolidated statements of operations. The acquired intangibles and goodwill resulting from the SpringServe Acquisition are not tax deductible.</w:t>
      </w:r>
    </w:p>
    <w:p>
      <w:pPr>
        <w:spacing w:after="0" w:line="54" w:lineRule="exact"/>
        <w:rPr>
          <w:sz w:val="20"/>
          <w:szCs w:val="20"/>
          <w:color w:val="auto"/>
        </w:rPr>
      </w:pPr>
    </w:p>
    <w:p>
      <w:pPr>
        <w:ind w:right="500" w:firstLine="621"/>
        <w:spacing w:after="0" w:line="291" w:lineRule="auto"/>
        <w:rPr>
          <w:sz w:val="20"/>
          <w:szCs w:val="20"/>
          <w:color w:val="auto"/>
        </w:rPr>
      </w:pPr>
      <w:r>
        <w:rPr>
          <w:rFonts w:ascii="Times New Roman" w:cs="Times New Roman" w:eastAsia="Times New Roman" w:hAnsi="Times New Roman"/>
          <w:sz w:val="17"/>
          <w:szCs w:val="17"/>
          <w:color w:val="auto"/>
        </w:rPr>
        <w:t>As part of the SpringServe Acquisition, deferred tax liabilities were established. As a result of this and the SpotX deferred tax liability balance, the Company recognized an income tax benefit in the post-acquisition consolidated statements of operations for the year ended December 31, 2021.</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2021 Acquisition—Nth Party</w:t>
      </w:r>
    </w:p>
    <w:p>
      <w:pPr>
        <w:spacing w:after="0" w:line="91" w:lineRule="exact"/>
        <w:rPr>
          <w:sz w:val="20"/>
          <w:szCs w:val="20"/>
          <w:color w:val="auto"/>
        </w:rPr>
      </w:pPr>
    </w:p>
    <w:p>
      <w:pPr>
        <w:ind w:right="340" w:firstLine="621"/>
        <w:spacing w:after="0" w:line="261" w:lineRule="auto"/>
        <w:rPr>
          <w:sz w:val="20"/>
          <w:szCs w:val="20"/>
          <w:color w:val="auto"/>
        </w:rPr>
      </w:pPr>
      <w:r>
        <w:rPr>
          <w:rFonts w:ascii="Times New Roman" w:cs="Times New Roman" w:eastAsia="Times New Roman" w:hAnsi="Times New Roman"/>
          <w:sz w:val="17"/>
          <w:szCs w:val="17"/>
          <w:color w:val="auto"/>
        </w:rPr>
        <w:t>The Company completed the acquisition of Nth Party, Ltd. ("Nth Party"), a developer of cryptographic software for secure audience data sharing and analysis, in December 2021 for a total purchase price of $9.0 million in cash. The Company acquired Nth Party as part of its strategy to further invest in the development and enhancement of industry leading identity and audience solutions. The allocation of purchase consideration resulted in approximately</w:t>
      </w:r>
    </w:p>
    <w:p>
      <w:pPr>
        <w:spacing w:after="0" w:line="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7"/>
          <w:szCs w:val="17"/>
          <w:color w:val="auto"/>
        </w:rPr>
        <w:t>$5.4 million of developed technology intangible assets with an estimated useful life of 5 years, approximately $0.2 million non-compete intangible assets with an estimated useful life of 2 years, approximately $1.3 million of deferred tax liability, and goodwill of approximately $4.8 million, which is attributable to the workforce of Nth Party and revenue growth from the acquisition. Acquired intangibles and goodwill resulting from the Nth Party acquisition are not deductible for income tax purposes.</w:t>
      </w:r>
    </w:p>
    <w:p>
      <w:pPr>
        <w:spacing w:after="0" w:line="59" w:lineRule="exact"/>
        <w:rPr>
          <w:sz w:val="20"/>
          <w:szCs w:val="20"/>
          <w:color w:val="auto"/>
        </w:rPr>
      </w:pPr>
    </w:p>
    <w:p>
      <w:pPr>
        <w:ind w:right="40" w:firstLine="621"/>
        <w:spacing w:after="0" w:line="291" w:lineRule="auto"/>
        <w:rPr>
          <w:sz w:val="20"/>
          <w:szCs w:val="20"/>
          <w:color w:val="auto"/>
        </w:rPr>
      </w:pPr>
      <w:r>
        <w:rPr>
          <w:rFonts w:ascii="Times New Roman" w:cs="Times New Roman" w:eastAsia="Times New Roman" w:hAnsi="Times New Roman"/>
          <w:sz w:val="17"/>
          <w:szCs w:val="17"/>
          <w:color w:val="auto"/>
        </w:rPr>
        <w:t>Acquisition related costs associated with the 2021 acquisitions included in the "Merger, acquisition, and restructuring costs" in the Company's condensed consolidated statements of operations during the three months ended March 31, 2022 were immaterial.</w:t>
      </w:r>
    </w:p>
    <w:p>
      <w:pPr>
        <w:spacing w:after="0" w:line="2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Unaudited Pro Forma Information</w:t>
      </w:r>
    </w:p>
    <w:p>
      <w:pPr>
        <w:spacing w:after="0" w:line="91" w:lineRule="exact"/>
        <w:rPr>
          <w:sz w:val="20"/>
          <w:szCs w:val="20"/>
          <w:color w:val="auto"/>
        </w:rPr>
      </w:pPr>
    </w:p>
    <w:p>
      <w:pPr>
        <w:ind w:right="60" w:firstLine="621"/>
        <w:spacing w:after="0" w:line="261" w:lineRule="auto"/>
        <w:rPr>
          <w:sz w:val="20"/>
          <w:szCs w:val="20"/>
          <w:color w:val="auto"/>
        </w:rPr>
      </w:pPr>
      <w:r>
        <w:rPr>
          <w:rFonts w:ascii="Times New Roman" w:cs="Times New Roman" w:eastAsia="Times New Roman" w:hAnsi="Times New Roman"/>
          <w:sz w:val="17"/>
          <w:szCs w:val="17"/>
          <w:color w:val="auto"/>
        </w:rPr>
        <w:t>The following table provides unaudited pro forma information as if the SpotX and SpringServe Acquisitions had been acquired by the Company as of January 1, 2020. The unaudited pro forma information reflects adjustments for additional amortization resulting from the fair value adjustments to assets acquired and liabilities assumed, adjustments for alignment of accounting policies, and transaction expenses as if the SpotX and SpringServe Acquisitions occurred on January 1, 2020. The pro forma results do not include any anticipated cost synergies or other effects of the combined companies. Accordingly, pro forma amounts are not necessarily indicative of the results that actually would have occurred had the SpotX and SpringServe Acquisitions been completed on the dates indicated, nor is it indicative of the future operating results of the combined company.</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14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80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1"/>
        </w:trPr>
        <w:tc>
          <w:tcPr>
            <w:tcW w:w="91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8"/>
              </w:rPr>
              <w:t>March 31, 2021</w:t>
            </w:r>
          </w:p>
        </w:tc>
      </w:tr>
      <w:tr>
        <w:trPr>
          <w:trHeight w:val="193"/>
        </w:trPr>
        <w:tc>
          <w:tcPr>
            <w:tcW w:w="9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0" w:type="dxa"/>
            <w:vAlign w:val="bottom"/>
            <w:shd w:val="clear" w:color="auto" w:fill="CCEEFF"/>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20"/>
        </w:trPr>
        <w:tc>
          <w:tcPr>
            <w:tcW w:w="9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Pro Forma Revenue</w:t>
            </w:r>
          </w:p>
        </w:tc>
        <w:tc>
          <w:tcPr>
            <w:tcW w:w="22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tcPr>
          <w:p>
            <w:pPr>
              <w:ind w:left="1180"/>
              <w:spacing w:after="0"/>
              <w:rPr>
                <w:sz w:val="20"/>
                <w:szCs w:val="20"/>
                <w:color w:val="auto"/>
              </w:rPr>
            </w:pPr>
            <w:r>
              <w:rPr>
                <w:rFonts w:ascii="Times New Roman" w:cs="Times New Roman" w:eastAsia="Times New Roman" w:hAnsi="Times New Roman"/>
                <w:sz w:val="17"/>
                <w:szCs w:val="17"/>
                <w:color w:val="auto"/>
              </w:rPr>
              <w:t>111,277</w:t>
            </w:r>
          </w:p>
        </w:tc>
      </w:tr>
      <w:tr>
        <w:trPr>
          <w:trHeight w:val="220"/>
        </w:trPr>
        <w:tc>
          <w:tcPr>
            <w:tcW w:w="9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 Forma Net Income (Loss)</w:t>
            </w:r>
          </w:p>
        </w:tc>
        <w:tc>
          <w:tcPr>
            <w:tcW w:w="2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800" w:type="dxa"/>
            <w:vAlign w:val="bottom"/>
            <w:shd w:val="clear" w:color="auto" w:fill="CCEEFF"/>
          </w:tcPr>
          <w:p>
            <w:pPr>
              <w:ind w:left="1180"/>
              <w:spacing w:after="0"/>
              <w:rPr>
                <w:sz w:val="20"/>
                <w:szCs w:val="20"/>
                <w:color w:val="auto"/>
              </w:rPr>
            </w:pPr>
            <w:r>
              <w:rPr>
                <w:rFonts w:ascii="Times New Roman" w:cs="Times New Roman" w:eastAsia="Times New Roman" w:hAnsi="Times New Roman"/>
                <w:sz w:val="17"/>
                <w:szCs w:val="17"/>
                <w:color w:val="auto"/>
              </w:rPr>
              <w:t>(36,876)</w:t>
            </w:r>
          </w:p>
        </w:tc>
      </w:tr>
    </w:tbl>
    <w:p>
      <w:pPr>
        <w:spacing w:after="0" w:line="1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2022 Acquisition—Carbon</w:t>
      </w:r>
    </w:p>
    <w:p>
      <w:pPr>
        <w:spacing w:after="0" w:line="104" w:lineRule="exact"/>
        <w:rPr>
          <w:sz w:val="20"/>
          <w:szCs w:val="20"/>
          <w:color w:val="auto"/>
        </w:rPr>
      </w:pPr>
    </w:p>
    <w:p>
      <w:pPr>
        <w:ind w:firstLine="621"/>
        <w:spacing w:after="0" w:line="259" w:lineRule="auto"/>
        <w:rPr>
          <w:sz w:val="20"/>
          <w:szCs w:val="20"/>
          <w:color w:val="auto"/>
        </w:rPr>
      </w:pPr>
      <w:r>
        <w:rPr>
          <w:rFonts w:ascii="Times New Roman" w:cs="Times New Roman" w:eastAsia="Times New Roman" w:hAnsi="Times New Roman"/>
          <w:sz w:val="17"/>
          <w:szCs w:val="17"/>
          <w:color w:val="auto"/>
        </w:rPr>
        <w:t>The Company completed the acquisition of the business of Carbon (AI) Limited ("Carbon" and such acquisition the "Carbon Acquisition"), a platform that enables publishers to measure, manage, and monetize audience segments, in February 2022 for a total purchase price of $23.1 million in cash. Approximately $2.3 million of the purchase price was held back to cover possible indemnification claims, which is expected to be paid in cash one year after the acquisition. The Company acquired Carbon as part of its strategy to further invest in the development and enhancement of industry leading identity and audience solutions. The allocation of purchase consideration resulted in an estimated $14.2 million of developed technology intangible assets with an estimated useful life of 5 years, $0.2 million non-compete intangible assets with an estimated useful life of 2 years, $0.2 million of customer relationships with an estimated useful life of 0.5 years, and goodwill of $8.5 million, which is attributable to the workforce of Carbon and revenue growth from the acquisition. For tax purposes, the Carbon Acquisition was treated as an asset acquisition. The acquisition of identified intangibles results in tax deductible amortization pursuant to IRC Section 197.</w:t>
      </w:r>
    </w:p>
    <w:p>
      <w:pPr>
        <w:spacing w:after="0" w:line="46" w:lineRule="exact"/>
        <w:rPr>
          <w:sz w:val="20"/>
          <w:szCs w:val="20"/>
          <w:color w:val="auto"/>
        </w:rPr>
      </w:pPr>
    </w:p>
    <w:p>
      <w:pPr>
        <w:ind w:right="680" w:firstLine="621"/>
        <w:spacing w:after="0" w:line="291" w:lineRule="auto"/>
        <w:rPr>
          <w:sz w:val="20"/>
          <w:szCs w:val="20"/>
          <w:color w:val="auto"/>
        </w:rPr>
      </w:pPr>
      <w:r>
        <w:rPr>
          <w:rFonts w:ascii="Times New Roman" w:cs="Times New Roman" w:eastAsia="Times New Roman" w:hAnsi="Times New Roman"/>
          <w:sz w:val="17"/>
          <w:szCs w:val="17"/>
          <w:color w:val="auto"/>
        </w:rPr>
        <w:t>Acquisition related costs associated with the Carbon Acquisition included in the "Merger, acquisition, and restructuring costs" in the Company's condensed consolidated statements of operations during the three months ended March 31, 2022 were immaterial.</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8—Merger, Acquisition, and Restructuring Costs</w:t>
      </w:r>
    </w:p>
    <w:p>
      <w:pPr>
        <w:spacing w:after="0" w:line="91" w:lineRule="exact"/>
        <w:rPr>
          <w:sz w:val="20"/>
          <w:szCs w:val="20"/>
          <w:color w:val="auto"/>
        </w:rPr>
      </w:pPr>
    </w:p>
    <w:p>
      <w:pPr>
        <w:ind w:right="600" w:firstLine="621"/>
        <w:spacing w:after="0" w:line="291" w:lineRule="auto"/>
        <w:rPr>
          <w:sz w:val="20"/>
          <w:szCs w:val="20"/>
          <w:color w:val="auto"/>
        </w:rPr>
      </w:pPr>
      <w:r>
        <w:rPr>
          <w:rFonts w:ascii="Times New Roman" w:cs="Times New Roman" w:eastAsia="Times New Roman" w:hAnsi="Times New Roman"/>
          <w:sz w:val="17"/>
          <w:szCs w:val="17"/>
          <w:color w:val="auto"/>
        </w:rPr>
        <w:t>Merger, acquisition, and restructuring costs consist primarily of professional services fees and employee termination costs, including stock-based compensation charges, associated with the Telaria Merger, the SpotX Acquisition, and restructuring activities.</w:t>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merger, acquisition, and restructuring cost activity (in thousands):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9"/>
        </w:trPr>
        <w:tc>
          <w:tcPr>
            <w:tcW w:w="80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March 31, 2022</w:t>
            </w:r>
          </w:p>
        </w:tc>
        <w:tc>
          <w:tcPr>
            <w:tcW w:w="1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w w:val="99"/>
              </w:rPr>
              <w:t>March 31, 2021</w:t>
            </w:r>
          </w:p>
        </w:tc>
      </w:tr>
      <w:tr>
        <w:trPr>
          <w:trHeight w:val="177"/>
        </w:trPr>
        <w:tc>
          <w:tcPr>
            <w:tcW w:w="8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0" w:type="dxa"/>
            <w:vAlign w:val="bottom"/>
            <w:gridSpan w:val="4"/>
          </w:tcPr>
          <w:p>
            <w:pPr>
              <w:jc w:val="right"/>
              <w:ind w:right="109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1"/>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Professional services (investment banking advisory, legal and other professional services)</w:t>
            </w:r>
          </w:p>
        </w:tc>
        <w:tc>
          <w:tcPr>
            <w:tcW w:w="200" w:type="dxa"/>
            <w:vAlign w:val="bottom"/>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2,226</w:t>
            </w:r>
          </w:p>
        </w:tc>
      </w:tr>
      <w:tr>
        <w:trPr>
          <w:trHeight w:val="22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Personnel related (severance and one-time termination benefit costs)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r>
      <w:tr>
        <w:trPr>
          <w:trHeight w:val="220"/>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Non-cash stock-based compensation (double-trigger acceleration and severance)</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r>
      <w:tr>
        <w:trPr>
          <w:trHeight w:val="310"/>
        </w:trPr>
        <w:tc>
          <w:tcPr>
            <w:tcW w:w="8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Impairment costs of abandoned technology</w:t>
            </w:r>
          </w:p>
        </w:tc>
        <w:tc>
          <w:tcPr>
            <w:tcW w:w="200" w:type="dxa"/>
            <w:vAlign w:val="bottom"/>
            <w:tcBorders>
              <w:bottom w:val="single" w:sz="8" w:color="auto"/>
            </w:tcBorders>
            <w:shd w:val="clear" w:color="auto" w:fill="CCEEFF"/>
          </w:tcPr>
          <w:p>
            <w:pPr>
              <w:spacing w:after="0"/>
              <w:rPr>
                <w:sz w:val="24"/>
                <w:szCs w:val="2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3,320</w:t>
            </w: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3"/>
        </w:trPr>
        <w:tc>
          <w:tcPr>
            <w:tcW w:w="8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merger, acquisition, and restructuring costs</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6,756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2,722</w:t>
            </w:r>
          </w:p>
        </w:tc>
      </w:tr>
      <w:tr>
        <w:trPr>
          <w:trHeight w:val="20"/>
        </w:trPr>
        <w:tc>
          <w:tcPr>
            <w:tcW w:w="8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jc w:val="both"/>
        <w:ind w:firstLine="621"/>
        <w:spacing w:after="0" w:line="275" w:lineRule="auto"/>
        <w:rPr>
          <w:sz w:val="20"/>
          <w:szCs w:val="20"/>
          <w:color w:val="auto"/>
        </w:rPr>
      </w:pPr>
      <w:r>
        <w:rPr>
          <w:rFonts w:ascii="Times New Roman" w:cs="Times New Roman" w:eastAsia="Times New Roman" w:hAnsi="Times New Roman"/>
          <w:sz w:val="17"/>
          <w:szCs w:val="17"/>
          <w:color w:val="auto"/>
        </w:rPr>
        <w:t>During the three months ended March 31, 2022 and March 31, 2021, the Company incurred costs of $6.8 million and $2.7 million, respectively, primarily related to the acquisitions of SpotX and SpringServe.</w:t>
      </w:r>
    </w:p>
    <w:p>
      <w:pPr>
        <w:spacing w:after="0" w:line="44" w:lineRule="exact"/>
        <w:rPr>
          <w:sz w:val="20"/>
          <w:szCs w:val="20"/>
          <w:color w:val="auto"/>
        </w:rPr>
      </w:pPr>
    </w:p>
    <w:p>
      <w:pPr>
        <w:ind w:right="320" w:firstLine="621"/>
        <w:spacing w:after="0" w:line="266" w:lineRule="auto"/>
        <w:rPr>
          <w:sz w:val="20"/>
          <w:szCs w:val="20"/>
          <w:color w:val="auto"/>
        </w:rPr>
      </w:pPr>
      <w:r>
        <w:rPr>
          <w:rFonts w:ascii="Times New Roman" w:cs="Times New Roman" w:eastAsia="Times New Roman" w:hAnsi="Times New Roman"/>
          <w:sz w:val="17"/>
          <w:szCs w:val="17"/>
          <w:color w:val="auto"/>
        </w:rPr>
        <w:t>Accrued restructuring costs related to mergers and acquisitions were $2.8 million and $2.7 million at March 31, 2022 and December 31, 2021, respectively, and were primarily related to the SpotX Acquisition, the SpringServe Acquisition, and the Telaria Merger. Accrued restructuring costs associated with personnel costs are included within accounts payable and accrued expenses and accruals related to the assumed loss contracts are included within other current liabilities and other liabilities, non-current on the Company's condensed consolidated balance sheets.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3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560" w:type="dxa"/>
            <w:vAlign w:val="bottom"/>
            <w:shd w:val="clear" w:color="auto" w:fill="CCEEFF"/>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0"/>
        </w:trPr>
        <w:tc>
          <w:tcPr>
            <w:tcW w:w="9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restructuring costs at December 31, 2021</w:t>
            </w:r>
          </w:p>
        </w:tc>
        <w:tc>
          <w:tcPr>
            <w:tcW w:w="32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2,742</w:t>
            </w:r>
          </w:p>
        </w:tc>
      </w:tr>
      <w:tr>
        <w:trPr>
          <w:trHeight w:val="220"/>
        </w:trPr>
        <w:tc>
          <w:tcPr>
            <w:tcW w:w="9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Restructuring costs, personnel related and non-cash stock-based compensation</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2,661</w:t>
            </w:r>
          </w:p>
        </w:tc>
      </w:tr>
      <w:tr>
        <w:trPr>
          <w:trHeight w:val="220"/>
        </w:trPr>
        <w:tc>
          <w:tcPr>
            <w:tcW w:w="9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Restructuring costs, impairments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3,320</w:t>
            </w:r>
          </w:p>
        </w:tc>
      </w:tr>
      <w:tr>
        <w:trPr>
          <w:trHeight w:val="220"/>
        </w:trPr>
        <w:tc>
          <w:tcPr>
            <w:tcW w:w="9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Cash paid for restructuring costs</w:t>
            </w:r>
          </w:p>
        </w:tc>
        <w:tc>
          <w:tcPr>
            <w:tcW w:w="3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w:t>
            </w:r>
          </w:p>
        </w:tc>
      </w:tr>
      <w:tr>
        <w:trPr>
          <w:trHeight w:val="220"/>
        </w:trPr>
        <w:tc>
          <w:tcPr>
            <w:tcW w:w="93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impairments</w:t>
            </w:r>
          </w:p>
        </w:tc>
        <w:tc>
          <w:tcPr>
            <w:tcW w:w="3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(3,320)</w:t>
            </w:r>
          </w:p>
        </w:tc>
      </w:tr>
      <w:tr>
        <w:trPr>
          <w:trHeight w:val="220"/>
        </w:trPr>
        <w:tc>
          <w:tcPr>
            <w:tcW w:w="9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stock-based compensation</w:t>
            </w:r>
          </w:p>
        </w:tc>
        <w:tc>
          <w:tcPr>
            <w:tcW w:w="3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w:t>
            </w:r>
          </w:p>
        </w:tc>
      </w:tr>
      <w:tr>
        <w:trPr>
          <w:trHeight w:val="213"/>
        </w:trPr>
        <w:tc>
          <w:tcPr>
            <w:tcW w:w="9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Accrued restructuring costs at March 31, 2022</w:t>
            </w:r>
          </w:p>
        </w:tc>
        <w:tc>
          <w:tcPr>
            <w:tcW w:w="32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2,801</w:t>
            </w:r>
          </w:p>
        </w:tc>
      </w:tr>
      <w:tr>
        <w:trPr>
          <w:trHeight w:val="20"/>
        </w:trPr>
        <w:tc>
          <w:tcPr>
            <w:tcW w:w="93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9—Stock-Based Compensation</w:t>
      </w:r>
    </w:p>
    <w:p>
      <w:pPr>
        <w:spacing w:after="0" w:line="104" w:lineRule="exact"/>
        <w:rPr>
          <w:sz w:val="20"/>
          <w:szCs w:val="20"/>
          <w:color w:val="auto"/>
        </w:rPr>
      </w:pPr>
    </w:p>
    <w:p>
      <w:pPr>
        <w:ind w:right="40" w:firstLine="582"/>
        <w:spacing w:after="0" w:line="258" w:lineRule="auto"/>
        <w:rPr>
          <w:sz w:val="20"/>
          <w:szCs w:val="20"/>
          <w:color w:val="auto"/>
        </w:rPr>
      </w:pPr>
      <w:r>
        <w:rPr>
          <w:rFonts w:ascii="Times New Roman" w:cs="Times New Roman" w:eastAsia="Times New Roman" w:hAnsi="Times New Roman"/>
          <w:sz w:val="17"/>
          <w:szCs w:val="17"/>
          <w:color w:val="auto"/>
        </w:rPr>
        <w:t>In connection with its IPO, the Company implemented its 2014 Equity Incentive Plan, which governs equity awards made to employees and directors of the Company since the IPO. Prior to the IPO, the Company granted equity awards under its 2007 Stock Incentive Plan, which governs equity awards made to employees and contractors prior to the IPO. In November 2014, the Company approved the 2014 Inducement Grant Equity Incentive Plan (the "Inducement Plan"), which governs certain equity awards made to certain employees in connection with commencement of employment. In connection with the Company's acquisitions of Chango Inc. ("Chango"), iSocket, Inc. ("iSocket"), and nToggle, Inc. ("nToggle") it assumed the existing employee equity award plans, the 2009 Chango Stock Option Plan (the "Chango Plan"), the iSocket 2009 Equity Incentive Plan (the "iSocket Plan"), and the nToggle 2014 Equity Incentive Plan (the "nToggle Plan"). In connection with the Merger with Telaria, the Company assumed Telaria's 2013 Equity Incentive Plan, as amended (the "Telaria Plan"); the 2008 Stock Plan, as amended (the "2008 Stock Plan"); and the ScanScout, Inc. 2009 Equity Incentive Plan, as amended (the "ScanScout Plan"). All compensatory equity awards outstanding at March 31, 2022 were issued pursuant to the 2014 Equity Incentive Plan, the iSocket Plan, the Chango Plan, the nToggle Plan, the Telaria Plan, the 2008 Stock Plan, the ScanScout Plan, the Inducement Plan, or the Company's 2007 Stock Incentive Plan.</w:t>
      </w:r>
    </w:p>
    <w:p>
      <w:pPr>
        <w:spacing w:after="0" w:line="59" w:lineRule="exact"/>
        <w:rPr>
          <w:sz w:val="20"/>
          <w:szCs w:val="20"/>
          <w:color w:val="auto"/>
        </w:rPr>
      </w:pPr>
    </w:p>
    <w:p>
      <w:pPr>
        <w:ind w:right="160" w:firstLine="582"/>
        <w:spacing w:after="0" w:line="260" w:lineRule="auto"/>
        <w:rPr>
          <w:sz w:val="20"/>
          <w:szCs w:val="20"/>
          <w:color w:val="auto"/>
        </w:rPr>
      </w:pPr>
      <w:r>
        <w:rPr>
          <w:rFonts w:ascii="Times New Roman" w:cs="Times New Roman" w:eastAsia="Times New Roman" w:hAnsi="Times New Roman"/>
          <w:sz w:val="17"/>
          <w:szCs w:val="17"/>
          <w:color w:val="auto"/>
        </w:rPr>
        <w:t>The Company’s equity incentive plans provide for the grant of equity awards, including non-statutory or incentive stock options, restricted stock awards ("RSAs"), restricted stock units ("RSUs"), and performance stock units ("PSUs"), to the Company's employees, officers, directors, and consultants. The Company's board of directors administers the plans. Options outstanding vest based upon continued service at varying rates, but generally over four years from issuance with 25% vesting after one year of service and the remainder vesting monthly thereafter. RSAs and RSUs vest at varying rates, typically approximately 25% vesting after approximately one year of service and the remainder vesting annually, semi-annually, or quarterly thereafter. The restricted stock units granted in 2022 included 0.2 million awards that vest 50% on each of the first and second anniversaries of the grant date. Options, RSAs, and RSUs granted under the plans accelerate under certain circumstances for certain participants upon a change in</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60"/>
        <w:spacing w:after="0"/>
        <w:rPr>
          <w:sz w:val="20"/>
          <w:szCs w:val="20"/>
          <w:color w:val="auto"/>
        </w:rPr>
      </w:pPr>
      <w:r>
        <w:rPr>
          <w:rFonts w:ascii="Times New Roman" w:cs="Times New Roman" w:eastAsia="Times New Roman" w:hAnsi="Times New Roman"/>
          <w:sz w:val="17"/>
          <w:szCs w:val="17"/>
          <w:color w:val="auto"/>
        </w:rPr>
        <w:t>control, as defined in the governing plan. No further awards were granted under the iSocket Plan, the Chango Plan, or the nToggle Plan from the date of acquisition and no further awards were granted under the 2007 Stock Incentive Plan since the IPO. Available shares under the iSocket Plan, the Chango Plan, and the nToggle Plan were rolled into the available share pool under the 2014 Equity Incentive Plan at the time of acquisition of each company, and available shares under the 2007 Stock Incentive Plan were rolled into the available share pool under the 2014 Equity Incentive Plan at the time of the IPO. An aggregate of 13,212,745 shares remained available for future grants at March 31, 2022 under the plans. The 2014 Equity Incentive Plan has an evergreen provision pursuant to which the share reserve will automatically increase on January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of each year in an amount equal to 5% of the total number of shares of capital stock outstanding on December 31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of the preceding calendar year, although the Company’s board of directors may provide for a lesser increase, or no increase, in any year. The 2014 Inducement Grant Equity Incentive Plan has a provision pursuant to which the share reserve may be increased at the discretion of the Company's board of directors.</w:t>
      </w:r>
    </w:p>
    <w:p>
      <w:pPr>
        <w:spacing w:after="0" w:line="3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stock option activity for the three months ended March 31, 2022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3"/>
                <w:szCs w:val="13"/>
                <w:color w:val="auto"/>
              </w:rPr>
            </w:pPr>
          </w:p>
        </w:tc>
        <w:tc>
          <w:tcPr>
            <w:tcW w:w="1480" w:type="dxa"/>
            <w:vAlign w:val="bottom"/>
            <w:vMerge w:val="restart"/>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Shares Under Option</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6"/>
              </w:rPr>
              <w:t>Weighted-</w:t>
            </w:r>
          </w:p>
        </w:tc>
        <w:tc>
          <w:tcPr>
            <w:tcW w:w="15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Weighted- Average</w:t>
            </w:r>
          </w:p>
        </w:tc>
        <w:tc>
          <w:tcPr>
            <w:tcW w:w="200" w:type="dxa"/>
            <w:vAlign w:val="bottom"/>
          </w:tcPr>
          <w:p>
            <w:pPr>
              <w:spacing w:after="0"/>
              <w:rPr>
                <w:sz w:val="13"/>
                <w:szCs w:val="13"/>
                <w:color w:val="auto"/>
              </w:rPr>
            </w:pPr>
          </w:p>
        </w:tc>
        <w:tc>
          <w:tcPr>
            <w:tcW w:w="13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88"/>
        </w:trPr>
        <w:tc>
          <w:tcPr>
            <w:tcW w:w="49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6"/>
              </w:rPr>
              <w:t>Average Exercise Price</w:t>
            </w:r>
          </w:p>
        </w:tc>
        <w:tc>
          <w:tcPr>
            <w:tcW w:w="15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Contractual Life</w:t>
            </w:r>
          </w:p>
        </w:tc>
        <w:tc>
          <w:tcPr>
            <w:tcW w:w="200" w:type="dxa"/>
            <w:vAlign w:val="bottom"/>
          </w:tcPr>
          <w:p>
            <w:pPr>
              <w:spacing w:after="0"/>
              <w:rPr>
                <w:sz w:val="16"/>
                <w:szCs w:val="16"/>
                <w:color w:val="auto"/>
              </w:rPr>
            </w:pPr>
          </w:p>
        </w:tc>
        <w:tc>
          <w:tcPr>
            <w:tcW w:w="1300" w:type="dxa"/>
            <w:vAlign w:val="bottom"/>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w w:val="95"/>
              </w:rPr>
              <w:t>Intrinsic Value</w:t>
            </w:r>
          </w:p>
        </w:tc>
        <w:tc>
          <w:tcPr>
            <w:tcW w:w="0" w:type="dxa"/>
            <w:vAlign w:val="bottom"/>
          </w:tcPr>
          <w:p>
            <w:pPr>
              <w:spacing w:after="0"/>
              <w:rPr>
                <w:sz w:val="1"/>
                <w:szCs w:val="1"/>
                <w:color w:val="auto"/>
              </w:rPr>
            </w:pPr>
          </w:p>
        </w:tc>
      </w:tr>
      <w:tr>
        <w:trPr>
          <w:trHeight w:val="195"/>
        </w:trPr>
        <w:tc>
          <w:tcPr>
            <w:tcW w:w="4960" w:type="dxa"/>
            <w:vAlign w:val="bottom"/>
          </w:tcPr>
          <w:p>
            <w:pPr>
              <w:spacing w:after="0"/>
              <w:rPr>
                <w:sz w:val="16"/>
                <w:szCs w:val="16"/>
                <w:color w:val="auto"/>
              </w:rPr>
            </w:pPr>
          </w:p>
        </w:tc>
        <w:tc>
          <w:tcPr>
            <w:tcW w:w="1480" w:type="dxa"/>
            <w:vAlign w:val="bottom"/>
            <w:tcBorders>
              <w:top w:val="single" w:sz="8" w:color="auto"/>
            </w:tcBorders>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3"/>
        </w:trPr>
        <w:tc>
          <w:tcPr>
            <w:tcW w:w="49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December 31, 2021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5,129</w:t>
            </w:r>
          </w:p>
        </w:tc>
        <w:tc>
          <w:tcPr>
            <w:tcW w:w="3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699</w:t>
            </w:r>
          </w:p>
        </w:tc>
        <w:tc>
          <w:tcPr>
            <w:tcW w:w="360" w:type="dxa"/>
            <w:vAlign w:val="bottom"/>
            <w:gridSpan w:val="2"/>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13.90</w:t>
            </w: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Exercised</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360" w:type="dxa"/>
            <w:vAlign w:val="bottom"/>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Expired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360" w:type="dxa"/>
            <w:vAlign w:val="bottom"/>
            <w:tcBorders>
              <w:bottom w:val="single" w:sz="8" w:color="CCEEFF"/>
            </w:tcBorders>
            <w:gridSpan w:val="2"/>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15.24</w:t>
            </w:r>
          </w:p>
        </w:tc>
        <w:tc>
          <w:tcPr>
            <w:tcW w:w="1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March 31, 2022</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5,496</w:t>
            </w:r>
          </w:p>
        </w:tc>
        <w:tc>
          <w:tcPr>
            <w:tcW w:w="360" w:type="dxa"/>
            <w:vAlign w:val="bottom"/>
            <w:tcBorders>
              <w:bottom w:val="single" w:sz="8" w:color="CCEEFF"/>
            </w:tcBorders>
            <w:gridSpan w:val="2"/>
            <w:shd w:val="clear" w:color="auto" w:fill="CCEEFF"/>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5.9 years</w:t>
            </w:r>
          </w:p>
        </w:tc>
        <w:tc>
          <w:tcPr>
            <w:tcW w:w="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35,278</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Exercisable at March 31, 2022</w:t>
            </w: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CCEEFF"/>
            </w:tcBorders>
            <w:gridSpan w:val="2"/>
            <w:vMerge w:val="restart"/>
          </w:tcPr>
          <w:p>
            <w:pPr>
              <w:jc w:val="right"/>
              <w:ind w:right="91"/>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5.76</w:t>
            </w: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CCEEFF"/>
            </w:tcBorders>
            <w:gridSpan w:val="2"/>
            <w:vMerge w:val="restart"/>
          </w:tcPr>
          <w:p>
            <w:pPr>
              <w:jc w:val="center"/>
              <w:ind w:right="120"/>
              <w:spacing w:after="0"/>
              <w:rPr>
                <w:sz w:val="20"/>
                <w:szCs w:val="20"/>
                <w:color w:val="auto"/>
              </w:rPr>
            </w:pPr>
            <w:r>
              <w:rPr>
                <w:rFonts w:ascii="Times New Roman" w:cs="Times New Roman" w:eastAsia="Times New Roman" w:hAnsi="Times New Roman"/>
                <w:sz w:val="17"/>
                <w:szCs w:val="17"/>
                <w:color w:val="auto"/>
              </w:rPr>
              <w:t>4.6 years</w:t>
            </w:r>
          </w:p>
        </w:tc>
        <w:tc>
          <w:tcPr>
            <w:tcW w:w="200" w:type="dxa"/>
            <w:vAlign w:val="bottom"/>
            <w:tcBorders>
              <w:top w:val="single" w:sz="8" w:color="CCEEFF"/>
              <w:bottom w:val="single" w:sz="8" w:color="CCEEFF"/>
            </w:tcBorders>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29,168</w:t>
            </w:r>
          </w:p>
        </w:tc>
        <w:tc>
          <w:tcPr>
            <w:tcW w:w="0" w:type="dxa"/>
            <w:vAlign w:val="bottom"/>
          </w:tcPr>
          <w:p>
            <w:pPr>
              <w:spacing w:after="0" w:line="20" w:lineRule="exact"/>
              <w:rPr>
                <w:sz w:val="1"/>
                <w:szCs w:val="1"/>
                <w:color w:val="auto"/>
              </w:rPr>
            </w:pPr>
          </w:p>
        </w:tc>
      </w:tr>
      <w:tr>
        <w:trPr>
          <w:trHeight w:val="197"/>
        </w:trPr>
        <w:tc>
          <w:tcPr>
            <w:tcW w:w="4960" w:type="dxa"/>
            <w:vAlign w:val="bottom"/>
            <w:vMerge w:val="continue"/>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3,763</w:t>
            </w:r>
          </w:p>
        </w:tc>
        <w:tc>
          <w:tcPr>
            <w:tcW w:w="36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gridSpan w:val="2"/>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1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360" w:firstLine="621"/>
        <w:spacing w:after="0" w:line="272" w:lineRule="auto"/>
        <w:rPr>
          <w:sz w:val="20"/>
          <w:szCs w:val="20"/>
          <w:color w:val="auto"/>
        </w:rPr>
      </w:pPr>
      <w:r>
        <w:rPr>
          <w:rFonts w:ascii="Times New Roman" w:cs="Times New Roman" w:eastAsia="Times New Roman" w:hAnsi="Times New Roman"/>
          <w:sz w:val="17"/>
          <w:szCs w:val="17"/>
          <w:color w:val="auto"/>
        </w:rPr>
        <w:t>The total intrinsic value of options exercised during the three months ended March 31, 2022 was $3.3 million. At March 31, 2022, the Company had unrecognized employee stock-based compensation expense relating to nonvested stock options of approximately $13.1 million, which is expected to be recognized over a weighted-average period of 2.7 years. Total fair value of options vested during the three months ended March 31, 2022 was $1.2 million.</w:t>
      </w:r>
    </w:p>
    <w:p>
      <w:pPr>
        <w:spacing w:after="0" w:line="47" w:lineRule="exact"/>
        <w:rPr>
          <w:sz w:val="20"/>
          <w:szCs w:val="20"/>
          <w:color w:val="auto"/>
        </w:rPr>
      </w:pPr>
    </w:p>
    <w:p>
      <w:pPr>
        <w:jc w:val="both"/>
        <w:ind w:right="60" w:firstLine="621"/>
        <w:spacing w:after="0" w:line="272" w:lineRule="auto"/>
        <w:rPr>
          <w:sz w:val="20"/>
          <w:szCs w:val="20"/>
          <w:color w:val="auto"/>
        </w:rPr>
      </w:pPr>
      <w:r>
        <w:rPr>
          <w:rFonts w:ascii="Times New Roman" w:cs="Times New Roman" w:eastAsia="Times New Roman" w:hAnsi="Times New Roman"/>
          <w:sz w:val="17"/>
          <w:szCs w:val="17"/>
          <w:color w:val="auto"/>
        </w:rPr>
        <w:t>The Company estimates the fair value of stock options that contain service and/or performance conditions using the Black-Scholes option pricing model. The grant date fair value of options granted during the three months ended March 31, 2022 was $8.93 per share. The weighted-average input assumptions used by the Company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620" w:type="dxa"/>
            <w:vAlign w:val="bottom"/>
            <w:shd w:val="clear" w:color="auto" w:fill="CCEEFF"/>
          </w:tcPr>
          <w:p>
            <w:pPr>
              <w:spacing w:after="0"/>
              <w:rPr>
                <w:sz w:val="16"/>
                <w:szCs w:val="16"/>
                <w:color w:val="auto"/>
              </w:rPr>
            </w:pPr>
          </w:p>
        </w:tc>
        <w:tc>
          <w:tcPr>
            <w:tcW w:w="4480" w:type="dxa"/>
            <w:vAlign w:val="bottom"/>
            <w:shd w:val="clear" w:color="auto" w:fill="CCEEFF"/>
          </w:tcPr>
          <w:p>
            <w:pPr>
              <w:spacing w:after="0"/>
              <w:rPr>
                <w:sz w:val="16"/>
                <w:szCs w:val="16"/>
                <w:color w:val="auto"/>
              </w:rPr>
            </w:pPr>
          </w:p>
        </w:tc>
        <w:tc>
          <w:tcPr>
            <w:tcW w:w="3140" w:type="dxa"/>
            <w:vAlign w:val="bottom"/>
            <w:tcBorders>
              <w:bottom w:val="single" w:sz="8" w:color="auto"/>
            </w:tcBorders>
            <w:gridSpan w:val="3"/>
            <w:shd w:val="clear" w:color="auto" w:fill="CCEEFF"/>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1"/>
        </w:trPr>
        <w:tc>
          <w:tcPr>
            <w:tcW w:w="3620" w:type="dxa"/>
            <w:vAlign w:val="bottom"/>
          </w:tcPr>
          <w:p>
            <w:pPr>
              <w:spacing w:after="0"/>
              <w:rPr>
                <w:sz w:val="15"/>
                <w:szCs w:val="15"/>
                <w:color w:val="auto"/>
              </w:rPr>
            </w:pPr>
          </w:p>
        </w:tc>
        <w:tc>
          <w:tcPr>
            <w:tcW w:w="4480" w:type="dxa"/>
            <w:vAlign w:val="bottom"/>
          </w:tcPr>
          <w:p>
            <w:pPr>
              <w:spacing w:after="0"/>
              <w:rPr>
                <w:sz w:val="15"/>
                <w:szCs w:val="15"/>
                <w:color w:val="auto"/>
              </w:rPr>
            </w:pPr>
          </w:p>
        </w:tc>
        <w:tc>
          <w:tcPr>
            <w:tcW w:w="17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4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18"/>
        </w:trPr>
        <w:tc>
          <w:tcPr>
            <w:tcW w:w="36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448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w w:val="95"/>
              </w:rPr>
              <w:t>N/A</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1.63 %</w:t>
            </w:r>
          </w:p>
        </w:tc>
        <w:tc>
          <w:tcPr>
            <w:tcW w:w="100" w:type="dxa"/>
            <w:vAlign w:val="bottom"/>
          </w:tcPr>
          <w:p>
            <w:pPr>
              <w:spacing w:after="0"/>
              <w:rPr>
                <w:sz w:val="19"/>
                <w:szCs w:val="19"/>
                <w:color w:val="auto"/>
              </w:rPr>
            </w:pPr>
          </w:p>
        </w:tc>
        <w:tc>
          <w:tcPr>
            <w:tcW w:w="1440" w:type="dxa"/>
            <w:vAlign w:val="bottom"/>
          </w:tcPr>
          <w:p>
            <w:pPr>
              <w:ind w:left="1140"/>
              <w:spacing w:after="0"/>
              <w:rPr>
                <w:sz w:val="20"/>
                <w:szCs w:val="20"/>
                <w:color w:val="auto"/>
              </w:rPr>
            </w:pPr>
            <w:r>
              <w:rPr>
                <w:rFonts w:ascii="Times New Roman" w:cs="Times New Roman" w:eastAsia="Times New Roman" w:hAnsi="Times New Roman"/>
                <w:sz w:val="17"/>
                <w:szCs w:val="17"/>
                <w:color w:val="auto"/>
                <w:w w:val="95"/>
              </w:rPr>
              <w:t>N/A</w:t>
            </w:r>
          </w:p>
        </w:tc>
      </w:tr>
      <w:tr>
        <w:trPr>
          <w:trHeight w:val="22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w w:val="95"/>
              </w:rPr>
              <w:t>N/A</w:t>
            </w:r>
          </w:p>
        </w:tc>
      </w:tr>
      <w:tr>
        <w:trPr>
          <w:trHeight w:val="226"/>
        </w:trPr>
        <w:tc>
          <w:tcPr>
            <w:tcW w:w="36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4480" w:type="dxa"/>
            <w:vAlign w:val="bottom"/>
          </w:tcPr>
          <w:p>
            <w:pPr>
              <w:spacing w:after="0"/>
              <w:rPr>
                <w:sz w:val="19"/>
                <w:szCs w:val="19"/>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 %</w:t>
            </w:r>
          </w:p>
        </w:tc>
        <w:tc>
          <w:tcPr>
            <w:tcW w:w="1440" w:type="dxa"/>
            <w:vAlign w:val="bottom"/>
          </w:tcPr>
          <w:p>
            <w:pPr>
              <w:ind w:left="1140"/>
              <w:spacing w:after="0"/>
              <w:rPr>
                <w:sz w:val="20"/>
                <w:szCs w:val="20"/>
                <w:color w:val="auto"/>
              </w:rPr>
            </w:pPr>
            <w:r>
              <w:rPr>
                <w:rFonts w:ascii="Times New Roman" w:cs="Times New Roman" w:eastAsia="Times New Roman" w:hAnsi="Times New Roman"/>
                <w:sz w:val="17"/>
                <w:szCs w:val="17"/>
                <w:color w:val="auto"/>
                <w:w w:val="95"/>
              </w:rPr>
              <w:t>N/A</w:t>
            </w:r>
          </w:p>
        </w:tc>
      </w:tr>
      <w:tr>
        <w:trPr>
          <w:trHeight w:val="784"/>
        </w:trPr>
        <w:tc>
          <w:tcPr>
            <w:tcW w:w="3620" w:type="dxa"/>
            <w:vAlign w:val="bottom"/>
          </w:tcPr>
          <w:p>
            <w:pPr>
              <w:spacing w:after="0"/>
              <w:rPr>
                <w:sz w:val="24"/>
                <w:szCs w:val="24"/>
                <w:color w:val="auto"/>
              </w:rPr>
            </w:pPr>
          </w:p>
        </w:tc>
        <w:tc>
          <w:tcPr>
            <w:tcW w:w="4480" w:type="dxa"/>
            <w:vAlign w:val="bottom"/>
          </w:tcPr>
          <w:p>
            <w:pPr>
              <w:jc w:val="right"/>
              <w:ind w:right="2294"/>
              <w:spacing w:after="0"/>
              <w:rPr>
                <w:sz w:val="20"/>
                <w:szCs w:val="20"/>
                <w:color w:val="auto"/>
              </w:rPr>
            </w:pPr>
            <w:r>
              <w:rPr>
                <w:rFonts w:ascii="Times New Roman" w:cs="Times New Roman" w:eastAsia="Times New Roman" w:hAnsi="Times New Roman"/>
                <w:sz w:val="17"/>
                <w:szCs w:val="17"/>
                <w:color w:val="auto"/>
              </w:rPr>
              <w:t>22</w:t>
            </w: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09"/>
        </w:trPr>
        <w:tc>
          <w:tcPr>
            <w:tcW w:w="3620" w:type="dxa"/>
            <w:vAlign w:val="bottom"/>
            <w:tcBorders>
              <w:bottom w:val="single" w:sz="8" w:color="9A9A9A"/>
            </w:tcBorders>
          </w:tcPr>
          <w:p>
            <w:pPr>
              <w:spacing w:after="0"/>
              <w:rPr>
                <w:sz w:val="9"/>
                <w:szCs w:val="9"/>
                <w:color w:val="auto"/>
              </w:rPr>
            </w:pPr>
          </w:p>
        </w:tc>
        <w:tc>
          <w:tcPr>
            <w:tcW w:w="448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summary of restricted stock unit activity for the three months ended March 31, 2022 is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1600" w:type="dxa"/>
            <w:vAlign w:val="bottom"/>
            <w:vMerge w:val="restart"/>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00" w:type="dxa"/>
            <w:vAlign w:val="bottom"/>
          </w:tcPr>
          <w:p>
            <w:pPr>
              <w:spacing w:after="0"/>
              <w:rPr>
                <w:sz w:val="13"/>
                <w:szCs w:val="13"/>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Weighted-Average Grant</w:t>
            </w:r>
          </w:p>
        </w:tc>
        <w:tc>
          <w:tcPr>
            <w:tcW w:w="0" w:type="dxa"/>
            <w:vAlign w:val="bottom"/>
          </w:tcPr>
          <w:p>
            <w:pPr>
              <w:spacing w:after="0"/>
              <w:rPr>
                <w:sz w:val="1"/>
                <w:szCs w:val="1"/>
                <w:color w:val="auto"/>
              </w:rPr>
            </w:pPr>
          </w:p>
        </w:tc>
      </w:tr>
      <w:tr>
        <w:trPr>
          <w:trHeight w:val="188"/>
        </w:trPr>
        <w:tc>
          <w:tcPr>
            <w:tcW w:w="776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Date Fair Value</w:t>
            </w:r>
          </w:p>
        </w:tc>
        <w:tc>
          <w:tcPr>
            <w:tcW w:w="0" w:type="dxa"/>
            <w:vAlign w:val="bottom"/>
          </w:tcPr>
          <w:p>
            <w:pPr>
              <w:spacing w:after="0"/>
              <w:rPr>
                <w:sz w:val="1"/>
                <w:szCs w:val="1"/>
                <w:color w:val="auto"/>
              </w:rPr>
            </w:pPr>
          </w:p>
        </w:tc>
      </w:tr>
      <w:tr>
        <w:trPr>
          <w:trHeight w:val="186"/>
        </w:trPr>
        <w:tc>
          <w:tcPr>
            <w:tcW w:w="7760" w:type="dxa"/>
            <w:vAlign w:val="bottom"/>
          </w:tcPr>
          <w:p>
            <w:pPr>
              <w:spacing w:after="0"/>
              <w:rPr>
                <w:sz w:val="16"/>
                <w:szCs w:val="16"/>
                <w:color w:val="auto"/>
              </w:rPr>
            </w:pPr>
          </w:p>
        </w:tc>
        <w:tc>
          <w:tcPr>
            <w:tcW w:w="1600" w:type="dxa"/>
            <w:vAlign w:val="bottom"/>
          </w:tcPr>
          <w:p>
            <w:pPr>
              <w:jc w:val="right"/>
              <w:ind w:right="2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outstanding at December 31, 2021</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18.39</w:t>
            </w:r>
          </w:p>
        </w:tc>
        <w:tc>
          <w:tcPr>
            <w:tcW w:w="0" w:type="dxa"/>
            <w:vAlign w:val="bottom"/>
          </w:tcPr>
          <w:p>
            <w:pPr>
              <w:spacing w:after="0"/>
              <w:rPr>
                <w:sz w:val="1"/>
                <w:szCs w:val="1"/>
                <w:color w:val="auto"/>
              </w:rPr>
            </w:pPr>
          </w:p>
        </w:tc>
      </w:tr>
      <w:tr>
        <w:trPr>
          <w:trHeight w:val="220"/>
        </w:trPr>
        <w:tc>
          <w:tcPr>
            <w:tcW w:w="77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Granted</w:t>
            </w: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6,556</w:t>
            </w:r>
          </w:p>
        </w:tc>
        <w:tc>
          <w:tcPr>
            <w:tcW w:w="200" w:type="dxa"/>
            <w:vAlign w:val="bottom"/>
          </w:tcPr>
          <w:p>
            <w:pPr>
              <w:spacing w:after="0"/>
              <w:rPr>
                <w:sz w:val="19"/>
                <w:szCs w:val="19"/>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13.87</w:t>
            </w:r>
          </w:p>
        </w:tc>
        <w:tc>
          <w:tcPr>
            <w:tcW w:w="0" w:type="dxa"/>
            <w:vAlign w:val="bottom"/>
          </w:tcPr>
          <w:p>
            <w:pPr>
              <w:spacing w:after="0"/>
              <w:rPr>
                <w:sz w:val="1"/>
                <w:szCs w:val="1"/>
                <w:color w:val="auto"/>
              </w:rPr>
            </w:pPr>
          </w:p>
        </w:tc>
      </w:tr>
      <w:tr>
        <w:trPr>
          <w:trHeight w:val="220"/>
        </w:trPr>
        <w:tc>
          <w:tcPr>
            <w:tcW w:w="7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Canceled</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17.95</w:t>
            </w:r>
          </w:p>
        </w:tc>
        <w:tc>
          <w:tcPr>
            <w:tcW w:w="0" w:type="dxa"/>
            <w:vAlign w:val="bottom"/>
          </w:tcPr>
          <w:p>
            <w:pPr>
              <w:spacing w:after="0"/>
              <w:rPr>
                <w:sz w:val="1"/>
                <w:szCs w:val="1"/>
                <w:color w:val="auto"/>
              </w:rPr>
            </w:pPr>
          </w:p>
        </w:tc>
      </w:tr>
      <w:tr>
        <w:trPr>
          <w:trHeight w:val="220"/>
        </w:trPr>
        <w:tc>
          <w:tcPr>
            <w:tcW w:w="7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Vested and released</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(783)</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0" w:type="dxa"/>
            <w:vAlign w:val="bottom"/>
          </w:tcPr>
          <w:p>
            <w:pPr>
              <w:spacing w:after="0"/>
              <w:rPr>
                <w:sz w:val="1"/>
                <w:szCs w:val="1"/>
                <w:color w:val="auto"/>
              </w:rPr>
            </w:pPr>
          </w:p>
        </w:tc>
      </w:tr>
      <w:tr>
        <w:trPr>
          <w:trHeight w:val="238"/>
        </w:trPr>
        <w:tc>
          <w:tcPr>
            <w:tcW w:w="7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Restricted stock units outstanding at March 31, 2022</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12,123</w:t>
            </w:r>
          </w:p>
        </w:tc>
        <w:tc>
          <w:tcPr>
            <w:tcW w:w="2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16.54</w:t>
            </w:r>
          </w:p>
        </w:tc>
        <w:tc>
          <w:tcPr>
            <w:tcW w:w="0" w:type="dxa"/>
            <w:vAlign w:val="bottom"/>
          </w:tcPr>
          <w:p>
            <w:pPr>
              <w:spacing w:after="0"/>
              <w:rPr>
                <w:sz w:val="1"/>
                <w:szCs w:val="1"/>
                <w:color w:val="auto"/>
              </w:rPr>
            </w:pPr>
          </w:p>
        </w:tc>
      </w:tr>
      <w:tr>
        <w:trPr>
          <w:trHeight w:val="20"/>
        </w:trPr>
        <w:tc>
          <w:tcPr>
            <w:tcW w:w="77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Restricted stock units outstanding and unvested*</w:t>
            </w: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CCEEFF"/>
            </w:tcBorders>
            <w:vMerge w:val="restart"/>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220" w:type="dxa"/>
            <w:vAlign w:val="bottom"/>
            <w:tcBorders>
              <w:top w:val="single" w:sz="8" w:color="CCEEFF"/>
              <w:bottom w:val="single" w:sz="8" w:color="CCEEFF"/>
            </w:tcBorders>
            <w:vMerge w:val="restart"/>
          </w:tcPr>
          <w:p>
            <w:pPr>
              <w:jc w:val="right"/>
              <w:ind w:right="36"/>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top w:val="single" w:sz="8" w:color="CCEEFF"/>
              <w:bottom w:val="single" w:sz="8" w:color="CCEEFF"/>
            </w:tcBorders>
            <w:vMerge w:val="restart"/>
          </w:tcPr>
          <w:p>
            <w:pPr>
              <w:jc w:val="right"/>
              <w:spacing w:after="0"/>
              <w:rPr>
                <w:sz w:val="20"/>
                <w:szCs w:val="20"/>
                <w:color w:val="auto"/>
              </w:rPr>
            </w:pPr>
            <w:r>
              <w:rPr>
                <w:rFonts w:ascii="Times New Roman" w:cs="Times New Roman" w:eastAsia="Times New Roman" w:hAnsi="Times New Roman"/>
                <w:sz w:val="17"/>
                <w:szCs w:val="17"/>
                <w:color w:val="auto"/>
              </w:rPr>
              <w:t>16.57</w:t>
            </w:r>
          </w:p>
        </w:tc>
        <w:tc>
          <w:tcPr>
            <w:tcW w:w="0" w:type="dxa"/>
            <w:vAlign w:val="bottom"/>
          </w:tcPr>
          <w:p>
            <w:pPr>
              <w:spacing w:after="0" w:line="20" w:lineRule="exact"/>
              <w:rPr>
                <w:sz w:val="1"/>
                <w:szCs w:val="1"/>
                <w:color w:val="auto"/>
              </w:rPr>
            </w:pPr>
          </w:p>
        </w:tc>
      </w:tr>
      <w:tr>
        <w:trPr>
          <w:trHeight w:val="197"/>
        </w:trPr>
        <w:tc>
          <w:tcPr>
            <w:tcW w:w="7760" w:type="dxa"/>
            <w:vAlign w:val="bottom"/>
            <w:vMerge w:val="continue"/>
          </w:tcPr>
          <w:p>
            <w:pPr>
              <w:spacing w:after="0"/>
              <w:rPr>
                <w:sz w:val="17"/>
                <w:szCs w:val="17"/>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12,086</w:t>
            </w:r>
          </w:p>
        </w:tc>
        <w:tc>
          <w:tcPr>
            <w:tcW w:w="20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13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7080250" cy="172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0250" cy="17272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*At March 31, 2022, outstanding restricted stock units included 37,318 units that were vested but deferred.</w:t>
      </w:r>
    </w:p>
    <w:p>
      <w:pPr>
        <w:spacing w:after="0" w:line="177"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The weighted-average grant date fair value per share of restricted stock units granted during the three months ended March 31, 2022 was $13.87. The aggregate fair value of restricted stock units that vested during the three months ended March 31, 2022 was $10.6 million. At March 31, 2022, the intrinsic value of unvested restricted stock units was $159.6 million. At March 31, 2022, the Company had unrecognized stock-based compensation expense relating to unvested restricted stock units of approximately $172.3 million, which is expected to be recognized over a weighted-average period of 3.1 years.</w:t>
      </w:r>
    </w:p>
    <w:p>
      <w:pPr>
        <w:spacing w:after="0" w:line="4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Performance Stock Units</w:t>
      </w:r>
    </w:p>
    <w:p>
      <w:pPr>
        <w:spacing w:after="0" w:line="106" w:lineRule="exact"/>
        <w:rPr>
          <w:sz w:val="20"/>
          <w:szCs w:val="20"/>
          <w:color w:val="auto"/>
        </w:rPr>
      </w:pPr>
    </w:p>
    <w:p>
      <w:pPr>
        <w:ind w:right="20" w:firstLine="621"/>
        <w:spacing w:after="0" w:line="261" w:lineRule="auto"/>
        <w:rPr>
          <w:sz w:val="20"/>
          <w:szCs w:val="20"/>
          <w:color w:val="auto"/>
        </w:rPr>
      </w:pPr>
      <w:r>
        <w:rPr>
          <w:rFonts w:ascii="Times New Roman" w:cs="Times New Roman" w:eastAsia="Times New Roman" w:hAnsi="Times New Roman"/>
          <w:sz w:val="17"/>
          <w:szCs w:val="17"/>
          <w:color w:val="auto"/>
        </w:rPr>
        <w:t>In April 2020, April 2021, and February 2022, the Company granted the Company's CEO 146,341, 26,291, and 86,806 performance stock units that vest based on share price metrics tied to total shareholder return over a three year period with a fair value of $0.9 million, $1.4 million, and $1.5 million, respectively. The grant date fair value per share of these grants was $6.15, $52.49, and $17.28, respectively, which was estimated using a Monte-Carlo lattice model. At March 31, 2022, the Company had unrecognized employee stock-based compensation expense for the April 2020, April 2021, and February 2022 grants of approximately $0.3 million, $0.9 million, and $1.4 million, which is expected to be recognized over the remaining 1 year, 2 years, and 2.8 years, respectively. Between 0% and 150% of the performance stock units will vest on the third anniversary of its grant date.</w:t>
      </w:r>
    </w:p>
    <w:p>
      <w:pPr>
        <w:spacing w:after="0" w:line="44"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In August 2021, the Company granted the Company's CEO 379,635 performance stock units, which are subject to both time-based and performance-based vesting conditions. The performance stock units consist of three equal tranches (each, a "Performance Tranche"), based on achievement of a share price condition if the Company achieves share price targets of $60.00, $80.00, and $100.00, respectively, over 60 consecutive trading days during a performance period commencing on August 26, 2022 and ending on August 26, 2026. To the extent any of the performance-based requirements are met, the Company's CEO must also provide continued service to the Company through at least August 26, 2024 to receive any shares of common stock underlying the grant and through August 26, 2026 to receive all of the shares of common stock underlying the performance units that have satisfied the applicable performance-based requirement.</w:t>
      </w:r>
    </w:p>
    <w:p>
      <w:pPr>
        <w:spacing w:after="0" w:line="57" w:lineRule="exact"/>
        <w:rPr>
          <w:sz w:val="20"/>
          <w:szCs w:val="20"/>
          <w:color w:val="auto"/>
        </w:rPr>
      </w:pPr>
    </w:p>
    <w:p>
      <w:pPr>
        <w:ind w:right="20" w:firstLine="621"/>
        <w:spacing w:after="0" w:line="266" w:lineRule="auto"/>
        <w:rPr>
          <w:sz w:val="20"/>
          <w:szCs w:val="20"/>
          <w:color w:val="auto"/>
        </w:rPr>
      </w:pPr>
      <w:r>
        <w:rPr>
          <w:rFonts w:ascii="Times New Roman" w:cs="Times New Roman" w:eastAsia="Times New Roman" w:hAnsi="Times New Roman"/>
          <w:sz w:val="17"/>
          <w:szCs w:val="17"/>
          <w:color w:val="auto"/>
        </w:rPr>
        <w:t>The fair value of each of the Performance Tranches was $3.0 million, $2.8 million, and $2.6 million, respectively, and have a grant date fair value per share of restricted stock of $23.94, $21.93, and $20.30, respectively, which was estimated using a Monte-Carlo lattice model. At March 31, 2022, the Company had unrecognized employee stock-based compensation expense of approximately $2.4 million, $2.4 million, and $2.3 million, which is expected to be recognized over the remaining 2.4 years, 3.4 years, and 4.4 years, respectively. Between 0% and 100% of the performance stock units will vest on each of the tranche dates.</w:t>
      </w:r>
    </w:p>
    <w:p>
      <w:pPr>
        <w:spacing w:after="0" w:line="52" w:lineRule="exact"/>
        <w:rPr>
          <w:sz w:val="20"/>
          <w:szCs w:val="20"/>
          <w:color w:val="auto"/>
        </w:rPr>
      </w:pPr>
    </w:p>
    <w:p>
      <w:pPr>
        <w:ind w:right="400" w:firstLine="621"/>
        <w:spacing w:after="0" w:line="272" w:lineRule="auto"/>
        <w:rPr>
          <w:sz w:val="20"/>
          <w:szCs w:val="20"/>
          <w:color w:val="auto"/>
        </w:rPr>
      </w:pPr>
      <w:r>
        <w:rPr>
          <w:rFonts w:ascii="Times New Roman" w:cs="Times New Roman" w:eastAsia="Times New Roman" w:hAnsi="Times New Roman"/>
          <w:sz w:val="17"/>
          <w:szCs w:val="17"/>
          <w:color w:val="auto"/>
        </w:rPr>
        <w:t>During the three months ended March 31, 2022 and 2021, the Company recognized $0.8 million and $0.3 million, respectively, of stock-based compensation related to these performance stock units based on a performance measurement of 100%. The compensation expense will not be reversed if the performance metrics are not met.</w:t>
      </w:r>
    </w:p>
    <w:p>
      <w:pPr>
        <w:spacing w:after="0" w:line="3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06" w:lineRule="exact"/>
        <w:rPr>
          <w:sz w:val="20"/>
          <w:szCs w:val="20"/>
          <w:color w:val="auto"/>
        </w:rPr>
      </w:pPr>
    </w:p>
    <w:p>
      <w:pPr>
        <w:ind w:right="40" w:firstLine="621"/>
        <w:spacing w:after="0" w:line="263" w:lineRule="auto"/>
        <w:rPr>
          <w:sz w:val="20"/>
          <w:szCs w:val="20"/>
          <w:color w:val="auto"/>
        </w:rPr>
      </w:pPr>
      <w:r>
        <w:rPr>
          <w:rFonts w:ascii="Times New Roman" w:cs="Times New Roman" w:eastAsia="Times New Roman" w:hAnsi="Times New Roman"/>
          <w:sz w:val="17"/>
          <w:szCs w:val="17"/>
          <w:color w:val="auto"/>
        </w:rPr>
        <w:t>In November 2013, the Company adopted the Company's 2014 Employee Stock Purchase Plan ("ESPP"). The ESPP is designed to enable eligible employees to periodically purchase shares of the Company's common stock at a discount through payroll deductions of up to 10% of their eligible compensation, subject to any plan limitations. At the end of each six-month offering period, employees are able to purchase shares at a price per share equal to 85% of the lower of the fair market value of the Company's common stock on the first trading day of the offering period or on the last trading day of the offering period. Offering periods generally commence and end in May and November of each year.</w:t>
      </w:r>
    </w:p>
    <w:p>
      <w:pPr>
        <w:spacing w:after="0" w:line="54" w:lineRule="exact"/>
        <w:rPr>
          <w:sz w:val="20"/>
          <w:szCs w:val="20"/>
          <w:color w:val="auto"/>
        </w:rPr>
      </w:pPr>
    </w:p>
    <w:p>
      <w:pPr>
        <w:ind w:right="500" w:firstLine="621"/>
        <w:spacing w:after="0" w:line="291" w:lineRule="auto"/>
        <w:rPr>
          <w:sz w:val="20"/>
          <w:szCs w:val="20"/>
          <w:color w:val="auto"/>
        </w:rPr>
      </w:pPr>
      <w:r>
        <w:rPr>
          <w:rFonts w:ascii="Times New Roman" w:cs="Times New Roman" w:eastAsia="Times New Roman" w:hAnsi="Times New Roman"/>
          <w:sz w:val="17"/>
          <w:szCs w:val="17"/>
          <w:color w:val="auto"/>
        </w:rPr>
        <w:t>As of March 31, 2022, the Company has reserved 4,256,520 shares of its common stock for issuance under the ESPP. The ESPP has an evergreen provision pursuant to which the share reserve will automatically increase on January 1st of each year in an</w:t>
      </w:r>
    </w:p>
    <w:p>
      <w:pPr>
        <w:spacing w:after="0" w:line="200" w:lineRule="exact"/>
        <w:rPr>
          <w:sz w:val="20"/>
          <w:szCs w:val="20"/>
          <w:color w:val="auto"/>
        </w:rPr>
      </w:pPr>
    </w:p>
    <w:p>
      <w:pPr>
        <w:spacing w:after="0" w:line="2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80"/>
        <w:spacing w:after="0" w:line="291" w:lineRule="auto"/>
        <w:rPr>
          <w:sz w:val="20"/>
          <w:szCs w:val="20"/>
          <w:color w:val="auto"/>
        </w:rPr>
      </w:pPr>
      <w:r>
        <w:rPr>
          <w:rFonts w:ascii="Times New Roman" w:cs="Times New Roman" w:eastAsia="Times New Roman" w:hAnsi="Times New Roman"/>
          <w:sz w:val="17"/>
          <w:szCs w:val="17"/>
          <w:color w:val="auto"/>
        </w:rPr>
        <w:t>amount equal to 1% of the total number of shares of capital stock outstanding on December 31st of the preceding calendar year, although the Company’s board of directors may provide for a lesser increase, or no increase, in any year.</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 Expense</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Total stock-based compensation expense recorded in the condensed consolidated statements of operations was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4"/>
          </w:tcPr>
          <w:p>
            <w:pPr>
              <w:jc w:val="right"/>
              <w:ind w:right="716"/>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83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87"/>
        </w:trPr>
        <w:tc>
          <w:tcPr>
            <w:tcW w:w="8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4"/>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w:t>
            </w:r>
          </w:p>
        </w:tc>
      </w:tr>
      <w:tr>
        <w:trPr>
          <w:trHeight w:val="220"/>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2,461</w:t>
            </w:r>
          </w:p>
        </w:tc>
      </w:tr>
      <w:tr>
        <w:trPr>
          <w:trHeight w:val="22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w:t>
            </w:r>
          </w:p>
        </w:tc>
      </w:tr>
      <w:tr>
        <w:trPr>
          <w:trHeight w:val="220"/>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2,244</w:t>
            </w:r>
          </w:p>
        </w:tc>
      </w:tr>
      <w:tr>
        <w:trPr>
          <w:trHeight w:val="22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Merger, acquisition, and restructuring costs</w:t>
            </w:r>
          </w:p>
        </w:tc>
        <w:tc>
          <w:tcPr>
            <w:tcW w:w="1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w:t>
            </w:r>
          </w:p>
        </w:tc>
      </w:tr>
      <w:tr>
        <w:trPr>
          <w:trHeight w:val="213"/>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16,589</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6,993</w:t>
            </w:r>
          </w:p>
        </w:tc>
      </w:tr>
      <w:tr>
        <w:trPr>
          <w:trHeight w:val="20"/>
        </w:trPr>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10—Income Taxes</w:t>
      </w:r>
    </w:p>
    <w:p>
      <w:pPr>
        <w:spacing w:after="0" w:line="91" w:lineRule="exact"/>
        <w:rPr>
          <w:sz w:val="20"/>
          <w:szCs w:val="20"/>
          <w:color w:val="auto"/>
        </w:rPr>
      </w:pPr>
    </w:p>
    <w:p>
      <w:pPr>
        <w:ind w:right="60" w:firstLine="621"/>
        <w:spacing w:after="0" w:line="272" w:lineRule="auto"/>
        <w:rPr>
          <w:sz w:val="20"/>
          <w:szCs w:val="20"/>
          <w:color w:val="auto"/>
        </w:rPr>
      </w:pPr>
      <w:r>
        <w:rPr>
          <w:rFonts w:ascii="Times New Roman" w:cs="Times New Roman" w:eastAsia="Times New Roman" w:hAnsi="Times New Roman"/>
          <w:sz w:val="17"/>
          <w:szCs w:val="17"/>
          <w:color w:val="auto"/>
        </w:rPr>
        <w:t>In determining quarterly provisions for income taxes, the Company uses the annual estimated effective tax rate applied to the actual year-to-date income. The Company's annual estimated effective tax rate differs from the statutory rate primarily as a result of state taxes, foreign taxes, deductible stock option expenses, nondeductible executive compensation, and changes in the Company's valuation allowance.</w:t>
      </w:r>
    </w:p>
    <w:p>
      <w:pPr>
        <w:spacing w:after="0" w:line="47" w:lineRule="exact"/>
        <w:rPr>
          <w:sz w:val="20"/>
          <w:szCs w:val="20"/>
          <w:color w:val="auto"/>
        </w:rPr>
      </w:pPr>
    </w:p>
    <w:p>
      <w:pPr>
        <w:ind w:right="100" w:firstLine="621"/>
        <w:spacing w:after="0" w:line="263" w:lineRule="auto"/>
        <w:rPr>
          <w:sz w:val="20"/>
          <w:szCs w:val="20"/>
          <w:color w:val="auto"/>
        </w:rPr>
      </w:pPr>
      <w:r>
        <w:rPr>
          <w:rFonts w:ascii="Times New Roman" w:cs="Times New Roman" w:eastAsia="Times New Roman" w:hAnsi="Times New Roman"/>
          <w:sz w:val="17"/>
          <w:szCs w:val="17"/>
          <w:color w:val="auto"/>
        </w:rPr>
        <w:t>The Company recorded an income tax benefit of $2.0 million and expense of $0.2 million for the three months ended March 31, 2022 and 2021, respectively. The tax benefit for the three months ended March 31, 2022 is primarily the result of recognizing the benefit of deferred tax assets previously subject to the domestic valuation allowance and the foreign income tax provision. The net deferred tax liabilities recorded in connection with the prior year acquisitions and our current year taxable income provided additional sources of taxable income to support the realizability of pre-existing deferred tax assets. The Company continues to maintain a partial valuation allowance for the domestic deferred tax assets.</w:t>
      </w:r>
    </w:p>
    <w:p>
      <w:pPr>
        <w:spacing w:after="0" w:line="54" w:lineRule="exact"/>
        <w:rPr>
          <w:sz w:val="20"/>
          <w:szCs w:val="20"/>
          <w:color w:val="auto"/>
        </w:rPr>
      </w:pPr>
    </w:p>
    <w:p>
      <w:pPr>
        <w:ind w:right="20" w:firstLine="621"/>
        <w:spacing w:after="0" w:line="266" w:lineRule="auto"/>
        <w:rPr>
          <w:sz w:val="20"/>
          <w:szCs w:val="20"/>
          <w:color w:val="auto"/>
        </w:rPr>
      </w:pPr>
      <w:r>
        <w:rPr>
          <w:rFonts w:ascii="Times New Roman" w:cs="Times New Roman" w:eastAsia="Times New Roman" w:hAnsi="Times New Roman"/>
          <w:sz w:val="17"/>
          <w:szCs w:val="17"/>
          <w:color w:val="auto"/>
        </w:rPr>
        <w:t>Due to uncertainty as to the realization of benefits from the Company's domestic and certain international deferred tax assets, including net operating loss carryforwards and research and development tax credits, the Company has a partial valuation allowance reserved against such assets. The Company intends to continue to maintain a partial valuation allowance on the deferred tax assets until there is sufficient evidence to support the reversal of all or some additional portion of these allowances.</w:t>
      </w:r>
    </w:p>
    <w:p>
      <w:pPr>
        <w:spacing w:after="0" w:line="39" w:lineRule="exact"/>
        <w:rPr>
          <w:sz w:val="20"/>
          <w:szCs w:val="20"/>
          <w:color w:val="auto"/>
        </w:rPr>
      </w:pPr>
    </w:p>
    <w:p>
      <w:pPr>
        <w:ind w:right="120" w:firstLine="621"/>
        <w:spacing w:after="0" w:line="261" w:lineRule="auto"/>
        <w:rPr>
          <w:sz w:val="20"/>
          <w:szCs w:val="20"/>
          <w:color w:val="auto"/>
        </w:rPr>
      </w:pPr>
      <w:r>
        <w:rPr>
          <w:rFonts w:ascii="Times New Roman" w:cs="Times New Roman" w:eastAsia="Times New Roman" w:hAnsi="Times New Roman"/>
          <w:sz w:val="17"/>
          <w:szCs w:val="17"/>
          <w:color w:val="auto"/>
        </w:rPr>
        <w:t>Due to the net operating loss carryforwards, all of the Company's United States federal and a majority of its state returns are open to examination by the Internal Revenue Service and state jurisdictions for all years since inception. The 2017 U.S. Income Tax Return for Telaria, Inc. was under examination by the IRS, which was closed during the period ended June 30, 2021 with no change to tax as reported. For the Netherlands and the United Kingdom, all tax years remain open for examination by the local country tax authorities, for France only 2018 forward are open for examination, for Singapore 2017 and forward are open for examination, for Australia, Brazil, Canada, Germany, Italy, New Zealand, and Malaysia 2016 and forward are open for examination, and for Japan 2014 and forward remain open for examination.</w:t>
      </w:r>
    </w:p>
    <w:p>
      <w:pPr>
        <w:spacing w:after="0" w:line="57"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Pursuant to Section 382 of the Internal Revenue Code, the Company and Telaria, Inc. both underwent ownership changes for tax purposes (i.e. a more than 50% change in stock ownership in aggregated 5% shareholders) on April 1, 2020 due to the Telaria Merger. As a result, the use of our total domestic NOL carryforwards and tax credits generated prior to the ownership change will be subject to annual use limitations under Section 382 and Section 383 of the Code and comparable state income tax laws. The Company believes that the ownership change will not impact our ability to utilize substantially all of our NOLs and state research and development carryforward tax credits to the extent it will generate taxable income that can be offset by such losses. The Company reasonably expects its pre-2021 federal research and development carryforward tax credits will not be recovered prior to expiration.</w:t>
      </w:r>
    </w:p>
    <w:p>
      <w:pPr>
        <w:spacing w:after="0" w:line="57" w:lineRule="exact"/>
        <w:rPr>
          <w:sz w:val="20"/>
          <w:szCs w:val="20"/>
          <w:color w:val="auto"/>
        </w:rPr>
      </w:pPr>
    </w:p>
    <w:p>
      <w:pPr>
        <w:ind w:right="160" w:firstLine="621"/>
        <w:spacing w:after="0" w:line="291" w:lineRule="auto"/>
        <w:rPr>
          <w:sz w:val="20"/>
          <w:szCs w:val="20"/>
          <w:color w:val="auto"/>
        </w:rPr>
      </w:pPr>
      <w:r>
        <w:rPr>
          <w:rFonts w:ascii="Times New Roman" w:cs="Times New Roman" w:eastAsia="Times New Roman" w:hAnsi="Times New Roman"/>
          <w:sz w:val="17"/>
          <w:szCs w:val="17"/>
          <w:color w:val="auto"/>
        </w:rPr>
        <w:t>There was no material change to the Company's unrecognized tax benefits in the three months ended March 31, 2022 and the Company does not expect to have any material changes to unrecognized tax benefits through the end of the fiscal year.</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11—Lease Obligations</w:t>
      </w:r>
    </w:p>
    <w:p>
      <w:pPr>
        <w:spacing w:after="0" w:line="182" w:lineRule="exact"/>
        <w:rPr>
          <w:sz w:val="20"/>
          <w:szCs w:val="20"/>
          <w:color w:val="auto"/>
        </w:rPr>
      </w:pPr>
    </w:p>
    <w:p>
      <w:pPr>
        <w:jc w:val="both"/>
        <w:ind w:right="100" w:firstLine="621"/>
        <w:spacing w:after="0" w:line="272" w:lineRule="auto"/>
        <w:rPr>
          <w:sz w:val="20"/>
          <w:szCs w:val="20"/>
          <w:color w:val="auto"/>
        </w:rPr>
      </w:pPr>
      <w:r>
        <w:rPr>
          <w:rFonts w:ascii="Times New Roman" w:cs="Times New Roman" w:eastAsia="Times New Roman" w:hAnsi="Times New Roman"/>
          <w:sz w:val="17"/>
          <w:szCs w:val="17"/>
          <w:color w:val="auto"/>
        </w:rPr>
        <w:t>For the three months ended March 31, 2022 and 2021, the Company recognized $5.6 million and $3.8 million, respectively, of lease expense under ASC 842, which included operating lease expenses associated with leases included in the lease liability and right of use ("ROU") asset on the condensed consolidated balance sheets. In addition, for the three months ended March</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right="100"/>
        <w:spacing w:after="0" w:line="272" w:lineRule="auto"/>
        <w:rPr>
          <w:sz w:val="20"/>
          <w:szCs w:val="20"/>
          <w:color w:val="auto"/>
        </w:rPr>
      </w:pPr>
      <w:r>
        <w:rPr>
          <w:rFonts w:ascii="Times New Roman" w:cs="Times New Roman" w:eastAsia="Times New Roman" w:hAnsi="Times New Roman"/>
          <w:sz w:val="17"/>
          <w:szCs w:val="17"/>
          <w:color w:val="auto"/>
        </w:rPr>
        <w:t>31, 2022 and 2021, the Company recognized $0.3 million and $0.3 million, respectively, of lease expense related to short-term leases, and $11.0 million and $6.4 million during the three months ended March 31, 2022 and 2021, respectively, of variable and cloud-based services related to data centers that are not included in the ROU asset or lease liability balances.</w:t>
      </w:r>
    </w:p>
    <w:p>
      <w:pPr>
        <w:spacing w:after="0" w:line="34" w:lineRule="exact"/>
        <w:rPr>
          <w:sz w:val="20"/>
          <w:szCs w:val="20"/>
          <w:color w:val="auto"/>
        </w:rPr>
      </w:pPr>
    </w:p>
    <w:p>
      <w:pPr>
        <w:ind w:right="40" w:firstLine="621"/>
        <w:spacing w:after="0" w:line="291" w:lineRule="auto"/>
        <w:rPr>
          <w:sz w:val="20"/>
          <w:szCs w:val="20"/>
          <w:color w:val="auto"/>
        </w:rPr>
      </w:pPr>
      <w:r>
        <w:rPr>
          <w:rFonts w:ascii="Times New Roman" w:cs="Times New Roman" w:eastAsia="Times New Roman" w:hAnsi="Times New Roman"/>
          <w:sz w:val="17"/>
          <w:szCs w:val="17"/>
          <w:color w:val="auto"/>
        </w:rPr>
        <w:t>The Company also received rental income of $1.3 million and $1.2 million for real estate leases for which it subleases the property to third parties during the three months ended March 31, 2022 and 2021, respectively.</w:t>
      </w:r>
    </w:p>
    <w:p>
      <w:pPr>
        <w:spacing w:after="0" w:line="30" w:lineRule="exact"/>
        <w:rPr>
          <w:sz w:val="20"/>
          <w:szCs w:val="20"/>
          <w:color w:val="auto"/>
        </w:rPr>
      </w:pPr>
    </w:p>
    <w:p>
      <w:pPr>
        <w:ind w:right="120" w:firstLine="621"/>
        <w:spacing w:after="0" w:line="272" w:lineRule="auto"/>
        <w:rPr>
          <w:sz w:val="20"/>
          <w:szCs w:val="20"/>
          <w:color w:val="auto"/>
        </w:rPr>
      </w:pPr>
      <w:r>
        <w:rPr>
          <w:rFonts w:ascii="Times New Roman" w:cs="Times New Roman" w:eastAsia="Times New Roman" w:hAnsi="Times New Roman"/>
          <w:sz w:val="17"/>
          <w:szCs w:val="17"/>
          <w:color w:val="auto"/>
        </w:rPr>
        <w:t>As of March 31, 2022, a weighted average discount rate of 5.15% has been applied to the remaining lease payments to calculate the lease liabilities included within the condensed consolidated balance sheet. The lease terms of the Company’s operating leases generally range from one year to ten years, and the weighted average remaining lease term of leases included in the lease liability is 6.4 years as of March 31, 2022.</w:t>
      </w:r>
    </w:p>
    <w:p>
      <w:pPr>
        <w:spacing w:after="0" w:line="47" w:lineRule="exact"/>
        <w:rPr>
          <w:sz w:val="20"/>
          <w:szCs w:val="20"/>
          <w:color w:val="auto"/>
        </w:rPr>
      </w:pPr>
    </w:p>
    <w:p>
      <w:pPr>
        <w:ind w:right="80" w:firstLine="621"/>
        <w:spacing w:after="0" w:line="291" w:lineRule="auto"/>
        <w:rPr>
          <w:sz w:val="20"/>
          <w:szCs w:val="20"/>
          <w:color w:val="auto"/>
        </w:rPr>
      </w:pPr>
      <w:r>
        <w:rPr>
          <w:rFonts w:ascii="Times New Roman" w:cs="Times New Roman" w:eastAsia="Times New Roman" w:hAnsi="Times New Roman"/>
          <w:sz w:val="17"/>
          <w:szCs w:val="17"/>
          <w:color w:val="auto"/>
        </w:rPr>
        <w:t>The maturity of the Company's lease liabilities associated with leases included in the lease liability and ROU asset were as follows as of March 31, 2022 (in thousands):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3"/>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2022</w:t>
            </w:r>
          </w:p>
        </w:tc>
        <w:tc>
          <w:tcPr>
            <w:tcW w:w="500" w:type="dxa"/>
            <w:vAlign w:val="bottom"/>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16,397</w:t>
            </w:r>
          </w:p>
        </w:tc>
      </w:tr>
      <w:tr>
        <w:trPr>
          <w:trHeight w:val="220"/>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19,406</w:t>
            </w:r>
          </w:p>
        </w:tc>
      </w:tr>
      <w:tr>
        <w:trPr>
          <w:trHeight w:val="22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16,593</w:t>
            </w:r>
          </w:p>
        </w:tc>
      </w:tr>
      <w:tr>
        <w:trPr>
          <w:trHeight w:val="220"/>
        </w:trPr>
        <w:tc>
          <w:tcPr>
            <w:tcW w:w="92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8,783</w:t>
            </w:r>
          </w:p>
        </w:tc>
      </w:tr>
      <w:tr>
        <w:trPr>
          <w:trHeight w:val="220"/>
        </w:trPr>
        <w:tc>
          <w:tcPr>
            <w:tcW w:w="9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7,761</w:t>
            </w:r>
          </w:p>
        </w:tc>
      </w:tr>
      <w:tr>
        <w:trPr>
          <w:trHeight w:val="22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27,302</w:t>
            </w:r>
          </w:p>
        </w:tc>
      </w:tr>
      <w:tr>
        <w:trPr>
          <w:trHeight w:val="213"/>
        </w:trPr>
        <w:tc>
          <w:tcPr>
            <w:tcW w:w="9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lease payments (undiscounted)</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96,242</w:t>
            </w:r>
          </w:p>
        </w:tc>
      </w:tr>
      <w:tr>
        <w:trPr>
          <w:trHeight w:val="220"/>
        </w:trPr>
        <w:tc>
          <w:tcPr>
            <w:tcW w:w="9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(14,827)</w:t>
            </w:r>
          </w:p>
        </w:tc>
      </w:tr>
      <w:tr>
        <w:trPr>
          <w:trHeight w:val="238"/>
        </w:trPr>
        <w:tc>
          <w:tcPr>
            <w:tcW w:w="92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Lease liabilities—total (discounted)</w:t>
            </w:r>
          </w:p>
        </w:tc>
        <w:tc>
          <w:tcPr>
            <w:tcW w:w="500" w:type="dxa"/>
            <w:vAlign w:val="bottom"/>
            <w:tcBorders>
              <w:bottom w:val="single" w:sz="8" w:color="auto"/>
            </w:tcBorders>
            <w:shd w:val="clear" w:color="auto" w:fill="CCEEFF"/>
          </w:tcPr>
          <w:p>
            <w:pPr>
              <w:jc w:val="right"/>
              <w:ind w:right="314"/>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81,415</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ind w:right="60" w:firstLine="621"/>
        <w:spacing w:after="0" w:line="266" w:lineRule="auto"/>
        <w:rPr>
          <w:sz w:val="20"/>
          <w:szCs w:val="20"/>
          <w:color w:val="auto"/>
        </w:rPr>
      </w:pPr>
      <w:r>
        <w:rPr>
          <w:rFonts w:ascii="Times New Roman" w:cs="Times New Roman" w:eastAsia="Times New Roman" w:hAnsi="Times New Roman"/>
          <w:sz w:val="17"/>
          <w:szCs w:val="17"/>
          <w:color w:val="auto"/>
        </w:rPr>
        <w:t>In addition to the lease liabilities included in these condensed consolidated financial statements at March 31, 2022, during the three months ended March 31, 2022, the Company entered into agreements for office leases in San Francisco and Toronto, which have not commenced as of March 31, 2022; therefore, they are not included in the lease liability on the balance sheet as of March 31, 2022. The Company has future commitments totaling $2.3 million and $0.6 million, over the course of 5.4 years, and 5.0 years, respectively for these office leases.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12—Commitments and Contingencies</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Commitments</w:t>
      </w:r>
    </w:p>
    <w:p>
      <w:pPr>
        <w:spacing w:after="0" w:line="9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 has commitments under non-cancelable operating leases for facilities, certain equipment, and its managed data center facilities (Note 11).</w:t>
      </w:r>
    </w:p>
    <w:p>
      <w:pPr>
        <w:spacing w:after="0" w:line="102" w:lineRule="exact"/>
        <w:rPr>
          <w:sz w:val="20"/>
          <w:szCs w:val="20"/>
          <w:color w:val="auto"/>
        </w:rPr>
      </w:pPr>
    </w:p>
    <w:p>
      <w:pPr>
        <w:ind w:right="280" w:firstLine="621"/>
        <w:spacing w:after="0" w:line="291" w:lineRule="auto"/>
        <w:rPr>
          <w:sz w:val="20"/>
          <w:szCs w:val="20"/>
          <w:color w:val="auto"/>
        </w:rPr>
      </w:pPr>
      <w:r>
        <w:rPr>
          <w:rFonts w:ascii="Times New Roman" w:cs="Times New Roman" w:eastAsia="Times New Roman" w:hAnsi="Times New Roman"/>
          <w:sz w:val="17"/>
          <w:szCs w:val="17"/>
          <w:color w:val="auto"/>
        </w:rPr>
        <w:t>As of March 31, 2022 and December 31, 2021, the Company had $5.3 million and $5.1 million, respectively, of letters of credit associated with office leases available for borrowing, of which there were no outstanding borrowings as of either date.</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Guarantees and Indemnification</w:t>
      </w:r>
    </w:p>
    <w:p>
      <w:pPr>
        <w:spacing w:after="0" w:line="106" w:lineRule="exact"/>
        <w:rPr>
          <w:sz w:val="20"/>
          <w:szCs w:val="20"/>
          <w:color w:val="auto"/>
        </w:rPr>
      </w:pPr>
    </w:p>
    <w:p>
      <w:pPr>
        <w:ind w:firstLine="621"/>
        <w:spacing w:after="0" w:line="257" w:lineRule="auto"/>
        <w:rPr>
          <w:sz w:val="20"/>
          <w:szCs w:val="20"/>
          <w:color w:val="auto"/>
        </w:rPr>
      </w:pPr>
      <w:r>
        <w:rPr>
          <w:rFonts w:ascii="Times New Roman" w:cs="Times New Roman" w:eastAsia="Times New Roman" w:hAnsi="Times New Roman"/>
          <w:sz w:val="17"/>
          <w:szCs w:val="17"/>
          <w:color w:val="auto"/>
        </w:rPr>
        <w:t>The Company’s agreements with sellers, buyers, and other third parties typically obligate the Company to provide indemnity and defense for losses resulting from claims of intellectual property infringement, damages to property or persons, business losses, or other liabilities. Generally, these indemnity and defense obligations relate to the Company’s own business operations, obligations, and acts or omissions. However, under some circumstances, the Company agrees to indemnify and defend contract counterparties against losses resulting from their own business operations, obligations, and acts or omissions, or the business operations, obligations, and acts or omissions of third parties. For example, because the Company’s business interposes the Company between buyers and sellers in various ways, buyers often require the Company to indemnify them against acts and omissions of sellers, and sellers often require the Company to indemnify them against acts and omissions of buyers. In addition, the Company’s agreements with sellers, buyers, and other third parties typically include provisions limiting the Company’s liability to the counterparty, and the counterparty’s liability to the Company. These limits sometimes do not apply to certain liabilities, including indemnity obligations. These indemnity and limitation of liability provisions generally survive termination or expiration of the agreements in which they appear. The Company has also entered into indemnification agreements with its directors, executive officers, and certain other officers that will require the Company, among other things, to indemnify them against certain liabilities that may arise by reason of their status or service as directors, officers, or employees. No material demands have been made upon</w:t>
      </w: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380"/>
        <w:spacing w:after="0" w:line="291" w:lineRule="auto"/>
        <w:rPr>
          <w:sz w:val="20"/>
          <w:szCs w:val="20"/>
          <w:color w:val="auto"/>
        </w:rPr>
      </w:pPr>
      <w:r>
        <w:rPr>
          <w:rFonts w:ascii="Times New Roman" w:cs="Times New Roman" w:eastAsia="Times New Roman" w:hAnsi="Times New Roman"/>
          <w:sz w:val="17"/>
          <w:szCs w:val="17"/>
          <w:color w:val="auto"/>
        </w:rPr>
        <w:t>the Company to provide indemnification under such agreements and there are no claims that the Company is aware of that could have a material effect on the Company’s consolidated financial statements.</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106" w:lineRule="exact"/>
        <w:rPr>
          <w:sz w:val="20"/>
          <w:szCs w:val="20"/>
          <w:color w:val="auto"/>
        </w:rPr>
      </w:pPr>
    </w:p>
    <w:p>
      <w:pPr>
        <w:ind w:right="20" w:firstLine="621"/>
        <w:spacing w:after="0" w:line="259" w:lineRule="auto"/>
        <w:rPr>
          <w:sz w:val="20"/>
          <w:szCs w:val="20"/>
          <w:color w:val="auto"/>
        </w:rPr>
      </w:pPr>
      <w:r>
        <w:rPr>
          <w:rFonts w:ascii="Times New Roman" w:cs="Times New Roman" w:eastAsia="Times New Roman" w:hAnsi="Times New Roman"/>
          <w:sz w:val="17"/>
          <w:szCs w:val="17"/>
          <w:color w:val="auto"/>
        </w:rPr>
        <w:t>The Company and its subsidiaries may from time to time be parties to legal or regulatory proceedings, lawsuits and other claims incident to their business activities and to the Company’s status as a public company. Such matters may include, among other things, assertions of contract breach or intellectual property infringement, claims for indemnity arising in the course of the Company’s business, regulatory investigations or enforcement proceedings, and claims by persons whose employment has been terminated. Such matters are subject to many uncertainties, and outcomes are not predictable with assurance. Consequently, management is unable to ascertain the ultimate aggregate amount of monetary liability, amounts which may be covered by insurance or recoverable from third parties, or the financial impact with respect to such matters as of March 31, 2022. However, based on management’s knowledge as of March 31, 2022, management believes that the final resolution of these matters known at such date, individually and in the aggregate, will not have a material adverse effect upon the Company’s consolidated financial position, results of operations or cash flows.</w:t>
      </w:r>
    </w:p>
    <w:p>
      <w:pPr>
        <w:spacing w:after="0" w:line="1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Employment Contracts</w:t>
      </w:r>
    </w:p>
    <w:p>
      <w:pPr>
        <w:spacing w:after="0" w:line="106" w:lineRule="exact"/>
        <w:rPr>
          <w:sz w:val="20"/>
          <w:szCs w:val="20"/>
          <w:color w:val="auto"/>
        </w:rPr>
      </w:pPr>
    </w:p>
    <w:p>
      <w:pPr>
        <w:ind w:firstLine="621"/>
        <w:spacing w:after="0" w:line="291" w:lineRule="auto"/>
        <w:rPr>
          <w:sz w:val="20"/>
          <w:szCs w:val="20"/>
          <w:color w:val="auto"/>
        </w:rPr>
      </w:pPr>
      <w:r>
        <w:rPr>
          <w:rFonts w:ascii="Times New Roman" w:cs="Times New Roman" w:eastAsia="Times New Roman" w:hAnsi="Times New Roman"/>
          <w:sz w:val="17"/>
          <w:szCs w:val="17"/>
          <w:color w:val="auto"/>
        </w:rPr>
        <w:t>The Company has entered into severance agreements with certain employees and officers. The Company may be required to pay severance and accelerate the vesting of certain equity awards in the event of involuntary terminations.</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13—Debt</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Long term debt as of March 31, 2022 and December 31, 2021 consisted of the following:</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gridSpan w:val="2"/>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4"/>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181"/>
        </w:trPr>
        <w:tc>
          <w:tcPr>
            <w:tcW w:w="8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960" w:type="dxa"/>
            <w:vAlign w:val="bottom"/>
            <w:gridSpan w:val="6"/>
          </w:tcPr>
          <w:p>
            <w:pPr>
              <w:jc w:val="right"/>
              <w:ind w:right="116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2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400,000</w:t>
            </w:r>
          </w:p>
        </w:tc>
      </w:tr>
      <w:tr>
        <w:trPr>
          <w:trHeight w:val="22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Unamortized debt issuance cost</w:t>
            </w: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(9,071)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(9,643)</w:t>
            </w:r>
          </w:p>
        </w:tc>
      </w:tr>
      <w:tr>
        <w:trPr>
          <w:trHeight w:val="213"/>
        </w:trPr>
        <w:tc>
          <w:tcPr>
            <w:tcW w:w="8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w:t>
            </w:r>
          </w:p>
        </w:tc>
        <w:tc>
          <w:tcPr>
            <w:tcW w:w="2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390,929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390,357</w:t>
            </w: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Term Loan B Facility</w:t>
            </w:r>
          </w:p>
        </w:tc>
        <w:tc>
          <w:tcPr>
            <w:tcW w:w="20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357,300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358,200</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Unamortized discount and debt issuance cost</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(23,919)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(24,934)</w:t>
            </w:r>
          </w:p>
        </w:tc>
      </w:tr>
      <w:tr>
        <w:trPr>
          <w:trHeight w:val="213"/>
        </w:trPr>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Net</w:t>
            </w:r>
          </w:p>
        </w:tc>
        <w:tc>
          <w:tcPr>
            <w:tcW w:w="2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333,381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333,266</w:t>
            </w: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(3,600)</w:t>
            </w:r>
          </w:p>
        </w:tc>
      </w:tr>
      <w:tr>
        <w:trPr>
          <w:trHeight w:val="213"/>
        </w:trPr>
        <w:tc>
          <w:tcPr>
            <w:tcW w:w="80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 non-current debt</w:t>
            </w:r>
          </w:p>
        </w:tc>
        <w:tc>
          <w:tcPr>
            <w:tcW w:w="2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720,710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720,023</w:t>
            </w:r>
          </w:p>
        </w:tc>
      </w:tr>
      <w:tr>
        <w:trPr>
          <w:trHeight w:val="20"/>
        </w:trPr>
        <w:tc>
          <w:tcPr>
            <w:tcW w:w="808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r>
      <w:tr>
        <w:trPr>
          <w:trHeight w:val="367"/>
        </w:trPr>
        <w:tc>
          <w:tcPr>
            <w:tcW w:w="970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auto"/>
              </w:rPr>
              <w:t>Maturities of the principal amount of the Company's long-term debt as of March 31, 2022 are as follows (in thousands):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398"/>
        </w:trPr>
        <w:tc>
          <w:tcPr>
            <w:tcW w:w="8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Fiscal Year</w:t>
            </w: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23"/>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2022</w:t>
            </w:r>
          </w:p>
        </w:tc>
        <w:tc>
          <w:tcPr>
            <w:tcW w:w="2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400" w:type="dxa"/>
            <w:vAlign w:val="bottom"/>
          </w:tcPr>
          <w:p>
            <w:pPr>
              <w:spacing w:after="0"/>
              <w:rPr>
                <w:sz w:val="19"/>
                <w:szCs w:val="19"/>
                <w:color w:val="auto"/>
              </w:rPr>
            </w:pP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400" w:type="dxa"/>
            <w:vAlign w:val="bottom"/>
          </w:tcPr>
          <w:p>
            <w:pPr>
              <w:spacing w:after="0"/>
              <w:rPr>
                <w:sz w:val="19"/>
                <w:szCs w:val="19"/>
                <w:color w:val="auto"/>
              </w:rPr>
            </w:pP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400" w:type="dxa"/>
            <w:vAlign w:val="bottom"/>
          </w:tcPr>
          <w:p>
            <w:pPr>
              <w:spacing w:after="0"/>
              <w:rPr>
                <w:sz w:val="19"/>
                <w:szCs w:val="19"/>
                <w:color w:val="auto"/>
              </w:rPr>
            </w:pPr>
          </w:p>
        </w:tc>
      </w:tr>
      <w:tr>
        <w:trPr>
          <w:trHeight w:val="220"/>
        </w:trPr>
        <w:tc>
          <w:tcPr>
            <w:tcW w:w="8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400" w:type="dxa"/>
            <w:vAlign w:val="bottom"/>
          </w:tcPr>
          <w:p>
            <w:pPr>
              <w:spacing w:after="0"/>
              <w:rPr>
                <w:sz w:val="19"/>
                <w:szCs w:val="19"/>
                <w:color w:val="auto"/>
              </w:rPr>
            </w:pPr>
          </w:p>
        </w:tc>
      </w:tr>
      <w:tr>
        <w:trPr>
          <w:trHeight w:val="22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403,600</w:t>
            </w:r>
          </w:p>
        </w:tc>
        <w:tc>
          <w:tcPr>
            <w:tcW w:w="400" w:type="dxa"/>
            <w:vAlign w:val="bottom"/>
          </w:tcPr>
          <w:p>
            <w:pPr>
              <w:spacing w:after="0"/>
              <w:rPr>
                <w:sz w:val="19"/>
                <w:szCs w:val="19"/>
                <w:color w:val="auto"/>
              </w:rPr>
            </w:pPr>
          </w:p>
        </w:tc>
      </w:tr>
      <w:tr>
        <w:trPr>
          <w:trHeight w:val="22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00" w:type="dxa"/>
            <w:vAlign w:val="bottom"/>
            <w:tcBorders>
              <w:bottom w:val="single" w:sz="8" w:color="CCEEFF"/>
            </w:tcBorders>
          </w:tcPr>
          <w:p>
            <w:pPr>
              <w:spacing w:after="0"/>
              <w:rPr>
                <w:sz w:val="19"/>
                <w:szCs w:val="19"/>
                <w:color w:val="auto"/>
              </w:rPr>
            </w:pPr>
          </w:p>
        </w:tc>
        <w:tc>
          <w:tcPr>
            <w:tcW w:w="9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340,200</w:t>
            </w:r>
          </w:p>
        </w:tc>
        <w:tc>
          <w:tcPr>
            <w:tcW w:w="400" w:type="dxa"/>
            <w:vAlign w:val="bottom"/>
          </w:tcPr>
          <w:p>
            <w:pPr>
              <w:spacing w:after="0"/>
              <w:rPr>
                <w:sz w:val="19"/>
                <w:szCs w:val="19"/>
                <w:color w:val="auto"/>
              </w:rPr>
            </w:pPr>
          </w:p>
        </w:tc>
      </w:tr>
      <w:tr>
        <w:trPr>
          <w:trHeight w:val="238"/>
        </w:trPr>
        <w:tc>
          <w:tcPr>
            <w:tcW w:w="80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757,300</w:t>
            </w:r>
          </w:p>
        </w:tc>
        <w:tc>
          <w:tcPr>
            <w:tcW w:w="400" w:type="dxa"/>
            <w:vAlign w:val="bottom"/>
          </w:tcPr>
          <w:p>
            <w:pPr>
              <w:spacing w:after="0"/>
              <w:rPr>
                <w:sz w:val="20"/>
                <w:szCs w:val="20"/>
                <w:color w:val="auto"/>
              </w:rPr>
            </w:pP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right="60" w:firstLine="621"/>
        <w:spacing w:after="0" w:line="264" w:lineRule="auto"/>
        <w:rPr>
          <w:sz w:val="20"/>
          <w:szCs w:val="20"/>
          <w:color w:val="auto"/>
        </w:rPr>
      </w:pPr>
      <w:r>
        <w:rPr>
          <w:rFonts w:ascii="Times New Roman" w:cs="Times New Roman" w:eastAsia="Times New Roman" w:hAnsi="Times New Roman"/>
          <w:sz w:val="17"/>
          <w:szCs w:val="17"/>
          <w:color w:val="auto"/>
        </w:rPr>
        <w:t>Amortization of the debt issuance cost and the discount associated with our indebtedness totaled $1.7 million for the three months ended March 31, 2022 and $0.1 million for the three months ended March 31, 2021. Amortization of debt issuance costs is computed using the effective interest method and is included in interest expense.</w:t>
      </w:r>
    </w:p>
    <w:p>
      <w:pPr>
        <w:spacing w:after="0" w:line="3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 and Capped Call Transactions</w:t>
      </w:r>
    </w:p>
    <w:p>
      <w:pPr>
        <w:spacing w:after="0" w:line="93" w:lineRule="exact"/>
        <w:rPr>
          <w:sz w:val="20"/>
          <w:szCs w:val="20"/>
          <w:color w:val="auto"/>
        </w:rPr>
      </w:pPr>
    </w:p>
    <w:p>
      <w:pPr>
        <w:jc w:val="both"/>
        <w:ind w:right="380" w:firstLine="621"/>
        <w:spacing w:after="0" w:line="272" w:lineRule="auto"/>
        <w:rPr>
          <w:sz w:val="20"/>
          <w:szCs w:val="20"/>
          <w:color w:val="auto"/>
        </w:rPr>
      </w:pPr>
      <w:r>
        <w:rPr>
          <w:rFonts w:ascii="Times New Roman" w:cs="Times New Roman" w:eastAsia="Times New Roman" w:hAnsi="Times New Roman"/>
          <w:sz w:val="17"/>
          <w:szCs w:val="17"/>
          <w:color w:val="auto"/>
        </w:rPr>
        <w:t>In March 2021, the Company issued $400.0 million aggregate principal amount of 0.25% convertible senior notes in a private placement, including $50.0 million aggregate principal amount of such notes pursuant to the exercise in full of the over-allotment options of the initial purchasers (collectively, the "Convertible Senior Notes"). The Convertible Senior Notes will mature</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right="180"/>
        <w:spacing w:after="0" w:line="272" w:lineRule="auto"/>
        <w:rPr>
          <w:sz w:val="20"/>
          <w:szCs w:val="20"/>
          <w:color w:val="auto"/>
        </w:rPr>
      </w:pPr>
      <w:r>
        <w:rPr>
          <w:rFonts w:ascii="Times New Roman" w:cs="Times New Roman" w:eastAsia="Times New Roman" w:hAnsi="Times New Roman"/>
          <w:sz w:val="17"/>
          <w:szCs w:val="17"/>
          <w:color w:val="auto"/>
        </w:rPr>
        <w:t>on March 15, 2026, unless earlier repurchased, redeemed or converted. The total net proceeds from the offering, after deducting debt issuance costs, paid by the Company, were approximately $388.6 million. The Company used approximately $39.0 million of the net proceeds from the offering to pay for the Capped Call Transactions (as described below).</w:t>
      </w:r>
    </w:p>
    <w:p>
      <w:pPr>
        <w:spacing w:after="0" w:line="34" w:lineRule="exact"/>
        <w:rPr>
          <w:sz w:val="20"/>
          <w:szCs w:val="20"/>
          <w:color w:val="auto"/>
        </w:rPr>
      </w:pPr>
    </w:p>
    <w:p>
      <w:pPr>
        <w:ind w:right="80" w:firstLine="621"/>
        <w:spacing w:after="0" w:line="261" w:lineRule="auto"/>
        <w:rPr>
          <w:sz w:val="20"/>
          <w:szCs w:val="20"/>
          <w:color w:val="auto"/>
        </w:rPr>
      </w:pPr>
      <w:r>
        <w:rPr>
          <w:rFonts w:ascii="Times New Roman" w:cs="Times New Roman" w:eastAsia="Times New Roman" w:hAnsi="Times New Roman"/>
          <w:sz w:val="17"/>
          <w:szCs w:val="17"/>
          <w:color w:val="auto"/>
        </w:rPr>
        <w:t>The Convertible Senior Notes are senior, unsecured obligations and (i) will be equal in right of payment with the existing and future senior, unsecured indebtedness; (ii) senior in right of payment to any of the Company’s future indebtedness that is expressly subordinated to the Convertible Senior Notes; (iii) effectively subordinated to the Company’s existing and future secured indebtedness, to the extent of the value of the collateral securing that indebtedness, including amounts outstanding under our Loan Agreement or our new Credit Agreement (see section below); and (iv) structurally subordinated to all existing and future indebtedness and other liabilities, including trade payables, and (to the extent we are not a holder thereof) preferred equity, if any, of the Company’s subsidiaries that do not guarantee the Convertible Senior Notes.</w:t>
      </w:r>
    </w:p>
    <w:p>
      <w:pPr>
        <w:spacing w:after="0" w:line="57" w:lineRule="exact"/>
        <w:rPr>
          <w:sz w:val="20"/>
          <w:szCs w:val="20"/>
          <w:color w:val="auto"/>
        </w:rPr>
      </w:pPr>
    </w:p>
    <w:p>
      <w:pPr>
        <w:ind w:right="40" w:firstLine="621"/>
        <w:spacing w:after="0" w:line="272" w:lineRule="auto"/>
        <w:rPr>
          <w:sz w:val="20"/>
          <w:szCs w:val="20"/>
          <w:color w:val="auto"/>
        </w:rPr>
      </w:pPr>
      <w:r>
        <w:rPr>
          <w:rFonts w:ascii="Times New Roman" w:cs="Times New Roman" w:eastAsia="Times New Roman" w:hAnsi="Times New Roman"/>
          <w:sz w:val="17"/>
          <w:szCs w:val="17"/>
          <w:color w:val="auto"/>
        </w:rPr>
        <w:t>The Convertible Senior Notes accrue interest at 0.25% per annum payable semi-annually in arrears on March 15 and September 15 of each year, beginning on September 15, 2021. The Convertible Senior Notes will mature on March 15, 2026 unless they are redeemed, repurchased or converted prior to such date. The Convertible Senior Notes are convertible at the option of holders only during certain periods and upon satisfaction of certain conditions.</w:t>
      </w:r>
    </w:p>
    <w:p>
      <w:pPr>
        <w:spacing w:after="0" w:line="47" w:lineRule="exact"/>
        <w:rPr>
          <w:sz w:val="20"/>
          <w:szCs w:val="20"/>
          <w:color w:val="auto"/>
        </w:rPr>
      </w:pPr>
    </w:p>
    <w:p>
      <w:pPr>
        <w:ind w:right="60" w:firstLine="621"/>
        <w:spacing w:after="0" w:line="257" w:lineRule="auto"/>
        <w:rPr>
          <w:sz w:val="20"/>
          <w:szCs w:val="20"/>
          <w:color w:val="auto"/>
        </w:rPr>
      </w:pPr>
      <w:r>
        <w:rPr>
          <w:rFonts w:ascii="Times New Roman" w:cs="Times New Roman" w:eastAsia="Times New Roman" w:hAnsi="Times New Roman"/>
          <w:sz w:val="17"/>
          <w:szCs w:val="17"/>
          <w:color w:val="auto"/>
        </w:rPr>
        <w:t>Holders will have the right to convert their notes (or any portion of a note in an authorized denomination), in the following circumstances: (i) during any calendar quarter commencing after the calendar quarter ending on June 30, 2021, if the last reported sale price per share of the Company’s common stock exceeds 130% of the conversion price for each of at least 20 trading days during the 30 consecutive trading days ending on, and including, the last trading day of the immediately preceding calendar quarter; (ii) during the five consecutive business days immediately after any ten consecutive trading day period (such ten consecutive trading day period, the "measurement period") in which the trading price per $1,000 principal amount of notes for each trading day of the measurement period was less than 98% of the product of the last reported sale price per share of the Company’s common stock on such trading day and the conversion rate on such trading day; (iii) upon the occurrence of certain corporate events or distributions on the Company’s common stock; (iv) if the Company calls such Convertible Senior Notes for redemption; and (v) on or after September 15, 2025, until the close of business on the second scheduled trading day immediately before the maturity date, holders of the Convertible Senior Notes may, at their option, convert all or a portion of their Convertible Senior Notes regardless of the foregoing conditions at any time from, and including, September 15, 2025 until the close of business on the second scheduled trading day immediately before the maturity date.</w:t>
      </w:r>
    </w:p>
    <w:p>
      <w:pPr>
        <w:spacing w:after="0" w:line="52" w:lineRule="exact"/>
        <w:rPr>
          <w:sz w:val="20"/>
          <w:szCs w:val="20"/>
          <w:color w:val="auto"/>
        </w:rPr>
      </w:pPr>
    </w:p>
    <w:p>
      <w:pPr>
        <w:ind w:right="80" w:firstLine="621"/>
        <w:spacing w:after="0" w:line="269" w:lineRule="auto"/>
        <w:rPr>
          <w:sz w:val="20"/>
          <w:szCs w:val="20"/>
          <w:color w:val="auto"/>
        </w:rPr>
      </w:pPr>
      <w:r>
        <w:rPr>
          <w:rFonts w:ascii="Times New Roman" w:cs="Times New Roman" w:eastAsia="Times New Roman" w:hAnsi="Times New Roman"/>
          <w:sz w:val="17"/>
          <w:szCs w:val="17"/>
          <w:color w:val="auto"/>
        </w:rPr>
        <w:t>Upon conversion, the Convertible Senior Notes may be settled in shares of the Company’s common stock, cash or a combination of cash and shares of the Company’s common stock, at the Company’s election. All conversions with a conversion date that occurs on or after September 15, 2025 will be settled using the same settlement method, and the Company will send notice of such settlement method to noteholders no later than the open of business on September 15, 2025.</w:t>
      </w:r>
    </w:p>
    <w:p>
      <w:pPr>
        <w:spacing w:after="0" w:line="261" w:lineRule="exact"/>
        <w:rPr>
          <w:sz w:val="20"/>
          <w:szCs w:val="20"/>
          <w:color w:val="auto"/>
        </w:rPr>
      </w:pPr>
    </w:p>
    <w:p>
      <w:pPr>
        <w:ind w:right="20" w:firstLine="621"/>
        <w:spacing w:after="0" w:line="257" w:lineRule="auto"/>
        <w:rPr>
          <w:sz w:val="20"/>
          <w:szCs w:val="20"/>
          <w:color w:val="auto"/>
        </w:rPr>
      </w:pPr>
      <w:r>
        <w:rPr>
          <w:rFonts w:ascii="Times New Roman" w:cs="Times New Roman" w:eastAsia="Times New Roman" w:hAnsi="Times New Roman"/>
          <w:sz w:val="17"/>
          <w:szCs w:val="17"/>
          <w:color w:val="auto"/>
        </w:rPr>
        <w:t>The Company may not redeem the Convertible Senior Notes at their option at any time before March 20, 2024. Subject to the terms of the indenture agreement, the Company has the right, at its election, to redeem all, or any portion (subject to the partial redemption limitation) in an authorized denomination, of the Convertible Senior Notes, at any time, and from time to time, on a redemption date on or after March 20, 2024 and on or before the 40th scheduled trading day immediately before the maturity date, for cash, but only if the "last reported sale price," as defined under the Offering Memorandum, per share of common stock exceeds 130% of the “conversion price” on (i) each of at least 20 trading days, during the 30 consecutive trading days ending on, and including, the trading day immediately before the date the Company sends the related redemption notice; and (ii) the trading day immediately before the date we send such notice. In addition, calling any note for redemption will constitute a "make-whole fundamental change" (as defined below) with respect to that note, in which case the conversion rate applicable to the conversion of that note will be increased in certain circumstances if it is converted after it is called for redemption. If the Company elects to redeem less than all of the outstanding notes, then the redemption will not constitute a make-whole fundamental change with respect to the notes not called for redemption, and holders of the notes not called for redemption will not be entitled to an increased conversion rate for such notes as described above on account of the redemption, except to the limited extent described further below. No sinking fund is provided for the Convertible Senior Notes, which means that the Company is not required to redeem or retire the Convertible Senior Notes periodically.</w:t>
      </w:r>
    </w:p>
    <w:p>
      <w:pPr>
        <w:spacing w:after="0" w:line="62" w:lineRule="exact"/>
        <w:rPr>
          <w:sz w:val="20"/>
          <w:szCs w:val="20"/>
          <w:color w:val="auto"/>
        </w:rPr>
      </w:pPr>
    </w:p>
    <w:p>
      <w:pPr>
        <w:ind w:firstLine="621"/>
        <w:spacing w:after="0" w:line="272" w:lineRule="auto"/>
        <w:rPr>
          <w:sz w:val="20"/>
          <w:szCs w:val="20"/>
          <w:color w:val="auto"/>
        </w:rPr>
      </w:pPr>
      <w:r>
        <w:rPr>
          <w:rFonts w:ascii="Times New Roman" w:cs="Times New Roman" w:eastAsia="Times New Roman" w:hAnsi="Times New Roman"/>
          <w:sz w:val="17"/>
          <w:szCs w:val="17"/>
          <w:color w:val="auto"/>
        </w:rPr>
        <w:t>If a fundamental change occurs, then each noteholder will have the right to require the Company to repurchase its notes (or any portion thereof in an authorized denomination) for cash on a date (the "fundamental change repurchase date") of the Company’s choosing, which must be a business day that is no more than 45, nor less than 20, business days after the date Magnite distributes the related fundamental change notice.</w:t>
      </w:r>
    </w:p>
    <w:p>
      <w:pPr>
        <w:spacing w:after="0" w:line="34" w:lineRule="exact"/>
        <w:rPr>
          <w:sz w:val="20"/>
          <w:szCs w:val="20"/>
          <w:color w:val="auto"/>
        </w:rPr>
      </w:pPr>
    </w:p>
    <w:p>
      <w:pPr>
        <w:ind w:right="260" w:firstLine="621"/>
        <w:spacing w:after="0" w:line="263" w:lineRule="auto"/>
        <w:rPr>
          <w:sz w:val="20"/>
          <w:szCs w:val="20"/>
          <w:color w:val="auto"/>
        </w:rPr>
      </w:pPr>
      <w:r>
        <w:rPr>
          <w:rFonts w:ascii="Times New Roman" w:cs="Times New Roman" w:eastAsia="Times New Roman" w:hAnsi="Times New Roman"/>
          <w:sz w:val="17"/>
          <w:szCs w:val="17"/>
          <w:color w:val="auto"/>
        </w:rPr>
        <w:t>If an event of default, other than a reporting default remedied by special interest as defined in the indenture agreement, occurs with respect to the Company or any guarantor, then the principal amount of, and all accrued and unpaid interest on, all of the notes then outstanding will immediately become due and payable without any further action or notice by any person. If an event of default (other than a reporting event of default described above with respect to Magnite or any guarantor and not solely with respect to a significant subsidiary of the Company’s or a guarantor, other than the Company or such guarantor) occurs and is continuing, then, the trustee, by notice to the Company, or noteholders of at least 25% of the aggregate principal amount of notes then</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60"/>
        <w:spacing w:after="0" w:line="291" w:lineRule="auto"/>
        <w:rPr>
          <w:sz w:val="20"/>
          <w:szCs w:val="20"/>
          <w:color w:val="auto"/>
        </w:rPr>
      </w:pPr>
      <w:r>
        <w:rPr>
          <w:rFonts w:ascii="Times New Roman" w:cs="Times New Roman" w:eastAsia="Times New Roman" w:hAnsi="Times New Roman"/>
          <w:sz w:val="17"/>
          <w:szCs w:val="17"/>
          <w:color w:val="auto"/>
        </w:rPr>
        <w:t>outstanding, by written notice to the Company and the trustee, may declare the principal amount of, and all accrued and unpaid interest on, all of the notes then outstanding to become due and payable immediately.</w:t>
      </w:r>
    </w:p>
    <w:p>
      <w:pPr>
        <w:spacing w:after="0" w:line="18" w:lineRule="exact"/>
        <w:rPr>
          <w:sz w:val="20"/>
          <w:szCs w:val="20"/>
          <w:color w:val="auto"/>
        </w:rPr>
      </w:pPr>
    </w:p>
    <w:p>
      <w:pPr>
        <w:ind w:right="140" w:firstLine="621"/>
        <w:spacing w:after="0" w:line="291" w:lineRule="auto"/>
        <w:rPr>
          <w:sz w:val="20"/>
          <w:szCs w:val="20"/>
          <w:color w:val="auto"/>
        </w:rPr>
      </w:pPr>
      <w:r>
        <w:rPr>
          <w:rFonts w:ascii="Times New Roman" w:cs="Times New Roman" w:eastAsia="Times New Roman" w:hAnsi="Times New Roman"/>
          <w:sz w:val="17"/>
          <w:szCs w:val="17"/>
          <w:color w:val="auto"/>
        </w:rPr>
        <w:t>The Convertible Senior Notes have an initial conversion rate of 15.6539 shares of common stock per $1,000 principal amount of the Convertible Senior Notes, which will be subject to customary anti-dilution adjustments in certain circumstances.</w:t>
      </w:r>
    </w:p>
    <w:p>
      <w:pPr>
        <w:spacing w:after="0" w:line="30" w:lineRule="exact"/>
        <w:rPr>
          <w:sz w:val="20"/>
          <w:szCs w:val="20"/>
          <w:color w:val="auto"/>
        </w:rPr>
      </w:pPr>
    </w:p>
    <w:p>
      <w:pPr>
        <w:ind w:right="20" w:firstLine="621"/>
        <w:spacing w:after="0" w:line="257" w:lineRule="auto"/>
        <w:rPr>
          <w:sz w:val="20"/>
          <w:szCs w:val="20"/>
          <w:color w:val="auto"/>
        </w:rPr>
      </w:pPr>
      <w:r>
        <w:rPr>
          <w:rFonts w:ascii="Times New Roman" w:cs="Times New Roman" w:eastAsia="Times New Roman" w:hAnsi="Times New Roman"/>
          <w:sz w:val="17"/>
          <w:szCs w:val="17"/>
          <w:color w:val="auto"/>
        </w:rPr>
        <w:t>In connection with the pricing of the Convertible Senior Notes, the Company entered into privately negotiated capped call transactions with various financial institutions (the "Capped Call Transactions"). The Capped Call Transactions were entered into with third party broker-dealers to limit the potential dilution that would occur if the Company has to settle the conversion value in excess of the principal in shares. This exposure will be covered (i.e., the Company will receive as many shares as are required to be issued between the conversion price of $63.8818 and the maximum price of $91.2600). Any shares required to be issued by the Company over this amount would have net earnings per share dilution impact. By entering into the Capped Call Transactions, the Company expects to reduce the potential dilution to its common stock (or, in the event the conversion is settled in cash, to reduce its cash payment obligation) in the event that at the time of conversion its stock price exceeds the conversion price under the Convertible Senior Notes. The Company paid $39.0 million for the Capped Call Transactions, which was recorded as additional paid-in capital, using a portion of the gross proceeds from the sale of the Convertible Senior Notes. The cost of the Capped Call Transactions is not expected to be tax deductible as the Company did not elect to integrate the capped call into the Convertible Senior Notes for tax purposes. The cost of the Capped Call Transaction was recorded as a reduction of the Company’s additional paid-in capital in the accompanying condensed consolidated financial statements.</w:t>
      </w:r>
    </w:p>
    <w:p>
      <w:pPr>
        <w:spacing w:after="0" w:line="65" w:lineRule="exact"/>
        <w:rPr>
          <w:sz w:val="20"/>
          <w:szCs w:val="20"/>
          <w:color w:val="auto"/>
        </w:rPr>
      </w:pPr>
    </w:p>
    <w:p>
      <w:pPr>
        <w:ind w:right="20" w:firstLine="621"/>
        <w:spacing w:after="0" w:line="266" w:lineRule="auto"/>
        <w:rPr>
          <w:sz w:val="20"/>
          <w:szCs w:val="20"/>
          <w:color w:val="auto"/>
        </w:rPr>
      </w:pPr>
      <w:r>
        <w:rPr>
          <w:rFonts w:ascii="Times New Roman" w:cs="Times New Roman" w:eastAsia="Times New Roman" w:hAnsi="Times New Roman"/>
          <w:sz w:val="17"/>
          <w:szCs w:val="17"/>
          <w:color w:val="auto"/>
        </w:rPr>
        <w:t>The Company incurred debt issuance costs of $11.4 million in March 2021. The Convertible Senior Notes are presented net of issuance costs on the Company's condensed consolidated balance sheets. The debt issuance costs are amortized on an effective interest basis over the term of the Convertible Senior Notes and are included in interest expense and amortization of debt discount in the accompanying condensed consolidated statements of operations. The following table sets forth interest expense related to the Convertible Senior Notes for the three months ended March 31, 2022 and 2021:</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Contractual interest expense</w:t>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interest expense</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Effective interest rate</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8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48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81"/>
        </w:trPr>
        <w:tc>
          <w:tcPr>
            <w:tcW w:w="280" w:type="dxa"/>
            <w:vAlign w:val="bottom"/>
          </w:tcPr>
          <w:p>
            <w:pPr>
              <w:spacing w:after="0"/>
              <w:rPr>
                <w:sz w:val="15"/>
                <w:szCs w:val="15"/>
                <w:color w:val="auto"/>
              </w:rPr>
            </w:pPr>
          </w:p>
        </w:tc>
        <w:tc>
          <w:tcPr>
            <w:tcW w:w="20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20" w:type="dxa"/>
            <w:vAlign w:val="bottom"/>
          </w:tcPr>
          <w:p>
            <w:pPr>
              <w:spacing w:after="0"/>
              <w:rPr>
                <w:sz w:val="15"/>
                <w:szCs w:val="15"/>
                <w:color w:val="auto"/>
              </w:rPr>
            </w:pPr>
          </w:p>
        </w:tc>
      </w:tr>
      <w:tr>
        <w:trPr>
          <w:trHeight w:val="226"/>
        </w:trPr>
        <w:tc>
          <w:tcPr>
            <w:tcW w:w="2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Pr>
          <w:p>
            <w:pPr>
              <w:jc w:val="right"/>
              <w:ind w:right="160"/>
              <w:spacing w:after="0"/>
              <w:rPr>
                <w:sz w:val="20"/>
                <w:szCs w:val="20"/>
                <w:color w:val="auto"/>
              </w:rPr>
            </w:pPr>
            <w:r>
              <w:rPr>
                <w:rFonts w:ascii="Times New Roman" w:cs="Times New Roman" w:eastAsia="Times New Roman" w:hAnsi="Times New Roman"/>
                <w:sz w:val="17"/>
                <w:szCs w:val="17"/>
                <w:color w:val="auto"/>
              </w:rPr>
              <w:t>250</w:t>
            </w:r>
          </w:p>
        </w:tc>
        <w:tc>
          <w:tcPr>
            <w:tcW w:w="48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rPr>
              <w:t>36</w:t>
            </w:r>
          </w:p>
        </w:tc>
      </w:tr>
      <w:tr>
        <w:trPr>
          <w:trHeight w:val="225"/>
        </w:trPr>
        <w:tc>
          <w:tcPr>
            <w:tcW w:w="2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7"/>
                <w:szCs w:val="17"/>
                <w:color w:val="auto"/>
              </w:rPr>
              <w:t>572</w:t>
            </w:r>
          </w:p>
        </w:tc>
        <w:tc>
          <w:tcPr>
            <w:tcW w:w="4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83</w:t>
            </w:r>
          </w:p>
        </w:tc>
      </w:tr>
      <w:tr>
        <w:trPr>
          <w:trHeight w:val="213"/>
        </w:trPr>
        <w:tc>
          <w:tcPr>
            <w:tcW w:w="28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7"/>
                <w:szCs w:val="17"/>
                <w:color w:val="auto"/>
              </w:rPr>
              <w:t>822</w:t>
            </w:r>
          </w:p>
        </w:tc>
        <w:tc>
          <w:tcPr>
            <w:tcW w:w="48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142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7"/>
                <w:szCs w:val="17"/>
                <w:color w:val="auto"/>
              </w:rPr>
              <w:t>119</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17"/>
        </w:trPr>
        <w:tc>
          <w:tcPr>
            <w:tcW w:w="28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0.82 %</w:t>
            </w:r>
          </w:p>
        </w:tc>
        <w:tc>
          <w:tcPr>
            <w:tcW w:w="4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-4734560</wp:posOffset>
            </wp:positionH>
            <wp:positionV relativeFrom="paragraph">
              <wp:posOffset>-602615</wp:posOffset>
            </wp:positionV>
            <wp:extent cx="7138035" cy="139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8035" cy="139700"/>
                    </a:xfrm>
                    <a:prstGeom prst="rect">
                      <a:avLst/>
                    </a:prstGeom>
                    <a:noFill/>
                  </pic:spPr>
                </pic:pic>
              </a:graphicData>
            </a:graphic>
          </wp:anchor>
        </w:drawing>
        <w:drawing>
          <wp:anchor simplePos="0" relativeHeight="251657728" behindDoc="1" locked="0" layoutInCell="0" allowOverlap="1">
            <wp:simplePos x="0" y="0"/>
            <wp:positionH relativeFrom="column">
              <wp:posOffset>-4734560</wp:posOffset>
            </wp:positionH>
            <wp:positionV relativeFrom="paragraph">
              <wp:posOffset>-323215</wp:posOffset>
            </wp:positionV>
            <wp:extent cx="7138035" cy="1644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6740" w:space="720"/>
            <w:col w:w="3780"/>
          </w:cols>
          <w:pgMar w:left="320" w:top="121" w:right="339" w:bottom="1440" w:gutter="0" w:footer="0" w:header="0"/>
          <w:type w:val="continuous"/>
        </w:sectPr>
      </w:pPr>
    </w:p>
    <w:p>
      <w:pPr>
        <w:ind w:right="120" w:firstLine="621"/>
        <w:spacing w:after="0" w:line="291" w:lineRule="auto"/>
        <w:rPr>
          <w:sz w:val="20"/>
          <w:szCs w:val="20"/>
          <w:color w:val="auto"/>
        </w:rPr>
      </w:pPr>
      <w:r>
        <w:rPr>
          <w:rFonts w:ascii="Times New Roman" w:cs="Times New Roman" w:eastAsia="Times New Roman" w:hAnsi="Times New Roman"/>
          <w:sz w:val="17"/>
          <w:szCs w:val="17"/>
          <w:color w:val="auto"/>
        </w:rPr>
        <w:t>Amortization expense for the Company's debt issuance costs related to the Convertible Senior Notes for the fiscal years 2022 through 2026 is as follows (in thousands):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140" w:type="dxa"/>
            <w:vAlign w:val="bottom"/>
          </w:tcPr>
          <w:p>
            <w:pPr>
              <w:spacing w:after="0"/>
              <w:rPr>
                <w:sz w:val="15"/>
                <w:szCs w:val="15"/>
                <w:color w:val="auto"/>
              </w:rPr>
            </w:pPr>
          </w:p>
        </w:tc>
        <w:tc>
          <w:tcPr>
            <w:tcW w:w="1400" w:type="dxa"/>
            <w:vAlign w:val="bottom"/>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Debt Issuance Costs</w:t>
            </w:r>
          </w:p>
        </w:tc>
      </w:tr>
      <w:tr>
        <w:trPr>
          <w:trHeight w:val="23"/>
        </w:trPr>
        <w:tc>
          <w:tcPr>
            <w:tcW w:w="97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r>
        <w:trPr>
          <w:trHeight w:val="213"/>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1,716</w:t>
            </w:r>
          </w:p>
        </w:tc>
      </w:tr>
      <w:tr>
        <w:trPr>
          <w:trHeight w:val="220"/>
        </w:trPr>
        <w:tc>
          <w:tcPr>
            <w:tcW w:w="9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w:t>
            </w:r>
          </w:p>
        </w:tc>
      </w:tr>
      <w:tr>
        <w:trPr>
          <w:trHeight w:val="22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1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2,288</w:t>
            </w:r>
          </w:p>
        </w:tc>
      </w:tr>
      <w:tr>
        <w:trPr>
          <w:trHeight w:val="220"/>
        </w:trPr>
        <w:tc>
          <w:tcPr>
            <w:tcW w:w="9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2,288</w:t>
            </w:r>
          </w:p>
        </w:tc>
      </w:tr>
      <w:tr>
        <w:trPr>
          <w:trHeight w:val="220"/>
        </w:trPr>
        <w:tc>
          <w:tcPr>
            <w:tcW w:w="9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1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w:t>
            </w:r>
          </w:p>
        </w:tc>
      </w:tr>
      <w:tr>
        <w:trPr>
          <w:trHeight w:val="213"/>
        </w:trPr>
        <w:tc>
          <w:tcPr>
            <w:tcW w:w="97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9,071</w:t>
            </w:r>
          </w:p>
        </w:tc>
      </w:tr>
      <w:tr>
        <w:trPr>
          <w:trHeight w:val="20"/>
        </w:trPr>
        <w:tc>
          <w:tcPr>
            <w:tcW w:w="9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Credit Agreement</w:t>
      </w:r>
    </w:p>
    <w:p>
      <w:pPr>
        <w:spacing w:after="0" w:line="93" w:lineRule="exact"/>
        <w:rPr>
          <w:sz w:val="20"/>
          <w:szCs w:val="20"/>
          <w:color w:val="auto"/>
        </w:rPr>
      </w:pPr>
    </w:p>
    <w:p>
      <w:pPr>
        <w:ind w:right="40" w:firstLine="621"/>
        <w:spacing w:after="0" w:line="261" w:lineRule="auto"/>
        <w:rPr>
          <w:sz w:val="20"/>
          <w:szCs w:val="20"/>
          <w:color w:val="auto"/>
        </w:rPr>
      </w:pPr>
      <w:r>
        <w:rPr>
          <w:rFonts w:ascii="Times New Roman" w:cs="Times New Roman" w:eastAsia="Times New Roman" w:hAnsi="Times New Roman"/>
          <w:sz w:val="17"/>
          <w:szCs w:val="17"/>
          <w:color w:val="auto"/>
        </w:rPr>
        <w:t>On April 30, 2021, the Company entered into a credit agreement (the "Credit Agreement") with Goldman Sachs Bank USA as administrative agent and collateral agent, and other lender parties thereto. The Credit Agreement provides for a $360.0 million seven-year senior secured term loan facility ("Term Loan B Facility") and a $52.5 million senior secured revolving credit facility (the "Revolving Credit Facility"). As part of the Term Loan B Facility, the Company received $325 million in proceeds, net of discounts and fees, which were used to finance the SpotX Acquisition and related transactions, and for general corporate purposes. Loans, if any, under the Revolving Credit Facility are expected to be used for general corporate purposes. The obligations under the Credit Agreement are secured by substantially all of the assets of the Company and those of its subsidiaries that are guarantors under the Credit Agreement.</w:t>
      </w:r>
    </w:p>
    <w:p>
      <w:pPr>
        <w:spacing w:after="0" w:line="57" w:lineRule="exact"/>
        <w:rPr>
          <w:sz w:val="20"/>
          <w:szCs w:val="20"/>
          <w:color w:val="auto"/>
        </w:rPr>
      </w:pPr>
    </w:p>
    <w:p>
      <w:pPr>
        <w:ind w:right="20" w:firstLine="621"/>
        <w:spacing w:after="0" w:line="272" w:lineRule="auto"/>
        <w:rPr>
          <w:sz w:val="20"/>
          <w:szCs w:val="20"/>
          <w:color w:val="auto"/>
        </w:rPr>
      </w:pPr>
      <w:r>
        <w:rPr>
          <w:rFonts w:ascii="Times New Roman" w:cs="Times New Roman" w:eastAsia="Times New Roman" w:hAnsi="Times New Roman"/>
          <w:sz w:val="17"/>
          <w:szCs w:val="17"/>
          <w:color w:val="auto"/>
        </w:rPr>
        <w:t>Amounts outstanding under the Credit Agreement accrue interest at a rate equal to either, (1) for the Term Loan B Facility, at the Company’s election, the Eurodollar Rate (as defined in the Credit Agreement) plus a margin of 5.00% per annum, or ABR (as defined in the Credit Agreement) plus a margin of 4.00%, and (2) for the Revolving Credit Facility, at the Company’s election, the</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340"/>
        <w:spacing w:after="0" w:line="291" w:lineRule="auto"/>
        <w:rPr>
          <w:sz w:val="20"/>
          <w:szCs w:val="20"/>
          <w:color w:val="auto"/>
        </w:rPr>
      </w:pPr>
      <w:r>
        <w:rPr>
          <w:rFonts w:ascii="Times New Roman" w:cs="Times New Roman" w:eastAsia="Times New Roman" w:hAnsi="Times New Roman"/>
          <w:sz w:val="17"/>
          <w:szCs w:val="17"/>
          <w:color w:val="auto"/>
        </w:rPr>
        <w:t>Eurodollar Rate plus a margin of 4.25% to 4.75%, or ABR plus a margin of 3.25% to 3.75%, in each case, depending on the Company’s first lien net leverage ratio. As of March 31, 2022, the contractual interest rate related to the Term Loan B Facility was 5.80%.</w:t>
      </w:r>
    </w:p>
    <w:p>
      <w:pPr>
        <w:spacing w:after="0" w:line="18" w:lineRule="exact"/>
        <w:rPr>
          <w:sz w:val="20"/>
          <w:szCs w:val="20"/>
          <w:color w:val="auto"/>
        </w:rPr>
      </w:pPr>
    </w:p>
    <w:p>
      <w:pPr>
        <w:ind w:right="60" w:firstLine="621"/>
        <w:spacing w:after="0" w:line="263" w:lineRule="auto"/>
        <w:rPr>
          <w:sz w:val="20"/>
          <w:szCs w:val="20"/>
          <w:color w:val="auto"/>
        </w:rPr>
      </w:pPr>
      <w:r>
        <w:rPr>
          <w:rFonts w:ascii="Times New Roman" w:cs="Times New Roman" w:eastAsia="Times New Roman" w:hAnsi="Times New Roman"/>
          <w:sz w:val="17"/>
          <w:szCs w:val="17"/>
          <w:color w:val="auto"/>
        </w:rPr>
        <w:t>The covenants of the Credit Agreement include customary negative covenants that, among other things, restrict the Company’s ability to incur additional indebtedness, grant liens and make certain acquisitions, investments, asset dispositions and restricted payments. In addition, the Credit Agreement contains a financial covenant, tested on the last day of any fiscal quarter if utilization of the Revolving Credit Facility exceeds 35% of the total revolving commitments, that requires the Company to maintain a first lien net leverage ratio not greater than 3.25 to 1.00. As of March 31, 2022, the Company was in compliance with its debt covenants.</w:t>
      </w:r>
    </w:p>
    <w:p>
      <w:pPr>
        <w:spacing w:after="0" w:line="54"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The Credit Agreement includes customary events of default, and customary rights and remedies upon the occurrence of any event of default thereunder, including rights to accelerate the loans, terminate the commitments thereunder and realize upon the collateral securing the obligations under the Credit Agreement. The Credit Agreement calls for customary scheduled loan amortization payments of 0.25% of the initial principal balance payable quarterly (i.e. 1% in aggregate per year) as well as a provision that requires the Company to prepay the Term Loan B based on an annual calculation of cumulative free cash flow ("Excess Cash Flow") generated by the company as defined within the terms of the Agreement. The Company was not required to make any such mandatory prepayment required by the Excess Cash Flow provision for the period ended March 31, 2022.</w:t>
      </w:r>
    </w:p>
    <w:p>
      <w:pPr>
        <w:spacing w:after="0" w:line="57"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On June 28, 2021, the Company entered into an Incremental Assumption Agreement (the "Incremental Agreement") to the Credit Agreement. Pursuant to the terms of the Incremental Agreement, the Company’s existing revolving credit facility under the Credit Agreement was increased by $12.5 million (the "Incremental Revolver"), and the letter of credit sublimit under the Credit Agreement was increased by $5.0 million. The Incremental Revolver bears the same interest rate as the existing revolving credit facility and has the same maturity date as the existing revolving credit facility. No other terms of the Credit Agreement were amended. As a result, amounts available under the Revolving Credit Facility were $65.0 million. At March 31, 2022, amounts available under the Revolving Credit Facility were $59.7 million, net of letters of credit outstanding in the amount of $5.3 million.</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amount outstanding under the Term Loan B Facility at March 31, 2022 and December 31, 2021:</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8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420" w:type="dxa"/>
            <w:vAlign w:val="bottom"/>
            <w:tcBorders>
              <w:top w:val="single" w:sz="8" w:color="auto"/>
            </w:tcBorders>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3"/>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160" w:type="dxa"/>
            <w:vAlign w:val="bottom"/>
            <w:tcBorders>
              <w:bottom w:val="single" w:sz="8" w:color="auto"/>
            </w:tcBorders>
            <w:gridSpan w:val="4"/>
          </w:tcPr>
          <w:p>
            <w:pPr>
              <w:spacing w:after="0" w:line="20" w:lineRule="exact"/>
              <w:rPr>
                <w:sz w:val="1"/>
                <w:szCs w:val="1"/>
                <w:color w:val="auto"/>
              </w:rPr>
            </w:pPr>
          </w:p>
        </w:tc>
      </w:tr>
      <w:tr>
        <w:trPr>
          <w:trHeight w:val="181"/>
        </w:trPr>
        <w:tc>
          <w:tcPr>
            <w:tcW w:w="7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160" w:type="dxa"/>
            <w:vAlign w:val="bottom"/>
            <w:gridSpan w:val="4"/>
          </w:tcPr>
          <w:p>
            <w:pPr>
              <w:jc w:val="right"/>
              <w:ind w:right="119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1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Term Loan B Facility</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357,300</w:t>
            </w:r>
          </w:p>
        </w:tc>
        <w:tc>
          <w:tcPr>
            <w:tcW w:w="80" w:type="dxa"/>
            <w:vAlign w:val="bottom"/>
            <w:shd w:val="clear" w:color="auto" w:fill="CCEEFF"/>
          </w:tcPr>
          <w:p>
            <w:pPr>
              <w:spacing w:after="0"/>
              <w:rPr>
                <w:sz w:val="24"/>
                <w:szCs w:val="2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358,200</w:t>
            </w:r>
          </w:p>
        </w:tc>
      </w:tr>
      <w:tr>
        <w:trPr>
          <w:trHeight w:val="220"/>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Unamortized debt discounts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(9,342)</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(9,738)</w:t>
            </w:r>
          </w:p>
        </w:tc>
      </w:tr>
      <w:tr>
        <w:trPr>
          <w:trHeight w:val="220"/>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(15,196)</w:t>
            </w: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Debt, net of debt issuance costs</w:t>
            </w:r>
          </w:p>
        </w:tc>
        <w:tc>
          <w:tcPr>
            <w:tcW w:w="24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333,381</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333,266</w:t>
            </w:r>
          </w:p>
        </w:tc>
      </w:tr>
      <w:tr>
        <w:trPr>
          <w:trHeight w:val="20"/>
        </w:trPr>
        <w:tc>
          <w:tcPr>
            <w:tcW w:w="7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ind w:right="140" w:firstLine="621"/>
        <w:spacing w:after="0" w:line="261" w:lineRule="auto"/>
        <w:rPr>
          <w:sz w:val="20"/>
          <w:szCs w:val="20"/>
          <w:color w:val="auto"/>
        </w:rPr>
      </w:pPr>
      <w:r>
        <w:rPr>
          <w:rFonts w:ascii="Times New Roman" w:cs="Times New Roman" w:eastAsia="Times New Roman" w:hAnsi="Times New Roman"/>
          <w:sz w:val="17"/>
          <w:szCs w:val="17"/>
          <w:color w:val="auto"/>
        </w:rPr>
        <w:t>The Company incurred debt issuance costs of $27.7 million in April 2021, of which $10.8 million were associated with debt discount netted against the proceeds and $16.9 million were associated with other deferred financing costs associated with the Term Loan B Facility. Debt outstanding under the Term Loan B Facility are presented net of issuance costs on the Company's condensed consolidated balance sheets. The debt issuance costs are amortized on an effective interest basis over the term of the Term Loan B Facility and are included in interest expense and amortization of debt discount in the accompanying condensed consolidated statements of operations. The following table sets forth interest expense related to the Term Loan B Facility for the three months ended March 31, 2022:</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Contractual interest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035" cy="139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Amortization of debt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wp:posOffset>
            </wp:positionV>
            <wp:extent cx="7138035" cy="1397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8035" cy="139700"/>
                    </a:xfrm>
                    <a:prstGeom prst="rect">
                      <a:avLst/>
                    </a:prstGeom>
                    <a:noFill/>
                  </pic:spPr>
                </pic:pic>
              </a:graphicData>
            </a:graphic>
          </wp:anchor>
        </w:drawing>
      </w:r>
    </w:p>
    <w:p>
      <w:pPr>
        <w:spacing w:after="0" w:line="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p>
      <w:pPr>
        <w:spacing w:after="0" w:line="2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Total interest expense</w:t>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Effective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-120015</wp:posOffset>
            </wp:positionV>
            <wp:extent cx="7138035" cy="1562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8035" cy="156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11334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2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28575</wp:posOffset>
            </wp:positionV>
            <wp:extent cx="113347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26" w:lineRule="exact"/>
        <w:rPr>
          <w:sz w:val="20"/>
          <w:szCs w:val="20"/>
          <w:color w:val="auto"/>
        </w:rPr>
      </w:pPr>
    </w:p>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39" w:lineRule="exact"/>
        <w:rPr>
          <w:sz w:val="20"/>
          <w:szCs w:val="20"/>
          <w:color w:val="auto"/>
        </w:rPr>
      </w:pPr>
    </w:p>
    <w:p>
      <w:pPr>
        <w:ind w:left="1163" w:hanging="1163"/>
        <w:spacing w:after="0"/>
        <w:tabs>
          <w:tab w:leader="none" w:pos="1163"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5,163</w:t>
      </w:r>
    </w:p>
    <w:p>
      <w:pPr>
        <w:spacing w:after="0" w:line="30" w:lineRule="exact"/>
        <w:rPr>
          <w:rFonts w:ascii="Times New Roman" w:cs="Times New Roman" w:eastAsia="Times New Roman" w:hAnsi="Times New Roman"/>
          <w:sz w:val="17"/>
          <w:szCs w:val="17"/>
          <w:color w:val="auto"/>
        </w:rPr>
      </w:pPr>
    </w:p>
    <w:p>
      <w:pPr>
        <w:ind w:left="130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397</w:t>
      </w:r>
    </w:p>
    <w:p>
      <w:pPr>
        <w:spacing w:after="0" w:line="24" w:lineRule="exact"/>
        <w:rPr>
          <w:rFonts w:ascii="Times New Roman" w:cs="Times New Roman" w:eastAsia="Times New Roman" w:hAnsi="Times New Roman"/>
          <w:sz w:val="17"/>
          <w:szCs w:val="17"/>
          <w:color w:val="auto"/>
        </w:rPr>
      </w:pPr>
    </w:p>
    <w:p>
      <w:pPr>
        <w:ind w:left="1303"/>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15240</wp:posOffset>
            </wp:positionV>
            <wp:extent cx="113347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12" w:lineRule="exact"/>
        <w:rPr>
          <w:sz w:val="20"/>
          <w:szCs w:val="20"/>
          <w:color w:val="auto"/>
        </w:rPr>
      </w:pPr>
    </w:p>
    <w:p>
      <w:pPr>
        <w:ind w:left="1163" w:hanging="1163"/>
        <w:spacing w:after="0"/>
        <w:tabs>
          <w:tab w:leader="none" w:pos="1163"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6,179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19050</wp:posOffset>
            </wp:positionV>
            <wp:extent cx="11334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133475" cy="8255"/>
                    </a:xfrm>
                    <a:prstGeom prst="rect">
                      <a:avLst/>
                    </a:prstGeom>
                    <a:noFill/>
                  </pic:spPr>
                </pic:pic>
              </a:graphicData>
            </a:graphic>
          </wp:anchor>
        </w:drawing>
      </w:r>
    </w:p>
    <w:p>
      <w:pPr>
        <w:spacing w:after="0" w:line="5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7"/>
          <w:szCs w:val="17"/>
          <w:color w:val="auto"/>
        </w:rPr>
        <w:t>6.98 %</w:t>
      </w:r>
    </w:p>
    <w:p>
      <w:pPr>
        <w:spacing w:after="0" w:line="200" w:lineRule="exact"/>
        <w:rPr>
          <w:sz w:val="20"/>
          <w:szCs w:val="20"/>
          <w:color w:val="auto"/>
        </w:rPr>
      </w:pPr>
    </w:p>
    <w:p>
      <w:pPr>
        <w:sectPr>
          <w:pgSz w:w="11900" w:h="16838" w:orient="portrait"/>
          <w:cols w:equalWidth="0" w:num="2">
            <w:col w:w="8757" w:space="720"/>
            <w:col w:w="1763"/>
          </w:cols>
          <w:pgMar w:left="320" w:top="121" w:right="339" w:bottom="1440" w:gutter="0" w:footer="0" w:header="0"/>
          <w:type w:val="continuous"/>
        </w:sect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Amortization expense for the Term Loan B Facility debt discount and debt issuance costs for fiscal years 2022 through 2028 is as follows: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Fiscal Year</w:t>
            </w:r>
          </w:p>
        </w:tc>
        <w:tc>
          <w:tcPr>
            <w:tcW w:w="220" w:type="dxa"/>
            <w:vAlign w:val="bottom"/>
          </w:tcPr>
          <w:p>
            <w:pPr>
              <w:spacing w:after="0"/>
              <w:rPr>
                <w:sz w:val="15"/>
                <w:szCs w:val="15"/>
                <w:color w:val="auto"/>
              </w:rPr>
            </w:pP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Debt Discount</w:t>
            </w:r>
          </w:p>
        </w:tc>
        <w:tc>
          <w:tcPr>
            <w:tcW w:w="140" w:type="dxa"/>
            <w:vAlign w:val="bottom"/>
          </w:tcPr>
          <w:p>
            <w:pPr>
              <w:spacing w:after="0"/>
              <w:rPr>
                <w:sz w:val="15"/>
                <w:szCs w:val="15"/>
                <w:color w:val="auto"/>
              </w:rPr>
            </w:pPr>
          </w:p>
        </w:tc>
        <w:tc>
          <w:tcPr>
            <w:tcW w:w="1380" w:type="dxa"/>
            <w:vAlign w:val="bottom"/>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Debt Issuance Costs</w:t>
            </w:r>
          </w:p>
        </w:tc>
      </w:tr>
      <w:tr>
        <w:trPr>
          <w:trHeight w:val="23"/>
        </w:trPr>
        <w:tc>
          <w:tcPr>
            <w:tcW w:w="8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21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Remaining 2022</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2,441</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2,416</w:t>
            </w:r>
          </w:p>
        </w:tc>
      </w:tr>
      <w:tr>
        <w:trPr>
          <w:trHeight w:val="220"/>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2,391</w:t>
            </w:r>
          </w:p>
        </w:tc>
      </w:tr>
      <w:tr>
        <w:trPr>
          <w:trHeight w:val="22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2,366</w:t>
            </w:r>
          </w:p>
        </w:tc>
      </w:tr>
      <w:tr>
        <w:trPr>
          <w:trHeight w:val="22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3,116</w:t>
            </w:r>
          </w:p>
        </w:tc>
      </w:tr>
      <w:tr>
        <w:trPr>
          <w:trHeight w:val="238"/>
        </w:trPr>
        <w:tc>
          <w:tcPr>
            <w:tcW w:w="81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9,342</w:t>
            </w:r>
          </w:p>
        </w:tc>
        <w:tc>
          <w:tcPr>
            <w:tcW w:w="100" w:type="dxa"/>
            <w:vAlign w:val="bottom"/>
            <w:tcBorders>
              <w:bottom w:val="single" w:sz="8" w:color="auto"/>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14,577</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Note 14—Subsequent Events</w:t>
      </w:r>
    </w:p>
    <w:p>
      <w:pPr>
        <w:spacing w:after="0" w:line="91" w:lineRule="exact"/>
        <w:rPr>
          <w:sz w:val="20"/>
          <w:szCs w:val="20"/>
          <w:color w:val="auto"/>
        </w:rPr>
      </w:pPr>
    </w:p>
    <w:p>
      <w:pPr>
        <w:ind w:right="600" w:firstLine="621"/>
        <w:spacing w:after="0" w:line="291" w:lineRule="auto"/>
        <w:rPr>
          <w:sz w:val="20"/>
          <w:szCs w:val="20"/>
          <w:color w:val="auto"/>
        </w:rPr>
      </w:pPr>
      <w:r>
        <w:rPr>
          <w:rFonts w:ascii="Times New Roman" w:cs="Times New Roman" w:eastAsia="Times New Roman" w:hAnsi="Times New Roman"/>
          <w:sz w:val="17"/>
          <w:szCs w:val="17"/>
          <w:color w:val="auto"/>
        </w:rPr>
        <w:t>In April 2022, the Company repurchased and retired 312,497 shares of common stock through open market purchases under the share repurchase program for $3.5 million at an average price of $11.28, which was also recorded as a reduction in additional paid in capital.</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Management's Discussion and Analysis of Financial Condition and Results of Operations</w:t>
      </w:r>
    </w:p>
    <w:p>
      <w:pPr>
        <w:spacing w:after="0" w:line="102" w:lineRule="exact"/>
        <w:rPr>
          <w:sz w:val="20"/>
          <w:szCs w:val="20"/>
          <w:color w:val="auto"/>
        </w:rPr>
      </w:pPr>
    </w:p>
    <w:p>
      <w:pPr>
        <w:ind w:firstLine="621"/>
        <w:spacing w:after="0" w:line="256" w:lineRule="auto"/>
        <w:rPr>
          <w:sz w:val="20"/>
          <w:szCs w:val="20"/>
          <w:color w:val="auto"/>
        </w:rPr>
      </w:pPr>
      <w:r>
        <w:rPr>
          <w:rFonts w:ascii="Times New Roman" w:cs="Times New Roman" w:eastAsia="Times New Roman" w:hAnsi="Times New Roman"/>
          <w:sz w:val="17"/>
          <w:szCs w:val="17"/>
          <w:i w:val="1"/>
          <w:iCs w:val="1"/>
          <w:color w:val="auto"/>
        </w:rPr>
        <w:t>This Quarterly Report on Form 10-Q and related statements by the Company contain forward-looking statements, including statements based upon or relating to our expectations, assumptions, estimates, and projections. In some cases, you can identify forward-looking statements by terms such as "may," "might," "will," "objective," "intend," "should," "could," "can," "would," "expect," "believe," "design," "anticipate," "estimate," "predict," "potential," "plan" or the negative of these terms, and similar expressions. Forward-looking statements may include, but are not limited to, statements concerning acquisitions by the Company, including the acquisition of SpotX, Inc. ("SpotX," and such acquisition the "SpotX Acquisition"), or SpringServe, LLC ("SpringServe," and such acquisition the "SpringServe Acquisition"), or the anticipated benefits thereof; statements concerning potential synergies from the Company's acquisitions; statements concerning the potential impacts of the COVID-19 pandemic on our business operations, financial condition, and results of operations and on the world economy; our anticipated financial performance; anticipated benefits or effects related to our completed merger with Telaria, Inc. in April 2020 ("Telaria" and such merger the "Telaria Merger"); key strategic objectives; industry growth rates for ad-supported connected television ("CTV") and the shift in video consumption from linear TV to CTV; anticipated benefits of new offerings; the impact of transparency initiatives we may undertake; the impact of our traffic shaping technology on our business; the effects of our cost reduction initiatives; scope and duration of client relationships; the fees we may charge in the future; business mix; sales growth; benefits from supply path optimization; the development of identity solutions; client utilization of our offerings; our competitive differentiation; our market share and leadership position in the industry; market conditions, trends, and opportunities; certain statements regarding future operational performance measures; and other statements that are not historical facts. These statements are not guarantees of future performance; they reflect our current views with respect to future events and are based on assumptions and estimates and subject to known and unknown risks, uncertainties and other factors that may cause our actual results, performance or achievements to be materially different from expectations or results projected or implied by forward-looking statements.</w:t>
      </w:r>
    </w:p>
    <w:p>
      <w:pPr>
        <w:spacing w:after="0" w:line="3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Risks that our business faces include, but are not limited to, the following:</w:t>
      </w:r>
    </w:p>
    <w:p>
      <w:pPr>
        <w:spacing w:after="0" w:line="102" w:lineRule="exact"/>
        <w:rPr>
          <w:sz w:val="20"/>
          <w:szCs w:val="20"/>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realize the anticipated benefits of the Telaria Merger, SpotX Acquisition, SpringServe Acquisition, and other acquisitions;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severity, magnitude, and duration of the COVID-19 pandemic, including impacts of the pandemic and of responses to the pandemic by governments;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inflation and supply chain issues on the advertising marketplace;</w:t>
      </w:r>
    </w:p>
    <w:p>
      <w:pPr>
        <w:spacing w:after="0" w:line="102" w:lineRule="exact"/>
        <w:rPr>
          <w:rFonts w:ascii="Times New Roman" w:cs="Times New Roman" w:eastAsia="Times New Roman" w:hAnsi="Times New Roman"/>
          <w:sz w:val="17"/>
          <w:szCs w:val="17"/>
          <w:i w:val="1"/>
          <w:iCs w:val="1"/>
          <w:color w:val="auto"/>
        </w:rPr>
      </w:pPr>
    </w:p>
    <w:p>
      <w:pPr>
        <w:ind w:left="620" w:right="580" w:hanging="306"/>
        <w:spacing w:after="0" w:line="373" w:lineRule="auto"/>
        <w:tabs>
          <w:tab w:leader="none" w:pos="61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CTV spend may grow more slowly than we expect if industry growth rates for ad supported CTV are not accurate, if CTV sellers fail to adopt programmatic advertising solutions or if we are unable to maintain or increase access to CTV advertising inventory;</w:t>
      </w: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may be unsuccessful in our supply path optimization efforts;</w:t>
      </w:r>
    </w:p>
    <w:p>
      <w:pPr>
        <w:spacing w:after="0" w:line="102" w:lineRule="exact"/>
        <w:rPr>
          <w:rFonts w:ascii="Times New Roman" w:cs="Times New Roman" w:eastAsia="Times New Roman" w:hAnsi="Times New Roman"/>
          <w:sz w:val="17"/>
          <w:szCs w:val="17"/>
          <w:i w:val="1"/>
          <w:iCs w:val="1"/>
          <w:color w:val="auto"/>
        </w:rPr>
      </w:pPr>
    </w:p>
    <w:p>
      <w:pPr>
        <w:ind w:left="620" w:right="420" w:hanging="306"/>
        <w:spacing w:after="0" w:line="365" w:lineRule="auto"/>
        <w:tabs>
          <w:tab w:leader="none" w:pos="61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introduce new offerings and bring them to market in a timely manner, and otherwise adapt in response to client demands and industry trends;</w:t>
      </w:r>
    </w:p>
    <w:p>
      <w:pPr>
        <w:ind w:left="620" w:right="540" w:hanging="306"/>
        <w:spacing w:after="0" w:line="373" w:lineRule="auto"/>
        <w:tabs>
          <w:tab w:leader="none" w:pos="61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uncertainty of our estimates and expectations associated with new offerings, including the CTV ad server product that we recently acquired in the SpringServe Acquisition and our developing identity solutions;</w:t>
      </w: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must increase the scale and efficiency of our technology infrastructure to support our growth;</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emergence of header bidding has increased competition from other demand sources and may cause infrastructure strain and added costs;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access to mobile inventory may be limited by third-party technology or lack of direct relationships with mobile sellers;</w:t>
      </w:r>
    </w:p>
    <w:p>
      <w:pPr>
        <w:spacing w:after="0" w:line="102" w:lineRule="exact"/>
        <w:rPr>
          <w:rFonts w:ascii="Times New Roman" w:cs="Times New Roman" w:eastAsia="Times New Roman" w:hAnsi="Times New Roman"/>
          <w:sz w:val="17"/>
          <w:szCs w:val="17"/>
          <w:i w:val="1"/>
          <w:iCs w:val="1"/>
          <w:color w:val="auto"/>
        </w:rPr>
      </w:pPr>
    </w:p>
    <w:p>
      <w:pPr>
        <w:ind w:left="620" w:right="100" w:hanging="306"/>
        <w:spacing w:after="0" w:line="373" w:lineRule="auto"/>
        <w:tabs>
          <w:tab w:leader="none" w:pos="61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may experience lower take rates, which may not be offset by increases in the volume of ad requests, improvements in fill-rate, and/or increases in the value of transactions through our platform;</w:t>
      </w: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requests for discounts, fee concessions, rebates, refunds or favorable payment terms;</w:t>
      </w:r>
    </w:p>
    <w:p>
      <w:pPr>
        <w:spacing w:after="0" w:line="102" w:lineRule="exact"/>
        <w:rPr>
          <w:rFonts w:ascii="Times New Roman" w:cs="Times New Roman" w:eastAsia="Times New Roman" w:hAnsi="Times New Roman"/>
          <w:sz w:val="17"/>
          <w:szCs w:val="17"/>
          <w:i w:val="1"/>
          <w:iCs w:val="1"/>
          <w:color w:val="auto"/>
        </w:rPr>
      </w:pPr>
    </w:p>
    <w:p>
      <w:pPr>
        <w:ind w:left="620" w:right="180" w:hanging="306"/>
        <w:spacing w:after="0" w:line="365" w:lineRule="auto"/>
        <w:tabs>
          <w:tab w:leader="none" w:pos="616"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history of losses, and the fact that in the past our operating results have and may in the future fluctuate significantly, be difficult to predict, and fall below analysts' and investors' expectations;</w:t>
      </w: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effect on the advertising market and our business from difficult economic conditions or uncertainty;</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effects of seasonal trends on our results of operations;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operate in an intensely competitive market that includes companies that have greater financial, technical and marketing resources than we do;</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effects of consolidation in the ad tech industry;</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growing percentage of digital advertising spend captured by closed “walled gardens” (such as Google, Facebook, Comcast, and Amazon);</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differentiate our offerings and compete effectively to combat commodification and disintermediation;</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potential limitations on our ability to collect or use data as a result of consumer tools, regulatory restrictions and technological limitations;</w:t>
      </w:r>
    </w:p>
    <w:p>
      <w:pPr>
        <w:spacing w:after="0" w:line="114" w:lineRule="exact"/>
        <w:rPr>
          <w:rFonts w:ascii="Times New Roman" w:cs="Times New Roman" w:eastAsia="Times New Roman" w:hAnsi="Times New Roman"/>
          <w:sz w:val="17"/>
          <w:szCs w:val="17"/>
          <w:i w:val="1"/>
          <w:iCs w:val="1"/>
          <w:color w:val="auto"/>
        </w:rPr>
      </w:pPr>
    </w:p>
    <w:p>
      <w:pPr>
        <w:ind w:left="620" w:right="60" w:hanging="306"/>
        <w:spacing w:after="0" w:line="365" w:lineRule="auto"/>
        <w:tabs>
          <w:tab w:leader="none" w:pos="61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development and use of new identity solutions as a replacement for third-party cookies and other identifiers may disrupt the programmatic ecosystem and cause the performance of our platform to decline;</w:t>
      </w: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industry may not adopt or may be slow to adopt the use of first-party publisher segments as an alternative to third-party cookies;</w:t>
      </w:r>
    </w:p>
    <w:p>
      <w:pPr>
        <w:spacing w:after="0" w:line="102" w:lineRule="exact"/>
        <w:rPr>
          <w:rFonts w:ascii="Times New Roman" w:cs="Times New Roman" w:eastAsia="Times New Roman" w:hAnsi="Times New Roman"/>
          <w:sz w:val="17"/>
          <w:szCs w:val="17"/>
          <w:i w:val="1"/>
          <w:iCs w:val="1"/>
          <w:color w:val="auto"/>
        </w:rPr>
      </w:pPr>
    </w:p>
    <w:p>
      <w:pPr>
        <w:ind w:left="620" w:right="500" w:hanging="306"/>
        <w:spacing w:after="0" w:line="373" w:lineRule="auto"/>
        <w:tabs>
          <w:tab w:leader="none" w:pos="61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comply with, and the effect on our business of, evolving legal standards and regulations, particularly concerning data protection and privacy;</w:t>
      </w: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failure by us or our clients to meet advertising and inventory content standards;</w:t>
      </w:r>
    </w:p>
    <w:p>
      <w:pPr>
        <w:spacing w:after="0" w:line="102" w:lineRule="exact"/>
        <w:rPr>
          <w:rFonts w:ascii="Times New Roman" w:cs="Times New Roman" w:eastAsia="Times New Roman" w:hAnsi="Times New Roman"/>
          <w:sz w:val="17"/>
          <w:szCs w:val="17"/>
          <w:i w:val="1"/>
          <w:iCs w:val="1"/>
          <w:color w:val="auto"/>
        </w:rPr>
      </w:pPr>
    </w:p>
    <w:p>
      <w:pPr>
        <w:ind w:left="620" w:right="800" w:hanging="306"/>
        <w:spacing w:after="0" w:line="365" w:lineRule="auto"/>
        <w:tabs>
          <w:tab w:leader="none" w:pos="61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freedom of buyers and sellers to direct their spending and inventory to competing sources of inventory and demand, and to establish direct relationships and integrations without the use of our platform;</w:t>
      </w:r>
    </w:p>
    <w:p>
      <w:pPr>
        <w:ind w:left="620" w:right="260" w:hanging="306"/>
        <w:spacing w:after="0" w:line="365" w:lineRule="auto"/>
        <w:tabs>
          <w:tab w:leader="none" w:pos="61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reliance on large aggregators of advertising inventory, and the concentration of CTV among a small number of large sellers that enjoy significant negotiating leverage;</w:t>
      </w:r>
    </w:p>
    <w:p>
      <w:pPr>
        <w:ind w:left="620" w:right="580" w:hanging="306"/>
        <w:spacing w:after="0" w:line="373" w:lineRule="auto"/>
        <w:tabs>
          <w:tab w:leader="none" w:pos="61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provide value to both buyers and sellers of advertising without being perceived as favoring one over the other or being perceived as competing with them through our service offerings;</w:t>
      </w:r>
    </w:p>
    <w:p>
      <w:pPr>
        <w:ind w:left="620" w:right="60" w:hanging="306"/>
        <w:spacing w:after="0" w:line="365" w:lineRule="auto"/>
        <w:tabs>
          <w:tab w:leader="none" w:pos="61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reliance on large sources of advertising demand, including demand side platforms ("DSPs") that may have or develop high-risk credit profiles or fail to pay invoices when due;</w:t>
      </w: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we may be exposed to claims from clients for breach of contracts;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errors or failures in the operation of our solution, interruptions in our access to network infrastructure or data, and breaches of our computer systems;</w:t>
      </w:r>
    </w:p>
    <w:p>
      <w:pPr>
        <w:spacing w:after="0" w:line="114"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ensure a high level of brand safety for our clients and to detect "bot" traffic and other fraudulent or malicious activity;</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use of our net operating losses and tax credit carryforwards may be subject to certain limitations;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business may be subject to sales and use tax, advertising and other taxes;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raise additional capital if needed;</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our share repurchase program on our stock price and cash reserves;</w:t>
      </w:r>
    </w:p>
    <w:p>
      <w:pPr>
        <w:spacing w:after="0" w:line="114"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volatility in the price of our common stock;</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impact of negative analyst or investor research reports;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attract and retain qualified employees and key personnel;</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costs associated with enforcing our intellectual property rights or defending intellectual property infringement;</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comply with the terms of our financing arrangements;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line="373" w:lineRule="auto"/>
        <w:tabs>
          <w:tab w:leader="none" w:pos="61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restrictions in our Credit Agreement may limit our ability to make strategic investments, respond to changing market conditions, or otherwise operate our business;</w:t>
      </w:r>
    </w:p>
    <w:p>
      <w:pPr>
        <w:ind w:left="620" w:right="60" w:hanging="306"/>
        <w:spacing w:after="0" w:line="404" w:lineRule="auto"/>
        <w:tabs>
          <w:tab w:leader="none" w:pos="616" w:val="left"/>
        </w:tabs>
        <w:numPr>
          <w:ilvl w:val="0"/>
          <w:numId w:val="10"/>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increases in our debt leverage may put us at greater risk of defaulting on our debt obligations, subject us to additional operating restrictions and make it more difficult to obtain future financing on favorable terms;</w:t>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20" w:hanging="306"/>
        <w:spacing w:after="0"/>
        <w:tabs>
          <w:tab w:leader="none" w:pos="620"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sales of our common stock by the former owner of SpotX may have an adverse effect on the price of our common stock;</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conversion of our Convertible Senior Notes would dilute the ownership interest of existing stockholders;</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Capped Call Transactions subject us to counterparty risk and may affect the value of the Convertible Senior Notes and our common stock;</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the conditional conversion feature of the Convertible Senior Notes, if triggered, may adversely affect our financial condition and operating result;</w:t>
      </w:r>
    </w:p>
    <w:p>
      <w:pPr>
        <w:spacing w:after="0" w:line="102" w:lineRule="exact"/>
        <w:rPr>
          <w:rFonts w:ascii="Times New Roman" w:cs="Times New Roman" w:eastAsia="Times New Roman" w:hAnsi="Times New Roman"/>
          <w:sz w:val="17"/>
          <w:szCs w:val="17"/>
          <w:i w:val="1"/>
          <w:iCs w:val="1"/>
          <w:color w:val="auto"/>
        </w:rPr>
      </w:pPr>
    </w:p>
    <w:p>
      <w:pPr>
        <w:ind w:left="620" w:hanging="306"/>
        <w:spacing w:after="0"/>
        <w:tabs>
          <w:tab w:leader="none" w:pos="620"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failure to successfully execute our international growth plans; and</w:t>
      </w:r>
    </w:p>
    <w:p>
      <w:pPr>
        <w:spacing w:after="0" w:line="63" w:lineRule="exact"/>
        <w:rPr>
          <w:rFonts w:ascii="Times New Roman" w:cs="Times New Roman" w:eastAsia="Times New Roman" w:hAnsi="Times New Roman"/>
          <w:sz w:val="17"/>
          <w:szCs w:val="17"/>
          <w:i w:val="1"/>
          <w:iCs w:val="1"/>
          <w:color w:val="auto"/>
        </w:rPr>
      </w:pPr>
    </w:p>
    <w:p>
      <w:pPr>
        <w:ind w:left="620" w:right="140" w:hanging="306"/>
        <w:spacing w:after="0" w:line="293" w:lineRule="auto"/>
        <w:tabs>
          <w:tab w:leader="none" w:pos="616" w:val="left"/>
        </w:tabs>
        <w:numPr>
          <w:ilvl w:val="0"/>
          <w:numId w:val="11"/>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our ability to identify future acquisitions of or investments in complementary companies or technologies and our ability to consummate the acquisitions and integrate such companies or technologies.</w:t>
      </w:r>
    </w:p>
    <w:p>
      <w:pPr>
        <w:spacing w:after="0" w:line="105" w:lineRule="exact"/>
        <w:rPr>
          <w:sz w:val="20"/>
          <w:szCs w:val="20"/>
          <w:color w:val="auto"/>
        </w:rPr>
      </w:pPr>
    </w:p>
    <w:p>
      <w:pPr>
        <w:ind w:firstLine="621"/>
        <w:spacing w:after="0" w:line="259" w:lineRule="auto"/>
        <w:rPr>
          <w:sz w:val="20"/>
          <w:szCs w:val="20"/>
          <w:color w:val="auto"/>
        </w:rPr>
      </w:pPr>
      <w:r>
        <w:rPr>
          <w:rFonts w:ascii="Times New Roman" w:cs="Times New Roman" w:eastAsia="Times New Roman" w:hAnsi="Times New Roman"/>
          <w:sz w:val="17"/>
          <w:szCs w:val="17"/>
          <w:i w:val="1"/>
          <w:iCs w:val="1"/>
          <w:color w:val="auto"/>
        </w:rPr>
        <w:t>We discuss many of these risks and additional factors that could cause actual results to differ materially from those anticipated by our forward-looking statements under the headings "Risk Factors" and "Management's Discussion and Analysis of Financial Condition and Results of Operations," and elsewhere in this report and in other filings we have made and will make from time to time with the Securities and Exchange Commission, or SEC, including our Annual Report on Form 10-K for the year ended December 31, 2021 and subsequent filings. These forward-looking statements represent our estimates and assumptions only as of the date of the report in which they are included. Unless required by federal securities laws, we assume no obligation to update any of these forward-looking statements, or to update the reasons actual results could differ materially from those anticipated, to reflect circumstances or events that occur after the statements are made. Without limiting the foregoing, any guidance we may provide will generally be given only in connection with quarterly and annual earnings announcements, without interim updates, and we may appear at industry conferences or make other public statements without disclosing material nonpublic information in our possession. Given these uncertainties, investors should not place undue reliance on these forward-looking statements.</w:t>
      </w:r>
    </w:p>
    <w:p>
      <w:pPr>
        <w:spacing w:after="0" w:line="55" w:lineRule="exact"/>
        <w:rPr>
          <w:sz w:val="20"/>
          <w:szCs w:val="20"/>
          <w:color w:val="auto"/>
        </w:rPr>
      </w:pPr>
    </w:p>
    <w:p>
      <w:pPr>
        <w:ind w:right="320"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Investors should read this Quarterly Report on Form 10-Q and the documents that we reference in this report and have filed or will file with the SEC completely and with the understanding that our actual future results may be materially different from what we expect. We qualify all of our forward-looking statements by these cautionary statements.</w:t>
      </w:r>
    </w:p>
    <w:p>
      <w:pPr>
        <w:spacing w:after="0" w:line="33" w:lineRule="exact"/>
        <w:rPr>
          <w:sz w:val="20"/>
          <w:szCs w:val="20"/>
          <w:color w:val="auto"/>
        </w:rPr>
      </w:pPr>
    </w:p>
    <w:p>
      <w:pPr>
        <w:ind w:right="380" w:firstLine="621"/>
        <w:spacing w:after="0" w:line="291" w:lineRule="auto"/>
        <w:rPr>
          <w:sz w:val="20"/>
          <w:szCs w:val="20"/>
          <w:color w:val="auto"/>
        </w:rPr>
      </w:pPr>
      <w:r>
        <w:rPr>
          <w:rFonts w:ascii="Times New Roman" w:cs="Times New Roman" w:eastAsia="Times New Roman" w:hAnsi="Times New Roman"/>
          <w:sz w:val="17"/>
          <w:szCs w:val="17"/>
          <w:color w:val="auto"/>
        </w:rPr>
        <w:t>The following discussion should be read in conjunction with our unaudited condensed consolidated financial statements and notes thereto appearing elsewhere in this Quarterly Report on Form 10-Q.</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95" w:lineRule="exact"/>
        <w:rPr>
          <w:sz w:val="20"/>
          <w:szCs w:val="20"/>
          <w:color w:val="auto"/>
        </w:rPr>
      </w:pPr>
    </w:p>
    <w:p>
      <w:pPr>
        <w:ind w:right="220" w:firstLine="621"/>
        <w:spacing w:after="0" w:line="291" w:lineRule="auto"/>
        <w:rPr>
          <w:sz w:val="20"/>
          <w:szCs w:val="20"/>
          <w:color w:val="auto"/>
        </w:rPr>
      </w:pPr>
      <w:r>
        <w:rPr>
          <w:rFonts w:ascii="Times New Roman" w:cs="Times New Roman" w:eastAsia="Times New Roman" w:hAnsi="Times New Roman"/>
          <w:sz w:val="17"/>
          <w:szCs w:val="17"/>
          <w:color w:val="auto"/>
        </w:rPr>
        <w:t>Magnite, Inc., formerly known as The Rubicon Project, Inc. ("we," or "us"), provides technology solutions to automate the purchase and sale of digital advertising inventory.</w:t>
      </w:r>
    </w:p>
    <w:p>
      <w:pPr>
        <w:spacing w:after="0" w:line="18" w:lineRule="exact"/>
        <w:rPr>
          <w:sz w:val="20"/>
          <w:szCs w:val="20"/>
          <w:color w:val="auto"/>
        </w:rPr>
      </w:pPr>
    </w:p>
    <w:p>
      <w:pPr>
        <w:ind w:right="500" w:firstLine="621"/>
        <w:spacing w:after="0" w:line="272" w:lineRule="auto"/>
        <w:rPr>
          <w:sz w:val="20"/>
          <w:szCs w:val="20"/>
          <w:color w:val="auto"/>
        </w:rPr>
      </w:pPr>
      <w:r>
        <w:rPr>
          <w:rFonts w:ascii="Times New Roman" w:cs="Times New Roman" w:eastAsia="Times New Roman" w:hAnsi="Times New Roman"/>
          <w:sz w:val="17"/>
          <w:szCs w:val="17"/>
          <w:color w:val="auto"/>
        </w:rPr>
        <w:t>On April 1, 2020, we completed a stock-for-stock merger with Telaria, Inc. ("Telaria" and such merger the "Telaria Merger"), a leading provider of connected television ("CTV") technology, and on April 30, 2021, we completed the acquisition of SpotX, Inc. ("SpotX" and such acquisition the "SpotX Acquisition"), a leading platform shaping CTV and video advertising globally.</w:t>
      </w:r>
    </w:p>
    <w:p>
      <w:pPr>
        <w:spacing w:after="0" w:line="47" w:lineRule="exact"/>
        <w:rPr>
          <w:sz w:val="20"/>
          <w:szCs w:val="20"/>
          <w:color w:val="auto"/>
        </w:rPr>
      </w:pPr>
    </w:p>
    <w:p>
      <w:pPr>
        <w:ind w:right="80" w:firstLine="621"/>
        <w:spacing w:after="0" w:line="266" w:lineRule="auto"/>
        <w:rPr>
          <w:sz w:val="20"/>
          <w:szCs w:val="20"/>
          <w:color w:val="auto"/>
        </w:rPr>
      </w:pPr>
      <w:r>
        <w:rPr>
          <w:rFonts w:ascii="Times New Roman" w:cs="Times New Roman" w:eastAsia="Times New Roman" w:hAnsi="Times New Roman"/>
          <w:sz w:val="17"/>
          <w:szCs w:val="17"/>
          <w:color w:val="auto"/>
        </w:rPr>
        <w:t>Following the Telaria Merger and SpotX Acquisition, we believe that we are the world’s largest independent omni-channel sell-side advertising platform ("SSP"), offering a single partner for transacting globally across all channels, formats and auction types, and the largest independent programmatic CTV marketplace, making it easier for buyers to reach CTV audiences at scale from industry-leading streaming content providers, broadcasters, platforms and device manufacturers.</w:t>
      </w:r>
    </w:p>
    <w:p>
      <w:pPr>
        <w:spacing w:after="0" w:line="52" w:lineRule="exact"/>
        <w:rPr>
          <w:sz w:val="20"/>
          <w:szCs w:val="20"/>
          <w:color w:val="auto"/>
        </w:rPr>
      </w:pPr>
    </w:p>
    <w:p>
      <w:pPr>
        <w:ind w:right="60" w:firstLine="621"/>
        <w:spacing w:after="0" w:line="261" w:lineRule="auto"/>
        <w:rPr>
          <w:sz w:val="20"/>
          <w:szCs w:val="20"/>
          <w:color w:val="auto"/>
        </w:rPr>
      </w:pPr>
      <w:r>
        <w:rPr>
          <w:rFonts w:ascii="Times New Roman" w:cs="Times New Roman" w:eastAsia="Times New Roman" w:hAnsi="Times New Roman"/>
          <w:sz w:val="17"/>
          <w:szCs w:val="17"/>
          <w:color w:val="auto"/>
        </w:rPr>
        <w:t>Our platform features applications and services for sellers of digital advertising inventory, or publishers, that own and operate CTV channels, applications, websites and other digital media properties, to manage and monetize their inventory; applications and services for buyers, including advertisers, agencies, agency trading desks, and demand side platforms, ("DSPs"), to buy digital advertising inventory; and a transparent, independent marketplace that brings buyers and sellers together and facilitates intelligent decision making and automated transaction execution at scale. Our clients include many of the world’s leading buyers and sellers of digital advertising inventory. Our platform processes trillions of ad requests per month allowing buyers access to a global, scaled, independent alternative to "walled gardens," who both own and sell inventory and maintain control on the demand side.</w:t>
      </w:r>
    </w:p>
    <w:p>
      <w:pPr>
        <w:spacing w:after="0" w:line="44"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We provide a full suite of tools for sellers to control their advertising business and protect the consumer viewing experience. These tools are particularly important to CTV sellers who need to ensure a TV-like viewing and advertising experience for consumers. For instance, our "ad-pod" feature provides publishers with a tool analogous to commercial breaks in traditional linear television so that they can request and manage several ads at once from different demand sources. Using this tool, publishers can establish business rules such as competitive separation of advertisers to ensure that competing brand ads do not appear during the same commercial break. In addition, we offer audio normalization tools to control for the volume of an ad relative to content, frequency capping to avoid exposing viewers to repetitive ad placements, and creative review so that a publisher can review and approve the ad units being served to its properties.</w:t>
      </w:r>
    </w:p>
    <w:p>
      <w:pPr>
        <w:spacing w:after="0" w:line="57" w:lineRule="exact"/>
        <w:rPr>
          <w:sz w:val="20"/>
          <w:szCs w:val="20"/>
          <w:color w:val="auto"/>
        </w:rPr>
      </w:pPr>
    </w:p>
    <w:p>
      <w:pPr>
        <w:ind w:right="80" w:firstLine="621"/>
        <w:spacing w:after="0" w:line="266" w:lineRule="auto"/>
        <w:rPr>
          <w:sz w:val="20"/>
          <w:szCs w:val="20"/>
          <w:color w:val="auto"/>
        </w:rPr>
      </w:pPr>
      <w:r>
        <w:rPr>
          <w:rFonts w:ascii="Times New Roman" w:cs="Times New Roman" w:eastAsia="Times New Roman" w:hAnsi="Times New Roman"/>
          <w:sz w:val="17"/>
          <w:szCs w:val="17"/>
          <w:color w:val="auto"/>
        </w:rPr>
        <w:t>On July 1, 2021, we acquired SpringServe, LLC ("SpringServe"), a leading ad serving platform for CTV. SpringServe's ad serving technology manages multiple aspects of video advertising, including for CTV publishers, across both programmatic and direct-sold inventory, including forecasting, routing, customized ad experiences, and advanced podding logic. The integration of SpringServe’s ad serving technology with our existing programmatic SSP capabilities provides CTV publishers a holistic yield management solution that dynamically allocates between direct-sold and programmatic inventory to drive value.</w:t>
      </w:r>
    </w:p>
    <w:p>
      <w:pPr>
        <w:spacing w:after="0" w:line="52" w:lineRule="exact"/>
        <w:rPr>
          <w:sz w:val="20"/>
          <w:szCs w:val="20"/>
          <w:color w:val="auto"/>
        </w:rPr>
      </w:pPr>
    </w:p>
    <w:p>
      <w:pPr>
        <w:ind w:right="340" w:firstLine="621"/>
        <w:spacing w:after="0" w:line="272" w:lineRule="auto"/>
        <w:rPr>
          <w:sz w:val="20"/>
          <w:szCs w:val="20"/>
          <w:color w:val="auto"/>
        </w:rPr>
      </w:pPr>
      <w:r>
        <w:rPr>
          <w:rFonts w:ascii="Times New Roman" w:cs="Times New Roman" w:eastAsia="Times New Roman" w:hAnsi="Times New Roman"/>
          <w:sz w:val="17"/>
          <w:szCs w:val="17"/>
          <w:color w:val="auto"/>
        </w:rPr>
        <w:t>Buyers leverage our platform to manage their advertising spend and reach their target audiences on brand-safe premium inventory, simplify order management and campaign tracking, obtain actionable insights into audiences for their advertising, and access impression-level purchasing from thousands of sellers. We believe that our scale, platform features, and omni-channel offering makes us an essential partner for buyers.</w:t>
      </w:r>
    </w:p>
    <w:p>
      <w:pPr>
        <w:spacing w:after="0" w:line="34" w:lineRule="exact"/>
        <w:rPr>
          <w:sz w:val="20"/>
          <w:szCs w:val="20"/>
          <w:color w:val="auto"/>
        </w:rPr>
      </w:pPr>
    </w:p>
    <w:p>
      <w:pPr>
        <w:ind w:right="620" w:firstLine="621"/>
        <w:spacing w:after="0" w:line="291" w:lineRule="auto"/>
        <w:rPr>
          <w:sz w:val="20"/>
          <w:szCs w:val="20"/>
          <w:color w:val="auto"/>
        </w:rPr>
      </w:pPr>
      <w:r>
        <w:rPr>
          <w:rFonts w:ascii="Times New Roman" w:cs="Times New Roman" w:eastAsia="Times New Roman" w:hAnsi="Times New Roman"/>
          <w:sz w:val="17"/>
          <w:szCs w:val="17"/>
          <w:color w:val="auto"/>
        </w:rPr>
        <w:t>We operate our business on a worldwide basis, with an established operating presence in North America, Australia and Europe, and a developing presence in Asia and South America. Our non-U.S. subsidiaries and operations perform primarily sales, marketing, and service functions.</w:t>
      </w:r>
    </w:p>
    <w:p>
      <w:pPr>
        <w:spacing w:after="0" w:line="30" w:lineRule="exact"/>
        <w:rPr>
          <w:sz w:val="20"/>
          <w:szCs w:val="20"/>
          <w:color w:val="auto"/>
        </w:rPr>
      </w:pPr>
    </w:p>
    <w:p>
      <w:pPr>
        <w:ind w:right="20" w:firstLine="621"/>
        <w:spacing w:after="0" w:line="263" w:lineRule="auto"/>
        <w:rPr>
          <w:sz w:val="20"/>
          <w:szCs w:val="20"/>
          <w:color w:val="auto"/>
        </w:rPr>
      </w:pPr>
      <w:r>
        <w:rPr>
          <w:rFonts w:ascii="Times New Roman" w:cs="Times New Roman" w:eastAsia="Times New Roman" w:hAnsi="Times New Roman"/>
          <w:sz w:val="17"/>
          <w:szCs w:val="17"/>
          <w:color w:val="auto"/>
        </w:rPr>
        <w:t>Our global workforce maintained a work from-home policy from March 2020 through April 2022 and, in most of our locations, recently returned to offices. We have approached our return with caution to prioritize the safety and health of our employees, and will continue to monitor best practices and guidance. We believe that our employees have been able to work productively during the time period in which our global offices have been shut down and will continue to do so in office. However, to the extent we must extend work from home requirements, or that work patterns are permanently altered, it is unclear how productivity may be impacted in the long-term.</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How We Generate Revenue</w:t>
      </w:r>
    </w:p>
    <w:p>
      <w:pPr>
        <w:spacing w:after="0" w:line="91" w:lineRule="exact"/>
        <w:rPr>
          <w:sz w:val="20"/>
          <w:szCs w:val="20"/>
          <w:color w:val="auto"/>
        </w:rPr>
      </w:pPr>
    </w:p>
    <w:p>
      <w:pPr>
        <w:ind w:right="160" w:firstLine="621"/>
        <w:spacing w:after="0" w:line="266" w:lineRule="auto"/>
        <w:rPr>
          <w:sz w:val="20"/>
          <w:szCs w:val="20"/>
          <w:color w:val="auto"/>
        </w:rPr>
      </w:pPr>
      <w:r>
        <w:rPr>
          <w:rFonts w:ascii="Times New Roman" w:cs="Times New Roman" w:eastAsia="Times New Roman" w:hAnsi="Times New Roman"/>
          <w:sz w:val="17"/>
          <w:szCs w:val="17"/>
          <w:color w:val="auto"/>
        </w:rPr>
        <w:t>Digital advertising inventory is created when consumers access sellers' content. Sellers provide digital advertising inventory to our platform in the form of advertising requests, or ad requests. When we receive ad requests from sellers, we send bid requests to buyers, which enable buyers to bid on sellers’ digital advertising inventory. Winning bids can create advertising, or paid impressions, for the seller to present to the consumer. The price that buyers pay for each thousand paid impressions purchased is</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700"/>
        <w:spacing w:after="0" w:line="291" w:lineRule="auto"/>
        <w:rPr>
          <w:sz w:val="20"/>
          <w:szCs w:val="20"/>
          <w:color w:val="auto"/>
        </w:rPr>
      </w:pPr>
      <w:r>
        <w:rPr>
          <w:rFonts w:ascii="Times New Roman" w:cs="Times New Roman" w:eastAsia="Times New Roman" w:hAnsi="Times New Roman"/>
          <w:sz w:val="17"/>
          <w:szCs w:val="17"/>
          <w:color w:val="auto"/>
        </w:rPr>
        <w:t>measured in units referred to as CPM, or cost per thousand, and the total volume of spending between buyers and sellers on our platform is referred to as advertising spend.</w:t>
      </w:r>
    </w:p>
    <w:p>
      <w:pPr>
        <w:spacing w:after="0" w:line="18" w:lineRule="exact"/>
        <w:rPr>
          <w:sz w:val="20"/>
          <w:szCs w:val="20"/>
          <w:color w:val="auto"/>
        </w:rPr>
      </w:pPr>
    </w:p>
    <w:p>
      <w:pPr>
        <w:ind w:right="100" w:firstLine="621"/>
        <w:spacing w:after="0" w:line="266" w:lineRule="auto"/>
        <w:rPr>
          <w:sz w:val="20"/>
          <w:szCs w:val="20"/>
          <w:color w:val="auto"/>
        </w:rPr>
      </w:pPr>
      <w:r>
        <w:rPr>
          <w:rFonts w:ascii="Times New Roman" w:cs="Times New Roman" w:eastAsia="Times New Roman" w:hAnsi="Times New Roman"/>
          <w:sz w:val="17"/>
          <w:szCs w:val="17"/>
          <w:color w:val="auto"/>
        </w:rPr>
        <w:t>We generate revenue from the use of our platform for the purchase and sale of digital advertising inventory.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the fee we charge clients for use of our Demand Manager header-bidding product and SpringServe ad server product</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Industry Trends</w:t>
      </w:r>
    </w:p>
    <w:p>
      <w:pPr>
        <w:spacing w:after="0" w:line="1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Continued Shift Toward Digital Advertising</w:t>
      </w:r>
    </w:p>
    <w:p>
      <w:pPr>
        <w:spacing w:after="0" w:line="91" w:lineRule="exact"/>
        <w:rPr>
          <w:sz w:val="20"/>
          <w:szCs w:val="20"/>
          <w:color w:val="auto"/>
        </w:rPr>
      </w:pPr>
    </w:p>
    <w:p>
      <w:pPr>
        <w:ind w:right="360" w:firstLine="621"/>
        <w:spacing w:after="0" w:line="272" w:lineRule="auto"/>
        <w:rPr>
          <w:sz w:val="20"/>
          <w:szCs w:val="20"/>
          <w:color w:val="auto"/>
        </w:rPr>
      </w:pPr>
      <w:r>
        <w:rPr>
          <w:rFonts w:ascii="Times New Roman" w:cs="Times New Roman" w:eastAsia="Times New Roman" w:hAnsi="Times New Roman"/>
          <w:sz w:val="17"/>
          <w:szCs w:val="17"/>
          <w:color w:val="auto"/>
        </w:rPr>
        <w:t>Consumers are rapidly shifting their viewing habits towards digital mediums and expect to be able to consume content seamlessly across multiple devices, including computers, tablets, smartphones, and CTVs whenever and wherever they want. As digital content consumption continues to proliferate, we believe the percentage of advertising dollars spent through digital channels will continue to grow.</w:t>
      </w:r>
    </w:p>
    <w:p>
      <w:pPr>
        <w:spacing w:after="0" w:line="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Automation of Buying and Selling</w:t>
      </w:r>
    </w:p>
    <w:p>
      <w:pPr>
        <w:spacing w:after="0" w:line="104" w:lineRule="exact"/>
        <w:rPr>
          <w:sz w:val="20"/>
          <w:szCs w:val="20"/>
          <w:color w:val="auto"/>
        </w:rPr>
      </w:pPr>
    </w:p>
    <w:p>
      <w:pPr>
        <w:ind w:right="40" w:firstLine="621"/>
        <w:spacing w:after="0" w:line="259" w:lineRule="auto"/>
        <w:rPr>
          <w:sz w:val="20"/>
          <w:szCs w:val="20"/>
          <w:color w:val="auto"/>
        </w:rPr>
      </w:pPr>
      <w:r>
        <w:rPr>
          <w:rFonts w:ascii="Times New Roman" w:cs="Times New Roman" w:eastAsia="Times New Roman" w:hAnsi="Times New Roman"/>
          <w:sz w:val="17"/>
          <w:szCs w:val="17"/>
          <w:color w:val="auto"/>
        </w:rPr>
        <w:t>Due to the size and complexity of the advertising ecosystem and purchasing process, manual processes cannot effectively manage digital advertising inventory at scale. In addition, both buyers and sellers are demanding more transparency, better controls and more relevant insights from their advertising inventory purchases and sales. This has created a need for software solutions, known as programmatic advertising, that automate the process for planning, buying, selling and measuring digital advertising across screens. Programmatic buying enables the use of real-time bidding technology that allows for the dynamic purchase and sale of advertising inventory on an impression-by-impression basis. Programmatic transactions include open auctions, where multiple buyers bid against each other in a real-time auction for the right to purchase a publisher's inventory, as well as reserve auctions, where publishers establish direct deals or private marketplaces with select buyers. Programmatic has become the dominant method of transacting for desktop and mobile inventory and we expect it to continue to grow as a percentage of CTV advertising.</w:t>
      </w:r>
    </w:p>
    <w:p>
      <w:pPr>
        <w:spacing w:after="0" w:line="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Convergence of TV and Digital</w:t>
      </w:r>
    </w:p>
    <w:p>
      <w:pPr>
        <w:spacing w:after="0" w:line="104" w:lineRule="exact"/>
        <w:rPr>
          <w:sz w:val="20"/>
          <w:szCs w:val="20"/>
          <w:color w:val="auto"/>
        </w:rPr>
      </w:pPr>
    </w:p>
    <w:p>
      <w:pPr>
        <w:ind w:right="280" w:firstLine="621"/>
        <w:spacing w:after="0" w:line="261" w:lineRule="auto"/>
        <w:rPr>
          <w:sz w:val="20"/>
          <w:szCs w:val="20"/>
          <w:color w:val="auto"/>
        </w:rPr>
      </w:pPr>
      <w:r>
        <w:rPr>
          <w:rFonts w:ascii="Times New Roman" w:cs="Times New Roman" w:eastAsia="Times New Roman" w:hAnsi="Times New Roman"/>
          <w:sz w:val="17"/>
          <w:szCs w:val="17"/>
          <w:color w:val="auto"/>
        </w:rPr>
        <w:t>CTV viewership is growing rapidly and the pace of adoption is accelerating the transition of linear television to CTV programming. As the number of CTV channels continues to proliferate, we believe that ad-supported models or hybrid models that rely on a combination of subscription fees and advertising revenue will continue to gain traction. In turn, we believe brand advertisers looking to engage with streaming viewers will continue to shift their budgets from linear to CTV. Furthermore, as the CTV market continues to mature, we believe that a greater percentage of CTV advertising inventory will be sold programmatically, similar to trends that occurred in desktop and mobile. As such, we expect CTV to be a significant driver of our revenue growth for the foreseeable future. We expect the recently completed acquisitions of SpotX and SpringServe to further fuel this growth.</w:t>
      </w:r>
    </w:p>
    <w:p>
      <w:pPr>
        <w:spacing w:after="0" w:line="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Identity Solutions</w:t>
      </w:r>
    </w:p>
    <w:p>
      <w:pPr>
        <w:spacing w:after="0" w:line="91" w:lineRule="exact"/>
        <w:rPr>
          <w:sz w:val="20"/>
          <w:szCs w:val="20"/>
          <w:color w:val="auto"/>
        </w:rPr>
      </w:pPr>
    </w:p>
    <w:p>
      <w:pPr>
        <w:ind w:firstLine="621"/>
        <w:spacing w:after="0" w:line="258" w:lineRule="auto"/>
        <w:rPr>
          <w:sz w:val="20"/>
          <w:szCs w:val="20"/>
          <w:color w:val="auto"/>
        </w:rPr>
      </w:pPr>
      <w:r>
        <w:rPr>
          <w:rFonts w:ascii="Times New Roman" w:cs="Times New Roman" w:eastAsia="Times New Roman" w:hAnsi="Times New Roman"/>
          <w:sz w:val="17"/>
          <w:szCs w:val="17"/>
          <w:color w:val="auto"/>
        </w:rPr>
        <w:t>A number of participants in the advertising technology ecosystem have taken or are expected to take action to eliminate or restrict the use of third-party cookies and other primary identifiers that have historically been used to deliver targeted advertisements. We believe that the elimination of third-party cookies has the potential to shift the programmatic ecosystem from an identity model powered by buyers that are able to aggregate and target audiences through cookies to one enabled by sellers that have direct relationships with consumers and are therefore better positioned to obtain user data and consent for implementing first party identifiers. We believe that our platform and scale position us well to take a leadership position in advancing this shift and creating additional value opportunities for our clients. Accordingly, we have invested and intend to further invest in the development and enhancement of industry leading identity and audience solutions. In furtherance of this goal, in December 2021, we acquired Nth Party, Ltd. ("Nth Party"), a developer of cryptographic software for secure audience data sharing and analysis, and in February 2022, we acquired the business of Carbon (AI) Limited ("Carbon"), a platform that enables publishers to measure, manage, and monetize audience segments.</w:t>
      </w:r>
    </w:p>
    <w:p>
      <w:pPr>
        <w:spacing w:after="0" w:line="62"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We support industry privacy initiatives and believe that the next generation of identity solutions need to be open and ubiquitous, with consumer privacy, transparency and control at the core. We further believe that these solutions will ultimately lead to greater trust and consumer confidence in digital advertising, which will be positive for the advertising ecosystem in the long term. In the short term, however, these changes could create some variability in our revenue across certain buyers or sellers, depending on the timing of changes and developed solutions.</w:t>
      </w:r>
    </w:p>
    <w:p>
      <w:pPr>
        <w:spacing w:after="0" w:line="5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Supply Path Optimization</w:t>
      </w:r>
    </w:p>
    <w:p>
      <w:pPr>
        <w:spacing w:after="0" w:line="91" w:lineRule="exact"/>
        <w:rPr>
          <w:sz w:val="20"/>
          <w:szCs w:val="20"/>
          <w:color w:val="auto"/>
        </w:rPr>
      </w:pPr>
    </w:p>
    <w:p>
      <w:pPr>
        <w:ind w:right="160" w:firstLine="621"/>
        <w:spacing w:after="0" w:line="266" w:lineRule="auto"/>
        <w:rPr>
          <w:sz w:val="20"/>
          <w:szCs w:val="20"/>
          <w:color w:val="auto"/>
        </w:rPr>
      </w:pPr>
      <w:r>
        <w:rPr>
          <w:rFonts w:ascii="Times New Roman" w:cs="Times New Roman" w:eastAsia="Times New Roman" w:hAnsi="Times New Roman"/>
          <w:sz w:val="17"/>
          <w:szCs w:val="17"/>
          <w:color w:val="auto"/>
        </w:rPr>
        <w:t>Supply Path Optimization ("SPO") refers to efforts by buyers to consolidate the number of vendors with which they work to find the most effective and cost-efficient paths to procure media. SPO is important to buyers because it can increase the proportion of their advertising ultimately spent on working media, with the goal of increasing return on their advertising spend, and can help them gain efficiencies by reducing the number of vendors with which they work in a complex ecosystem. We believe we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7"/>
          <w:szCs w:val="17"/>
          <w:color w:val="auto"/>
        </w:rPr>
        <w:t>are well positioned to benefit from SPO in the long run as a result of our transparency, our broad and unique inventory supply across all channels and formats, including CTV, buyer tools, such as traffic shaping that reduce the cost of working with us, and our brand safety measures.</w:t>
      </w:r>
    </w:p>
    <w:p>
      <w:pPr>
        <w:spacing w:after="0" w:line="1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Header Bidding and Data Processing</w:t>
      </w:r>
    </w:p>
    <w:p>
      <w:pPr>
        <w:spacing w:after="0" w:line="104" w:lineRule="exact"/>
        <w:rPr>
          <w:sz w:val="20"/>
          <w:szCs w:val="20"/>
          <w:color w:val="auto"/>
        </w:rPr>
      </w:pPr>
    </w:p>
    <w:p>
      <w:pPr>
        <w:ind w:right="40" w:firstLine="621"/>
        <w:spacing w:after="0" w:line="263" w:lineRule="auto"/>
        <w:rPr>
          <w:sz w:val="20"/>
          <w:szCs w:val="20"/>
          <w:color w:val="auto"/>
        </w:rPr>
      </w:pPr>
      <w:r>
        <w:rPr>
          <w:rFonts w:ascii="Times New Roman" w:cs="Times New Roman" w:eastAsia="Times New Roman" w:hAnsi="Times New Roman"/>
          <w:sz w:val="17"/>
          <w:szCs w:val="17"/>
          <w:color w:val="auto"/>
        </w:rPr>
        <w:t>Header bidding is a programmatic technique by which sellers offer inventory to multiple ad exchanges and supply side platforms, such as our platform, simultaneously. Header bidding has been rapidly adopted in recent years in the desktop and mobile channels, and while the rise and rapid adoption of header bidding increased revenue for sellers, it has also created new challenges and technical complexities. Header bidding has led to a significant increase in the number of ad impressions to be processed and analyzed through our platform as well as by DSPs, which can lead to increased costs if not properly addressed. We have invested in technology solutions, such as Demand Manager, to help publishers manage their header-bidding inventory.</w:t>
      </w:r>
    </w:p>
    <w:p>
      <w:pPr>
        <w:spacing w:after="0" w:line="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Privacy Regulation</w:t>
      </w:r>
    </w:p>
    <w:p>
      <w:pPr>
        <w:spacing w:after="0" w:line="91" w:lineRule="exact"/>
        <w:rPr>
          <w:sz w:val="20"/>
          <w:szCs w:val="20"/>
          <w:color w:val="auto"/>
        </w:rPr>
      </w:pPr>
    </w:p>
    <w:p>
      <w:pPr>
        <w:jc w:val="both"/>
        <w:ind w:right="440" w:firstLine="621"/>
        <w:spacing w:after="0" w:line="272" w:lineRule="auto"/>
        <w:rPr>
          <w:sz w:val="20"/>
          <w:szCs w:val="20"/>
          <w:color w:val="auto"/>
        </w:rPr>
      </w:pPr>
      <w:r>
        <w:rPr>
          <w:rFonts w:ascii="Times New Roman" w:cs="Times New Roman" w:eastAsia="Times New Roman" w:hAnsi="Times New Roman"/>
          <w:sz w:val="17"/>
          <w:szCs w:val="17"/>
          <w:color w:val="auto"/>
        </w:rPr>
        <w:t>Our business is highly susceptible to emerging privacy regulations and oversight concerning the collection, use and sharing of data. Data protection authorities in a number of territories have expressed a desire to focus on the advertising technology ecosystem. Because we, and our clients, rely upon large volumes of such data, it is essential that we monitor developments in this area domestically and globally, and engage in responsible privacy practices.</w:t>
      </w:r>
    </w:p>
    <w:p>
      <w:pPr>
        <w:spacing w:after="0" w:line="47"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We do not collect information, such as name, address, or phone number, that can be used directly to identify a real person, and we take steps not to collect and store such information. Instead, we rely on IP addresses, geo-location information, and persistent identifiers about Internet users and do not attempt to associate this data with other data that can be used to identify real people. This type of information is considered "personal" in some jurisdictions or otherwise may be the subject of future legislation or regulation. The definition of personal data varies by country, and continues to evolve in ways that may require us to adapt our practices to avoid violating laws or regulations related to the collection, storage, and use of consumer data. As a result, our technology platform and business practices must be assessed regularly in each country in which we do business.</w:t>
      </w:r>
    </w:p>
    <w:p>
      <w:pPr>
        <w:spacing w:after="0" w:line="57" w:lineRule="exact"/>
        <w:rPr>
          <w:sz w:val="20"/>
          <w:szCs w:val="20"/>
          <w:color w:val="auto"/>
        </w:rPr>
      </w:pPr>
    </w:p>
    <w:p>
      <w:pPr>
        <w:ind w:right="100" w:firstLine="621"/>
        <w:spacing w:after="0" w:line="263" w:lineRule="auto"/>
        <w:rPr>
          <w:sz w:val="20"/>
          <w:szCs w:val="20"/>
          <w:color w:val="auto"/>
        </w:rPr>
      </w:pPr>
      <w:r>
        <w:rPr>
          <w:rFonts w:ascii="Times New Roman" w:cs="Times New Roman" w:eastAsia="Times New Roman" w:hAnsi="Times New Roman"/>
          <w:sz w:val="17"/>
          <w:szCs w:val="17"/>
          <w:color w:val="auto"/>
        </w:rPr>
        <w:t>There are also a number of specific laws and regulations governing the collection and use of certain types of consumer data relevant to our business. For example, the Children’s Online Privacy Protection Act ("COPPA"), imposes restrictions on the collection and use of data about users of child-directed websites. With respect to COPPA, we have taken various steps to implement a system that: (i) flags seller-identified child-directed sites to buyers, (ii) limits advertisers’ ability to serve personalized advertisements on child-directed sites, (iii) helps limit the types of information that our advertisers have access to when placing advertisements on child-directed sites, and (iv) limits the data that we collect and use on such child-directed sites.</w:t>
      </w:r>
    </w:p>
    <w:p>
      <w:pPr>
        <w:spacing w:after="0" w:line="41" w:lineRule="exact"/>
        <w:rPr>
          <w:sz w:val="20"/>
          <w:szCs w:val="20"/>
          <w:color w:val="auto"/>
        </w:rPr>
      </w:pPr>
    </w:p>
    <w:p>
      <w:pPr>
        <w:ind w:firstLine="621"/>
        <w:spacing w:after="0" w:line="263" w:lineRule="auto"/>
        <w:rPr>
          <w:sz w:val="20"/>
          <w:szCs w:val="20"/>
          <w:color w:val="auto"/>
        </w:rPr>
      </w:pPr>
      <w:r>
        <w:rPr>
          <w:rFonts w:ascii="Times New Roman" w:cs="Times New Roman" w:eastAsia="Times New Roman" w:hAnsi="Times New Roman"/>
          <w:sz w:val="17"/>
          <w:szCs w:val="17"/>
          <w:color w:val="auto"/>
        </w:rPr>
        <w:t>The use and transfer of personal data in the European Economic Area ("EEA") member states and the United Kingdom (“UK”) is currently governed by the General Data Protection Regulation and the UK General Data Protection Regulation (the "GDPR" and "UK GDPR"). The GDPR and UK GDPR set out higher potential liabilities for certain data protection violations and establish significant new regulatory requirements resulting in a greater compliance burden for us in the course of delivering our solution in the EEA and UK. While data protection authorities have started to clarify certain requirements under GDPR and UK GDPR, significant uncertainty remains as to how the regulation will be applied and enforced.</w:t>
      </w:r>
    </w:p>
    <w:p>
      <w:pPr>
        <w:spacing w:after="0" w:line="54" w:lineRule="exact"/>
        <w:rPr>
          <w:sz w:val="20"/>
          <w:szCs w:val="20"/>
          <w:color w:val="auto"/>
        </w:rPr>
      </w:pPr>
    </w:p>
    <w:p>
      <w:pPr>
        <w:ind w:firstLine="621"/>
        <w:spacing w:after="0" w:line="258" w:lineRule="auto"/>
        <w:rPr>
          <w:sz w:val="20"/>
          <w:szCs w:val="20"/>
          <w:color w:val="auto"/>
        </w:rPr>
      </w:pPr>
      <w:r>
        <w:rPr>
          <w:rFonts w:ascii="Times New Roman" w:cs="Times New Roman" w:eastAsia="Times New Roman" w:hAnsi="Times New Roman"/>
          <w:sz w:val="17"/>
          <w:szCs w:val="17"/>
          <w:color w:val="auto"/>
        </w:rPr>
        <w:t>In addition to the GDPR and UK GDPR, a number of new privacy regulations will or have already come into effect. The California legislature passed the California Consumer Privacy Act ("CCPA") in 2018, which became effective January 1, 2020. This law imposes new obligations on businesses that handle the personal information of California residents. The obligations imposed require us to maintain ongoing significant resources for compliance purposes. Certain requirements remain unclear due to ambiguities in the drafting of or incomplete guidance. Adding to the uncertainty facing the ad tech industry, a new law, titled the California Privacy Rights Act ("CPRA") recently passed as a ballot initiative in California and will impose additional notice and opt out obligations on the digital advertising space. This law, which will take effect in January 2023, will cause us to incur additional compliance costs and impose additional restrictions on us and on our industry partners. These ambiguities and resulting impact on our business will need to be resolved over time. In addition, other privacy bills have been introduced at both the state and federal level. Certain international territories are also imposing new or expanded privacy obligations. In the coming years, we expect further consumer privacy regulation worldwide.</w:t>
      </w:r>
    </w:p>
    <w:p>
      <w:pPr>
        <w:spacing w:after="0" w:line="62" w:lineRule="exact"/>
        <w:rPr>
          <w:sz w:val="20"/>
          <w:szCs w:val="20"/>
          <w:color w:val="auto"/>
        </w:rPr>
      </w:pPr>
    </w:p>
    <w:p>
      <w:pPr>
        <w:ind w:right="40" w:firstLine="621"/>
        <w:spacing w:after="0" w:line="263" w:lineRule="auto"/>
        <w:rPr>
          <w:sz w:val="20"/>
          <w:szCs w:val="20"/>
          <w:color w:val="auto"/>
        </w:rPr>
      </w:pPr>
      <w:r>
        <w:rPr>
          <w:rFonts w:ascii="Times New Roman" w:cs="Times New Roman" w:eastAsia="Times New Roman" w:hAnsi="Times New Roman"/>
          <w:sz w:val="17"/>
          <w:szCs w:val="17"/>
          <w:color w:val="auto"/>
        </w:rPr>
        <w:t>Additionally, our compliance with our privacy policies and our general consumer privacy practices are also subject to review by the Federal Trade Commission, which may bring enforcement actions to challenge allegedly unfair and deceptive trade practices, including the violation of privacy policies and representations therein. Certain State Attorneys General may also bring enforcement actions based on comparable state laws or federal laws that permit state-level enforcement. Outside of the United States, our privacy and data practices are subject to regulation by data protection authorities and other regulators in the countries in which we do business.</w:t>
      </w:r>
    </w:p>
    <w:p>
      <w:pPr>
        <w:spacing w:after="0" w:line="41" w:lineRule="exact"/>
        <w:rPr>
          <w:sz w:val="20"/>
          <w:szCs w:val="20"/>
          <w:color w:val="auto"/>
        </w:rPr>
      </w:pPr>
    </w:p>
    <w:p>
      <w:pPr>
        <w:ind w:right="80" w:firstLine="621"/>
        <w:spacing w:after="0" w:line="272" w:lineRule="auto"/>
        <w:rPr>
          <w:sz w:val="20"/>
          <w:szCs w:val="20"/>
          <w:color w:val="auto"/>
        </w:rPr>
      </w:pPr>
      <w:r>
        <w:rPr>
          <w:rFonts w:ascii="Times New Roman" w:cs="Times New Roman" w:eastAsia="Times New Roman" w:hAnsi="Times New Roman"/>
          <w:sz w:val="17"/>
          <w:szCs w:val="17"/>
          <w:color w:val="auto"/>
        </w:rPr>
        <w:t>Beyond laws and regulations, we are members of self-regulatory bodies that impose additional requirements related to the collection, use, and disclosure of consumer data, including the Internet Advertising Bureau ("IAB"), the Digital Advertising Alliance, the Network Advertising Initiative, and the Europe Interactive Digital Advertising Alliance. Under the requirements of</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7"/>
          <w:szCs w:val="17"/>
          <w:color w:val="auto"/>
        </w:rPr>
        <w:t>these self-regulatory bodies, in addition to other compliance obligations, we provide consumers with notice via our privacy policy about our use of cookies and other technologies to collect consumer data, and of our collection and use of consumer data to deliver personalized advertisements. We allow consumers to opt-out from the use of data we collect for purposes of behavioral advertising through a mechanism on our website, linked through our privacy policy as well as through portals maintained by some of these self-regulatory bodies. Some of these self-regulatory bodies have the ability to discipline members or participants, which could result in fines, penalties, and/or public censure (which could in turn cause reputational harm). Additionally, some of these self-regulatory bodies might refer violations of their requirements to the Federal Trade Commission or other regulatory bodies.</w:t>
      </w:r>
    </w:p>
    <w:p>
      <w:pPr>
        <w:spacing w:after="0" w:line="44" w:lineRule="exact"/>
        <w:rPr>
          <w:sz w:val="20"/>
          <w:szCs w:val="20"/>
          <w:color w:val="auto"/>
        </w:rPr>
      </w:pPr>
    </w:p>
    <w:p>
      <w:pPr>
        <w:jc w:val="both"/>
        <w:ind w:right="200" w:firstLine="621"/>
        <w:spacing w:after="0" w:line="272" w:lineRule="auto"/>
        <w:rPr>
          <w:sz w:val="20"/>
          <w:szCs w:val="20"/>
          <w:color w:val="auto"/>
        </w:rPr>
      </w:pPr>
      <w:r>
        <w:rPr>
          <w:rFonts w:ascii="Times New Roman" w:cs="Times New Roman" w:eastAsia="Times New Roman" w:hAnsi="Times New Roman"/>
          <w:sz w:val="17"/>
          <w:szCs w:val="17"/>
          <w:color w:val="auto"/>
        </w:rPr>
        <w:t>We support privacy initiatives and believe they will be beneficial to consumers' confidence in advertising technology, which will ultimately be positive for the advertising ecosystem in the long term. However, until prevailing compliance practices standardize, the impact of worldwide privacy regulations on our business and, consequently, our revenue could be negatively impacted.</w:t>
      </w:r>
    </w:p>
    <w:p>
      <w:pPr>
        <w:spacing w:after="0" w:line="47" w:lineRule="exact"/>
        <w:rPr>
          <w:sz w:val="20"/>
          <w:szCs w:val="20"/>
          <w:color w:val="auto"/>
        </w:rPr>
      </w:pPr>
    </w:p>
    <w:p>
      <w:pPr>
        <w:ind w:right="40" w:firstLine="621"/>
        <w:spacing w:after="0" w:line="291" w:lineRule="auto"/>
        <w:rPr>
          <w:sz w:val="20"/>
          <w:szCs w:val="20"/>
          <w:color w:val="auto"/>
        </w:rPr>
      </w:pPr>
      <w:r>
        <w:rPr>
          <w:rFonts w:ascii="Times New Roman" w:cs="Times New Roman" w:eastAsia="Times New Roman" w:hAnsi="Times New Roman"/>
          <w:sz w:val="17"/>
          <w:szCs w:val="17"/>
          <w:color w:val="auto"/>
        </w:rPr>
        <w:t>For additional information regarding regulatory risks to our business, see "Item 1A. Risk Factors"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Trends in Our Business</w:t>
      </w:r>
    </w:p>
    <w:p>
      <w:pPr>
        <w:spacing w:after="0" w:line="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Telaria Merger, SpotX and SpringServe Acquisitions</w:t>
      </w:r>
    </w:p>
    <w:p>
      <w:pPr>
        <w:spacing w:after="0" w:line="106" w:lineRule="exact"/>
        <w:rPr>
          <w:sz w:val="20"/>
          <w:szCs w:val="20"/>
          <w:color w:val="auto"/>
        </w:rPr>
      </w:pPr>
    </w:p>
    <w:p>
      <w:pPr>
        <w:ind w:right="40" w:firstLine="621"/>
        <w:spacing w:after="0" w:line="266" w:lineRule="auto"/>
        <w:rPr>
          <w:sz w:val="20"/>
          <w:szCs w:val="20"/>
          <w:color w:val="auto"/>
        </w:rPr>
      </w:pPr>
      <w:r>
        <w:rPr>
          <w:rFonts w:ascii="Times New Roman" w:cs="Times New Roman" w:eastAsia="Times New Roman" w:hAnsi="Times New Roman"/>
          <w:sz w:val="17"/>
          <w:szCs w:val="17"/>
          <w:color w:val="auto"/>
        </w:rPr>
        <w:t>On April 1, 2020, we completed the Telaria Merger, and on April 30, 2021, we completed the SpotX Acquisition. These transactions were transformative and have resulted in what we believe to be the world’s largest independent sell-side advertising platform and ad server, with scale, capabilities, and solutions exceeding those offered by competitors. We offer a single partner for transacting CTV, desktop display, video, audio and mobile inventory across all geographies and auction types.</w:t>
      </w:r>
    </w:p>
    <w:p>
      <w:pPr>
        <w:spacing w:after="0" w:line="52" w:lineRule="exact"/>
        <w:rPr>
          <w:sz w:val="20"/>
          <w:szCs w:val="20"/>
          <w:color w:val="auto"/>
        </w:rPr>
      </w:pPr>
    </w:p>
    <w:p>
      <w:pPr>
        <w:ind w:right="460" w:firstLine="621"/>
        <w:spacing w:after="0" w:line="291" w:lineRule="auto"/>
        <w:rPr>
          <w:sz w:val="20"/>
          <w:szCs w:val="20"/>
          <w:color w:val="auto"/>
        </w:rPr>
      </w:pPr>
      <w:r>
        <w:rPr>
          <w:rFonts w:ascii="Times New Roman" w:cs="Times New Roman" w:eastAsia="Times New Roman" w:hAnsi="Times New Roman"/>
          <w:sz w:val="17"/>
          <w:szCs w:val="17"/>
          <w:color w:val="auto"/>
        </w:rPr>
        <w:t>As CTV viewership is growing rapidly and the pace of adoption is accelerating the shift of advertising budgets from linear television to CTV, these transactions have strategically positioned us to take advantage of this trend, and we believe that CTV will be our biggest growth driver in future periods.</w:t>
      </w:r>
    </w:p>
    <w:p>
      <w:pPr>
        <w:spacing w:after="0" w:line="18" w:lineRule="exact"/>
        <w:rPr>
          <w:sz w:val="20"/>
          <w:szCs w:val="20"/>
          <w:color w:val="auto"/>
        </w:rPr>
      </w:pPr>
    </w:p>
    <w:p>
      <w:pPr>
        <w:ind w:right="180" w:firstLine="621"/>
        <w:spacing w:after="0" w:line="259" w:lineRule="auto"/>
        <w:rPr>
          <w:sz w:val="20"/>
          <w:szCs w:val="20"/>
          <w:color w:val="auto"/>
        </w:rPr>
      </w:pPr>
      <w:r>
        <w:rPr>
          <w:rFonts w:ascii="Times New Roman" w:cs="Times New Roman" w:eastAsia="Times New Roman" w:hAnsi="Times New Roman"/>
          <w:sz w:val="17"/>
          <w:szCs w:val="17"/>
          <w:color w:val="auto"/>
        </w:rPr>
        <w:t>The SpotX Acquisition resulted in a significant increase in our revenue and Revenue ex-TAC (as defined in section "Key Operating and Financial Performance Metrics"), in particular in CTV and online video. Following the transaction, the percentage of our revenue attributable to CTV increased significantly, and because CTV is largely transacted through reserve auctions, these types of auctions have become a more significant portion of the transactions on our platform. The acquisition also resulted in an increase in related operating expenses, primarily associated with costs for personnel, data center and hosting costs, facilities, payments to sellers for revenue reported on a gross basis, and other ancillary costs to support the business. We expect some of those increases to be offset by cost saving activities that began in the second quarter of 2021 and continue to be in process. We are targeting in excess of $35 million in run-rate operating cost synergies, over a two year period and have made significant progress towards this goal. As part of our integration efforts, we are in the process of consolidating our legacy CTV and SpotX CTV platforms, including the migration of clients to the unified platform.</w:t>
      </w:r>
    </w:p>
    <w:p>
      <w:pPr>
        <w:spacing w:after="0" w:line="59" w:lineRule="exact"/>
        <w:rPr>
          <w:sz w:val="20"/>
          <w:szCs w:val="20"/>
          <w:color w:val="auto"/>
        </w:rPr>
      </w:pPr>
    </w:p>
    <w:p>
      <w:pPr>
        <w:ind w:firstLine="621"/>
        <w:spacing w:after="0" w:line="260" w:lineRule="auto"/>
        <w:rPr>
          <w:sz w:val="20"/>
          <w:szCs w:val="20"/>
          <w:color w:val="auto"/>
        </w:rPr>
      </w:pPr>
      <w:r>
        <w:rPr>
          <w:rFonts w:ascii="Times New Roman" w:cs="Times New Roman" w:eastAsia="Times New Roman" w:hAnsi="Times New Roman"/>
          <w:sz w:val="17"/>
          <w:szCs w:val="17"/>
          <w:color w:val="auto"/>
        </w:rPr>
        <w:t>The SpringServe Acquisition, which we completed in July 2021, expanded our video and CTV offering to include ad server functionality in addition to our programmatic SSP capabilities. The SpringServe ad server manages multiple aspects of video advertising for both programmatic transactions and inventory sold directly by the publisher, including forecasting, routing, customized ad experiences, and advanced podding logic. Combined with our SSP, the SpringServe ad server provides publishers a holistic yield management solution that works across their entire video advertising business to drive value. This is of particular importance for CTV publishers, who still sell a large percentage of their inventory through their direct sales team. We believe the acquisition of SpringServe is highly strategic as it allows us to offer publishers an independent full-stack solution to the walled gardens, which can be leveraged across their entire video advertising business.</w:t>
      </w:r>
    </w:p>
    <w:p>
      <w:pPr>
        <w:spacing w:after="0" w:line="2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Impact of COVID-19 Pandemic and Other Recent Developments</w:t>
      </w:r>
    </w:p>
    <w:p>
      <w:pPr>
        <w:spacing w:after="0" w:line="93" w:lineRule="exact"/>
        <w:rPr>
          <w:sz w:val="20"/>
          <w:szCs w:val="20"/>
          <w:color w:val="auto"/>
        </w:rPr>
      </w:pPr>
    </w:p>
    <w:p>
      <w:pPr>
        <w:ind w:right="160" w:firstLine="621"/>
        <w:spacing w:after="0" w:line="266" w:lineRule="auto"/>
        <w:rPr>
          <w:sz w:val="20"/>
          <w:szCs w:val="20"/>
          <w:color w:val="auto"/>
        </w:rPr>
      </w:pPr>
      <w:r>
        <w:rPr>
          <w:rFonts w:ascii="Times New Roman" w:cs="Times New Roman" w:eastAsia="Times New Roman" w:hAnsi="Times New Roman"/>
          <w:sz w:val="17"/>
          <w:szCs w:val="17"/>
          <w:color w:val="auto"/>
        </w:rPr>
        <w:t>Our business depends on the overall demand for advertising and on the economic health of our current and prospective sellers and buyers. Accordingly, our business and operations have been, and could in the future be, adversely affected by events beyond our control, such as health epidemics, including the COVID-19 pandemic, geopolitical events, including the conflict in Ukraine, and economic and macro-economic factors like labor shortages, supply chain disruptions, and inflation impacting the markets and communities in which our clients operate.</w:t>
      </w:r>
    </w:p>
    <w:p>
      <w:pPr>
        <w:spacing w:after="0" w:line="52" w:lineRule="exact"/>
        <w:rPr>
          <w:sz w:val="20"/>
          <w:szCs w:val="20"/>
          <w:color w:val="auto"/>
        </w:rPr>
      </w:pPr>
    </w:p>
    <w:p>
      <w:pPr>
        <w:ind w:right="20" w:firstLine="621"/>
        <w:spacing w:after="0" w:line="260" w:lineRule="auto"/>
        <w:rPr>
          <w:sz w:val="20"/>
          <w:szCs w:val="20"/>
          <w:color w:val="auto"/>
        </w:rPr>
      </w:pPr>
      <w:r>
        <w:rPr>
          <w:rFonts w:ascii="Times New Roman" w:cs="Times New Roman" w:eastAsia="Times New Roman" w:hAnsi="Times New Roman"/>
          <w:sz w:val="17"/>
          <w:szCs w:val="17"/>
          <w:color w:val="auto"/>
        </w:rPr>
        <w:t>In response to the COVID-19 pandemic and associated economic challenges, a significant number of advertisers, in particular with respect to certain categories of advertising that were particularly impacted by the pandemic and resulting stay-at-home orders, reduced their advertising budgets, resulting in an overall decrease in advertising spend through our platform compared to our pre-COVID expectations. This decrease was particularly pronounced through the first half of 2020, where we experienced a significant decline in our revenues compared to our expectations. Our revenue trends improved significantly during the third and fourth quarters of 2020 and throughout 2021, although certain advertising categories remain impacted. More recently, we have experienced some downward pressure due to global supply chain disruptions (in particular, with respect to the auto vertical), inflationary concerns, global hostilities, and other macroeconomic factors, which have generally negatively impacted ad budgets.</w:t>
      </w:r>
    </w:p>
    <w:p>
      <w:pPr>
        <w:spacing w:after="0" w:line="57" w:lineRule="exact"/>
        <w:rPr>
          <w:sz w:val="20"/>
          <w:szCs w:val="20"/>
          <w:color w:val="auto"/>
        </w:rPr>
      </w:pPr>
    </w:p>
    <w:p>
      <w:pPr>
        <w:ind w:right="220" w:firstLine="621"/>
        <w:spacing w:after="0" w:line="291" w:lineRule="auto"/>
        <w:rPr>
          <w:sz w:val="20"/>
          <w:szCs w:val="20"/>
          <w:color w:val="auto"/>
        </w:rPr>
      </w:pPr>
      <w:r>
        <w:rPr>
          <w:rFonts w:ascii="Times New Roman" w:cs="Times New Roman" w:eastAsia="Times New Roman" w:hAnsi="Times New Roman"/>
          <w:sz w:val="17"/>
          <w:szCs w:val="17"/>
          <w:color w:val="auto"/>
        </w:rPr>
        <w:t>Refer to Item 1A. "Risk Factors" in our Annual Report on Form 10-K for the year ended December 31, 2021 for additional information related to risks associated with the COVID-19 pandemic and other macroeconomic challenges.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104" w:lineRule="exact"/>
        <w:rPr>
          <w:sz w:val="20"/>
          <w:szCs w:val="20"/>
          <w:color w:val="auto"/>
        </w:rPr>
      </w:pPr>
    </w:p>
    <w:p>
      <w:pPr>
        <w:ind w:right="500" w:firstLine="621"/>
        <w:spacing w:after="0" w:line="291" w:lineRule="auto"/>
        <w:rPr>
          <w:sz w:val="20"/>
          <w:szCs w:val="20"/>
          <w:color w:val="auto"/>
        </w:rPr>
      </w:pPr>
      <w:r>
        <w:rPr>
          <w:rFonts w:ascii="Times New Roman" w:cs="Times New Roman" w:eastAsia="Times New Roman" w:hAnsi="Times New Roman"/>
          <w:sz w:val="17"/>
          <w:szCs w:val="17"/>
          <w:color w:val="auto"/>
        </w:rPr>
        <w:t>We report our financial results as one operating segment. Our consolidated operating results are regularly reviewed by our chief operating decision maker, principally to make decisions about how we allocate our resources and to measure our consolidated operating performance.</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06" w:lineRule="exact"/>
        <w:rPr>
          <w:sz w:val="20"/>
          <w:szCs w:val="20"/>
          <w:color w:val="auto"/>
        </w:rPr>
      </w:pPr>
    </w:p>
    <w:p>
      <w:pPr>
        <w:ind w:right="40" w:firstLine="621"/>
        <w:spacing w:after="0" w:line="258" w:lineRule="auto"/>
        <w:rPr>
          <w:sz w:val="20"/>
          <w:szCs w:val="20"/>
          <w:color w:val="auto"/>
        </w:rPr>
      </w:pPr>
      <w:r>
        <w:rPr>
          <w:rFonts w:ascii="Times New Roman" w:cs="Times New Roman" w:eastAsia="Times New Roman" w:hAnsi="Times New Roman"/>
          <w:sz w:val="17"/>
          <w:szCs w:val="17"/>
          <w:color w:val="auto"/>
        </w:rPr>
        <w:t>We generate revenue from the purchase and sale of digital advertising inventory through our platform. Generally, our revenue is based on a percentage of the ad spend that runs through our platform, although for certain clients or transaction types we may receive a fixed CPM for each impression sold and for advertising campaigns that are transacted through insertion orders, we earn revenue based on the full amount of ad spend that runs through our platform. We also generate revenue from the fee we charge clients for use of our Demand Manager header-bidding product and SpringServe ad server product. We recognize revenue upon the fulfillment of our contractual obligations in connection with a completed transaction, subject to satisfying all other revenue recognition criteria. For the majority of transactions executed through our platform, we act as an agent on behalf of the publisher that is monetizing its inventory, and revenue is recognized net of any advertising inventory costs that we remit to sellers. With respect to certain revenue streams for managed advertising campaigns that are transacted through insertion orders, we report revenue on a gross basis, based primarily on our determination that the Company acts as the primary obligor in the delivery of advertising campaigns for our buyer clients with respect to such transactions.</w:t>
      </w:r>
    </w:p>
    <w:p>
      <w:pPr>
        <w:spacing w:after="0" w:line="62" w:lineRule="exact"/>
        <w:rPr>
          <w:sz w:val="20"/>
          <w:szCs w:val="20"/>
          <w:color w:val="auto"/>
        </w:rPr>
      </w:pPr>
    </w:p>
    <w:p>
      <w:pPr>
        <w:jc w:val="both"/>
        <w:ind w:firstLine="621"/>
        <w:spacing w:after="0" w:line="259" w:lineRule="auto"/>
        <w:rPr>
          <w:sz w:val="20"/>
          <w:szCs w:val="20"/>
          <w:color w:val="auto"/>
        </w:rPr>
      </w:pPr>
      <w:r>
        <w:rPr>
          <w:rFonts w:ascii="Times New Roman" w:cs="Times New Roman" w:eastAsia="Times New Roman" w:hAnsi="Times New Roman"/>
          <w:sz w:val="17"/>
          <w:szCs w:val="17"/>
          <w:color w:val="auto"/>
        </w:rPr>
        <w:t>Following the SpotX Acquisition, the percentage of our revenue reported on a gross basis increased significantly compared to pre-acquisition periods. During the first quarter of 2021 (prior to the SpotX Acquisition), our revenue reported on a gross basis was less than 3% of total revenue. For the three months ended March 31, 2022, our revenue reported on a gross basis increased to 15% of total revenue. As revenue streams acquired in the SpotX Acquisition continue to increase, the percentage of revenue reported on a gross basis may continue to increase in future periods. Any mix shift that causes an increase in the relative percentage of our revenue accounted for on a gross basis would result in a higher revenue contribution and an associated decrease in our gross margin percentage (with no underlying impact on gross profit or Revenue ex-TAC, as defined in section "Key Operating and Financial Performance Metrics"). Our revenue recognition policies are discussed in more detail in our audited consolidated financial statements and notes thereto for the year ended December 31, 2021 included in our Annual Report on Form 10-K and in Note 3 of the accompanying Notes to the Condensed Consolidated Financial Statements.</w:t>
      </w:r>
    </w:p>
    <w:p>
      <w:pPr>
        <w:spacing w:after="0" w:line="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Expenses</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classify our expenses into the following categories:</w:t>
      </w:r>
    </w:p>
    <w:p>
      <w:pPr>
        <w:spacing w:after="0" w:line="100" w:lineRule="exact"/>
        <w:rPr>
          <w:sz w:val="20"/>
          <w:szCs w:val="20"/>
          <w:color w:val="auto"/>
        </w:rPr>
      </w:pPr>
    </w:p>
    <w:p>
      <w:pPr>
        <w:ind w:firstLine="621"/>
        <w:spacing w:after="0" w:line="260" w:lineRule="auto"/>
        <w:rPr>
          <w:sz w:val="20"/>
          <w:szCs w:val="20"/>
          <w:color w:val="auto"/>
        </w:rPr>
      </w:pPr>
      <w:r>
        <w:rPr>
          <w:rFonts w:ascii="Times New Roman" w:cs="Times New Roman" w:eastAsia="Times New Roman" w:hAnsi="Times New Roman"/>
          <w:sz w:val="17"/>
          <w:szCs w:val="17"/>
          <w:i w:val="1"/>
          <w:iCs w:val="1"/>
          <w:color w:val="auto"/>
        </w:rPr>
        <w:t>Cost of Revenue</w:t>
      </w:r>
      <w:r>
        <w:rPr>
          <w:rFonts w:ascii="Times New Roman" w:cs="Times New Roman" w:eastAsia="Times New Roman" w:hAnsi="Times New Roman"/>
          <w:sz w:val="17"/>
          <w:szCs w:val="17"/>
          <w:color w:val="auto"/>
        </w:rPr>
        <w:t>. Our cost of revenue consists primarily of data center costs, bandwidth costs, ad protection costs, depreciation and maintenance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hardware supporting our revenue-producing platform, amortization of software costs for the development of our revenue-producing platform, amortization expense associated with acquired developed technologies, personnel costs, facilities-related costs, and cloud computing costs. In addition, for revenue booked on a gross basis, cost of revenue includes traffic acquisition costs. Personnel costs included in cost of revenue include salaries, bonuses, and stock-based compensation, and are primarily attributable to personnel in our network operations group who support our platform. We capitalize costs associated with software that is developed or obtained for internal use and amortize the costs associated with our revenue-producing platform in cost of revenue over their estimated useful lives. We amortize acquired developed technologies over their estimated useful lives.</w:t>
      </w:r>
    </w:p>
    <w:p>
      <w:pPr>
        <w:spacing w:after="0" w:line="44" w:lineRule="exact"/>
        <w:rPr>
          <w:sz w:val="20"/>
          <w:szCs w:val="20"/>
          <w:color w:val="auto"/>
        </w:rPr>
      </w:pPr>
    </w:p>
    <w:p>
      <w:pPr>
        <w:ind w:right="80" w:firstLine="621"/>
        <w:spacing w:after="0" w:line="263" w:lineRule="auto"/>
        <w:rPr>
          <w:sz w:val="20"/>
          <w:szCs w:val="20"/>
          <w:color w:val="auto"/>
        </w:rPr>
      </w:pPr>
      <w:r>
        <w:rPr>
          <w:rFonts w:ascii="Times New Roman" w:cs="Times New Roman" w:eastAsia="Times New Roman" w:hAnsi="Times New Roman"/>
          <w:sz w:val="17"/>
          <w:szCs w:val="17"/>
          <w:i w:val="1"/>
          <w:iCs w:val="1"/>
          <w:color w:val="auto"/>
        </w:rPr>
        <w:t>Sales and Marketing</w:t>
      </w:r>
      <w:r>
        <w:rPr>
          <w:rFonts w:ascii="Times New Roman" w:cs="Times New Roman" w:eastAsia="Times New Roman" w:hAnsi="Times New Roman"/>
          <w:sz w:val="17"/>
          <w:szCs w:val="17"/>
          <w:color w:val="auto"/>
        </w:rPr>
        <w:t>. Our sales and marketing expenses consist primarily of personnel costs, including salaries, bonuses, and stock-based compensation,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well as marketing expenses such as brand marketing, travel expenses, trade shows and marketing materials, professional services, and amortization expense associated with client relationships, backlog, and non-compete agreements from our business acquisitions, and to a lesser extent, facilities-related costs and depreciation and amortization. Our sales organization focuses on increasing the adoption of our solution by existing and new buyers and sellers. We amortize acquired intangibles associated with client relationships and backlog from our business acquisitions over their estimated useful lives.</w:t>
      </w:r>
    </w:p>
    <w:p>
      <w:pPr>
        <w:spacing w:after="0" w:line="54" w:lineRule="exact"/>
        <w:rPr>
          <w:sz w:val="20"/>
          <w:szCs w:val="20"/>
          <w:color w:val="auto"/>
        </w:rPr>
      </w:pPr>
    </w:p>
    <w:p>
      <w:pPr>
        <w:ind w:firstLine="621"/>
        <w:spacing w:after="0" w:line="259" w:lineRule="auto"/>
        <w:rPr>
          <w:sz w:val="20"/>
          <w:szCs w:val="20"/>
          <w:color w:val="auto"/>
        </w:rPr>
      </w:pPr>
      <w:r>
        <w:rPr>
          <w:rFonts w:ascii="Times New Roman" w:cs="Times New Roman" w:eastAsia="Times New Roman" w:hAnsi="Times New Roman"/>
          <w:sz w:val="17"/>
          <w:szCs w:val="17"/>
          <w:i w:val="1"/>
          <w:iCs w:val="1"/>
          <w:color w:val="auto"/>
        </w:rPr>
        <w:t>Technology and Development</w:t>
      </w:r>
      <w:r>
        <w:rPr>
          <w:rFonts w:ascii="Times New Roman" w:cs="Times New Roman" w:eastAsia="Times New Roman" w:hAnsi="Times New Roman"/>
          <w:sz w:val="17"/>
          <w:szCs w:val="17"/>
          <w:color w:val="auto"/>
        </w:rPr>
        <w:t>. Our technology and development expenses consist primarily of personnel costs, including salaries, bonuses, and stock-based compensation, as well as professional services associated with the ongoing development and maintenance of our solution, depreciation and amortization, and to a lesser extent, facilities-related costs. These expenses include costs incurred in the development, implementation, and maintenance of internal use software, including platform and related infrastructure. Technology and development costs are expensed as incurred, except to the extent that such costs are associated with internal use software development that qualifies for capitalization, which are then recorded as internal use software development costs, net, on our consolidated balance sheets. We amortize internal use software development costs that relate to our revenue-producing activities on our platform to cost of revenue and amortize other internal use software development costs to technology and development costs or general and administrative expenses, depending on the nature of the related project. We amortize acquired intangibles associated with technology and development functions from our business acquisitions over their estimated useful lives.</w:t>
      </w:r>
    </w:p>
    <w:p>
      <w:pPr>
        <w:spacing w:after="0" w:line="266" w:lineRule="exact"/>
        <w:rPr>
          <w:sz w:val="20"/>
          <w:szCs w:val="20"/>
          <w:color w:val="auto"/>
        </w:rPr>
      </w:pPr>
    </w:p>
    <w:p>
      <w:pPr>
        <w:ind w:right="180" w:firstLine="621"/>
        <w:spacing w:after="0" w:line="293" w:lineRule="auto"/>
        <w:rPr>
          <w:sz w:val="20"/>
          <w:szCs w:val="20"/>
          <w:color w:val="auto"/>
        </w:rPr>
      </w:pPr>
      <w:r>
        <w:rPr>
          <w:rFonts w:ascii="Times New Roman" w:cs="Times New Roman" w:eastAsia="Times New Roman" w:hAnsi="Times New Roman"/>
          <w:sz w:val="17"/>
          <w:szCs w:val="17"/>
          <w:i w:val="1"/>
          <w:iCs w:val="1"/>
          <w:color w:val="auto"/>
        </w:rPr>
        <w:t>General and Administrative</w:t>
      </w:r>
      <w:r>
        <w:rPr>
          <w:rFonts w:ascii="Times New Roman" w:cs="Times New Roman" w:eastAsia="Times New Roman" w:hAnsi="Times New Roman"/>
          <w:sz w:val="17"/>
          <w:szCs w:val="17"/>
          <w:color w:val="auto"/>
        </w:rPr>
        <w:t>. Our general and administrative expenses consist primarily of personnel costs, including salaries, bonuses, and stock-based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associated with our executive, finance, legal, human resources, compliance, and</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right="340"/>
        <w:spacing w:after="0" w:line="272" w:lineRule="auto"/>
        <w:rPr>
          <w:sz w:val="20"/>
          <w:szCs w:val="20"/>
          <w:color w:val="auto"/>
        </w:rPr>
      </w:pPr>
      <w:r>
        <w:rPr>
          <w:rFonts w:ascii="Times New Roman" w:cs="Times New Roman" w:eastAsia="Times New Roman" w:hAnsi="Times New Roman"/>
          <w:sz w:val="17"/>
          <w:szCs w:val="17"/>
          <w:color w:val="auto"/>
        </w:rPr>
        <w:t>other administrative personnel, as well as accounting and legal professional services fees, facilities-related costs and depreciation and amortization, and other corporate-related expenses. General and administrative expenses also include amortization of internal use software development costs and acquired intangible assets from our business acquisitions over their estimated useful lives that relate to general and administrative functions.</w:t>
      </w:r>
    </w:p>
    <w:p>
      <w:pPr>
        <w:spacing w:after="0" w:line="32" w:lineRule="exact"/>
        <w:rPr>
          <w:sz w:val="20"/>
          <w:szCs w:val="20"/>
          <w:color w:val="auto"/>
        </w:rPr>
      </w:pPr>
    </w:p>
    <w:p>
      <w:pPr>
        <w:jc w:val="both"/>
        <w:ind w:right="240" w:firstLine="621"/>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Merger, Acquisition, and Restructuring Costs. </w:t>
      </w:r>
      <w:r>
        <w:rPr>
          <w:rFonts w:ascii="Times New Roman" w:cs="Times New Roman" w:eastAsia="Times New Roman" w:hAnsi="Times New Roman"/>
          <w:sz w:val="17"/>
          <w:szCs w:val="17"/>
          <w:color w:val="auto"/>
        </w:rPr>
        <w:t>Our merger, acquisition, and restructuring costs consist primarily of professional service fees associated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 merger and acquisition activities, cash-based employee termination costs, related stock-based compensation charges, and other restructuring activities, including facility closures, relocation costs, contract termination costs, and impairment costs of abandoned technology associated with restructuring activities.</w:t>
      </w:r>
    </w:p>
    <w:p>
      <w:pPr>
        <w:spacing w:after="0" w:line="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w:t>
      </w:r>
    </w:p>
    <w:p>
      <w:pPr>
        <w:spacing w:after="0" w:line="104" w:lineRule="exact"/>
        <w:rPr>
          <w:sz w:val="20"/>
          <w:szCs w:val="20"/>
          <w:color w:val="auto"/>
        </w:rPr>
      </w:pPr>
    </w:p>
    <w:p>
      <w:pPr>
        <w:ind w:firstLine="621"/>
        <w:spacing w:after="0" w:line="293" w:lineRule="auto"/>
        <w:rPr>
          <w:sz w:val="20"/>
          <w:szCs w:val="20"/>
          <w:color w:val="auto"/>
        </w:rPr>
      </w:pPr>
      <w:r>
        <w:rPr>
          <w:rFonts w:ascii="Times New Roman" w:cs="Times New Roman" w:eastAsia="Times New Roman" w:hAnsi="Times New Roman"/>
          <w:sz w:val="17"/>
          <w:szCs w:val="17"/>
          <w:i w:val="1"/>
          <w:iCs w:val="1"/>
          <w:color w:val="auto"/>
        </w:rPr>
        <w:t xml:space="preserve">Interest (Income) Expense, Net. </w:t>
      </w:r>
      <w:r>
        <w:rPr>
          <w:rFonts w:ascii="Times New Roman" w:cs="Times New Roman" w:eastAsia="Times New Roman" w:hAnsi="Times New Roman"/>
          <w:sz w:val="17"/>
          <w:szCs w:val="17"/>
          <w:color w:val="auto"/>
        </w:rPr>
        <w:t>Interest expense consists of interest expense associated with our Convertible Senior Notes and credit facility ("Term Loan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 Facility"), and their related amortization of debt issuance costs and debt discount. Interest income consists of interest earned on our cash equivalents.</w:t>
      </w:r>
    </w:p>
    <w:p>
      <w:pPr>
        <w:spacing w:after="0" w:line="1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 xml:space="preserve">Other Income. </w:t>
      </w:r>
      <w:r>
        <w:rPr>
          <w:rFonts w:ascii="Times New Roman" w:cs="Times New Roman" w:eastAsia="Times New Roman" w:hAnsi="Times New Roman"/>
          <w:sz w:val="17"/>
          <w:szCs w:val="17"/>
          <w:color w:val="auto"/>
        </w:rPr>
        <w:t>Other income consists primarily of rental income from commercial office space we hold under lease and have sublet to other tenants.</w:t>
      </w:r>
    </w:p>
    <w:p>
      <w:pPr>
        <w:spacing w:after="0" w:line="102" w:lineRule="exact"/>
        <w:rPr>
          <w:sz w:val="20"/>
          <w:szCs w:val="20"/>
          <w:color w:val="auto"/>
        </w:rPr>
      </w:pPr>
    </w:p>
    <w:p>
      <w:pPr>
        <w:ind w:right="20" w:firstLine="621"/>
        <w:spacing w:after="0" w:line="263" w:lineRule="auto"/>
        <w:rPr>
          <w:sz w:val="20"/>
          <w:szCs w:val="20"/>
          <w:color w:val="auto"/>
        </w:rPr>
      </w:pPr>
      <w:r>
        <w:rPr>
          <w:rFonts w:ascii="Times New Roman" w:cs="Times New Roman" w:eastAsia="Times New Roman" w:hAnsi="Times New Roman"/>
          <w:sz w:val="17"/>
          <w:szCs w:val="17"/>
          <w:i w:val="1"/>
          <w:iCs w:val="1"/>
          <w:color w:val="auto"/>
        </w:rPr>
        <w:t>Foreign Currency Exchange (Gain) Loss, Net</w:t>
      </w:r>
      <w:r>
        <w:rPr>
          <w:rFonts w:ascii="Times New Roman" w:cs="Times New Roman" w:eastAsia="Times New Roman" w:hAnsi="Times New Roman"/>
          <w:sz w:val="17"/>
          <w:szCs w:val="17"/>
          <w:color w:val="auto"/>
        </w:rPr>
        <w:t>. Foreign currency exchange (gain) loss, net consists primarily of gains and losses on foreign currency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and remeasurement of monetary assets and liabilities on our balance sheet denominated in foreign currencies. Foreign currency monetary assets and liabilities consist primarily of cash and cash equivalents, accounts receivable, accounts payable, and various intercompany balances held between our subsidiaries. Our primary foreign currency exposures are currencies other than the U.S. Dollar, principally the Australian Dollar, British Pound, Canadian Dollar, Euro, and Japanese Yen.</w:t>
      </w:r>
    </w:p>
    <w:p>
      <w:pPr>
        <w:spacing w:after="0" w:line="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Provision (Benefit) for Income Taxes</w:t>
      </w:r>
    </w:p>
    <w:p>
      <w:pPr>
        <w:spacing w:after="0" w:line="93" w:lineRule="exact"/>
        <w:rPr>
          <w:sz w:val="20"/>
          <w:szCs w:val="20"/>
          <w:color w:val="auto"/>
        </w:rPr>
      </w:pPr>
    </w:p>
    <w:p>
      <w:pPr>
        <w:ind w:right="40" w:firstLine="621"/>
        <w:spacing w:after="0" w:line="258" w:lineRule="auto"/>
        <w:rPr>
          <w:sz w:val="20"/>
          <w:szCs w:val="20"/>
          <w:color w:val="auto"/>
        </w:rPr>
      </w:pPr>
      <w:r>
        <w:rPr>
          <w:rFonts w:ascii="Times New Roman" w:cs="Times New Roman" w:eastAsia="Times New Roman" w:hAnsi="Times New Roman"/>
          <w:sz w:val="17"/>
          <w:szCs w:val="17"/>
          <w:color w:val="auto"/>
        </w:rPr>
        <w:t>We are subject to income taxes in the U.S. (federal and state) and numerous foreign jurisdictions. Tax laws, regulations, administrative practices, principles, and interpretations in various jurisdictions may be subject to significant change, with or without notice, due to economic, political, and other conditions, and significant judgment is required in evaluating and estimating our provision and accruals for these taxes. There are many transactions that occur during the ordinary course of business for which the ultimate tax determination is uncertain. Our effective tax rates could be affected by numerous factors, such as changes in our business operations, acquisitions, investments, entry into new businesses and geographies, intercompany transactions, the relative amount of our foreign earnings, including earnings being lower than anticipated in jurisdictions where we have lower statutory rates and higher than anticipated in jurisdictions where we have higher statutory rates, losses incurred in jurisdictions for which we are not able to realize related tax benefits, the applicability of special tax regimes, changes in foreign currency exchange rates, changes in our stock price, changes in our deferred tax assets and liabilities and their valuation, changes in the laws, regulations, administrative practices, principles, and interpretations related to tax, including changes to the global tax framework, competition, and other laws and accounting rules in various jurisdictions.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The following table sets forth our condensed consolidated results of operations: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20" w:type="dxa"/>
            <w:vAlign w:val="bottom"/>
            <w:gridSpan w:val="4"/>
          </w:tcPr>
          <w:p>
            <w:pPr>
              <w:jc w:val="right"/>
              <w:ind w:right="80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r>
      <w:tr>
        <w:trPr>
          <w:trHeight w:val="23"/>
        </w:trPr>
        <w:tc>
          <w:tcPr>
            <w:tcW w:w="68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322"/>
        </w:trPr>
        <w:tc>
          <w:tcPr>
            <w:tcW w:w="6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83"/>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00" w:type="dxa"/>
            <w:vAlign w:val="bottom"/>
          </w:tcPr>
          <w:p>
            <w:pPr>
              <w:spacing w:after="0"/>
              <w:rPr>
                <w:sz w:val="24"/>
                <w:szCs w:val="24"/>
                <w:color w:val="auto"/>
              </w:rPr>
            </w:pPr>
          </w:p>
        </w:tc>
        <w:tc>
          <w:tcPr>
            <w:tcW w:w="13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3"/>
                <w:szCs w:val="13"/>
                <w:b w:val="1"/>
                <w:bCs w:val="1"/>
                <w:color w:val="auto"/>
              </w:rPr>
              <w:t>Change %</w:t>
            </w:r>
          </w:p>
        </w:tc>
      </w:tr>
      <w:tr>
        <w:trPr>
          <w:trHeight w:val="188"/>
        </w:trPr>
        <w:tc>
          <w:tcPr>
            <w:tcW w:w="6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20" w:type="dxa"/>
            <w:vAlign w:val="bottom"/>
            <w:gridSpan w:val="4"/>
          </w:tcPr>
          <w:p>
            <w:pPr>
              <w:jc w:val="right"/>
              <w:ind w:right="100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13"/>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118,075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60,715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94 %</w:t>
            </w:r>
          </w:p>
        </w:tc>
      </w:tr>
      <w:tr>
        <w:trPr>
          <w:trHeight w:val="207"/>
        </w:trPr>
        <w:tc>
          <w:tcPr>
            <w:tcW w:w="682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Expenses </w:t>
            </w:r>
            <w:r>
              <w:rPr>
                <w:rFonts w:ascii="Times New Roman" w:cs="Times New Roman" w:eastAsia="Times New Roman" w:hAnsi="Times New Roman"/>
                <w:sz w:val="20"/>
                <w:szCs w:val="20"/>
                <w:color w:val="auto"/>
                <w:vertAlign w:val="superscript"/>
              </w:rPr>
              <w:t>(1)(2)</w:t>
            </w: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07"/>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revenue</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59,396</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20,756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r>
      <w:tr>
        <w:trPr>
          <w:trHeight w:val="205"/>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Sales and marketing</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22,589</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121 %</w:t>
            </w:r>
          </w:p>
        </w:tc>
      </w:tr>
      <w:tr>
        <w:trPr>
          <w:trHeight w:val="209"/>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Technology and development</w:t>
            </w: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62 %</w:t>
            </w:r>
          </w:p>
        </w:tc>
      </w:tr>
      <w:tr>
        <w:trPr>
          <w:trHeight w:val="205"/>
        </w:trPr>
        <w:tc>
          <w:tcPr>
            <w:tcW w:w="68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18,704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14,158</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32 %</w:t>
            </w:r>
          </w:p>
        </w:tc>
      </w:tr>
      <w:tr>
        <w:trPr>
          <w:trHeight w:val="209"/>
        </w:trPr>
        <w:tc>
          <w:tcPr>
            <w:tcW w:w="6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Merger, acquisition, and restructuring costs</w:t>
            </w: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6,756</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2,722</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r>
      <w:tr>
        <w:trPr>
          <w:trHeight w:val="198"/>
        </w:trPr>
        <w:tc>
          <w:tcPr>
            <w:tcW w:w="6820" w:type="dxa"/>
            <w:vAlign w:val="bottom"/>
            <w:tcBorders>
              <w:bottom w:val="single" w:sz="8" w:color="CCEEFF"/>
            </w:tcBorders>
          </w:tcPr>
          <w:p>
            <w:pPr>
              <w:ind w:left="20"/>
              <w:spacing w:after="0" w:line="182" w:lineRule="exact"/>
              <w:rPr>
                <w:sz w:val="20"/>
                <w:szCs w:val="20"/>
                <w:color w:val="auto"/>
              </w:rPr>
            </w:pPr>
            <w:r>
              <w:rPr>
                <w:rFonts w:ascii="Times New Roman" w:cs="Times New Roman" w:eastAsia="Times New Roman" w:hAnsi="Times New Roman"/>
                <w:sz w:val="16"/>
                <w:szCs w:val="16"/>
                <w:color w:val="auto"/>
              </w:rPr>
              <w:t>Total expenses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157,899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74,491</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112 %</w:t>
            </w: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from operations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(39,824)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(13,776)</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w:t>
            </w:r>
          </w:p>
        </w:tc>
      </w:tr>
      <w:tr>
        <w:trPr>
          <w:trHeight w:val="205"/>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6,774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(736)%</w:t>
            </w:r>
          </w:p>
        </w:tc>
      </w:tr>
      <w:tr>
        <w:trPr>
          <w:trHeight w:val="202"/>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Loss before income taxes</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(46,598)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(12,711)</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w:t>
            </w:r>
          </w:p>
        </w:tc>
      </w:tr>
      <w:tr>
        <w:trPr>
          <w:trHeight w:val="205"/>
        </w:trPr>
        <w:tc>
          <w:tcPr>
            <w:tcW w:w="68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(2,005)</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42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6"/>
                <w:szCs w:val="16"/>
                <w:color w:val="auto"/>
              </w:rPr>
              <w:t>1,308 %</w:t>
            </w:r>
          </w:p>
        </w:tc>
      </w:tr>
      <w:tr>
        <w:trPr>
          <w:trHeight w:val="227"/>
        </w:trPr>
        <w:tc>
          <w:tcPr>
            <w:tcW w:w="6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(44,593)</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(12,877)</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r>
      <w:tr>
        <w:trPr>
          <w:trHeight w:val="20"/>
        </w:trPr>
        <w:tc>
          <w:tcPr>
            <w:tcW w:w="68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26" w:lineRule="exact"/>
        <w:rPr>
          <w:sz w:val="20"/>
          <w:szCs w:val="20"/>
          <w:color w:val="auto"/>
        </w:rPr>
      </w:pPr>
    </w:p>
    <w:p>
      <w:pPr>
        <w:ind w:left="240" w:hanging="219"/>
        <w:spacing w:after="0"/>
        <w:tabs>
          <w:tab w:leader="none" w:pos="24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Stock-based compensation expense included in our expenses was as follows:</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12" w:lineRule="exact"/>
        <w:rPr>
          <w:rFonts w:ascii="Times New Roman" w:cs="Times New Roman" w:eastAsia="Times New Roman" w:hAnsi="Times New Roman"/>
          <w:sz w:val="16"/>
          <w:szCs w:val="16"/>
          <w:color w:val="auto"/>
        </w:rPr>
      </w:pPr>
    </w:p>
    <w:p>
      <w:pPr>
        <w:ind w:left="260" w:right="5400"/>
        <w:spacing w:after="0" w:line="292"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Cost of revenue Sales and marketing Technology and development</w:t>
      </w:r>
    </w:p>
    <w:p>
      <w:pPr>
        <w:spacing w:after="0" w:line="1" w:lineRule="exact"/>
        <w:rPr>
          <w:rFonts w:ascii="Times New Roman" w:cs="Times New Roman" w:eastAsia="Times New Roman" w:hAnsi="Times New Roman"/>
          <w:sz w:val="16"/>
          <w:szCs w:val="16"/>
          <w:color w:val="auto"/>
        </w:rPr>
      </w:pPr>
    </w:p>
    <w:p>
      <w:pPr>
        <w:ind w:left="2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and administrative</w:t>
      </w:r>
    </w:p>
    <w:p>
      <w:pPr>
        <w:spacing w:after="0" w:line="35" w:lineRule="exact"/>
        <w:rPr>
          <w:rFonts w:ascii="Times New Roman" w:cs="Times New Roman" w:eastAsia="Times New Roman" w:hAnsi="Times New Roman"/>
          <w:sz w:val="16"/>
          <w:szCs w:val="16"/>
          <w:color w:val="auto"/>
        </w:rPr>
      </w:pPr>
    </w:p>
    <w:p>
      <w:pPr>
        <w:ind w:left="480" w:right="4460" w:hanging="233"/>
        <w:spacing w:after="0" w:line="389" w:lineRule="auto"/>
        <w:rPr>
          <w:rFonts w:ascii="Times New Roman" w:cs="Times New Roman" w:eastAsia="Times New Roman" w:hAnsi="Times New Roman"/>
          <w:sz w:val="16"/>
          <w:szCs w:val="16"/>
          <w:color w:val="auto"/>
        </w:rPr>
      </w:pPr>
      <w:r>
        <w:rPr>
          <w:rFonts w:ascii="Times New Roman" w:cs="Times New Roman" w:eastAsia="Times New Roman" w:hAnsi="Times New Roman"/>
          <w:sz w:val="14"/>
          <w:szCs w:val="14"/>
          <w:color w:val="auto"/>
        </w:rPr>
        <w:t>Merger, acquisition, and restructuring costs Total stock-based compensation expense</w:t>
      </w:r>
    </w:p>
    <w:p>
      <w:pPr>
        <w:spacing w:after="0" w:line="73" w:lineRule="exact"/>
        <w:rPr>
          <w:rFonts w:ascii="Times New Roman" w:cs="Times New Roman" w:eastAsia="Times New Roman" w:hAnsi="Times New Roman"/>
          <w:sz w:val="16"/>
          <w:szCs w:val="16"/>
          <w:color w:val="auto"/>
        </w:rPr>
      </w:pPr>
    </w:p>
    <w:p>
      <w:pPr>
        <w:ind w:left="240" w:hanging="219"/>
        <w:spacing w:after="0"/>
        <w:tabs>
          <w:tab w:leader="none" w:pos="2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Depreciation and amortization expense included in our expenses was as follows:</w:t>
      </w: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00" w:lineRule="exact"/>
        <w:rPr>
          <w:rFonts w:ascii="Times New Roman" w:cs="Times New Roman" w:eastAsia="Times New Roman" w:hAnsi="Times New Roman"/>
          <w:sz w:val="14"/>
          <w:szCs w:val="14"/>
          <w:color w:val="auto"/>
        </w:rPr>
      </w:pPr>
    </w:p>
    <w:p>
      <w:pPr>
        <w:spacing w:after="0" w:line="247" w:lineRule="exact"/>
        <w:rPr>
          <w:rFonts w:ascii="Times New Roman" w:cs="Times New Roman" w:eastAsia="Times New Roman" w:hAnsi="Times New Roman"/>
          <w:sz w:val="14"/>
          <w:szCs w:val="14"/>
          <w:color w:val="auto"/>
        </w:rPr>
      </w:pPr>
    </w:p>
    <w:p>
      <w:pPr>
        <w:ind w:left="260" w:right="5400"/>
        <w:spacing w:after="0" w:line="29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Cost of revenue Sales and marketing Technology and development General and administrative</w:t>
      </w:r>
    </w:p>
    <w:p>
      <w:pPr>
        <w:ind w:left="48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6"/>
          <w:szCs w:val="16"/>
          <w:color w:val="auto"/>
        </w:rPr>
        <w:t>Total 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-2284095</wp:posOffset>
            </wp:positionV>
            <wp:extent cx="7138035" cy="1479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8035" cy="1479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-2004695</wp:posOffset>
            </wp:positionV>
            <wp:extent cx="7138035" cy="1479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8035" cy="1479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-1708785</wp:posOffset>
            </wp:positionV>
            <wp:extent cx="7138035" cy="1314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8035" cy="13144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-698500</wp:posOffset>
            </wp:positionV>
            <wp:extent cx="7138035" cy="147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8035" cy="1479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-419735</wp:posOffset>
            </wp:positionV>
            <wp:extent cx="7138035" cy="147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8035" cy="1479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-123825</wp:posOffset>
            </wp:positionV>
            <wp:extent cx="7138035" cy="1562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8035" cy="1562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1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81"/>
        </w:trPr>
        <w:tc>
          <w:tcPr>
            <w:tcW w:w="180" w:type="dxa"/>
            <w:vAlign w:val="bottom"/>
          </w:tcPr>
          <w:p>
            <w:pPr>
              <w:spacing w:after="0"/>
              <w:rPr>
                <w:sz w:val="15"/>
                <w:szCs w:val="15"/>
                <w:color w:val="auto"/>
              </w:rPr>
            </w:pPr>
          </w:p>
        </w:tc>
        <w:tc>
          <w:tcPr>
            <w:tcW w:w="2860" w:type="dxa"/>
            <w:vAlign w:val="bottom"/>
            <w:gridSpan w:val="4"/>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38"/>
        </w:trPr>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r>
      <w:tr>
        <w:trPr>
          <w:trHeight w:val="207"/>
        </w:trPr>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2,461</w:t>
            </w:r>
          </w:p>
        </w:tc>
      </w:tr>
      <w:tr>
        <w:trPr>
          <w:trHeight w:val="233"/>
        </w:trPr>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1,826</w:t>
            </w:r>
          </w:p>
        </w:tc>
      </w:tr>
      <w:tr>
        <w:trPr>
          <w:trHeight w:val="233"/>
        </w:trPr>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2,244</w:t>
            </w:r>
          </w:p>
        </w:tc>
      </w:tr>
      <w:tr>
        <w:trPr>
          <w:trHeight w:val="210"/>
        </w:trPr>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1,944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377</w:t>
            </w:r>
          </w:p>
        </w:tc>
      </w:tr>
      <w:tr>
        <w:trPr>
          <w:trHeight w:val="200"/>
        </w:trPr>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16,589</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6,993</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669"/>
        </w:trPr>
        <w:tc>
          <w:tcPr>
            <w:tcW w:w="180" w:type="dxa"/>
            <w:vAlign w:val="bottom"/>
          </w:tcPr>
          <w:p>
            <w:pPr>
              <w:spacing w:after="0"/>
              <w:rPr>
                <w:sz w:val="24"/>
                <w:szCs w:val="24"/>
                <w:color w:val="auto"/>
              </w:rPr>
            </w:pPr>
          </w:p>
        </w:tc>
        <w:tc>
          <w:tcPr>
            <w:tcW w:w="2860" w:type="dxa"/>
            <w:vAlign w:val="bottom"/>
            <w:gridSpan w:val="4"/>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7"/>
              </w:rPr>
              <w:t>Three Months Ended</w:t>
            </w:r>
          </w:p>
        </w:tc>
      </w:tr>
      <w:tr>
        <w:trPr>
          <w:trHeight w:val="23"/>
        </w:trPr>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1"/>
        </w:trPr>
        <w:tc>
          <w:tcPr>
            <w:tcW w:w="1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204"/>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81"/>
        </w:trPr>
        <w:tc>
          <w:tcPr>
            <w:tcW w:w="180" w:type="dxa"/>
            <w:vAlign w:val="bottom"/>
          </w:tcPr>
          <w:p>
            <w:pPr>
              <w:spacing w:after="0"/>
              <w:rPr>
                <w:sz w:val="15"/>
                <w:szCs w:val="15"/>
                <w:color w:val="auto"/>
              </w:rPr>
            </w:pPr>
          </w:p>
        </w:tc>
        <w:tc>
          <w:tcPr>
            <w:tcW w:w="2860" w:type="dxa"/>
            <w:vAlign w:val="bottom"/>
            <w:gridSpan w:val="4"/>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r>
      <w:tr>
        <w:trPr>
          <w:trHeight w:val="238"/>
        </w:trPr>
        <w:tc>
          <w:tcPr>
            <w:tcW w:w="1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26,322</w:t>
            </w:r>
          </w:p>
        </w:tc>
        <w:tc>
          <w:tcPr>
            <w:tcW w:w="100" w:type="dxa"/>
            <w:vAlign w:val="bottom"/>
          </w:tcPr>
          <w:p>
            <w:pPr>
              <w:spacing w:after="0"/>
              <w:rPr>
                <w:sz w:val="20"/>
                <w:szCs w:val="20"/>
                <w:color w:val="auto"/>
              </w:rPr>
            </w:pPr>
          </w:p>
        </w:tc>
        <w:tc>
          <w:tcPr>
            <w:tcW w:w="2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8,240</w:t>
            </w:r>
          </w:p>
        </w:tc>
      </w:tr>
      <w:tr>
        <w:trPr>
          <w:trHeight w:val="207"/>
        </w:trPr>
        <w:tc>
          <w:tcPr>
            <w:tcW w:w="1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3,984</w:t>
            </w:r>
          </w:p>
        </w:tc>
      </w:tr>
      <w:tr>
        <w:trPr>
          <w:trHeight w:val="233"/>
        </w:trPr>
        <w:tc>
          <w:tcPr>
            <w:tcW w:w="1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w:t>
            </w:r>
          </w:p>
        </w:tc>
      </w:tr>
      <w:tr>
        <w:trPr>
          <w:trHeight w:val="236"/>
        </w:trPr>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00"/>
        </w:trPr>
        <w:tc>
          <w:tcPr>
            <w:tcW w:w="18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74"/>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45,866</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12,485</w:t>
            </w:r>
          </w:p>
        </w:tc>
      </w:tr>
      <w:tr>
        <w:trPr>
          <w:trHeight w:val="21"/>
        </w:trPr>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80" w:space="720"/>
            <w:col w:w="3040"/>
          </w:cols>
          <w:pgMar w:left="320" w:top="121" w:right="339" w:bottom="1440" w:gutter="0" w:footer="0" w:header="0"/>
          <w:type w:val="continuous"/>
        </w:sect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560" w:firstLine="169"/>
        <w:spacing w:after="0" w:line="291" w:lineRule="auto"/>
        <w:rPr>
          <w:sz w:val="20"/>
          <w:szCs w:val="20"/>
          <w:color w:val="auto"/>
        </w:rPr>
      </w:pPr>
      <w:r>
        <w:rPr>
          <w:rFonts w:ascii="Times New Roman" w:cs="Times New Roman" w:eastAsia="Times New Roman" w:hAnsi="Times New Roman"/>
          <w:sz w:val="17"/>
          <w:szCs w:val="17"/>
          <w:color w:val="auto"/>
        </w:rPr>
        <w:t>The following table sets forth our condensed consolidated results of operations for the specified periods as a percentage of our revenue for those periods presented: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00" w:type="dxa"/>
            <w:vAlign w:val="bottom"/>
          </w:tcPr>
          <w:p>
            <w:pPr>
              <w:spacing w:after="0"/>
              <w:rPr>
                <w:sz w:val="15"/>
                <w:szCs w:val="15"/>
                <w:color w:val="auto"/>
              </w:rPr>
            </w:pPr>
          </w:p>
        </w:tc>
        <w:tc>
          <w:tcPr>
            <w:tcW w:w="3160" w:type="dxa"/>
            <w:vAlign w:val="bottom"/>
            <w:gridSpan w:val="4"/>
          </w:tcPr>
          <w:p>
            <w:pPr>
              <w:jc w:val="right"/>
              <w:ind w:right="7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Pr>
          <w:p>
            <w:pPr>
              <w:spacing w:after="0"/>
              <w:rPr>
                <w:sz w:val="15"/>
                <w:szCs w:val="15"/>
                <w:color w:val="auto"/>
              </w:rPr>
            </w:pPr>
          </w:p>
        </w:tc>
      </w:tr>
      <w:tr>
        <w:trPr>
          <w:trHeight w:val="23"/>
        </w:trPr>
        <w:tc>
          <w:tcPr>
            <w:tcW w:w="7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r>
        <w:trPr>
          <w:trHeight w:val="181"/>
        </w:trPr>
        <w:tc>
          <w:tcPr>
            <w:tcW w:w="79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80" w:type="dxa"/>
            <w:vAlign w:val="bottom"/>
            <w:tcBorders>
              <w:bottom w:val="single" w:sz="8" w:color="auto"/>
            </w:tcBorders>
          </w:tcPr>
          <w:p>
            <w:pPr>
              <w:spacing w:after="0"/>
              <w:rPr>
                <w:sz w:val="15"/>
                <w:szCs w:val="15"/>
                <w:color w:val="auto"/>
              </w:rPr>
            </w:pPr>
          </w:p>
        </w:tc>
      </w:tr>
      <w:tr>
        <w:trPr>
          <w:trHeight w:val="244"/>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Revenue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8"/>
              </w:rPr>
              <w:t>%</w:t>
            </w:r>
          </w:p>
        </w:tc>
      </w:tr>
      <w:tr>
        <w:trPr>
          <w:trHeight w:val="259"/>
        </w:trPr>
        <w:tc>
          <w:tcPr>
            <w:tcW w:w="79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Cost of revenue</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tcPr>
          <w:p>
            <w:pPr>
              <w:spacing w:after="0"/>
              <w:rPr>
                <w:sz w:val="22"/>
                <w:szCs w:val="22"/>
                <w:color w:val="auto"/>
              </w:rPr>
            </w:pPr>
          </w:p>
        </w:tc>
      </w:tr>
      <w:tr>
        <w:trPr>
          <w:trHeight w:val="259"/>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Sales and marketing</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80" w:type="dxa"/>
            <w:vAlign w:val="bottom"/>
            <w:shd w:val="clear" w:color="auto" w:fill="CCEEFF"/>
          </w:tcPr>
          <w:p>
            <w:pPr>
              <w:spacing w:after="0"/>
              <w:rPr>
                <w:sz w:val="22"/>
                <w:szCs w:val="22"/>
                <w:color w:val="auto"/>
              </w:rPr>
            </w:pPr>
          </w:p>
        </w:tc>
      </w:tr>
      <w:tr>
        <w:trPr>
          <w:trHeight w:val="259"/>
        </w:trPr>
        <w:tc>
          <w:tcPr>
            <w:tcW w:w="790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Technology and development</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w:t>
            </w:r>
          </w:p>
        </w:tc>
        <w:tc>
          <w:tcPr>
            <w:tcW w:w="180" w:type="dxa"/>
            <w:vAlign w:val="bottom"/>
          </w:tcPr>
          <w:p>
            <w:pPr>
              <w:spacing w:after="0"/>
              <w:rPr>
                <w:sz w:val="22"/>
                <w:szCs w:val="22"/>
                <w:color w:val="auto"/>
              </w:rPr>
            </w:pPr>
          </w:p>
        </w:tc>
      </w:tr>
      <w:tr>
        <w:trPr>
          <w:trHeight w:val="22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shd w:val="clear" w:color="auto" w:fill="CCEEFF"/>
          </w:tcPr>
          <w:p>
            <w:pPr>
              <w:spacing w:after="0"/>
              <w:rPr>
                <w:sz w:val="19"/>
                <w:szCs w:val="19"/>
                <w:color w:val="auto"/>
              </w:rPr>
            </w:pPr>
          </w:p>
        </w:tc>
      </w:tr>
      <w:tr>
        <w:trPr>
          <w:trHeight w:val="220"/>
        </w:trPr>
        <w:tc>
          <w:tcPr>
            <w:tcW w:w="790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7"/>
                <w:szCs w:val="17"/>
                <w:color w:val="auto"/>
              </w:rPr>
              <w:t>Merger, acquisition, and restructuring costs</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80" w:type="dxa"/>
            <w:vAlign w:val="bottom"/>
            <w:tcBorders>
              <w:bottom w:val="single" w:sz="8" w:color="auto"/>
            </w:tcBorders>
          </w:tcPr>
          <w:p>
            <w:pPr>
              <w:spacing w:after="0"/>
              <w:rPr>
                <w:sz w:val="19"/>
                <w:szCs w:val="19"/>
                <w:color w:val="auto"/>
              </w:rPr>
            </w:pPr>
          </w:p>
        </w:tc>
      </w:tr>
      <w:tr>
        <w:trPr>
          <w:trHeight w:val="239"/>
        </w:trPr>
        <w:tc>
          <w:tcPr>
            <w:tcW w:w="7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Total expenses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w:t>
            </w:r>
          </w:p>
        </w:tc>
        <w:tc>
          <w:tcPr>
            <w:tcW w:w="18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w:t>
            </w:r>
          </w:p>
        </w:tc>
        <w:tc>
          <w:tcPr>
            <w:tcW w:w="180" w:type="dxa"/>
            <w:vAlign w:val="bottom"/>
            <w:tcBorders>
              <w:bottom w:val="single" w:sz="8" w:color="auto"/>
            </w:tcBorders>
            <w:shd w:val="clear" w:color="auto" w:fill="CCEEFF"/>
          </w:tcPr>
          <w:p>
            <w:pPr>
              <w:spacing w:after="0"/>
              <w:rPr>
                <w:sz w:val="20"/>
                <w:szCs w:val="20"/>
                <w:color w:val="auto"/>
              </w:rPr>
            </w:pPr>
          </w:p>
        </w:tc>
      </w:tr>
      <w:tr>
        <w:trPr>
          <w:trHeight w:val="213"/>
        </w:trPr>
        <w:tc>
          <w:tcPr>
            <w:tcW w:w="7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Loss from operations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c>
          <w:tcPr>
            <w:tcW w:w="180" w:type="dxa"/>
            <w:vAlign w:val="bottom"/>
          </w:tcPr>
          <w:p>
            <w:pPr>
              <w:spacing w:after="0"/>
              <w:rPr>
                <w:sz w:val="18"/>
                <w:szCs w:val="18"/>
                <w:color w:val="auto"/>
              </w:rPr>
            </w:pPr>
          </w:p>
        </w:tc>
      </w:tr>
      <w:tr>
        <w:trPr>
          <w:trHeight w:val="22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Borders>
              <w:bottom w:val="single" w:sz="8" w:color="auto"/>
            </w:tcBorders>
            <w:shd w:val="clear" w:color="auto" w:fill="CCEEFF"/>
          </w:tcPr>
          <w:p>
            <w:pPr>
              <w:spacing w:after="0"/>
              <w:rPr>
                <w:sz w:val="19"/>
                <w:szCs w:val="19"/>
                <w:color w:val="auto"/>
              </w:rPr>
            </w:pPr>
          </w:p>
        </w:tc>
      </w:tr>
      <w:tr>
        <w:trPr>
          <w:trHeight w:val="213"/>
        </w:trPr>
        <w:tc>
          <w:tcPr>
            <w:tcW w:w="790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Loss before income taxes</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80" w:type="dxa"/>
            <w:vAlign w:val="bottom"/>
          </w:tcPr>
          <w:p>
            <w:pPr>
              <w:spacing w:after="0"/>
              <w:rPr>
                <w:sz w:val="18"/>
                <w:szCs w:val="18"/>
                <w:color w:val="auto"/>
              </w:rPr>
            </w:pPr>
          </w:p>
        </w:tc>
      </w:tr>
      <w:tr>
        <w:trPr>
          <w:trHeight w:val="220"/>
        </w:trPr>
        <w:tc>
          <w:tcPr>
            <w:tcW w:w="7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Borders>
              <w:bottom w:val="single" w:sz="8" w:color="auto"/>
            </w:tcBorders>
            <w:shd w:val="clear" w:color="auto" w:fill="CCEEFF"/>
          </w:tcPr>
          <w:p>
            <w:pPr>
              <w:spacing w:after="0"/>
              <w:rPr>
                <w:sz w:val="19"/>
                <w:szCs w:val="19"/>
                <w:color w:val="auto"/>
              </w:rPr>
            </w:pPr>
          </w:p>
        </w:tc>
      </w:tr>
      <w:tr>
        <w:trPr>
          <w:trHeight w:val="213"/>
        </w:trPr>
        <w:tc>
          <w:tcPr>
            <w:tcW w:w="7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(38) %</w:t>
            </w:r>
          </w:p>
        </w:tc>
        <w:tc>
          <w:tcPr>
            <w:tcW w:w="100" w:type="dxa"/>
            <w:vAlign w:val="bottom"/>
          </w:tcPr>
          <w:p>
            <w:pPr>
              <w:spacing w:after="0"/>
              <w:rPr>
                <w:sz w:val="18"/>
                <w:szCs w:val="18"/>
                <w:color w:val="auto"/>
              </w:rPr>
            </w:pPr>
          </w:p>
        </w:tc>
        <w:tc>
          <w:tcPr>
            <w:tcW w:w="1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(21) %</w:t>
            </w:r>
          </w:p>
        </w:tc>
      </w:tr>
      <w:tr>
        <w:trPr>
          <w:trHeight w:val="20"/>
        </w:trPr>
        <w:tc>
          <w:tcPr>
            <w:tcW w:w="79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March 31, 2022 and 2021</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19" w:lineRule="exact"/>
        <w:rPr>
          <w:sz w:val="20"/>
          <w:szCs w:val="20"/>
          <w:color w:val="auto"/>
        </w:rPr>
      </w:pPr>
    </w:p>
    <w:p>
      <w:pPr>
        <w:ind w:right="60" w:firstLine="621"/>
        <w:spacing w:after="0" w:line="263" w:lineRule="auto"/>
        <w:rPr>
          <w:sz w:val="20"/>
          <w:szCs w:val="20"/>
          <w:color w:val="auto"/>
        </w:rPr>
      </w:pPr>
      <w:r>
        <w:rPr>
          <w:rFonts w:ascii="Times New Roman" w:cs="Times New Roman" w:eastAsia="Times New Roman" w:hAnsi="Times New Roman"/>
          <w:sz w:val="17"/>
          <w:szCs w:val="17"/>
          <w:color w:val="auto"/>
        </w:rPr>
        <w:t>Revenue increased $57.4 million, or 94%, for the three months ended March 31, 2022 compared to the three months ended March 31, 2021. Our revenue growth was driven primarily by organic growth as well as incremental revenue from the SpotX Acquisition, which was completed on April 30, 2021, and the SpringServe Acquisition, which was completed on July 1, 2021. Revenue increases were primarily driven by growth in CTV and mobile. On a pro forma basis, including revenue from SpotX and SpringServe during the relevant pre-acquisition period, revenue increased 6% for the three months ended March 31, 2022 compared to the prior year period.</w:t>
      </w:r>
    </w:p>
    <w:p>
      <w:pPr>
        <w:spacing w:after="0" w:line="54" w:lineRule="exact"/>
        <w:rPr>
          <w:sz w:val="20"/>
          <w:szCs w:val="20"/>
          <w:color w:val="auto"/>
        </w:rPr>
      </w:pPr>
    </w:p>
    <w:p>
      <w:pPr>
        <w:ind w:firstLine="621"/>
        <w:spacing w:after="0" w:line="260" w:lineRule="auto"/>
        <w:rPr>
          <w:sz w:val="20"/>
          <w:szCs w:val="20"/>
          <w:color w:val="auto"/>
        </w:rPr>
      </w:pPr>
      <w:r>
        <w:rPr>
          <w:rFonts w:ascii="Times New Roman" w:cs="Times New Roman" w:eastAsia="Times New Roman" w:hAnsi="Times New Roman"/>
          <w:sz w:val="17"/>
          <w:szCs w:val="17"/>
          <w:color w:val="auto"/>
        </w:rPr>
        <w:t>We expect our revenue will increase through the remainder of 2022 compared to 2021. Our revenue is largely a function of the number of advertising transactions and the price, or CPM, at which the inventory is sold, which results in total advertising spend on our platform, and, with respect to our revenue reported on a net basis, the take rate we charge for our services. Because pricing and take rate vary across publisher, channel and transaction type, our revenue is impacted by shifts in the mix of advertising spend on our platform. We believe that contributions to revenue from reserve auctions, in particular with respect to CTV which is largely transacted on a reserved basis, will continue to grow as a percentage of our total revenue. In general, we expect this shift will have a positive impact on our revenue due to both an increase in the volume of transactions and average CPM, despite the fact that reserve auctions generally carry a lower take rate compared to open auction transactions.</w:t>
      </w:r>
    </w:p>
    <w:p>
      <w:pPr>
        <w:spacing w:after="0" w:line="44" w:lineRule="exact"/>
        <w:rPr>
          <w:sz w:val="20"/>
          <w:szCs w:val="20"/>
          <w:color w:val="auto"/>
        </w:rPr>
      </w:pPr>
    </w:p>
    <w:p>
      <w:pPr>
        <w:ind w:right="220" w:firstLine="621"/>
        <w:spacing w:after="0" w:line="266" w:lineRule="auto"/>
        <w:rPr>
          <w:sz w:val="20"/>
          <w:szCs w:val="20"/>
          <w:color w:val="auto"/>
        </w:rPr>
      </w:pPr>
      <w:r>
        <w:rPr>
          <w:rFonts w:ascii="Times New Roman" w:cs="Times New Roman" w:eastAsia="Times New Roman" w:hAnsi="Times New Roman"/>
          <w:sz w:val="17"/>
          <w:szCs w:val="17"/>
          <w:color w:val="auto"/>
        </w:rPr>
        <w:t>Our revenue growth has been tempered, and may be negatively impacted in the future, by reductions in revenue resulting from the economic impact of the COVID-19 pandemic and other challenges, such as another pandemic or health crisis, geopolitical events (including the conflict in Ukraine), and other macroeconomic factors like labor shortages, supply chain disruptions, and inflation impacting the markets and communities in which we operate. Refer to Item 1A. "Risk Factors" in our Annual Report on Form 10-K for the year ended December 31, 2021 for additional information related to these risks.</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w:t>
      </w:r>
    </w:p>
    <w:p>
      <w:pPr>
        <w:spacing w:after="0" w:line="93" w:lineRule="exact"/>
        <w:rPr>
          <w:sz w:val="20"/>
          <w:szCs w:val="20"/>
          <w:color w:val="auto"/>
        </w:rPr>
      </w:pPr>
    </w:p>
    <w:p>
      <w:pPr>
        <w:ind w:right="340" w:firstLine="621"/>
        <w:spacing w:after="0" w:line="263" w:lineRule="auto"/>
        <w:rPr>
          <w:sz w:val="20"/>
          <w:szCs w:val="20"/>
          <w:color w:val="auto"/>
        </w:rPr>
      </w:pPr>
      <w:r>
        <w:rPr>
          <w:rFonts w:ascii="Times New Roman" w:cs="Times New Roman" w:eastAsia="Times New Roman" w:hAnsi="Times New Roman"/>
          <w:sz w:val="17"/>
          <w:szCs w:val="17"/>
          <w:color w:val="auto"/>
        </w:rPr>
        <w:t>Cost of revenue increased $38.6 million, or 186%, for the three months ended March 31, 2022 compared to the three months ended March 31, 2021, primarily due to costs associated with our larger scale following the SpotX and SpringServe acquisitions, organic revenue growth, and an increase in traffic acquisition cost driven by the increase in revenue reported on a gross basis as a result of the SpotX Acquisition. Cost of revenue increased by $18.1 million in depreciation and amortization, $10.1 million in traffic acquisition costs associated with revenue recognized on a gross basis, and $6.9 million in data and bandwidth expenses during the three months ended March 31, 2022 compared to the same period in the prior year.</w:t>
      </w:r>
    </w:p>
    <w:p>
      <w:pPr>
        <w:spacing w:after="0" w:line="54" w:lineRule="exact"/>
        <w:rPr>
          <w:sz w:val="20"/>
          <w:szCs w:val="20"/>
          <w:color w:val="auto"/>
        </w:rPr>
      </w:pPr>
    </w:p>
    <w:p>
      <w:pPr>
        <w:jc w:val="both"/>
        <w:ind w:right="60" w:firstLine="621"/>
        <w:spacing w:after="0" w:line="291" w:lineRule="auto"/>
        <w:rPr>
          <w:sz w:val="20"/>
          <w:szCs w:val="20"/>
          <w:color w:val="auto"/>
        </w:rPr>
      </w:pPr>
      <w:r>
        <w:rPr>
          <w:rFonts w:ascii="Times New Roman" w:cs="Times New Roman" w:eastAsia="Times New Roman" w:hAnsi="Times New Roman"/>
          <w:sz w:val="17"/>
          <w:szCs w:val="17"/>
          <w:color w:val="auto"/>
        </w:rPr>
        <w:t>Our cost of revenue will continue to increase in future periods primarily due to the expected increase in the size of our operations, including increases in hosting costs and other expenses to support the growth of our business, and increases in traffic acquisition costs associated with revenue reported on a gross basis.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00" w:firstLine="621"/>
        <w:spacing w:after="0" w:line="272" w:lineRule="auto"/>
        <w:rPr>
          <w:sz w:val="20"/>
          <w:szCs w:val="20"/>
          <w:color w:val="auto"/>
        </w:rPr>
      </w:pPr>
      <w:r>
        <w:rPr>
          <w:rFonts w:ascii="Times New Roman" w:cs="Times New Roman" w:eastAsia="Times New Roman" w:hAnsi="Times New Roman"/>
          <w:sz w:val="17"/>
          <w:szCs w:val="17"/>
          <w:color w:val="auto"/>
        </w:rPr>
        <w:t>Cost of revenue may fluctuate from quarter to quarter and period to period, on an absolute dollar basis and as a percentage of revenue, depending on revenue levels and the volume of transactions we process supporting those revenues, and the timing and amounts of depreciation and amortization of equipment and software.</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06" w:lineRule="exact"/>
        <w:rPr>
          <w:sz w:val="20"/>
          <w:szCs w:val="20"/>
          <w:color w:val="auto"/>
        </w:rPr>
      </w:pPr>
    </w:p>
    <w:p>
      <w:pPr>
        <w:ind w:right="100" w:firstLine="621"/>
        <w:spacing w:after="0" w:line="266" w:lineRule="auto"/>
        <w:rPr>
          <w:sz w:val="20"/>
          <w:szCs w:val="20"/>
          <w:color w:val="auto"/>
        </w:rPr>
      </w:pPr>
      <w:r>
        <w:rPr>
          <w:rFonts w:ascii="Times New Roman" w:cs="Times New Roman" w:eastAsia="Times New Roman" w:hAnsi="Times New Roman"/>
          <w:sz w:val="17"/>
          <w:szCs w:val="17"/>
          <w:color w:val="auto"/>
        </w:rPr>
        <w:t>Sales and marketing expenses increased $27.4 million, or 121%, for the three months ended March 31, 2022 compared to the three months ended March 31, 2021, primarily due to the SpotX Acquisition and associated increases in headcount and the amortization of acquired intangibles and other assets. Sales and marketing expenses increased by $15.2 million related to depreciation and amortization and by $10.9 million related to personnel expenses, both increases primarily associated with the SpotX Acquisition.</w:t>
      </w:r>
    </w:p>
    <w:p>
      <w:pPr>
        <w:spacing w:after="0" w:line="39" w:lineRule="exact"/>
        <w:rPr>
          <w:sz w:val="20"/>
          <w:szCs w:val="20"/>
          <w:color w:val="auto"/>
        </w:rPr>
      </w:pPr>
    </w:p>
    <w:p>
      <w:pPr>
        <w:jc w:val="both"/>
        <w:ind w:right="180" w:firstLine="621"/>
        <w:spacing w:after="0" w:line="291" w:lineRule="auto"/>
        <w:rPr>
          <w:sz w:val="20"/>
          <w:szCs w:val="20"/>
          <w:color w:val="auto"/>
        </w:rPr>
      </w:pPr>
      <w:r>
        <w:rPr>
          <w:rFonts w:ascii="Times New Roman" w:cs="Times New Roman" w:eastAsia="Times New Roman" w:hAnsi="Times New Roman"/>
          <w:sz w:val="17"/>
          <w:szCs w:val="17"/>
          <w:color w:val="auto"/>
        </w:rPr>
        <w:t>We expect sales and marketing expenses to increase through the remainder of 2022 compared to 2021 in absolute dollars primarily due to new hiring to support our revenue growth and increases in event, travel and entertainment expenses.</w:t>
      </w:r>
    </w:p>
    <w:p>
      <w:pPr>
        <w:spacing w:after="0" w:line="30" w:lineRule="exact"/>
        <w:rPr>
          <w:sz w:val="20"/>
          <w:szCs w:val="20"/>
          <w:color w:val="auto"/>
        </w:rPr>
      </w:pPr>
    </w:p>
    <w:p>
      <w:pPr>
        <w:ind w:right="120" w:firstLine="621"/>
        <w:spacing w:after="0" w:line="291" w:lineRule="auto"/>
        <w:rPr>
          <w:sz w:val="20"/>
          <w:szCs w:val="20"/>
          <w:color w:val="auto"/>
        </w:rPr>
      </w:pPr>
      <w:r>
        <w:rPr>
          <w:rFonts w:ascii="Times New Roman" w:cs="Times New Roman" w:eastAsia="Times New Roman" w:hAnsi="Times New Roman"/>
          <w:sz w:val="17"/>
          <w:szCs w:val="17"/>
          <w:color w:val="auto"/>
        </w:rPr>
        <w:t>Sales and marketing expenses may fluctuate quarter to quarter and period to period, on an absolute dollar basis and as a percentage of revenue, based on revenue levels, the timing of our investments and seasonality in our industry and business.</w:t>
      </w:r>
    </w:p>
    <w:p>
      <w:pPr>
        <w:spacing w:after="0" w:line="10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Technology and Development</w:t>
      </w:r>
    </w:p>
    <w:p>
      <w:pPr>
        <w:spacing w:after="0" w:line="106" w:lineRule="exact"/>
        <w:rPr>
          <w:sz w:val="20"/>
          <w:szCs w:val="20"/>
          <w:color w:val="auto"/>
        </w:rPr>
      </w:pPr>
    </w:p>
    <w:p>
      <w:pPr>
        <w:ind w:right="120" w:firstLine="621"/>
        <w:spacing w:after="0" w:line="291" w:lineRule="auto"/>
        <w:rPr>
          <w:sz w:val="20"/>
          <w:szCs w:val="20"/>
          <w:color w:val="auto"/>
        </w:rPr>
      </w:pPr>
      <w:r>
        <w:rPr>
          <w:rFonts w:ascii="Times New Roman" w:cs="Times New Roman" w:eastAsia="Times New Roman" w:hAnsi="Times New Roman"/>
          <w:sz w:val="17"/>
          <w:szCs w:val="17"/>
          <w:color w:val="auto"/>
        </w:rPr>
        <w:t>Technology and development expenses increased $8.8 million, or 62%, for the three months ended March 31, 2022 compared to the three months ended March 31, 2021, due primarily to an increase of $8.0 million in personnel costs as a result of the increased headcount associated with the SpotX Acquisition.</w:t>
      </w:r>
    </w:p>
    <w:p>
      <w:pPr>
        <w:spacing w:after="0" w:line="30" w:lineRule="exact"/>
        <w:rPr>
          <w:sz w:val="20"/>
          <w:szCs w:val="20"/>
          <w:color w:val="auto"/>
        </w:rPr>
      </w:pPr>
    </w:p>
    <w:p>
      <w:pPr>
        <w:jc w:val="both"/>
        <w:ind w:right="160" w:firstLine="621"/>
        <w:spacing w:after="0" w:line="272" w:lineRule="auto"/>
        <w:rPr>
          <w:sz w:val="20"/>
          <w:szCs w:val="20"/>
          <w:color w:val="auto"/>
        </w:rPr>
      </w:pPr>
      <w:r>
        <w:rPr>
          <w:rFonts w:ascii="Times New Roman" w:cs="Times New Roman" w:eastAsia="Times New Roman" w:hAnsi="Times New Roman"/>
          <w:sz w:val="17"/>
          <w:szCs w:val="17"/>
          <w:color w:val="auto"/>
        </w:rPr>
        <w:t>We expect technology and development expenses to increase through the remainder of 2022 compared to 2021 in absolute dollars primarily due to new hiring to support revenue growth and product development and a full year of personnel expenses from technology acquisitions along with increases in travel and entertainment expenses.</w:t>
      </w:r>
    </w:p>
    <w:p>
      <w:pPr>
        <w:spacing w:after="0" w:line="34"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The timing and amount of our capitalized development and enhancement projects may affect the amount of development costs expensed in any given period. As a percentage of revenue, technology and development expense may fluctuate from quarter to quarter and period to period based on revenue levels, the timing and amounts of technology and development efforts, the timing and the rate of the amortization of capitalized projects and the timing and amounts of future capitalized internal use software development costs.</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84" w:lineRule="exact"/>
        <w:rPr>
          <w:sz w:val="20"/>
          <w:szCs w:val="20"/>
          <w:color w:val="auto"/>
        </w:rPr>
      </w:pPr>
    </w:p>
    <w:p>
      <w:pPr>
        <w:ind w:right="80" w:firstLine="621"/>
        <w:spacing w:after="0" w:line="291" w:lineRule="auto"/>
        <w:rPr>
          <w:sz w:val="20"/>
          <w:szCs w:val="20"/>
          <w:color w:val="auto"/>
        </w:rPr>
      </w:pPr>
      <w:r>
        <w:rPr>
          <w:rFonts w:ascii="Times New Roman" w:cs="Times New Roman" w:eastAsia="Times New Roman" w:hAnsi="Times New Roman"/>
          <w:sz w:val="17"/>
          <w:szCs w:val="17"/>
          <w:color w:val="auto"/>
        </w:rPr>
        <w:t>General and administrative expenses increased by $4.5 million, or 32%, for the three months ended March 31, 2022 compared to the three months ended March 31, 2021, primarily due to increases of $3.0 million in personnel expenses, which were mainly attributable to the SpotX Acquisition.</w:t>
      </w:r>
    </w:p>
    <w:p>
      <w:pPr>
        <w:spacing w:after="0" w:line="30" w:lineRule="exact"/>
        <w:rPr>
          <w:sz w:val="20"/>
          <w:szCs w:val="20"/>
          <w:color w:val="auto"/>
        </w:rPr>
      </w:pPr>
    </w:p>
    <w:p>
      <w:pPr>
        <w:ind w:right="420" w:firstLine="621"/>
        <w:spacing w:after="0" w:line="291" w:lineRule="auto"/>
        <w:rPr>
          <w:sz w:val="20"/>
          <w:szCs w:val="20"/>
          <w:color w:val="auto"/>
        </w:rPr>
      </w:pPr>
      <w:r>
        <w:rPr>
          <w:rFonts w:ascii="Times New Roman" w:cs="Times New Roman" w:eastAsia="Times New Roman" w:hAnsi="Times New Roman"/>
          <w:sz w:val="17"/>
          <w:szCs w:val="17"/>
          <w:color w:val="auto"/>
        </w:rPr>
        <w:t>We expect general and administrative expenses to increase through the remainder of 2022 compared to 2021 in absolute dollars primarily due to the additional costs for a return to office work environment, new office leases, and increases in travel and entertainment expenses.</w:t>
      </w:r>
    </w:p>
    <w:p>
      <w:pPr>
        <w:spacing w:after="0" w:line="18" w:lineRule="exact"/>
        <w:rPr>
          <w:sz w:val="20"/>
          <w:szCs w:val="20"/>
          <w:color w:val="auto"/>
        </w:rPr>
      </w:pPr>
    </w:p>
    <w:p>
      <w:pPr>
        <w:ind w:right="160" w:firstLine="621"/>
        <w:spacing w:after="0" w:line="291" w:lineRule="auto"/>
        <w:rPr>
          <w:sz w:val="20"/>
          <w:szCs w:val="20"/>
          <w:color w:val="auto"/>
        </w:rPr>
      </w:pPr>
      <w:r>
        <w:rPr>
          <w:rFonts w:ascii="Times New Roman" w:cs="Times New Roman" w:eastAsia="Times New Roman" w:hAnsi="Times New Roman"/>
          <w:sz w:val="17"/>
          <w:szCs w:val="17"/>
          <w:color w:val="auto"/>
        </w:rPr>
        <w:t>General and administrative expenses may fluctuate from quarter to quarter and period to period based on the timing and amounts of expenditures in our general and administrative functions as they vary in scope and scale over periods. Such fluctuations may not be directly proportional to changes in revenue.</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Merger, Acquisition, and Restructuring Costs</w:t>
      </w:r>
    </w:p>
    <w:p>
      <w:pPr>
        <w:spacing w:after="0" w:line="197" w:lineRule="exact"/>
        <w:rPr>
          <w:sz w:val="20"/>
          <w:szCs w:val="20"/>
          <w:color w:val="auto"/>
        </w:rPr>
      </w:pPr>
    </w:p>
    <w:p>
      <w:pPr>
        <w:ind w:right="140" w:firstLine="621"/>
        <w:spacing w:after="0" w:line="261" w:lineRule="auto"/>
        <w:rPr>
          <w:sz w:val="20"/>
          <w:szCs w:val="20"/>
          <w:color w:val="auto"/>
        </w:rPr>
      </w:pPr>
      <w:r>
        <w:rPr>
          <w:rFonts w:ascii="Times New Roman" w:cs="Times New Roman" w:eastAsia="Times New Roman" w:hAnsi="Times New Roman"/>
          <w:sz w:val="17"/>
          <w:szCs w:val="17"/>
          <w:color w:val="auto"/>
        </w:rPr>
        <w:t>Merger, acquisition, and restructuring costs increased by $4.0 million, or 148%, for the three months ended March 31, 2022 compared to the three months ended March 31, 2021. Costs incurred during the three months ended March 31, 2022 of $6.8 million were primarily due to restructuring activities from the SpotX Acquisition, which included $3.3 million of impairment costs associated with abandoned technology and $1.9 million non-cash stock-based compensation expense associated with the acceleration of unvested equity awards. Costs incurred during the three months ended March 31, 2021 of $2.7 million were primarily due to the SpotX Acquisition, which costs included investment banking advisory, legal, and other professional services fees, one-time cash-based employee termination benefit costs, and non-cash stock-based compensation expense associated with double-trigger accelerations.</w:t>
      </w:r>
    </w:p>
    <w:p>
      <w:pPr>
        <w:spacing w:after="0" w:line="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80" w:type="dxa"/>
            <w:vAlign w:val="bottom"/>
            <w:gridSpan w:val="4"/>
          </w:tcPr>
          <w:p>
            <w:pPr>
              <w:jc w:val="right"/>
              <w:ind w:right="111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gridSpan w:val="2"/>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r>
        <w:trPr>
          <w:trHeight w:val="181"/>
        </w:trPr>
        <w:tc>
          <w:tcPr>
            <w:tcW w:w="76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74"/>
        </w:trPr>
        <w:tc>
          <w:tcPr>
            <w:tcW w:w="7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(in thousands)</w:t>
            </w:r>
          </w:p>
        </w:tc>
        <w:tc>
          <w:tcPr>
            <w:tcW w:w="1380" w:type="dxa"/>
            <w:vAlign w:val="bottom"/>
          </w:tcPr>
          <w:p>
            <w:pPr>
              <w:spacing w:after="0"/>
              <w:rPr>
                <w:sz w:val="15"/>
                <w:szCs w:val="15"/>
                <w:color w:val="auto"/>
              </w:rPr>
            </w:pPr>
          </w:p>
        </w:tc>
      </w:tr>
      <w:tr>
        <w:trPr>
          <w:trHeight w:val="22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w:t>
            </w:r>
          </w:p>
        </w:tc>
      </w:tr>
      <w:tr>
        <w:trPr>
          <w:trHeight w:val="22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Foreign exchange loss, net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13"/>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260" w:type="dxa"/>
            <w:vAlign w:val="bottom"/>
            <w:tcBorders>
              <w:bottom w:val="single" w:sz="8" w:color="auto"/>
            </w:tcBorders>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6,774</w:t>
            </w:r>
          </w:p>
        </w:tc>
        <w:tc>
          <w:tcPr>
            <w:tcW w:w="120" w:type="dxa"/>
            <w:vAlign w:val="bottom"/>
          </w:tcPr>
          <w:p>
            <w:pPr>
              <w:spacing w:after="0"/>
              <w:rPr>
                <w:sz w:val="18"/>
                <w:szCs w:val="18"/>
                <w:color w:val="auto"/>
              </w:rPr>
            </w:pPr>
          </w:p>
        </w:tc>
        <w:tc>
          <w:tcPr>
            <w:tcW w:w="38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7"/>
                <w:szCs w:val="17"/>
                <w:color w:val="auto"/>
                <w:w w:val="93"/>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(1,065)</w:t>
            </w:r>
          </w:p>
        </w:tc>
      </w:tr>
      <w:tr>
        <w:trPr>
          <w:trHeight w:val="20"/>
        </w:trPr>
        <w:tc>
          <w:tcPr>
            <w:tcW w:w="76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37" w:lineRule="exact"/>
        <w:rPr>
          <w:sz w:val="20"/>
          <w:szCs w:val="20"/>
          <w:color w:val="auto"/>
        </w:rPr>
      </w:pPr>
    </w:p>
    <w:p>
      <w:pPr>
        <w:jc w:val="both"/>
        <w:ind w:right="200" w:firstLine="621"/>
        <w:spacing w:after="0" w:line="272" w:lineRule="auto"/>
        <w:rPr>
          <w:sz w:val="20"/>
          <w:szCs w:val="20"/>
          <w:color w:val="auto"/>
        </w:rPr>
      </w:pPr>
      <w:r>
        <w:rPr>
          <w:rFonts w:ascii="Times New Roman" w:cs="Times New Roman" w:eastAsia="Times New Roman" w:hAnsi="Times New Roman"/>
          <w:sz w:val="17"/>
          <w:szCs w:val="17"/>
          <w:color w:val="auto"/>
        </w:rPr>
        <w:t>Interest (income) expense, net increased by $7.0 million during the three months ended March 31, 2022, compared to the same period in the prior year, mainly due to interest expense associated with the Convertible Senior Notes (defined below), which the Company entered into during March 2021, and interest expense associated with the Term Loan B Facility (defined below), which the Company entered into during April 2021.</w:t>
      </w:r>
    </w:p>
    <w:p>
      <w:pPr>
        <w:spacing w:after="0" w:line="34" w:lineRule="exact"/>
        <w:rPr>
          <w:sz w:val="20"/>
          <w:szCs w:val="20"/>
          <w:color w:val="auto"/>
        </w:rPr>
      </w:pPr>
    </w:p>
    <w:p>
      <w:pPr>
        <w:ind w:right="380" w:firstLine="621"/>
        <w:spacing w:after="0" w:line="291" w:lineRule="auto"/>
        <w:rPr>
          <w:sz w:val="20"/>
          <w:szCs w:val="20"/>
          <w:color w:val="auto"/>
        </w:rPr>
      </w:pPr>
      <w:r>
        <w:rPr>
          <w:rFonts w:ascii="Times New Roman" w:cs="Times New Roman" w:eastAsia="Times New Roman" w:hAnsi="Times New Roman"/>
          <w:sz w:val="17"/>
          <w:szCs w:val="17"/>
          <w:color w:val="auto"/>
        </w:rPr>
        <w:t>We expect interest expense to increase in 2022 compared to 2021 as a result of a full year of interest expense associated with our Convertible Senior Notes and Term Loan B Facility, and from higher interest rates as our Term Loan B Facility carries a variable interest rate.</w:t>
      </w:r>
    </w:p>
    <w:p>
      <w:pPr>
        <w:spacing w:after="0" w:line="30" w:lineRule="exact"/>
        <w:rPr>
          <w:sz w:val="20"/>
          <w:szCs w:val="20"/>
          <w:color w:val="auto"/>
        </w:rPr>
      </w:pPr>
    </w:p>
    <w:p>
      <w:pPr>
        <w:ind w:right="140" w:firstLine="621"/>
        <w:spacing w:after="0" w:line="266" w:lineRule="auto"/>
        <w:rPr>
          <w:sz w:val="20"/>
          <w:szCs w:val="20"/>
          <w:color w:val="auto"/>
        </w:rPr>
      </w:pPr>
      <w:r>
        <w:rPr>
          <w:rFonts w:ascii="Times New Roman" w:cs="Times New Roman" w:eastAsia="Times New Roman" w:hAnsi="Times New Roman"/>
          <w:sz w:val="17"/>
          <w:szCs w:val="17"/>
          <w:color w:val="auto"/>
        </w:rPr>
        <w:t>Foreign exchange loss, net is impacted by movements in exchange rates and the amount of foreign currency-denominated cash, receivables, and payables, which are impacted by our billings to buyers, payments to sellers, and intercompany balances. The foreign exchange loss, net during the three months ended March 31, 2022 was primarily attributable to the currency movements between the British Pound, Australian Dollar, Canadian Dollar, and Euro relative to the U.S. Dollar.</w:t>
      </w:r>
    </w:p>
    <w:p>
      <w:pPr>
        <w:spacing w:after="0" w:line="12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Provision (Benefit) for Income Taxes</w:t>
      </w:r>
    </w:p>
    <w:p>
      <w:pPr>
        <w:spacing w:after="0" w:line="197" w:lineRule="exact"/>
        <w:rPr>
          <w:sz w:val="20"/>
          <w:szCs w:val="20"/>
          <w:color w:val="auto"/>
        </w:rPr>
      </w:pPr>
    </w:p>
    <w:p>
      <w:pPr>
        <w:ind w:right="60" w:firstLine="172"/>
        <w:spacing w:after="0" w:line="263" w:lineRule="auto"/>
        <w:rPr>
          <w:sz w:val="20"/>
          <w:szCs w:val="20"/>
          <w:color w:val="auto"/>
        </w:rPr>
      </w:pPr>
      <w:r>
        <w:rPr>
          <w:rFonts w:ascii="Times New Roman" w:cs="Times New Roman" w:eastAsia="Times New Roman" w:hAnsi="Times New Roman"/>
          <w:sz w:val="17"/>
          <w:szCs w:val="17"/>
          <w:color w:val="auto"/>
        </w:rPr>
        <w:t>We recorded an income tax benefit of $2.0 million and expense of $0.2 million for the three months ended March 31, 2022 and 2021, respectively. The tax benefit for the three months ended March 31, 2022 is primarily the result of recognizing the benefit of deferred tax assets previously subject to the domestic valuation allowance and the foreign income tax provision. The net deferred tax liabilities recorded in connection with the prior year acquisitions and our current year taxable income provided sources of taxable income to support the realizability of pre-existing deferred tax assets. We continue to maintain a partial valuation allowance for our domestic deferred tax assets.</w:t>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Key Operating and Financial Performance Metrics</w:t>
      </w:r>
    </w:p>
    <w:p>
      <w:pPr>
        <w:spacing w:after="0" w:line="104" w:lineRule="exact"/>
        <w:rPr>
          <w:sz w:val="20"/>
          <w:szCs w:val="20"/>
          <w:color w:val="auto"/>
        </w:rPr>
      </w:pPr>
    </w:p>
    <w:p>
      <w:pPr>
        <w:ind w:right="80" w:firstLine="621"/>
        <w:spacing w:after="0" w:line="266" w:lineRule="auto"/>
        <w:rPr>
          <w:sz w:val="20"/>
          <w:szCs w:val="20"/>
          <w:color w:val="auto"/>
        </w:rPr>
      </w:pPr>
      <w:r>
        <w:rPr>
          <w:rFonts w:ascii="Times New Roman" w:cs="Times New Roman" w:eastAsia="Times New Roman" w:hAnsi="Times New Roman"/>
          <w:sz w:val="17"/>
          <w:szCs w:val="17"/>
          <w:color w:val="auto"/>
        </w:rPr>
        <w:t>In addition to our GAAP results, we review non-GAAP financial measures, including Revenue ex-TAC and Adjusted EBITDA, to help us evaluate our business on a consistent basis, measure our performance, identify trends affecting our business, establish budgets, measure the effectiveness of investments in our technology and development and sales and marketing, and assess our operational efficiencies. Our non-GAAP financial measures are discussed below. Revenue and net income (loss) are discussed above under the headings "Components of Our Results of Operations"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680" w:type="dxa"/>
            <w:vAlign w:val="bottom"/>
            <w:gridSpan w:val="2"/>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67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1320" w:type="dxa"/>
            <w:vAlign w:val="bottom"/>
          </w:tcPr>
          <w:p>
            <w:pPr>
              <w:jc w:val="center"/>
              <w:ind w:right="20"/>
              <w:spacing w:after="0" w:line="123" w:lineRule="exact"/>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31"/>
        </w:trPr>
        <w:tc>
          <w:tcPr>
            <w:tcW w:w="6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vMerge w:val="restart"/>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40" w:type="dxa"/>
            <w:vAlign w:val="bottom"/>
          </w:tcPr>
          <w:p>
            <w:pPr>
              <w:spacing w:after="0"/>
              <w:rPr>
                <w:sz w:val="11"/>
                <w:szCs w:val="11"/>
                <w:color w:val="auto"/>
              </w:rPr>
            </w:pPr>
          </w:p>
        </w:tc>
        <w:tc>
          <w:tcPr>
            <w:tcW w:w="1440" w:type="dxa"/>
            <w:vAlign w:val="bottom"/>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3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w w:val="99"/>
              </w:rPr>
              <w:t>Favorable/</w:t>
            </w:r>
          </w:p>
        </w:tc>
        <w:tc>
          <w:tcPr>
            <w:tcW w:w="0" w:type="dxa"/>
            <w:vAlign w:val="bottom"/>
          </w:tcPr>
          <w:p>
            <w:pPr>
              <w:spacing w:after="0"/>
              <w:rPr>
                <w:sz w:val="1"/>
                <w:szCs w:val="1"/>
                <w:color w:val="auto"/>
              </w:rPr>
            </w:pPr>
          </w:p>
        </w:tc>
      </w:tr>
      <w:tr>
        <w:trPr>
          <w:trHeight w:val="183"/>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13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(Unfavorable)</w:t>
            </w:r>
          </w:p>
        </w:tc>
        <w:tc>
          <w:tcPr>
            <w:tcW w:w="0" w:type="dxa"/>
            <w:vAlign w:val="bottom"/>
          </w:tcPr>
          <w:p>
            <w:pPr>
              <w:spacing w:after="0"/>
              <w:rPr>
                <w:sz w:val="1"/>
                <w:szCs w:val="1"/>
                <w:color w:val="auto"/>
              </w:rPr>
            </w:pPr>
          </w:p>
        </w:tc>
      </w:tr>
      <w:tr>
        <w:trPr>
          <w:trHeight w:val="23"/>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gridSpan w:val="3"/>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6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80" w:type="dxa"/>
            <w:vAlign w:val="bottom"/>
            <w:gridSpan w:val="3"/>
          </w:tcPr>
          <w:p>
            <w:pPr>
              <w:jc w:val="right"/>
              <w:ind w:right="117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Financial Measures and non-GAAP Financial Measures: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118,075</w:t>
            </w:r>
          </w:p>
        </w:tc>
        <w:tc>
          <w:tcPr>
            <w:tcW w:w="24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144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60,715</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94%</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Revenue ex-TAC</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107,084</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59,860</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220"/>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Gross profit</w:t>
            </w:r>
          </w:p>
        </w:tc>
        <w:tc>
          <w:tcPr>
            <w:tcW w:w="18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58,679</w:t>
            </w:r>
          </w:p>
        </w:tc>
        <w:tc>
          <w:tcPr>
            <w:tcW w:w="240" w:type="dxa"/>
            <w:vAlign w:val="bottom"/>
          </w:tcPr>
          <w:p>
            <w:pPr>
              <w:spacing w:after="0"/>
              <w:rPr>
                <w:sz w:val="19"/>
                <w:szCs w:val="19"/>
                <w:color w:val="auto"/>
              </w:rPr>
            </w:pPr>
          </w:p>
        </w:tc>
        <w:tc>
          <w:tcPr>
            <w:tcW w:w="144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39,959</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220"/>
        </w:trPr>
        <w:tc>
          <w:tcPr>
            <w:tcW w:w="6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(44,593)</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rPr>
              <w:t>(12,877)</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(246)%</w:t>
            </w:r>
          </w:p>
        </w:tc>
        <w:tc>
          <w:tcPr>
            <w:tcW w:w="0" w:type="dxa"/>
            <w:vAlign w:val="bottom"/>
          </w:tcPr>
          <w:p>
            <w:pPr>
              <w:spacing w:after="0"/>
              <w:rPr>
                <w:sz w:val="1"/>
                <w:szCs w:val="1"/>
                <w:color w:val="auto"/>
              </w:rPr>
            </w:pPr>
          </w:p>
        </w:tc>
      </w:tr>
      <w:tr>
        <w:trPr>
          <w:trHeight w:val="226"/>
        </w:trPr>
        <w:tc>
          <w:tcPr>
            <w:tcW w:w="676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Adjusted EBITDA</w:t>
            </w:r>
          </w:p>
        </w:tc>
        <w:tc>
          <w:tcPr>
            <w:tcW w:w="180" w:type="dxa"/>
            <w:vAlign w:val="bottom"/>
          </w:tcPr>
          <w:p>
            <w:pPr>
              <w:spacing w:after="0"/>
              <w:rPr>
                <w:sz w:val="19"/>
                <w:szCs w:val="19"/>
                <w:color w:val="auto"/>
              </w:rPr>
            </w:pPr>
          </w:p>
        </w:tc>
        <w:tc>
          <w:tcPr>
            <w:tcW w:w="13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28,841</w:t>
            </w:r>
          </w:p>
        </w:tc>
        <w:tc>
          <w:tcPr>
            <w:tcW w:w="240" w:type="dxa"/>
            <w:vAlign w:val="bottom"/>
          </w:tcPr>
          <w:p>
            <w:pPr>
              <w:spacing w:after="0"/>
              <w:rPr>
                <w:sz w:val="19"/>
                <w:szCs w:val="19"/>
                <w:color w:val="auto"/>
              </w:rPr>
            </w:pPr>
          </w:p>
        </w:tc>
        <w:tc>
          <w:tcPr>
            <w:tcW w:w="144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rPr>
              <w:t>9,362</w:t>
            </w:r>
          </w:p>
        </w:tc>
        <w:tc>
          <w:tcPr>
            <w:tcW w:w="13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208%</w:t>
            </w:r>
          </w:p>
        </w:tc>
        <w:tc>
          <w:tcPr>
            <w:tcW w:w="0" w:type="dxa"/>
            <w:vAlign w:val="bottom"/>
          </w:tcPr>
          <w:p>
            <w:pPr>
              <w:spacing w:after="0"/>
              <w:rPr>
                <w:sz w:val="1"/>
                <w:szCs w:val="1"/>
                <w:color w:val="auto"/>
              </w:rPr>
            </w:pPr>
          </w:p>
        </w:tc>
      </w:tr>
    </w:tbl>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Revenue ex-TAC</w:t>
      </w:r>
    </w:p>
    <w:p>
      <w:pPr>
        <w:spacing w:after="0" w:line="104" w:lineRule="exact"/>
        <w:rPr>
          <w:sz w:val="20"/>
          <w:szCs w:val="20"/>
          <w:color w:val="auto"/>
        </w:rPr>
      </w:pPr>
    </w:p>
    <w:p>
      <w:pPr>
        <w:ind w:right="60" w:firstLine="621"/>
        <w:spacing w:after="0" w:line="263" w:lineRule="auto"/>
        <w:rPr>
          <w:sz w:val="20"/>
          <w:szCs w:val="20"/>
          <w:color w:val="auto"/>
        </w:rPr>
      </w:pPr>
      <w:r>
        <w:rPr>
          <w:rFonts w:ascii="Times New Roman" w:cs="Times New Roman" w:eastAsia="Times New Roman" w:hAnsi="Times New Roman"/>
          <w:sz w:val="17"/>
          <w:szCs w:val="17"/>
          <w:color w:val="auto"/>
        </w:rPr>
        <w:t>Revenue ex-TAC is revenue excluding traffic acquisition cost ("TAC"). Traffic acquisition cost, a component of Cost of revenue, represents what we must pay sellers for the sale of advertising inventory through our platform for revenue reported on a gross basis. In calculating Revenue ex-TAC, we add back the cost of revenue, excluding TAC, to gross profit, the most comparable GAAP measurement. Revenue ex-TAC is a non-GAAP financial measure. Our management believes Revenue ex-TAC is a useful measure in assessing the performance of Magnite as a combined company following the SpotX Acquisition and facilitates a consistent comparison against our core business without considering the impact of traffic acquisition costs related to revenue reported on a gross basis.</w:t>
      </w:r>
    </w:p>
    <w:p>
      <w:pPr>
        <w:spacing w:after="0" w:line="41" w:lineRule="exact"/>
        <w:rPr>
          <w:sz w:val="20"/>
          <w:szCs w:val="20"/>
          <w:color w:val="auto"/>
        </w:rPr>
      </w:pPr>
    </w:p>
    <w:p>
      <w:pPr>
        <w:ind w:right="100" w:firstLine="621"/>
        <w:spacing w:after="0" w:line="258" w:lineRule="auto"/>
        <w:rPr>
          <w:sz w:val="20"/>
          <w:szCs w:val="20"/>
          <w:color w:val="auto"/>
        </w:rPr>
      </w:pPr>
      <w:r>
        <w:rPr>
          <w:rFonts w:ascii="Times New Roman" w:cs="Times New Roman" w:eastAsia="Times New Roman" w:hAnsi="Times New Roman"/>
          <w:sz w:val="17"/>
          <w:szCs w:val="17"/>
          <w:color w:val="auto"/>
        </w:rPr>
        <w:t>Our use of Revenue ex-TAC has limitations as an analytical tool and you should not consider it in isolation or as a substitute for analysis of our financial results as reported under GAAP. A potential limitation of this non-GAAP financial measure is that other companies, including companies in our industry which have similar business arrangements, may define Revenue ex-TAC differently, which may make comparisons difficult. Because of these and other limitations, you should consider our non-GAAP measures only as supplemental to GAAP-based financial performance measures, including revenue, net income (loss) and cash flows.</w:t>
      </w:r>
    </w:p>
    <w:p>
      <w:pPr>
        <w:spacing w:after="0" w:line="3" w:lineRule="exact"/>
        <w:rPr>
          <w:sz w:val="20"/>
          <w:szCs w:val="20"/>
          <w:color w:val="auto"/>
        </w:rPr>
      </w:pPr>
    </w:p>
    <w:p>
      <w:pPr>
        <w:ind w:right="220" w:firstLine="621"/>
        <w:spacing w:after="0" w:line="268" w:lineRule="auto"/>
        <w:rPr>
          <w:sz w:val="20"/>
          <w:szCs w:val="20"/>
          <w:color w:val="auto"/>
        </w:rPr>
      </w:pPr>
      <w:r>
        <w:rPr>
          <w:rFonts w:ascii="Times New Roman" w:cs="Times New Roman" w:eastAsia="Times New Roman" w:hAnsi="Times New Roman"/>
          <w:sz w:val="17"/>
          <w:szCs w:val="17"/>
          <w:color w:val="auto"/>
        </w:rPr>
        <w:t>The following table presents the calculation of gross profit and reconciliation of gross profit to Revenue ex-TAC for the three months ended March 31, 2022 and 2021, respectively:</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200" w:type="dxa"/>
            <w:vAlign w:val="bottom"/>
          </w:tcPr>
          <w:p>
            <w:pPr>
              <w:spacing w:after="0"/>
              <w:rPr>
                <w:sz w:val="15"/>
                <w:szCs w:val="15"/>
                <w:color w:val="auto"/>
              </w:rPr>
            </w:pPr>
          </w:p>
        </w:tc>
      </w:tr>
      <w:tr>
        <w:trPr>
          <w:trHeight w:val="23"/>
        </w:trPr>
        <w:tc>
          <w:tcPr>
            <w:tcW w:w="7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7"/>
        </w:trPr>
        <w:tc>
          <w:tcPr>
            <w:tcW w:w="7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200" w:type="dxa"/>
            <w:vAlign w:val="bottom"/>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23"/>
        </w:trPr>
        <w:tc>
          <w:tcPr>
            <w:tcW w:w="7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80" w:type="dxa"/>
            <w:vAlign w:val="bottom"/>
            <w:tcBorders>
              <w:bottom w:val="single" w:sz="8" w:color="auto"/>
            </w:tcBorders>
            <w:gridSpan w:val="4"/>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7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80" w:type="dxa"/>
            <w:vAlign w:val="bottom"/>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5"/>
                <w:szCs w:val="15"/>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118,075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60,715</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94 %</w:t>
            </w:r>
          </w:p>
        </w:tc>
      </w:tr>
      <w:tr>
        <w:trPr>
          <w:trHeight w:val="220"/>
        </w:trPr>
        <w:tc>
          <w:tcPr>
            <w:tcW w:w="7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Less: Cost of revenue</w:t>
            </w: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59,396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20,756</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186 %</w:t>
            </w:r>
          </w:p>
        </w:tc>
      </w:tr>
      <w:tr>
        <w:trPr>
          <w:trHeight w:val="213"/>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58,679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39,959</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13"/>
        </w:trPr>
        <w:tc>
          <w:tcPr>
            <w:tcW w:w="74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Add back: Cost of revenue, excluding TAC</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48,405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19,901</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143 %</w:t>
            </w:r>
          </w:p>
        </w:tc>
      </w:tr>
      <w:tr>
        <w:trPr>
          <w:trHeight w:val="23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 ex-TAC</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59,860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14" w:lineRule="exact"/>
        <w:rPr>
          <w:sz w:val="20"/>
          <w:szCs w:val="20"/>
          <w:color w:val="auto"/>
        </w:rPr>
      </w:pPr>
    </w:p>
    <w:p>
      <w:pPr>
        <w:ind w:right="600" w:firstLine="621"/>
        <w:spacing w:after="0" w:line="291" w:lineRule="auto"/>
        <w:rPr>
          <w:sz w:val="20"/>
          <w:szCs w:val="20"/>
          <w:color w:val="auto"/>
        </w:rPr>
      </w:pPr>
      <w:r>
        <w:rPr>
          <w:rFonts w:ascii="Times New Roman" w:cs="Times New Roman" w:eastAsia="Times New Roman" w:hAnsi="Times New Roman"/>
          <w:sz w:val="17"/>
          <w:szCs w:val="17"/>
          <w:color w:val="auto"/>
        </w:rPr>
        <w:t>We track the breakdown of Revenue ex-TAC across channels to better understand how our clients are transacting on our platform, which informs decisions as to business strategy and the allocation of resources and capital. The following table presents Revenue ex-TAC by channel:</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jc w:val="right"/>
              <w:ind w:right="117"/>
              <w:spacing w:after="0"/>
              <w:rPr>
                <w:sz w:val="20"/>
                <w:szCs w:val="20"/>
                <w:color w:val="auto"/>
              </w:rPr>
            </w:pPr>
            <w:r>
              <w:rPr>
                <w:rFonts w:ascii="Times New Roman" w:cs="Times New Roman" w:eastAsia="Times New Roman" w:hAnsi="Times New Roman"/>
                <w:sz w:val="14"/>
                <w:szCs w:val="14"/>
                <w:b w:val="1"/>
                <w:bCs w:val="1"/>
                <w:color w:val="auto"/>
              </w:rPr>
              <w:t>Revenue ex-TAC</w:t>
            </w:r>
          </w:p>
        </w:tc>
        <w:tc>
          <w:tcPr>
            <w:tcW w:w="1200" w:type="dxa"/>
            <w:vAlign w:val="bottom"/>
          </w:tcPr>
          <w:p>
            <w:pPr>
              <w:spacing w:after="0"/>
              <w:rPr>
                <w:sz w:val="15"/>
                <w:szCs w:val="15"/>
                <w:color w:val="auto"/>
              </w:rPr>
            </w:pPr>
          </w:p>
        </w:tc>
      </w:tr>
      <w:tr>
        <w:trPr>
          <w:trHeight w:val="23"/>
        </w:trPr>
        <w:tc>
          <w:tcPr>
            <w:tcW w:w="7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3"/>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1"/>
        </w:trPr>
        <w:tc>
          <w:tcPr>
            <w:tcW w:w="7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Three Months Ended</w:t>
            </w:r>
          </w:p>
        </w:tc>
        <w:tc>
          <w:tcPr>
            <w:tcW w:w="1200" w:type="dxa"/>
            <w:vAlign w:val="bottom"/>
            <w:tcBorders>
              <w:bottom w:val="single" w:sz="8" w:color="auto"/>
            </w:tcBorders>
          </w:tcPr>
          <w:p>
            <w:pPr>
              <w:spacing w:after="0"/>
              <w:rPr>
                <w:sz w:val="15"/>
                <w:szCs w:val="15"/>
                <w:color w:val="auto"/>
              </w:rPr>
            </w:pPr>
          </w:p>
        </w:tc>
      </w:tr>
      <w:tr>
        <w:trPr>
          <w:trHeight w:val="187"/>
        </w:trPr>
        <w:tc>
          <w:tcPr>
            <w:tcW w:w="74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March 31, 2021</w:t>
            </w:r>
          </w:p>
        </w:tc>
        <w:tc>
          <w:tcPr>
            <w:tcW w:w="1200" w:type="dxa"/>
            <w:vAlign w:val="bottom"/>
            <w:tcBorders>
              <w:bottom w:val="single" w:sz="8" w:color="auto"/>
            </w:tcBorders>
          </w:tcPr>
          <w:p>
            <w:pPr>
              <w:jc w:val="right"/>
              <w:ind w:right="157"/>
              <w:spacing w:after="0"/>
              <w:rPr>
                <w:sz w:val="20"/>
                <w:szCs w:val="20"/>
                <w:color w:val="auto"/>
              </w:rPr>
            </w:pPr>
            <w:r>
              <w:rPr>
                <w:rFonts w:ascii="Times New Roman" w:cs="Times New Roman" w:eastAsia="Times New Roman" w:hAnsi="Times New Roman"/>
                <w:sz w:val="14"/>
                <w:szCs w:val="14"/>
                <w:b w:val="1"/>
                <w:bCs w:val="1"/>
                <w:color w:val="auto"/>
              </w:rPr>
              <w:t>Change %</w:t>
            </w:r>
          </w:p>
        </w:tc>
      </w:tr>
      <w:tr>
        <w:trPr>
          <w:trHeight w:val="187"/>
        </w:trPr>
        <w:tc>
          <w:tcPr>
            <w:tcW w:w="7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4"/>
          </w:tcPr>
          <w:p>
            <w:pPr>
              <w:jc w:val="right"/>
              <w:ind w:right="797"/>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6"/>
                <w:szCs w:val="16"/>
                <w:color w:val="auto"/>
              </w:rPr>
            </w:pPr>
          </w:p>
        </w:tc>
      </w:tr>
      <w:tr>
        <w:trPr>
          <w:trHeight w:val="225"/>
        </w:trPr>
        <w:tc>
          <w:tcPr>
            <w:tcW w:w="7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Channel:</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0"/>
        </w:trPr>
        <w:tc>
          <w:tcPr>
            <w:tcW w:w="7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CTV</w:t>
            </w: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42,303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11,976</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253 %</w:t>
            </w:r>
          </w:p>
        </w:tc>
      </w:tr>
      <w:tr>
        <w:trPr>
          <w:trHeight w:val="220"/>
        </w:trPr>
        <w:tc>
          <w:tcPr>
            <w:tcW w:w="7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Desktop</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19,997</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32 %</w:t>
            </w:r>
          </w:p>
        </w:tc>
      </w:tr>
      <w:tr>
        <w:trPr>
          <w:trHeight w:val="220"/>
        </w:trPr>
        <w:tc>
          <w:tcPr>
            <w:tcW w:w="7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Mobile</w:t>
            </w: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38,297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27,887</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37 %</w:t>
            </w:r>
          </w:p>
        </w:tc>
      </w:tr>
      <w:tr>
        <w:trPr>
          <w:trHeight w:val="238"/>
        </w:trPr>
        <w:tc>
          <w:tcPr>
            <w:tcW w:w="7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107,084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59,860</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79 %</w:t>
            </w:r>
          </w:p>
        </w:tc>
      </w:tr>
      <w:tr>
        <w:trPr>
          <w:trHeight w:val="20"/>
        </w:trPr>
        <w:tc>
          <w:tcPr>
            <w:tcW w:w="7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jc w:val="both"/>
        <w:ind w:right="40" w:firstLine="621"/>
        <w:spacing w:after="0" w:line="272" w:lineRule="auto"/>
        <w:rPr>
          <w:sz w:val="20"/>
          <w:szCs w:val="20"/>
          <w:color w:val="auto"/>
        </w:rPr>
      </w:pPr>
      <w:r>
        <w:rPr>
          <w:rFonts w:ascii="Times New Roman" w:cs="Times New Roman" w:eastAsia="Times New Roman" w:hAnsi="Times New Roman"/>
          <w:sz w:val="17"/>
          <w:szCs w:val="17"/>
          <w:color w:val="auto"/>
        </w:rPr>
        <w:t>Revenue ex-TAC increased $47.2 million, or 79%, for the three months ended March 31, 2022 compared to the three months ended March 31, 2021. The increase in Revenue ex-TAC was primarily due to contributions from the SpotX and SpringServe Acquisitions, which were completed on April 30, 2021 and July 1, 2021, respectively.</w:t>
      </w:r>
    </w:p>
    <w:p>
      <w:pPr>
        <w:spacing w:after="0" w:line="34" w:lineRule="exact"/>
        <w:rPr>
          <w:sz w:val="20"/>
          <w:szCs w:val="20"/>
          <w:color w:val="auto"/>
        </w:rPr>
      </w:pPr>
    </w:p>
    <w:p>
      <w:pPr>
        <w:jc w:val="both"/>
        <w:ind w:right="20" w:firstLine="621"/>
        <w:spacing w:after="0" w:line="291" w:lineRule="auto"/>
        <w:rPr>
          <w:sz w:val="20"/>
          <w:szCs w:val="20"/>
          <w:color w:val="auto"/>
        </w:rPr>
      </w:pPr>
      <w:r>
        <w:rPr>
          <w:rFonts w:ascii="Times New Roman" w:cs="Times New Roman" w:eastAsia="Times New Roman" w:hAnsi="Times New Roman"/>
          <w:sz w:val="17"/>
          <w:szCs w:val="17"/>
          <w:color w:val="auto"/>
        </w:rPr>
        <w:t>We expect Revenue ex-TAC to increase through the remainder of 2022 as compared to the same period in the prior year. We believe that CTV will be our biggest growth driver in future periods and continue to represent a higher percentage of our overall Revenue ex-TAC.</w:t>
      </w:r>
    </w:p>
    <w:p>
      <w:pPr>
        <w:spacing w:after="0" w:line="30" w:lineRule="exact"/>
        <w:rPr>
          <w:sz w:val="20"/>
          <w:szCs w:val="20"/>
          <w:color w:val="auto"/>
        </w:rPr>
      </w:pPr>
    </w:p>
    <w:p>
      <w:pPr>
        <w:ind w:right="60" w:firstLine="621"/>
        <w:spacing w:after="0" w:line="266" w:lineRule="auto"/>
        <w:rPr>
          <w:sz w:val="20"/>
          <w:szCs w:val="20"/>
          <w:color w:val="auto"/>
        </w:rPr>
      </w:pPr>
      <w:r>
        <w:rPr>
          <w:rFonts w:ascii="Times New Roman" w:cs="Times New Roman" w:eastAsia="Times New Roman" w:hAnsi="Times New Roman"/>
          <w:sz w:val="17"/>
          <w:szCs w:val="17"/>
          <w:color w:val="auto"/>
        </w:rPr>
        <w:t>We expect our mobile business to grow at a higher rate than desktop, consistent with industry trends and our historical results. Our mobile business consists of two components, mobile web and mobile applications. Initially our mobile business consisted primarily of mobile web, which is similar to our desktop business, but our mobile application business has been the growth driver behind our mobile business. We therefore expect our growth within mobile to come largely from our mobile applications business and, in particular, mobile in-app video.</w:t>
      </w:r>
    </w:p>
    <w:p>
      <w:pPr>
        <w:spacing w:after="0" w:line="52" w:lineRule="exact"/>
        <w:rPr>
          <w:sz w:val="20"/>
          <w:szCs w:val="20"/>
          <w:color w:val="auto"/>
        </w:rPr>
      </w:pPr>
    </w:p>
    <w:p>
      <w:pPr>
        <w:ind w:right="20" w:firstLine="621"/>
        <w:spacing w:after="0" w:line="266" w:lineRule="auto"/>
        <w:rPr>
          <w:sz w:val="20"/>
          <w:szCs w:val="20"/>
          <w:color w:val="auto"/>
        </w:rPr>
      </w:pPr>
      <w:r>
        <w:rPr>
          <w:rFonts w:ascii="Times New Roman" w:cs="Times New Roman" w:eastAsia="Times New Roman" w:hAnsi="Times New Roman"/>
          <w:sz w:val="17"/>
          <w:szCs w:val="17"/>
          <w:color w:val="auto"/>
        </w:rPr>
        <w:t>Lower industry growth rates in desktop will make growing desktop Revenue ex-TAC more challenging; however, in future periods we believe we will be able to grow our desktop business in excess of industry projections by capturing market share through SPO and expansion of publisher relationships. We expect our desktop business to decline as an overall percentage of our revenue in future periods. However, we expect that it will continue to represent a significant part of our Revenue ex-TAC in the near term. Therefore, the mix of our desktop business will continue to dampen our overall growth rate.</w:t>
      </w:r>
    </w:p>
    <w:p>
      <w:pPr>
        <w:spacing w:after="0" w:line="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Adjusted EBITDA</w:t>
      </w:r>
    </w:p>
    <w:p>
      <w:pPr>
        <w:spacing w:after="0" w:line="246" w:lineRule="exact"/>
        <w:rPr>
          <w:sz w:val="20"/>
          <w:szCs w:val="20"/>
          <w:color w:val="auto"/>
        </w:rPr>
      </w:pPr>
    </w:p>
    <w:p>
      <w:pPr>
        <w:ind w:right="40" w:firstLine="621"/>
        <w:spacing w:after="0" w:line="263" w:lineRule="auto"/>
        <w:rPr>
          <w:sz w:val="20"/>
          <w:szCs w:val="20"/>
          <w:color w:val="auto"/>
        </w:rPr>
      </w:pPr>
      <w:r>
        <w:rPr>
          <w:rFonts w:ascii="Times New Roman" w:cs="Times New Roman" w:eastAsia="Times New Roman" w:hAnsi="Times New Roman"/>
          <w:sz w:val="17"/>
          <w:szCs w:val="17"/>
          <w:color w:val="auto"/>
        </w:rPr>
        <w:t>We define Adjusted EBITDA as net income (loss) adjusted to exclude stock-based compensation expense, depreciation and amortization, amortization of acquired intangible assets, impairment charges, interest income or expense, and other cash and non-cash based income or expenses that we do not consider indicative of our core operating performance, including, but not limited to foreign exchange gains and losses, acquisition and related items, non-operational real estate expense (income), net, and provision (benefit) for income taxes. We believe Adjusted EBITDA is useful to investors in evaluating our performance for the following reasons:</w:t>
      </w:r>
    </w:p>
    <w:p>
      <w:pPr>
        <w:spacing w:after="0" w:line="54" w:lineRule="exact"/>
        <w:rPr>
          <w:sz w:val="20"/>
          <w:szCs w:val="20"/>
          <w:color w:val="auto"/>
        </w:rPr>
      </w:pPr>
    </w:p>
    <w:p>
      <w:pPr>
        <w:ind w:left="620" w:right="180" w:hanging="306"/>
        <w:spacing w:after="0" w:line="272"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is widely used by investors and securities analysts to measure a company’s performance without regard to items such as those we exclude in calculating this measure, which can vary substantially from company to company depending upon their financing, capital structures, and the method by which assets were acquired.</w:t>
      </w:r>
    </w:p>
    <w:p>
      <w:pPr>
        <w:spacing w:after="0" w:line="46" w:lineRule="exact"/>
        <w:rPr>
          <w:rFonts w:ascii="Times New Roman" w:cs="Times New Roman" w:eastAsia="Times New Roman" w:hAnsi="Times New Roman"/>
          <w:sz w:val="17"/>
          <w:szCs w:val="17"/>
          <w:color w:val="auto"/>
        </w:rPr>
      </w:pPr>
    </w:p>
    <w:p>
      <w:pPr>
        <w:ind w:left="620" w:right="200" w:hanging="306"/>
        <w:spacing w:after="0" w:line="272"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uses Adjusted EBITDA in conjunction with GAAP financial measures for planning purposes, including the preparation of our annual operating budget, as a measure of performance and the effectiveness of our business strategies, and in communications with our board of directors concerning our performance. Adjusted EBITDA may also be used as a metric for determining payment of cash incentive compensation.</w:t>
      </w:r>
    </w:p>
    <w:p>
      <w:pPr>
        <w:spacing w:after="0" w:line="33" w:lineRule="exact"/>
        <w:rPr>
          <w:rFonts w:ascii="Times New Roman" w:cs="Times New Roman" w:eastAsia="Times New Roman" w:hAnsi="Times New Roman"/>
          <w:sz w:val="17"/>
          <w:szCs w:val="17"/>
          <w:color w:val="auto"/>
        </w:rPr>
      </w:pPr>
    </w:p>
    <w:p>
      <w:pPr>
        <w:jc w:val="both"/>
        <w:ind w:left="620" w:right="80" w:hanging="306"/>
        <w:spacing w:after="0" w:line="272" w:lineRule="auto"/>
        <w:tabs>
          <w:tab w:leader="none" w:pos="61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provides a measure of consistency and comparability with our past performance that many investors find useful, facilitates period-to-period comparisons of operations, and also facilitates comparisons with other peer companies, many of which use similar non-GAAP financial measures to supplement their GAAP results.</w:t>
      </w:r>
    </w:p>
    <w:p>
      <w:pPr>
        <w:spacing w:after="0" w:line="137" w:lineRule="exact"/>
        <w:rPr>
          <w:sz w:val="20"/>
          <w:szCs w:val="20"/>
          <w:color w:val="auto"/>
        </w:rPr>
      </w:pPr>
    </w:p>
    <w:p>
      <w:pPr>
        <w:ind w:firstLine="621"/>
        <w:spacing w:after="0" w:line="272" w:lineRule="auto"/>
        <w:rPr>
          <w:sz w:val="20"/>
          <w:szCs w:val="20"/>
          <w:color w:val="auto"/>
        </w:rPr>
      </w:pPr>
      <w:r>
        <w:rPr>
          <w:rFonts w:ascii="Times New Roman" w:cs="Times New Roman" w:eastAsia="Times New Roman" w:hAnsi="Times New Roman"/>
          <w:sz w:val="17"/>
          <w:szCs w:val="17"/>
          <w:color w:val="auto"/>
        </w:rPr>
        <w:t>Although Adjusted EBITDA is frequently used by investors and securities analysts in their evaluations of companies, Adjusted EBITDA has limitations as an analytical tool, and should not be considered in isolation or as a substitute for analysis of our results of operations as reported under GAAP. These limitations include:</w:t>
      </w:r>
    </w:p>
    <w:p>
      <w:pPr>
        <w:spacing w:after="0" w:line="34" w:lineRule="exact"/>
        <w:rPr>
          <w:sz w:val="20"/>
          <w:szCs w:val="20"/>
          <w:color w:val="auto"/>
        </w:rPr>
      </w:pPr>
    </w:p>
    <w:p>
      <w:pPr>
        <w:ind w:left="620" w:right="100" w:hanging="306"/>
        <w:spacing w:after="0" w:line="291"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is a non-cash charge and will remain an element of our long-term incentive compensation package, although we exclude it as an expense when evaluating our ongoing operating performance for a particular period.</w:t>
      </w:r>
    </w:p>
    <w:p>
      <w:pPr>
        <w:spacing w:after="0" w:line="30" w:lineRule="exact"/>
        <w:rPr>
          <w:rFonts w:ascii="Times New Roman" w:cs="Times New Roman" w:eastAsia="Times New Roman" w:hAnsi="Times New Roman"/>
          <w:sz w:val="17"/>
          <w:szCs w:val="17"/>
          <w:color w:val="auto"/>
        </w:rPr>
      </w:pPr>
    </w:p>
    <w:p>
      <w:pPr>
        <w:ind w:left="620" w:right="540" w:hanging="306"/>
        <w:spacing w:after="0" w:line="291"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and amortization are non-cash charges, and the assets being depreciated or amortized will often have to be replaced in the future, but Adjusted EBITDA does not reflect any cash requirements for these replacements.</w:t>
      </w:r>
    </w:p>
    <w:p>
      <w:pPr>
        <w:spacing w:after="0" w:line="30"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charges are non-cash charges related to goodwill, intangible assets and/or long-lived assets.</w:t>
      </w:r>
    </w:p>
    <w:p>
      <w:pPr>
        <w:spacing w:after="0" w:line="89" w:lineRule="exact"/>
        <w:rPr>
          <w:rFonts w:ascii="Times New Roman" w:cs="Times New Roman" w:eastAsia="Times New Roman" w:hAnsi="Times New Roman"/>
          <w:sz w:val="17"/>
          <w:szCs w:val="17"/>
          <w:color w:val="auto"/>
        </w:rPr>
      </w:pPr>
    </w:p>
    <w:p>
      <w:pPr>
        <w:ind w:left="620" w:right="20" w:hanging="306"/>
        <w:spacing w:after="0" w:line="291"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non-cash charges related to acquisition and related items, such as amortization of acquired intangible assets, merger or acquisition related severance costs, and changes in the fair value of contingent consideration.</w:t>
      </w:r>
    </w:p>
    <w:p>
      <w:pPr>
        <w:spacing w:after="0" w:line="30" w:lineRule="exact"/>
        <w:rPr>
          <w:rFonts w:ascii="Times New Roman" w:cs="Times New Roman" w:eastAsia="Times New Roman" w:hAnsi="Times New Roman"/>
          <w:sz w:val="17"/>
          <w:szCs w:val="17"/>
          <w:color w:val="auto"/>
        </w:rPr>
      </w:pPr>
    </w:p>
    <w:p>
      <w:pPr>
        <w:ind w:left="620" w:right="360" w:hanging="306"/>
        <w:spacing w:after="0" w:line="291"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cash and non-cash charges and changes in, or cash requirements for, acquisition and related items, such as certain transaction expenses and expenses associated with earn-out amounts.</w:t>
      </w:r>
    </w:p>
    <w:p>
      <w:pPr>
        <w:spacing w:after="0" w:line="30" w:lineRule="exact"/>
        <w:rPr>
          <w:rFonts w:ascii="Times New Roman" w:cs="Times New Roman" w:eastAsia="Times New Roman" w:hAnsi="Times New Roman"/>
          <w:sz w:val="17"/>
          <w:szCs w:val="17"/>
          <w:color w:val="auto"/>
        </w:rPr>
      </w:pPr>
    </w:p>
    <w:p>
      <w:pPr>
        <w:ind w:left="620" w:right="720" w:hanging="306"/>
        <w:spacing w:after="0" w:line="291" w:lineRule="auto"/>
        <w:tabs>
          <w:tab w:leader="none" w:pos="61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changes in our working capital needs, capital expenditures, non-operating real estate expenses or income, or contractual commitments.</w:t>
      </w:r>
    </w:p>
    <w:p>
      <w:pPr>
        <w:spacing w:after="0" w:line="17"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Adjusted EBITDA does not reflect cash requirements for income taxes and the cash impact of other income or expense.</w:t>
      </w:r>
    </w:p>
    <w:p>
      <w:pPr>
        <w:spacing w:after="0" w:line="102"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companies may calculate Adjusted EBITDA differently than we do, limiting its usefulness as a comparative measure.</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80" w:firstLine="621"/>
        <w:spacing w:after="0" w:line="272" w:lineRule="auto"/>
        <w:rPr>
          <w:sz w:val="20"/>
          <w:szCs w:val="20"/>
          <w:color w:val="auto"/>
        </w:rPr>
      </w:pPr>
      <w:r>
        <w:rPr>
          <w:rFonts w:ascii="Times New Roman" w:cs="Times New Roman" w:eastAsia="Times New Roman" w:hAnsi="Times New Roman"/>
          <w:sz w:val="17"/>
          <w:szCs w:val="17"/>
          <w:color w:val="auto"/>
        </w:rPr>
        <w:t>Our Adjusted EBITDA is influenced by fluctuations in our revenue, cost of revenue, and the timing and amounts of the cost of our operations. Adjusted EBITDA should not be considered as an alternative to net income (loss), income (loss) from operations, or any other measure of financial performance calculated and presented in accordance with GAAP.</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a reconciliation of net income (loss), the most comparable GAAP measure, to Adjusted EBITDA for the three months ended</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31, 2022 and 2021:</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4"/>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83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77"/>
        </w:trPr>
        <w:tc>
          <w:tcPr>
            <w:tcW w:w="83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80" w:type="dxa"/>
            <w:vAlign w:val="bottom"/>
          </w:tcPr>
          <w:p>
            <w:pPr>
              <w:spacing w:after="0"/>
              <w:rPr>
                <w:sz w:val="15"/>
                <w:szCs w:val="15"/>
                <w:color w:val="auto"/>
              </w:rPr>
            </w:pPr>
          </w:p>
        </w:tc>
        <w:tc>
          <w:tcPr>
            <w:tcW w:w="1200" w:type="dxa"/>
            <w:vAlign w:val="bottom"/>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23"/>
        </w:trPr>
        <w:tc>
          <w:tcPr>
            <w:tcW w:w="83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3"/>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(44,593)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(12,877)</w:t>
            </w:r>
          </w:p>
        </w:tc>
      </w:tr>
      <w:tr>
        <w:trPr>
          <w:trHeight w:val="220"/>
        </w:trPr>
        <w:tc>
          <w:tcPr>
            <w:tcW w:w="8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Add back (deduct):</w:t>
            </w: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 expense, excluding amortization of acquired intangible assets</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4,894</w:t>
            </w:r>
          </w:p>
        </w:tc>
      </w:tr>
      <w:tr>
        <w:trPr>
          <w:trHeight w:val="220"/>
        </w:trPr>
        <w:tc>
          <w:tcPr>
            <w:tcW w:w="8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Amortization of acquired intangibles</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38,476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7,591</w:t>
            </w:r>
          </w:p>
        </w:tc>
      </w:tr>
      <w:tr>
        <w:trPr>
          <w:trHeight w:val="22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6,993</w:t>
            </w:r>
          </w:p>
        </w:tc>
      </w:tr>
      <w:tr>
        <w:trPr>
          <w:trHeight w:val="220"/>
        </w:trPr>
        <w:tc>
          <w:tcPr>
            <w:tcW w:w="8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Merger, acquisition, and restructuring costs, excluding stock-based compensation expense</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4,812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2,345</w:t>
            </w:r>
          </w:p>
        </w:tc>
      </w:tr>
      <w:tr>
        <w:trPr>
          <w:trHeight w:val="220"/>
        </w:trPr>
        <w:tc>
          <w:tcPr>
            <w:tcW w:w="83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Non-operational real estate expense (income), net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20"/>
        </w:trPr>
        <w:tc>
          <w:tcPr>
            <w:tcW w:w="83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 (income), net</w:t>
            </w: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7,111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w:t>
            </w:r>
          </w:p>
        </w:tc>
      </w:tr>
      <w:tr>
        <w:trPr>
          <w:trHeight w:val="22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Foreign exchange (gain) loss, net</w:t>
            </w: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0"/>
        </w:trPr>
        <w:tc>
          <w:tcPr>
            <w:tcW w:w="8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Provision (benefit) for income taxes</w:t>
            </w:r>
          </w:p>
        </w:tc>
        <w:tc>
          <w:tcPr>
            <w:tcW w:w="1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w:t>
            </w:r>
          </w:p>
        </w:tc>
      </w:tr>
      <w:tr>
        <w:trPr>
          <w:trHeight w:val="23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Adjusted EBITDA</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28,841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9,362</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ind w:right="240" w:firstLine="621"/>
        <w:spacing w:after="0" w:line="272" w:lineRule="auto"/>
        <w:rPr>
          <w:sz w:val="20"/>
          <w:szCs w:val="20"/>
          <w:color w:val="auto"/>
        </w:rPr>
      </w:pPr>
      <w:r>
        <w:rPr>
          <w:rFonts w:ascii="Times New Roman" w:cs="Times New Roman" w:eastAsia="Times New Roman" w:hAnsi="Times New Roman"/>
          <w:sz w:val="17"/>
          <w:szCs w:val="17"/>
          <w:color w:val="auto"/>
        </w:rPr>
        <w:t>Adjusted EBITDA increased by $19.5 million during the three months ended March 31, 2022 compared to the three months ended March 31, 2021, primarily due to increase in revenue from both organic growth and the SpotX and SpringServe Acquisitions, which are discussed in section "Comparison of the Three Months Ended March 31, 2022 and 2021," and improved operating leverage from our increased scale and related cost synergies.</w:t>
      </w:r>
    </w:p>
    <w:p>
      <w:pPr>
        <w:spacing w:after="0" w:line="124" w:lineRule="exact"/>
        <w:rPr>
          <w:sz w:val="20"/>
          <w:szCs w:val="20"/>
          <w:color w:val="auto"/>
        </w:rPr>
      </w:pPr>
    </w:p>
    <w:p>
      <w:pPr>
        <w:ind w:right="500" w:firstLine="621"/>
        <w:spacing w:after="0" w:line="291" w:lineRule="auto"/>
        <w:rPr>
          <w:sz w:val="20"/>
          <w:szCs w:val="20"/>
          <w:color w:val="auto"/>
        </w:rPr>
      </w:pPr>
      <w:r>
        <w:rPr>
          <w:rFonts w:ascii="Times New Roman" w:cs="Times New Roman" w:eastAsia="Times New Roman" w:hAnsi="Times New Roman"/>
          <w:sz w:val="17"/>
          <w:szCs w:val="17"/>
          <w:color w:val="auto"/>
        </w:rPr>
        <w:t>We expect Adjusted EBITDA to continue to increase as a result of continued growth in revenue, ongoing operating leverage, and the realization of additional cost synergies.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93" w:lineRule="exact"/>
        <w:rPr>
          <w:sz w:val="20"/>
          <w:szCs w:val="20"/>
          <w:color w:val="auto"/>
        </w:rPr>
      </w:pPr>
    </w:p>
    <w:p>
      <w:pPr>
        <w:ind w:right="420" w:firstLine="621"/>
        <w:spacing w:after="0" w:line="245" w:lineRule="auto"/>
        <w:rPr>
          <w:sz w:val="20"/>
          <w:szCs w:val="20"/>
          <w:color w:val="auto"/>
        </w:rPr>
      </w:pPr>
      <w:r>
        <w:rPr>
          <w:rFonts w:ascii="Times New Roman" w:cs="Times New Roman" w:eastAsia="Times New Roman" w:hAnsi="Times New Roman"/>
          <w:sz w:val="17"/>
          <w:szCs w:val="17"/>
          <w:color w:val="auto"/>
        </w:rPr>
        <w:t>As of March 31, 2022, we had cash and cash equivalents of $204.6 million, of which $37.3 million was held in foreign currency denominated cash accounts, and an aggregate gross principal amount of $757.3 million of indebtedness outstanding under our Term Loan B Facility (as defined below) and our Convertible Senior Notes (as defined below). In addition, we are party to a $65.0 million Revolving Credit Facility, of which approximately $5.3 million is assigned to outstanding but undrawn letters of credit. See "Capital Resources" below for further information about our outstanding debt.</w:t>
      </w:r>
    </w:p>
    <w:p>
      <w:pPr>
        <w:spacing w:after="0" w:line="68"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Our principal cash requirements for the 12 month period following this report primarily consist of personnel costs, contractual payment obligations, including office leases, data center costs and cloud hosting costs, capital expenditures, payment of interest and required principal payments on our Convertible Senior Notes and Term Loan B Facility, taxes paid related to net share settlement associated with vesting of stock-based compensation awards, and cash requirements to fund working capital. In the longer term, we would expect to have similar cash requirements, with increases in absolute dollars associated with the continued growth of our business and expansion of operations. See "Contractual Obligations and Known Future Cash Requirements" for a further discussion of our known material contractual obligations.</w:t>
      </w:r>
    </w:p>
    <w:p>
      <w:pPr>
        <w:spacing w:after="0" w:line="57" w:lineRule="exact"/>
        <w:rPr>
          <w:sz w:val="20"/>
          <w:szCs w:val="20"/>
          <w:color w:val="auto"/>
        </w:rPr>
      </w:pPr>
    </w:p>
    <w:p>
      <w:pPr>
        <w:ind w:firstLine="621"/>
        <w:spacing w:after="0" w:line="263" w:lineRule="auto"/>
        <w:rPr>
          <w:sz w:val="20"/>
          <w:szCs w:val="20"/>
          <w:color w:val="auto"/>
        </w:rPr>
      </w:pPr>
      <w:r>
        <w:rPr>
          <w:rFonts w:ascii="Times New Roman" w:cs="Times New Roman" w:eastAsia="Times New Roman" w:hAnsi="Times New Roman"/>
          <w:sz w:val="17"/>
          <w:szCs w:val="17"/>
          <w:color w:val="auto"/>
        </w:rPr>
        <w:t>Our working capital needs and cash conversion cycle, which is influenced by seasonality and may be negatively impacted as a result of COVID-19 and other macroeconomic challenges, can have large fluctuations due to the timing of receipts from buyers and timing of disbursements to sellers. In addition, in the event a buyer defaults on payment, we may still be required to pay sellers for the inventory purchased. Additionally, our capital expenditure investments tend to be higher in the second half of the year. The impacts from changes in working capital and capital expenditures can significantly impact our cash flows and therefore, our liquidity during any period presented.</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240" w:firstLine="621"/>
        <w:spacing w:after="0" w:line="266" w:lineRule="auto"/>
        <w:rPr>
          <w:sz w:val="20"/>
          <w:szCs w:val="20"/>
          <w:color w:val="auto"/>
        </w:rPr>
      </w:pPr>
      <w:r>
        <w:rPr>
          <w:rFonts w:ascii="Times New Roman" w:cs="Times New Roman" w:eastAsia="Times New Roman" w:hAnsi="Times New Roman"/>
          <w:sz w:val="17"/>
          <w:szCs w:val="17"/>
          <w:color w:val="auto"/>
        </w:rPr>
        <w:t>We have historically relied upon cash and cash equivalents, cash generated from operations, borrowings under credit facilities and issuance of debt for our liquidity needs. Our ability to meet our cash requirements depends on, among other things, our operating performance, competitive developments, and financial market conditions, all of which are significantly affected by business, financial, economic, political, global health-related and other factors, many of which we may not be able to control or influence.</w:t>
      </w:r>
    </w:p>
    <w:p>
      <w:pPr>
        <w:spacing w:after="0" w:line="39" w:lineRule="exact"/>
        <w:rPr>
          <w:sz w:val="20"/>
          <w:szCs w:val="20"/>
          <w:color w:val="auto"/>
        </w:rPr>
      </w:pPr>
    </w:p>
    <w:p>
      <w:pPr>
        <w:ind w:right="40" w:firstLine="621"/>
        <w:spacing w:after="0" w:line="260" w:lineRule="auto"/>
        <w:rPr>
          <w:sz w:val="20"/>
          <w:szCs w:val="20"/>
          <w:color w:val="auto"/>
        </w:rPr>
      </w:pPr>
      <w:r>
        <w:rPr>
          <w:rFonts w:ascii="Times New Roman" w:cs="Times New Roman" w:eastAsia="Times New Roman" w:hAnsi="Times New Roman"/>
          <w:sz w:val="17"/>
          <w:szCs w:val="17"/>
          <w:color w:val="auto"/>
        </w:rPr>
        <w:t>We believe our existing cash and cash equivalents, cash generated from operating activities, and amounts available to borrow under our Revolving Credit Facility will be sufficient to meet our working capital requirements for at least the next twelve months from the issuance of our financial statements. However, there are multiple factors that could impact our cash balances in the future, including the factors described above with respect to working capital and cash conversion cycles, as well as the duration and severity of events beyond our control, such as health epidemics, including the COVID-19 pandemic, geopolitical events, including the conflict in Ukraine, and economic and macro-economic factors like labor shortages, supply chain disruptions, and inflation impacting the markets and communities in which our clients operate and the factors set forth in Part II, Item 1A: "Risk Factors" of our Annual Report on Form 10-K for the year ended December 31, 2021.</w:t>
      </w:r>
    </w:p>
    <w:p>
      <w:pPr>
        <w:spacing w:after="0" w:line="5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Capital Resources</w:t>
      </w:r>
    </w:p>
    <w:p>
      <w:pPr>
        <w:spacing w:after="0" w:line="106" w:lineRule="exact"/>
        <w:rPr>
          <w:sz w:val="20"/>
          <w:szCs w:val="20"/>
          <w:color w:val="auto"/>
        </w:rPr>
      </w:pPr>
    </w:p>
    <w:p>
      <w:pPr>
        <w:ind w:firstLine="621"/>
        <w:spacing w:after="0" w:line="261" w:lineRule="auto"/>
        <w:rPr>
          <w:sz w:val="20"/>
          <w:szCs w:val="20"/>
          <w:color w:val="auto"/>
        </w:rPr>
      </w:pPr>
      <w:r>
        <w:rPr>
          <w:rFonts w:ascii="Times New Roman" w:cs="Times New Roman" w:eastAsia="Times New Roman" w:hAnsi="Times New Roman"/>
          <w:sz w:val="17"/>
          <w:szCs w:val="17"/>
          <w:color w:val="auto"/>
        </w:rPr>
        <w:t>In March 2021, we sold convertible senior notes ("Convertible Senior Notes") for gross proceeds of $400.0 million. The Convertible Senior Notes are senior, unsecured obligations with interest payable semi-annually in cash at a rate of 0.25% per annum in arrears on March 15 and September 15. The Convertible Senior Notes will mature on March 15, 2026, unless earlier converted, redeemed, or repurchased. The initial conversion rate is 15.6539 shares per $1,000 principal amount of notes, which represents an initial conversion price of approximately $63.88 per share of the Company’s common stock and is subject to adjustment as described in the Offering Memorandum. At March 31, 2022, the balance of the Convertible Senior Notes was $390.9 million, net of unamortized debt issuance costs of $9.1 million. Accrued interest for the Convertible Senior Notes at March 31, 2022 was immaterial.</w:t>
      </w:r>
    </w:p>
    <w:p>
      <w:pPr>
        <w:spacing w:after="0" w:line="44" w:lineRule="exact"/>
        <w:rPr>
          <w:sz w:val="20"/>
          <w:szCs w:val="20"/>
          <w:color w:val="auto"/>
        </w:rPr>
      </w:pPr>
    </w:p>
    <w:p>
      <w:pPr>
        <w:ind w:firstLine="621"/>
        <w:spacing w:after="0" w:line="260" w:lineRule="auto"/>
        <w:rPr>
          <w:sz w:val="20"/>
          <w:szCs w:val="20"/>
          <w:color w:val="auto"/>
        </w:rPr>
      </w:pPr>
      <w:r>
        <w:rPr>
          <w:rFonts w:ascii="Times New Roman" w:cs="Times New Roman" w:eastAsia="Times New Roman" w:hAnsi="Times New Roman"/>
          <w:sz w:val="17"/>
          <w:szCs w:val="17"/>
          <w:color w:val="auto"/>
        </w:rPr>
        <w:t>In conjunction with the issuance of the Convertible Senior Notes, we entered into capped call transactions to reduce the Company's exposure to additional cash payments above principal balances in the event of a cash conversion of the Convertible Senior Notes. The Company may owe additional cash or shares to the holders of the Convertible Senior Notes upon early conversion if our stock price exceeds $91.260 per share, which is subject to certain adjustments. Although the Company’s incremental exposure to the additional cash payment above the principal amount of the Convertible Senior Notes is reduced by the capped calls, conversion of the Convertible Senior Notes by the holders may cause dilution to the ownership interests of existing stockholders. See Note 13 "Debt" in the notes to unaudited condensed consolidated financial statements included in this Quarterly Report for more information regarding terms and conditions of the Convertible Senior Notes and the capped call transactions.</w:t>
      </w:r>
    </w:p>
    <w:p>
      <w:pPr>
        <w:spacing w:after="0" w:line="57" w:lineRule="exact"/>
        <w:rPr>
          <w:sz w:val="20"/>
          <w:szCs w:val="20"/>
          <w:color w:val="auto"/>
        </w:rPr>
      </w:pPr>
    </w:p>
    <w:p>
      <w:pPr>
        <w:ind w:right="80" w:firstLine="621"/>
        <w:spacing w:after="0" w:line="261" w:lineRule="auto"/>
        <w:rPr>
          <w:sz w:val="20"/>
          <w:szCs w:val="20"/>
          <w:color w:val="auto"/>
        </w:rPr>
      </w:pPr>
      <w:r>
        <w:rPr>
          <w:rFonts w:ascii="Times New Roman" w:cs="Times New Roman" w:eastAsia="Times New Roman" w:hAnsi="Times New Roman"/>
          <w:sz w:val="17"/>
          <w:szCs w:val="17"/>
          <w:color w:val="auto"/>
        </w:rPr>
        <w:t>On April 30, 2021, and in conjunction with the SpotX Acquisition, we entered into a credit agreement (the "Credit Agreement") with Goldman Sachs Bank USA as administrative and collateral agent, and other lending parties thereto for a $360.0 million seven-year senior secured term loan facility ("Term Loan B Facility") and a $52.5 million senior secured revolving credit facility (the "Revolving Credit Facility"), which was subsequently increased to $65.0 million in June 2021. As part of the Term Loan B Facility, the Company received $325 million in proceeds, net of discounts and fees, which were used to finance the SpotX Acquisition and related transactions and for general corporate purposes. At March 31, 2022, amounts available under the Revolving Credit Facility were $59.7 million, net of letters of credit outstanding in the amount of $5.3 million. Accrued interest for the Term Loan B Facility at March 31, 2022 was $1.8 million.</w:t>
      </w:r>
    </w:p>
    <w:p>
      <w:pPr>
        <w:spacing w:after="0" w:line="57" w:lineRule="exact"/>
        <w:rPr>
          <w:sz w:val="20"/>
          <w:szCs w:val="20"/>
          <w:color w:val="auto"/>
        </w:rPr>
      </w:pPr>
    </w:p>
    <w:p>
      <w:pPr>
        <w:jc w:val="both"/>
        <w:ind w:right="120" w:firstLine="621"/>
        <w:spacing w:after="0" w:line="263" w:lineRule="auto"/>
        <w:rPr>
          <w:sz w:val="20"/>
          <w:szCs w:val="20"/>
          <w:color w:val="auto"/>
        </w:rPr>
      </w:pPr>
      <w:r>
        <w:rPr>
          <w:rFonts w:ascii="Times New Roman" w:cs="Times New Roman" w:eastAsia="Times New Roman" w:hAnsi="Times New Roman"/>
          <w:sz w:val="17"/>
          <w:szCs w:val="17"/>
          <w:color w:val="auto"/>
        </w:rPr>
        <w:t>In the future, we may attempt to raise additional capital through the sale of equity securities or through equity-linked or debt financing arrangements. If we raise additional funds by issuing equity or equity-linked securities, the ownership of our existing stockholders will be diluted. If we raise additional financing by incurring indebtedness, we will be subject to increased fixed payment obligations and could also be subject to restrictive covenants, such as limitations on our ability to incur additional debt, and other operating restrictions that could adversely impact our ability to conduct our business. Any future indebtedness we incur may result in terms that could be unfavorable to equity investors.</w:t>
      </w:r>
    </w:p>
    <w:p>
      <w:pPr>
        <w:spacing w:after="0" w:line="41" w:lineRule="exact"/>
        <w:rPr>
          <w:sz w:val="20"/>
          <w:szCs w:val="20"/>
          <w:color w:val="auto"/>
        </w:rPr>
      </w:pPr>
    </w:p>
    <w:p>
      <w:pPr>
        <w:ind w:right="380" w:firstLine="621"/>
        <w:spacing w:after="0" w:line="291" w:lineRule="auto"/>
        <w:rPr>
          <w:sz w:val="20"/>
          <w:szCs w:val="20"/>
          <w:color w:val="auto"/>
        </w:rPr>
      </w:pPr>
      <w:r>
        <w:rPr>
          <w:rFonts w:ascii="Times New Roman" w:cs="Times New Roman" w:eastAsia="Times New Roman" w:hAnsi="Times New Roman"/>
          <w:sz w:val="17"/>
          <w:szCs w:val="17"/>
          <w:color w:val="auto"/>
        </w:rPr>
        <w:t>An inability to raise additional capital could adversely affect our ability to achieve our business objectives. In addition, if our operating performance during the next twelve months is below our expectations, our liquidity and ability to operate our business could be adversely affected.</w:t>
      </w:r>
    </w:p>
    <w:p>
      <w:pPr>
        <w:spacing w:after="0" w:line="30" w:lineRule="exact"/>
        <w:rPr>
          <w:sz w:val="20"/>
          <w:szCs w:val="20"/>
          <w:color w:val="auto"/>
        </w:rPr>
      </w:pPr>
    </w:p>
    <w:p>
      <w:pPr>
        <w:ind w:firstLine="621"/>
        <w:spacing w:after="0" w:line="263" w:lineRule="auto"/>
        <w:rPr>
          <w:sz w:val="20"/>
          <w:szCs w:val="20"/>
          <w:color w:val="auto"/>
        </w:rPr>
      </w:pPr>
      <w:r>
        <w:rPr>
          <w:rFonts w:ascii="Times New Roman" w:cs="Times New Roman" w:eastAsia="Times New Roman" w:hAnsi="Times New Roman"/>
          <w:sz w:val="17"/>
          <w:szCs w:val="17"/>
          <w:color w:val="auto"/>
        </w:rPr>
        <w:t>Our cash and cash equivalents balance is affected by our results of operations, the timing of capital expenditures which are typically greater in the second half of the year, and by changes in our working capital, particularly changes in accounts receivable and accounts payable. The timing of cash receipts from buyers and payments to sellers can significantly impact our cash flows from operating activities and our liquidity for, and within, any period presented. Our collection and payment cycle can vary from period to period depending upon various circumstances, including seasonality, and may be negatively impacted as a result of COVID-19.</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0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our cash flows for the periods presented:</w:t>
      </w:r>
    </w:p>
    <w:p>
      <w:pPr>
        <w:spacing w:after="0" w:line="135" w:lineRule="exact"/>
        <w:rPr>
          <w:sz w:val="20"/>
          <w:szCs w:val="20"/>
          <w:color w:val="auto"/>
        </w:rPr>
      </w:pPr>
    </w:p>
    <w:tbl>
      <w:tblPr>
        <w:tblLayout w:type="fixed"/>
        <w:tblInd w:w="100" w:type="dxa"/>
        <w:tblCellMar>
          <w:top w:w="0" w:type="dxa"/>
          <w:left w:w="0" w:type="dxa"/>
          <w:bottom w:w="0" w:type="dxa"/>
          <w:right w:w="0" w:type="dxa"/>
        </w:tblCellMar>
      </w:tblPr>
      <w:tr>
        <w:trPr>
          <w:trHeight w:val="183"/>
        </w:trPr>
        <w:tc>
          <w:tcPr>
            <w:tcW w:w="7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0" w:type="dxa"/>
            <w:vAlign w:val="bottom"/>
            <w:gridSpan w:val="4"/>
          </w:tcPr>
          <w:p>
            <w:pPr>
              <w:jc w:val="right"/>
              <w:ind w:right="1017"/>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181"/>
        </w:trPr>
        <w:tc>
          <w:tcPr>
            <w:tcW w:w="76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March 31, 2021</w:t>
            </w:r>
          </w:p>
        </w:tc>
      </w:tr>
      <w:tr>
        <w:trPr>
          <w:trHeight w:val="187"/>
        </w:trPr>
        <w:tc>
          <w:tcPr>
            <w:tcW w:w="7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4"/>
          </w:tcPr>
          <w:p>
            <w:pPr>
              <w:jc w:val="right"/>
              <w:ind w:right="1217"/>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5"/>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provided by (used in) operating activities</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w:t>
            </w:r>
          </w:p>
        </w:tc>
      </w:tr>
      <w:tr>
        <w:trPr>
          <w:trHeight w:val="220"/>
        </w:trPr>
        <w:tc>
          <w:tcPr>
            <w:tcW w:w="76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used in investing activities</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(3,272)</w:t>
            </w:r>
          </w:p>
        </w:tc>
      </w:tr>
      <w:tr>
        <w:trPr>
          <w:trHeight w:val="22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(used in) provided by financing activities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355,627</w:t>
            </w:r>
          </w:p>
        </w:tc>
      </w:tr>
      <w:tr>
        <w:trPr>
          <w:trHeight w:val="220"/>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Effects of exchange rate changes on cash, cash equivalents and restricted cash</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3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cash, cash equivalents and restricted cash</w:t>
            </w: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(25,809)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350,873</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Operating Activities</w:t>
      </w:r>
    </w:p>
    <w:p>
      <w:pPr>
        <w:spacing w:after="0" w:line="93" w:lineRule="exact"/>
        <w:rPr>
          <w:sz w:val="20"/>
          <w:szCs w:val="20"/>
          <w:color w:val="auto"/>
        </w:rPr>
      </w:pPr>
    </w:p>
    <w:p>
      <w:pPr>
        <w:jc w:val="both"/>
        <w:ind w:right="120" w:firstLine="621"/>
        <w:spacing w:after="0" w:line="272" w:lineRule="auto"/>
        <w:rPr>
          <w:sz w:val="20"/>
          <w:szCs w:val="20"/>
          <w:color w:val="auto"/>
        </w:rPr>
      </w:pPr>
      <w:r>
        <w:rPr>
          <w:rFonts w:ascii="Times New Roman" w:cs="Times New Roman" w:eastAsia="Times New Roman" w:hAnsi="Times New Roman"/>
          <w:sz w:val="17"/>
          <w:szCs w:val="17"/>
          <w:color w:val="auto"/>
        </w:rPr>
        <w:t>Our cash flows from operating activities are primarily driven by revenues generated from advertising activity, offset by the cash costs of operations, and are significantly influenced by the timing of and fluctuations in receipts from buyers and related payments to sellers. Our future cash flows will be diminished if we cannot increase our revenue levels and manage costs appropriately.</w:t>
      </w:r>
    </w:p>
    <w:p>
      <w:pPr>
        <w:spacing w:after="0" w:line="47" w:lineRule="exact"/>
        <w:rPr>
          <w:sz w:val="20"/>
          <w:szCs w:val="20"/>
          <w:color w:val="auto"/>
        </w:rPr>
      </w:pPr>
    </w:p>
    <w:p>
      <w:pPr>
        <w:ind w:right="20" w:firstLine="621"/>
        <w:spacing w:after="0" w:line="261" w:lineRule="auto"/>
        <w:rPr>
          <w:sz w:val="20"/>
          <w:szCs w:val="20"/>
          <w:color w:val="auto"/>
        </w:rPr>
      </w:pPr>
      <w:r>
        <w:rPr>
          <w:rFonts w:ascii="Times New Roman" w:cs="Times New Roman" w:eastAsia="Times New Roman" w:hAnsi="Times New Roman"/>
          <w:sz w:val="17"/>
          <w:szCs w:val="17"/>
          <w:color w:val="auto"/>
        </w:rPr>
        <w:t>For the three months ended March 31, 2022, net cash provided by operating activities was $21.6 million compared to net cash used in operating activities of $1.2 million for the three months ended March 31, 2021. Our operating activities included our net loss of $44.6 million and net loss of $12.9 million for the three months ended March 31, 2022 and 2021, respectively, which were offset by non-cash adjustments of $66.1 million and $18.5 million, respectively. Net changes in our working capital resulted in an increase of $0.1 million in cash provided by operating activities for the three months ended March 31, 2022. Net changes in our working capital resulted in an increase of $6.9 million in cash used in operating activities for the three months ended March 31, 2021. The net changes in working capital for both periods are primarily due to the timing of cash receipts from buyers and the timing of payments to sellers.</w:t>
      </w:r>
    </w:p>
    <w:p>
      <w:pPr>
        <w:spacing w:after="0" w:line="57" w:lineRule="exact"/>
        <w:rPr>
          <w:sz w:val="20"/>
          <w:szCs w:val="20"/>
          <w:color w:val="auto"/>
        </w:rPr>
      </w:pPr>
    </w:p>
    <w:p>
      <w:pPr>
        <w:ind w:left="180" w:right="820" w:firstLine="449"/>
        <w:spacing w:after="0" w:line="412" w:lineRule="auto"/>
        <w:rPr>
          <w:sz w:val="20"/>
          <w:szCs w:val="20"/>
          <w:color w:val="auto"/>
        </w:rPr>
      </w:pPr>
      <w:r>
        <w:rPr>
          <w:rFonts w:ascii="Times New Roman" w:cs="Times New Roman" w:eastAsia="Times New Roman" w:hAnsi="Times New Roman"/>
          <w:sz w:val="17"/>
          <w:szCs w:val="17"/>
          <w:color w:val="auto"/>
        </w:rPr>
        <w:t xml:space="preserve">We believe that cash flows from operations will continue to fluctuate, but in general will increase over time as our business continues to grow. </w:t>
      </w:r>
      <w:r>
        <w:rPr>
          <w:rFonts w:ascii="Times New Roman" w:cs="Times New Roman" w:eastAsia="Times New Roman" w:hAnsi="Times New Roman"/>
          <w:sz w:val="17"/>
          <w:szCs w:val="17"/>
          <w:b w:val="1"/>
          <w:bCs w:val="1"/>
          <w:i w:val="1"/>
          <w:iCs w:val="1"/>
          <w:color w:val="auto"/>
        </w:rPr>
        <w:t>Investing Activities</w:t>
      </w:r>
    </w:p>
    <w:p>
      <w:pPr>
        <w:spacing w:after="0" w:line="1" w:lineRule="exact"/>
        <w:rPr>
          <w:sz w:val="20"/>
          <w:szCs w:val="20"/>
          <w:color w:val="auto"/>
        </w:rPr>
      </w:pPr>
    </w:p>
    <w:p>
      <w:pPr>
        <w:ind w:firstLine="621"/>
        <w:spacing w:after="0" w:line="258" w:lineRule="auto"/>
        <w:rPr>
          <w:sz w:val="20"/>
          <w:szCs w:val="20"/>
          <w:color w:val="auto"/>
        </w:rPr>
      </w:pPr>
      <w:r>
        <w:rPr>
          <w:rFonts w:ascii="Times New Roman" w:cs="Times New Roman" w:eastAsia="Times New Roman" w:hAnsi="Times New Roman"/>
          <w:sz w:val="17"/>
          <w:szCs w:val="17"/>
          <w:color w:val="auto"/>
        </w:rPr>
        <w:t>Our primary investing activities have consisted of acquisitions of businesses, purchases of property and equipment, capital expenditures in support of creating and enhancing our technology infrastructure, and investments in, and maturities of, available-for-sale securities. Purchases of property and equipment and investments in internal use software development may vary from period-to-period due to the timing of the expansion of our operations, changes to headcount, and the cycles of our internal use software development. We anticipate investment in internal use software development to slightly increase compared to past years' investment levels as we continue to innovate new solutions on our platform. As the business continues to grow, we expect our investment in property and equipment to increase compared to 2021. Historically, a majority of our purchases in property and equipment have occurred in the latter half of the year in preparation for the peak volumes of the fourth quarter and early in the first quarter of the following year. We expect those trends to continue, with higher levels of property and equipment spend in the latter half of this year compared to the first half of the year. Investments in, and maturities of, available-for-sale securities and acquisitions of businesses vary from period-to-period.</w:t>
      </w:r>
    </w:p>
    <w:p>
      <w:pPr>
        <w:spacing w:after="0" w:line="49" w:lineRule="exact"/>
        <w:rPr>
          <w:sz w:val="20"/>
          <w:szCs w:val="20"/>
          <w:color w:val="auto"/>
        </w:rPr>
      </w:pPr>
    </w:p>
    <w:p>
      <w:pPr>
        <w:ind w:right="120" w:firstLine="621"/>
        <w:spacing w:after="0" w:line="266" w:lineRule="auto"/>
        <w:rPr>
          <w:sz w:val="20"/>
          <w:szCs w:val="20"/>
          <w:color w:val="auto"/>
        </w:rPr>
      </w:pPr>
      <w:r>
        <w:rPr>
          <w:rFonts w:ascii="Times New Roman" w:cs="Times New Roman" w:eastAsia="Times New Roman" w:hAnsi="Times New Roman"/>
          <w:sz w:val="17"/>
          <w:szCs w:val="17"/>
          <w:color w:val="auto"/>
        </w:rPr>
        <w:t>During the three months ended March 31, 2022 and 2021, our investing activities used net cash of $31.3 million and $3.3 million, respectively. During the three months ended March 31, 2022 and 2021, we used cash for purchases of property and equipment of $7.2 million and $1.3 million, respectively, and used cash for investments in our internally developed software of $3.4 million and $2.0 million, respectively. During the three months ended March 31, 2022, we used net cash of $20.8 million to acquire Carbon.</w:t>
      </w:r>
    </w:p>
    <w:p>
      <w:pPr>
        <w:spacing w:after="0" w:line="52" w:lineRule="exact"/>
        <w:rPr>
          <w:sz w:val="20"/>
          <w:szCs w:val="20"/>
          <w:color w:val="auto"/>
        </w:rPr>
      </w:pPr>
    </w:p>
    <w:p>
      <w:pPr>
        <w:ind w:right="100" w:firstLine="621"/>
        <w:spacing w:after="0" w:line="272" w:lineRule="auto"/>
        <w:rPr>
          <w:sz w:val="20"/>
          <w:szCs w:val="20"/>
          <w:color w:val="auto"/>
        </w:rPr>
      </w:pPr>
      <w:r>
        <w:rPr>
          <w:rFonts w:ascii="Times New Roman" w:cs="Times New Roman" w:eastAsia="Times New Roman" w:hAnsi="Times New Roman"/>
          <w:sz w:val="17"/>
          <w:szCs w:val="17"/>
          <w:color w:val="auto"/>
        </w:rPr>
        <w:t>We believe that cash flows used in our investing activities will generally increase in order to support our overall growth, in particular with respect to investments in property and equipment and internally developed software. In addition, our cash flows from investing activities may fluctuate depending on future acquisition activity.</w:t>
      </w:r>
    </w:p>
    <w:p>
      <w:pPr>
        <w:spacing w:after="0" w:line="1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b w:val="1"/>
          <w:bCs w:val="1"/>
          <w:i w:val="1"/>
          <w:iCs w:val="1"/>
          <w:color w:val="auto"/>
        </w:rPr>
        <w:t>Financing Activities</w:t>
      </w:r>
    </w:p>
    <w:p>
      <w:pPr>
        <w:spacing w:after="0" w:line="106" w:lineRule="exact"/>
        <w:rPr>
          <w:sz w:val="20"/>
          <w:szCs w:val="20"/>
          <w:color w:val="auto"/>
        </w:rPr>
      </w:pPr>
    </w:p>
    <w:p>
      <w:pPr>
        <w:ind w:right="580" w:firstLine="621"/>
        <w:spacing w:after="0" w:line="291" w:lineRule="auto"/>
        <w:rPr>
          <w:sz w:val="20"/>
          <w:szCs w:val="20"/>
          <w:color w:val="auto"/>
        </w:rPr>
      </w:pPr>
      <w:r>
        <w:rPr>
          <w:rFonts w:ascii="Times New Roman" w:cs="Times New Roman" w:eastAsia="Times New Roman" w:hAnsi="Times New Roman"/>
          <w:sz w:val="17"/>
          <w:szCs w:val="17"/>
          <w:color w:val="auto"/>
        </w:rPr>
        <w:t>Our financing activities consisted of our Convertible Senior Notes transactions, repayment of amounts borrowed under our Term Loan B Facility, transactions related to our equity plans, and stock purchases under the share repurchase plan.</w:t>
      </w:r>
    </w:p>
    <w:p>
      <w:pPr>
        <w:spacing w:after="0" w:line="30" w:lineRule="exact"/>
        <w:rPr>
          <w:sz w:val="20"/>
          <w:szCs w:val="20"/>
          <w:color w:val="auto"/>
        </w:rPr>
      </w:pPr>
    </w:p>
    <w:p>
      <w:pPr>
        <w:ind w:right="160" w:firstLine="621"/>
        <w:spacing w:after="0" w:line="272" w:lineRule="auto"/>
        <w:rPr>
          <w:sz w:val="20"/>
          <w:szCs w:val="20"/>
          <w:color w:val="auto"/>
        </w:rPr>
      </w:pPr>
      <w:r>
        <w:rPr>
          <w:rFonts w:ascii="Times New Roman" w:cs="Times New Roman" w:eastAsia="Times New Roman" w:hAnsi="Times New Roman"/>
          <w:sz w:val="17"/>
          <w:szCs w:val="17"/>
          <w:color w:val="auto"/>
        </w:rPr>
        <w:t>For the three months ended March 31, 2022 and 2021, net cash used by financing activities was $16.4 million compared to net cash provided by financing activities of $355.6 million, respectively. Cash outflows from financing activities for the three months ended March 31, 2022 primarily included $12.1 million payment related to share repurchases, $4.3 million for taxes paid</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380"/>
        <w:spacing w:after="0" w:line="291" w:lineRule="auto"/>
        <w:rPr>
          <w:sz w:val="20"/>
          <w:szCs w:val="20"/>
          <w:color w:val="auto"/>
        </w:rPr>
      </w:pPr>
      <w:r>
        <w:rPr>
          <w:rFonts w:ascii="Times New Roman" w:cs="Times New Roman" w:eastAsia="Times New Roman" w:hAnsi="Times New Roman"/>
          <w:sz w:val="17"/>
          <w:szCs w:val="17"/>
          <w:color w:val="auto"/>
        </w:rPr>
        <w:t>related to net share settlement of stock-based awards, and $0.9 million repayment of our Term Loan B. The outflows were offset by cash proceeds from stock options exercised of $1.1 million.</w:t>
      </w:r>
    </w:p>
    <w:p>
      <w:pPr>
        <w:spacing w:after="0" w:line="18" w:lineRule="exact"/>
        <w:rPr>
          <w:sz w:val="20"/>
          <w:szCs w:val="20"/>
          <w:color w:val="auto"/>
        </w:rPr>
      </w:pPr>
    </w:p>
    <w:p>
      <w:pPr>
        <w:jc w:val="both"/>
        <w:ind w:right="160" w:firstLine="621"/>
        <w:spacing w:after="0" w:line="272" w:lineRule="auto"/>
        <w:rPr>
          <w:sz w:val="20"/>
          <w:szCs w:val="20"/>
          <w:color w:val="auto"/>
        </w:rPr>
      </w:pPr>
      <w:r>
        <w:rPr>
          <w:rFonts w:ascii="Times New Roman" w:cs="Times New Roman" w:eastAsia="Times New Roman" w:hAnsi="Times New Roman"/>
          <w:sz w:val="17"/>
          <w:szCs w:val="17"/>
          <w:color w:val="auto"/>
        </w:rPr>
        <w:t>Cash inflows from financing activities for the three months ended March 31, 2021 included $389.0 million in net proceeds from our Convertible Senior Notes offering and cash proceeds from stock options exercised of $5.8 million. These increases were partially offset by a $39.0 million payment for capped call transactions entered into in connection with the Convertible Notes offering.</w:t>
      </w:r>
    </w:p>
    <w:p>
      <w:pPr>
        <w:spacing w:after="0" w:line="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Off-Balance Sheet Arrangements</w:t>
      </w:r>
    </w:p>
    <w:p>
      <w:pPr>
        <w:spacing w:after="0" w:line="106"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We do not have any relationships with other entities or financial partnerships, such as entities often referred to as structured finance or special purpose entities that have been established for the purpose of facilitating off-balance sheet arrangements or other contractually narrow or limited purposes. We did not have any other off-balance sheet arrangements at March 31, 2022 other than the short-term operating leases and the indemnification agreements described below, and commitments mentioned in Note 12 - "Commitments Contingencies".</w:t>
      </w:r>
    </w:p>
    <w:p>
      <w:pPr>
        <w:spacing w:after="0" w:line="3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Contractual Obligations and Known Future Cash Requirements</w:t>
      </w:r>
    </w:p>
    <w:p>
      <w:pPr>
        <w:spacing w:after="0" w:line="106" w:lineRule="exact"/>
        <w:rPr>
          <w:sz w:val="20"/>
          <w:szCs w:val="20"/>
          <w:color w:val="auto"/>
        </w:rPr>
      </w:pPr>
    </w:p>
    <w:p>
      <w:pPr>
        <w:jc w:val="both"/>
        <w:ind w:right="220" w:firstLine="621"/>
        <w:spacing w:after="0" w:line="266" w:lineRule="auto"/>
        <w:rPr>
          <w:sz w:val="20"/>
          <w:szCs w:val="20"/>
          <w:color w:val="auto"/>
        </w:rPr>
      </w:pPr>
      <w:r>
        <w:rPr>
          <w:rFonts w:ascii="Times New Roman" w:cs="Times New Roman" w:eastAsia="Times New Roman" w:hAnsi="Times New Roman"/>
          <w:sz w:val="17"/>
          <w:szCs w:val="17"/>
          <w:color w:val="auto"/>
        </w:rPr>
        <w:t>As of March 31, 2022, our principal commitments consist of obligations under our Convertible Senior Notes, Term Loan B Facility, Revolving Credit Facility, leases for our various office facilities, including our corporate headquarters in New York, New York, and offices in Los Angeles, California, operating lease agreements, including data centers and cloud hosting services that expire at various times through 2032, and indemnification holdback associated with the SpringServe and Carbon acquisitions. In certain cases, the terms of the lease agreements provide for rental payments on a graduated basis.</w:t>
      </w:r>
    </w:p>
    <w:p>
      <w:pPr>
        <w:spacing w:after="0" w:line="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three months ended March 31, 2022 and 2021, we received rental income from subleases totaling $1.3 million and $1.2 million, respectively.</w:t>
      </w:r>
    </w:p>
    <w:p>
      <w:pPr>
        <w:spacing w:after="0" w:line="89" w:lineRule="exact"/>
        <w:rPr>
          <w:sz w:val="20"/>
          <w:szCs w:val="20"/>
          <w:color w:val="auto"/>
        </w:rPr>
      </w:pPr>
    </w:p>
    <w:p>
      <w:pPr>
        <w:jc w:val="both"/>
        <w:ind w:right="200" w:firstLine="621"/>
        <w:spacing w:after="0" w:line="291" w:lineRule="auto"/>
        <w:rPr>
          <w:sz w:val="20"/>
          <w:szCs w:val="20"/>
          <w:color w:val="auto"/>
        </w:rPr>
      </w:pPr>
      <w:r>
        <w:rPr>
          <w:rFonts w:ascii="Times New Roman" w:cs="Times New Roman" w:eastAsia="Times New Roman" w:hAnsi="Times New Roman"/>
          <w:sz w:val="17"/>
          <w:szCs w:val="17"/>
          <w:color w:val="auto"/>
        </w:rPr>
        <w:t>The following table summarizes our future lease obligations, payments of principal and interest under our debt agreements, sublease income, and other future payments due under non-cancelable agreements at March 31, 2022.</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Remaining</w:t>
            </w: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3"/>
        </w:trPr>
        <w:tc>
          <w:tcPr>
            <w:tcW w:w="28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2022</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7"/>
                <w:szCs w:val="17"/>
                <w:color w:val="auto"/>
              </w:rPr>
              <w:t>2026</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7"/>
                <w:szCs w:val="17"/>
                <w:color w:val="auto"/>
              </w:rPr>
              <w:t>Thereafter</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7"/>
                <w:szCs w:val="17"/>
                <w:color w:val="auto"/>
              </w:rPr>
              <w:t>Total</w:t>
            </w:r>
          </w:p>
        </w:tc>
      </w:tr>
      <w:tr>
        <w:trPr>
          <w:trHeight w:val="148"/>
        </w:trPr>
        <w:tc>
          <w:tcPr>
            <w:tcW w:w="288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7"/>
                <w:szCs w:val="17"/>
                <w:color w:val="auto"/>
              </w:rPr>
              <w:t>Lease liabilities associated with leases</w:t>
            </w: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r>
      <w:tr>
        <w:trPr>
          <w:trHeight w:val="176"/>
        </w:trPr>
        <w:tc>
          <w:tcPr>
            <w:tcW w:w="28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included Right of Use Asset as of March</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25"/>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31, 2022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19,406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96,242</w:t>
            </w:r>
          </w:p>
        </w:tc>
      </w:tr>
      <w:tr>
        <w:trPr>
          <w:trHeight w:val="168"/>
        </w:trPr>
        <w:tc>
          <w:tcPr>
            <w:tcW w:w="2880" w:type="dxa"/>
            <w:vAlign w:val="bottom"/>
          </w:tcPr>
          <w:p>
            <w:pPr>
              <w:ind w:left="20"/>
              <w:spacing w:after="0" w:line="168" w:lineRule="exact"/>
              <w:rPr>
                <w:sz w:val="20"/>
                <w:szCs w:val="20"/>
                <w:color w:val="auto"/>
              </w:rPr>
            </w:pPr>
            <w:r>
              <w:rPr>
                <w:rFonts w:ascii="Times New Roman" w:cs="Times New Roman" w:eastAsia="Times New Roman" w:hAnsi="Times New Roman"/>
                <w:sz w:val="17"/>
                <w:szCs w:val="17"/>
                <w:color w:val="auto"/>
              </w:rPr>
              <w:t>Obligations for leases not included in</w:t>
            </w: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3"/>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 liabilities as of March 31, 2022</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Pr>
          <w:p>
            <w:pPr>
              <w:spacing w:after="0"/>
              <w:rPr>
                <w:sz w:val="20"/>
                <w:szCs w:val="20"/>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2,901</w:t>
            </w:r>
          </w:p>
        </w:tc>
      </w:tr>
      <w:tr>
        <w:trPr>
          <w:trHeight w:val="22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w:t>
            </w: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400,000</w:t>
            </w: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Convertible Senior Notes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3,958</w:t>
            </w:r>
          </w:p>
        </w:tc>
      </w:tr>
      <w:tr>
        <w:trPr>
          <w:trHeight w:val="220"/>
        </w:trPr>
        <w:tc>
          <w:tcPr>
            <w:tcW w:w="2880" w:type="dxa"/>
            <w:vAlign w:val="bottom"/>
            <w:shd w:val="clear" w:color="auto" w:fill="CCEEFF"/>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Term Loan B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340,200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357,300</w:t>
            </w:r>
          </w:p>
        </w:tc>
      </w:tr>
      <w:tr>
        <w:trPr>
          <w:trHeight w:val="220"/>
        </w:trPr>
        <w:tc>
          <w:tcPr>
            <w:tcW w:w="2880" w:type="dxa"/>
            <w:vAlign w:val="bottom"/>
          </w:tcPr>
          <w:p>
            <w:pPr>
              <w:ind w:left="20"/>
              <w:spacing w:after="0" w:line="220" w:lineRule="exact"/>
              <w:rPr>
                <w:sz w:val="20"/>
                <w:szCs w:val="20"/>
                <w:color w:val="auto"/>
              </w:rPr>
            </w:pPr>
            <w:r>
              <w:rPr>
                <w:rFonts w:ascii="Times New Roman" w:cs="Times New Roman" w:eastAsia="Times New Roman" w:hAnsi="Times New Roman"/>
                <w:sz w:val="17"/>
                <w:szCs w:val="17"/>
                <w:color w:val="auto"/>
              </w:rPr>
              <w:t xml:space="preserve">Interest, Term Loan B </w:t>
            </w:r>
            <w:r>
              <w:rPr>
                <w:rFonts w:ascii="Times New Roman" w:cs="Times New Roman" w:eastAsia="Times New Roman" w:hAnsi="Times New Roman"/>
                <w:sz w:val="22"/>
                <w:szCs w:val="22"/>
                <w:color w:val="auto"/>
                <w:vertAlign w:val="superscript"/>
              </w:rPr>
              <w:t>(2)</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20,755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20,332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20,120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26,461</w:t>
            </w:r>
          </w:p>
        </w:tc>
        <w:tc>
          <w:tcPr>
            <w:tcW w:w="100" w:type="dxa"/>
            <w:vAlign w:val="bottom"/>
          </w:tcPr>
          <w:p>
            <w:pPr>
              <w:spacing w:after="0"/>
              <w:rPr>
                <w:sz w:val="19"/>
                <w:szCs w:val="19"/>
                <w:color w:val="auto"/>
              </w:rPr>
            </w:pP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124,045</w:t>
            </w:r>
          </w:p>
        </w:tc>
      </w:tr>
      <w:tr>
        <w:trPr>
          <w:trHeight w:val="220"/>
        </w:trPr>
        <w:tc>
          <w:tcPr>
            <w:tcW w:w="2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sublease income</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(15,491)</w:t>
            </w:r>
          </w:p>
        </w:tc>
      </w:tr>
      <w:tr>
        <w:trPr>
          <w:trHeight w:val="220"/>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non-cancelable obligations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5,663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24,350</w:t>
            </w:r>
          </w:p>
        </w:tc>
      </w:tr>
      <w:tr>
        <w:trPr>
          <w:trHeight w:val="236"/>
        </w:trPr>
        <w:tc>
          <w:tcPr>
            <w:tcW w:w="2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39,109</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50,498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43,258</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33,973</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432,122</w:t>
            </w: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394,345</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993,305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-161925</wp:posOffset>
            </wp:positionV>
            <wp:extent cx="7138035" cy="16446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8035" cy="164465"/>
                    </a:xfrm>
                    <a:prstGeom prst="rect">
                      <a:avLst/>
                    </a:prstGeom>
                    <a:noFill/>
                  </pic:spPr>
                </pic:pic>
              </a:graphicData>
            </a:graphic>
          </wp:anchor>
        </w:drawing>
      </w:r>
    </w:p>
    <w:p>
      <w:pPr>
        <w:ind w:left="160" w:hanging="139"/>
        <w:spacing w:after="0" w:line="213" w:lineRule="auto"/>
        <w:tabs>
          <w:tab w:leader="none" w:pos="16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Includes only scheduled amortization of payments and excludes currently unknown prepayment amounts that will be required, per terms of the Credit Agreement, after the end of each fiscal year.</w:t>
      </w:r>
    </w:p>
    <w:p>
      <w:pPr>
        <w:spacing w:after="0" w:line="29" w:lineRule="exact"/>
        <w:rPr>
          <w:rFonts w:ascii="Times New Roman" w:cs="Times New Roman" w:eastAsia="Times New Roman" w:hAnsi="Times New Roman"/>
          <w:sz w:val="17"/>
          <w:szCs w:val="17"/>
          <w:color w:val="auto"/>
          <w:vertAlign w:val="superscript"/>
        </w:rPr>
      </w:pPr>
    </w:p>
    <w:p>
      <w:pPr>
        <w:ind w:left="160" w:hanging="139"/>
        <w:spacing w:after="0" w:line="202" w:lineRule="auto"/>
        <w:tabs>
          <w:tab w:leader="none" w:pos="160" w:val="left"/>
        </w:tabs>
        <w:numPr>
          <w:ilvl w:val="0"/>
          <w:numId w:val="15"/>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Interest payments are based on an assumed rate of 5.80%, which was the rate used as of March 31, 2022 for the associated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1825625</wp:posOffset>
            </wp:positionH>
            <wp:positionV relativeFrom="paragraph">
              <wp:posOffset>-222885</wp:posOffset>
            </wp:positionV>
            <wp:extent cx="531431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314315" cy="8255"/>
                    </a:xfrm>
                    <a:prstGeom prst="rect">
                      <a:avLst/>
                    </a:prstGeom>
                    <a:noFill/>
                  </pic:spPr>
                </pic:pic>
              </a:graphicData>
            </a:graphic>
          </wp:anchor>
        </w:drawing>
      </w:r>
    </w:p>
    <w:p>
      <w:pPr>
        <w:spacing w:after="0" w:line="153" w:lineRule="exact"/>
        <w:rPr>
          <w:sz w:val="20"/>
          <w:szCs w:val="20"/>
          <w:color w:val="auto"/>
        </w:rPr>
      </w:pPr>
    </w:p>
    <w:p>
      <w:pPr>
        <w:ind w:right="60" w:firstLine="621"/>
        <w:spacing w:after="0" w:line="291" w:lineRule="auto"/>
        <w:rPr>
          <w:sz w:val="20"/>
          <w:szCs w:val="20"/>
          <w:color w:val="auto"/>
        </w:rPr>
      </w:pPr>
      <w:r>
        <w:rPr>
          <w:rFonts w:ascii="Times New Roman" w:cs="Times New Roman" w:eastAsia="Times New Roman" w:hAnsi="Times New Roman"/>
          <w:sz w:val="17"/>
          <w:szCs w:val="17"/>
          <w:color w:val="auto"/>
        </w:rPr>
        <w:t>Obligations for leases not included in the lease liabilities as of March 31, 2022 include commitments under agreements for office leases in San Francisco and Toronto, which have not commenced as of March 31, 2022.</w:t>
      </w:r>
    </w:p>
    <w:p>
      <w:pPr>
        <w:spacing w:after="0" w:line="30" w:lineRule="exact"/>
        <w:rPr>
          <w:sz w:val="20"/>
          <w:szCs w:val="20"/>
          <w:color w:val="auto"/>
        </w:rPr>
      </w:pPr>
    </w:p>
    <w:p>
      <w:pPr>
        <w:ind w:right="640" w:firstLine="621"/>
        <w:spacing w:after="0" w:line="291" w:lineRule="auto"/>
        <w:rPr>
          <w:sz w:val="20"/>
          <w:szCs w:val="20"/>
          <w:color w:val="auto"/>
        </w:rPr>
      </w:pPr>
      <w:r>
        <w:rPr>
          <w:rFonts w:ascii="Times New Roman" w:cs="Times New Roman" w:eastAsia="Times New Roman" w:hAnsi="Times New Roman"/>
          <w:sz w:val="17"/>
          <w:szCs w:val="17"/>
          <w:color w:val="auto"/>
        </w:rPr>
        <w:t>Payments associated with our Convertible Senior Notes are based on contractual terms and intended timing of repayments of long-term debt and associated interest and do not assume conversion prior to the maturity date.</w:t>
      </w:r>
    </w:p>
    <w:p>
      <w:pPr>
        <w:spacing w:after="0" w:line="30" w:lineRule="exact"/>
        <w:rPr>
          <w:sz w:val="20"/>
          <w:szCs w:val="20"/>
          <w:color w:val="auto"/>
        </w:rPr>
      </w:pPr>
    </w:p>
    <w:p>
      <w:pPr>
        <w:ind w:right="660" w:firstLine="621"/>
        <w:spacing w:after="0" w:line="291" w:lineRule="auto"/>
        <w:rPr>
          <w:sz w:val="20"/>
          <w:szCs w:val="20"/>
          <w:color w:val="auto"/>
        </w:rPr>
      </w:pPr>
      <w:r>
        <w:rPr>
          <w:rFonts w:ascii="Times New Roman" w:cs="Times New Roman" w:eastAsia="Times New Roman" w:hAnsi="Times New Roman"/>
          <w:sz w:val="17"/>
          <w:szCs w:val="17"/>
          <w:color w:val="auto"/>
        </w:rPr>
        <w:t>Other non-cancelable obligations include agreements in the normal course of business and purchase consideration that extend beyond a year and indemnification holdback obligations associated with acquisitions.</w:t>
      </w:r>
    </w:p>
    <w:p>
      <w:pPr>
        <w:spacing w:after="0" w:line="18" w:lineRule="exact"/>
        <w:rPr>
          <w:sz w:val="20"/>
          <w:szCs w:val="20"/>
          <w:color w:val="auto"/>
        </w:rPr>
      </w:pPr>
    </w:p>
    <w:p>
      <w:pPr>
        <w:ind w:right="80" w:firstLine="621"/>
        <w:spacing w:after="0" w:line="263" w:lineRule="auto"/>
        <w:rPr>
          <w:sz w:val="20"/>
          <w:szCs w:val="20"/>
          <w:color w:val="auto"/>
        </w:rPr>
      </w:pPr>
      <w:r>
        <w:rPr>
          <w:rFonts w:ascii="Times New Roman" w:cs="Times New Roman" w:eastAsia="Times New Roman" w:hAnsi="Times New Roman"/>
          <w:sz w:val="17"/>
          <w:szCs w:val="17"/>
          <w:color w:val="auto"/>
        </w:rPr>
        <w:t>In the ordinary course of business, we enter into agreements with sellers, buyers, and other third parties pursuant to which we agree to indemnify buyers, sellers, vendors, lessors, business partners, lenders, stockholders, and other parties with respect to certain matters, including, but not limited to, losses resulting from claims of intellectual property infringement, damages to property or persons, business losses, or other liabilities. Generally, these indemnity and defense obligations relate to our own business operations, obligations, and acts or omissions. However, under some circumstances, we agree to indemnify and defend contract</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7"/>
          <w:szCs w:val="17"/>
          <w:color w:val="auto"/>
        </w:rPr>
        <w:t>counterparties against losses resulting from their own business operations, obligations, and acts or omissions, or the business operations, obligations, and acts or omissions of third parties. These indemnity provisions generally survive termination or expiration of the agreements in which they appear. In addition, we have entered into indemnification agreements with our directors, executive officers and certain other officers that will require us, among other things, to indemnify them against certain liabilities that may arise by reason of their status or service as directors, officers, or employees. No demands for indemnification have been made as of March 31, 2022.</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04" w:lineRule="exact"/>
        <w:rPr>
          <w:sz w:val="20"/>
          <w:szCs w:val="20"/>
          <w:color w:val="auto"/>
        </w:rPr>
      </w:pPr>
    </w:p>
    <w:p>
      <w:pPr>
        <w:ind w:right="40" w:firstLine="621"/>
        <w:spacing w:after="0" w:line="261" w:lineRule="auto"/>
        <w:rPr>
          <w:sz w:val="20"/>
          <w:szCs w:val="20"/>
          <w:color w:val="auto"/>
        </w:rPr>
      </w:pPr>
      <w:r>
        <w:rPr>
          <w:rFonts w:ascii="Times New Roman" w:cs="Times New Roman" w:eastAsia="Times New Roman" w:hAnsi="Times New Roman"/>
          <w:sz w:val="17"/>
          <w:szCs w:val="17"/>
          <w:color w:val="auto"/>
        </w:rPr>
        <w:t>Our condensed consolidated financial statements are prepared in accordance with GAAP. The preparation of these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By their nature, estimates are subject to an inherent degree of uncertainty. Certain of our estimates and assumptions require increased judgment and carry a higher degree of variability and volatility that could result in material changes to our estimates in future periods. Our actual results could differ from these estimates.</w:t>
      </w:r>
    </w:p>
    <w:p>
      <w:pPr>
        <w:spacing w:after="0" w:line="44" w:lineRule="exact"/>
        <w:rPr>
          <w:sz w:val="20"/>
          <w:szCs w:val="20"/>
          <w:color w:val="auto"/>
        </w:rPr>
      </w:pPr>
    </w:p>
    <w:p>
      <w:pPr>
        <w:ind w:right="120" w:firstLine="621"/>
        <w:spacing w:after="0" w:line="259" w:lineRule="auto"/>
        <w:rPr>
          <w:sz w:val="20"/>
          <w:szCs w:val="20"/>
          <w:color w:val="auto"/>
        </w:rPr>
      </w:pPr>
      <w:r>
        <w:rPr>
          <w:rFonts w:ascii="Times New Roman" w:cs="Times New Roman" w:eastAsia="Times New Roman" w:hAnsi="Times New Roman"/>
          <w:sz w:val="17"/>
          <w:szCs w:val="17"/>
          <w:color w:val="auto"/>
        </w:rPr>
        <w:t>We believe that the following assumptions and estimates have the greatest potential impact on our condensed consolidated financial statements: (i) the determination of revenue recognition as net versus gross in our revenue arrangements, (ii) the determination of the estimated useful lives of internal-use software development costs, (iii) the recoverability of intangible asset and goodwill, (iv) assumptions used in the valuation models to determine the fair value of stock options and stock-based compensation expense, (v) the assumptions used in the valuation of acquired assets and liabilities in business combinations, and (vi) income taxes, including the realization of tax assets and estimates of tax liabilities. Besides the adoption of new accounting pronouncements, as included within "Note 1—Organization and Summary of Significant Accounting Policies" to the condensed consolidated financial statements in this report, there have been no significant changes in our accounting policies or estimates from those disclosed in our audited consolidated financial statements and notes thereto for the year ended December 31, 2021 included in our Annual Report on Form 10-K.</w:t>
      </w: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Recently Issued Accounting Pronouncements</w:t>
      </w:r>
    </w:p>
    <w:p>
      <w:pPr>
        <w:spacing w:after="0" w:line="104" w:lineRule="exact"/>
        <w:rPr>
          <w:sz w:val="20"/>
          <w:szCs w:val="20"/>
          <w:color w:val="auto"/>
        </w:rPr>
      </w:pPr>
    </w:p>
    <w:p>
      <w:pPr>
        <w:ind w:right="320" w:firstLine="621"/>
        <w:spacing w:after="0" w:line="291" w:lineRule="auto"/>
        <w:rPr>
          <w:sz w:val="20"/>
          <w:szCs w:val="20"/>
          <w:color w:val="auto"/>
        </w:rPr>
      </w:pPr>
      <w:r>
        <w:rPr>
          <w:rFonts w:ascii="Times New Roman" w:cs="Times New Roman" w:eastAsia="Times New Roman" w:hAnsi="Times New Roman"/>
          <w:sz w:val="17"/>
          <w:szCs w:val="17"/>
          <w:color w:val="auto"/>
        </w:rPr>
        <w:t>For information regarding recent accounting pronouncements, refer to Note 1 "Organization and Summary of Significant Accounting Policies" to our condensed consolidated financial statements included in this Quarterly Report on Form 10-Q.</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 About Market Risk</w:t>
      </w:r>
    </w:p>
    <w:p>
      <w:pPr>
        <w:spacing w:after="0" w:line="104" w:lineRule="exact"/>
        <w:rPr>
          <w:sz w:val="20"/>
          <w:szCs w:val="20"/>
          <w:color w:val="auto"/>
        </w:rPr>
      </w:pPr>
    </w:p>
    <w:p>
      <w:pPr>
        <w:ind w:right="160" w:firstLine="621"/>
        <w:spacing w:after="0" w:line="272" w:lineRule="auto"/>
        <w:rPr>
          <w:sz w:val="20"/>
          <w:szCs w:val="20"/>
          <w:color w:val="auto"/>
        </w:rPr>
      </w:pPr>
      <w:r>
        <w:rPr>
          <w:rFonts w:ascii="Times New Roman" w:cs="Times New Roman" w:eastAsia="Times New Roman" w:hAnsi="Times New Roman"/>
          <w:sz w:val="17"/>
          <w:szCs w:val="17"/>
          <w:color w:val="auto"/>
        </w:rPr>
        <w:t>We have operations both in the United States and internationally, and we are exposed to market risks in the ordinary course of our business. These risks include primarily interest rate, foreign exchange, and inflation risks. The risks below may be further exacerbated by the effects of the COVID-19 pandemic on global macroeconomic and market conditions.</w:t>
      </w:r>
    </w:p>
    <w:p>
      <w:pPr>
        <w:spacing w:after="0" w:line="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Rate Fluctuation Risk</w:t>
      </w:r>
    </w:p>
    <w:p>
      <w:pPr>
        <w:spacing w:after="0" w:line="93"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Our cash and cash equivalents consist of cash and money market funds, but may from time to time also include commercial paper, with original maturities of three months or less. Our investments may consist of repurchase agreements, U.S. government agency debt, and U.S. treasury debt. The primary objective of our investment activities is to preserve the value of our cash without significantly increasing risk. Because our cash, cash equivalents, and investments have a short maturity, our portfolio’s fair value is relatively insensitive to interest rate changes, however, interest income earned will vary as interest rates change.</w:t>
      </w:r>
    </w:p>
    <w:p>
      <w:pPr>
        <w:spacing w:after="0" w:line="52" w:lineRule="exact"/>
        <w:rPr>
          <w:sz w:val="20"/>
          <w:szCs w:val="20"/>
          <w:color w:val="auto"/>
        </w:rPr>
      </w:pPr>
    </w:p>
    <w:p>
      <w:pPr>
        <w:ind w:right="40" w:firstLine="621"/>
        <w:spacing w:after="0" w:line="266" w:lineRule="auto"/>
        <w:rPr>
          <w:sz w:val="20"/>
          <w:szCs w:val="20"/>
          <w:color w:val="auto"/>
        </w:rPr>
      </w:pPr>
      <w:r>
        <w:rPr>
          <w:rFonts w:ascii="Times New Roman" w:cs="Times New Roman" w:eastAsia="Times New Roman" w:hAnsi="Times New Roman"/>
          <w:sz w:val="17"/>
          <w:szCs w:val="17"/>
          <w:color w:val="auto"/>
        </w:rPr>
        <w:t>We do not have economic interest rate expense exposure on our Convertible Senior Notes due to their fixed interest rate nature. The amount paid upon redemption is not based on changes in any index or changing market rates. It is fixed at 100% of the principal amount of the Convertible Senior Notes plus unpaid interest. Since the Convertible Senior Notes bear fixed rate coupon, we are not exposed to interest rate risk on those notes, however, the fair value of those notes will change as market interest rates change.</w:t>
      </w:r>
    </w:p>
    <w:p>
      <w:pPr>
        <w:spacing w:after="0" w:line="52" w:lineRule="exact"/>
        <w:rPr>
          <w:sz w:val="20"/>
          <w:szCs w:val="20"/>
          <w:color w:val="auto"/>
        </w:rPr>
      </w:pPr>
    </w:p>
    <w:p>
      <w:pPr>
        <w:ind w:right="120" w:firstLine="621"/>
        <w:spacing w:after="0" w:line="261" w:lineRule="auto"/>
        <w:rPr>
          <w:sz w:val="20"/>
          <w:szCs w:val="20"/>
          <w:color w:val="auto"/>
        </w:rPr>
      </w:pPr>
      <w:r>
        <w:rPr>
          <w:rFonts w:ascii="Times New Roman" w:cs="Times New Roman" w:eastAsia="Times New Roman" w:hAnsi="Times New Roman"/>
          <w:sz w:val="17"/>
          <w:szCs w:val="17"/>
          <w:color w:val="auto"/>
        </w:rPr>
        <w:t>We have a Term Loan B Facility under the Credit Agreement which bears a floating rate of interest that resets periodically, subject to a 0.75% floor on that floating rate, according to the terms of the agreement. Our financial results would be exposed to potential changes in the underlying base interest rate on that debt if the underlying base interest rate were to reset above the floor on such underlying interest rate. Similarly, the fair value of Term Loan B Facility may fluctuate when the underlying base interest rate fluctuates below the floor. As of March 31, 2022, the Company had no outstanding borrowings under the Revolving Credit Facility. Should the company borrow under the Revolving Credit Facility at any point in the future, any associated borrowings would have a floating underlying base rate of interest that would expose the Company to interest rate risk.</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do not believe that an increase or decrease in interest rates of 100 basis points would have a material effect on our operating results or financial</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condition. The annualized impact to interest expense for each 100 basis points increase above the LIBOR Floor on our Term Loan B Facility is approximately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$3.6 million. The actual impact to our financial results of the same increase in interest rates is expected to be lower than $3.6 million depending on the timing and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magnitude of such rate changes relative to our LIBOR Floor, and will be partially offset by higher interest income earned on our cash and cash equivalent balances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over the same period. In future periods, we will continue to evaluate our investment policy relative to our overall objectives. With regard to all debt currently</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outstanding, the company is potentially exposed to refinancing risk, should the Company seek to refinance or raise debt in the future, and the prevailing price or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terms for debt differs from terms in our current debt agreements.</w:t>
      </w:r>
    </w:p>
    <w:p>
      <w:pPr>
        <w:spacing w:after="0" w:line="6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Foreign Currency Exchange Risk</w:t>
      </w:r>
    </w:p>
    <w:p>
      <w:pPr>
        <w:spacing w:after="0" w:line="106" w:lineRule="exact"/>
        <w:rPr>
          <w:sz w:val="20"/>
          <w:szCs w:val="20"/>
          <w:color w:val="auto"/>
        </w:rPr>
      </w:pPr>
    </w:p>
    <w:p>
      <w:pPr>
        <w:ind w:right="100" w:firstLine="621"/>
        <w:spacing w:after="0" w:line="258" w:lineRule="auto"/>
        <w:rPr>
          <w:sz w:val="20"/>
          <w:szCs w:val="20"/>
          <w:color w:val="auto"/>
        </w:rPr>
      </w:pPr>
      <w:r>
        <w:rPr>
          <w:rFonts w:ascii="Times New Roman" w:cs="Times New Roman" w:eastAsia="Times New Roman" w:hAnsi="Times New Roman"/>
          <w:sz w:val="17"/>
          <w:szCs w:val="17"/>
          <w:color w:val="auto"/>
        </w:rPr>
        <w:t>We have foreign currency risks related to our revenue and expenses denominated in currencies other than the U.S. Dollar, principally the British Pound, Australian Dollar, Canadian Dollar, and Euro. The volatility of exchange rates depends on many factors that we cannot forecast with reliable accuracy. We have experienced and will continue to experience fluctuations in our net income (loss) as a result of transaction gains and losses related to translating certain cash balances, trade accounts receivable and payable balances and intercompany balances that are denominated in currencies other than the U.S. Dollar. The effect of an immediate 10% adverse change in foreign exchange rates on foreign-denominated accounts at March 31, 2022, including intercompany balances, would result in a foreign currency loss of approximately $4.9 million. In the event our non-U.S. Dollar denominated sales and expenses increase, our operating results may be more greatly affected by fluctuations in the exchange rates of the currencies in which we do business. At this time we do not, but we may in the future, enter into derivatives or other financial instruments in an attempt to hedge our foreign currency exchange risk. It is difficult to predict the impact hedging activities would have on our results of operations.</w:t>
      </w:r>
    </w:p>
    <w:p>
      <w:pPr>
        <w:spacing w:after="0" w:line="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Inflation Risk</w:t>
      </w:r>
    </w:p>
    <w:p>
      <w:pPr>
        <w:spacing w:after="0" w:line="93" w:lineRule="exact"/>
        <w:rPr>
          <w:sz w:val="20"/>
          <w:szCs w:val="20"/>
          <w:color w:val="auto"/>
        </w:rPr>
      </w:pPr>
    </w:p>
    <w:p>
      <w:pPr>
        <w:ind w:right="120" w:firstLine="621"/>
        <w:spacing w:after="0" w:line="266" w:lineRule="auto"/>
        <w:rPr>
          <w:sz w:val="20"/>
          <w:szCs w:val="20"/>
          <w:color w:val="auto"/>
        </w:rPr>
      </w:pPr>
      <w:r>
        <w:rPr>
          <w:rFonts w:ascii="Times New Roman" w:cs="Times New Roman" w:eastAsia="Times New Roman" w:hAnsi="Times New Roman"/>
          <w:sz w:val="17"/>
          <w:szCs w:val="17"/>
          <w:color w:val="auto"/>
        </w:rPr>
        <w:t>We do not believe that cost inflation has had a material effect on our business, financial condition, or results of operations. If our costs were to become subject to significant inflationary pressures, we might not be able to fully offset such higher costs through price increases. Our inability or failure to do so could harm our business, financial condition, and results of operations. This risk of cost inflation is distinct from the risk that inflation throughout the broader economy could lead to reduced ad spend and indirectly harm our business, financial condition, and results of operations.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4. Controls and Procedures</w:t>
      </w:r>
    </w:p>
    <w:p>
      <w:pPr>
        <w:spacing w:after="0" w:line="10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Evaluation of Disclosure Controls and Procedures</w:t>
      </w:r>
    </w:p>
    <w:p>
      <w:pPr>
        <w:spacing w:after="0" w:line="106" w:lineRule="exact"/>
        <w:rPr>
          <w:sz w:val="20"/>
          <w:szCs w:val="20"/>
          <w:color w:val="auto"/>
        </w:rPr>
      </w:pPr>
    </w:p>
    <w:p>
      <w:pPr>
        <w:ind w:right="40" w:firstLine="621"/>
        <w:spacing w:after="0" w:line="260" w:lineRule="auto"/>
        <w:rPr>
          <w:sz w:val="20"/>
          <w:szCs w:val="20"/>
          <w:color w:val="auto"/>
        </w:rPr>
      </w:pPr>
      <w:r>
        <w:rPr>
          <w:rFonts w:ascii="Times New Roman" w:cs="Times New Roman" w:eastAsia="Times New Roman" w:hAnsi="Times New Roman"/>
          <w:sz w:val="17"/>
          <w:szCs w:val="17"/>
          <w:color w:val="auto"/>
        </w:rPr>
        <w:t>Our management, with the participation of our Chief Executive Officer and Chief Financial Officer, evaluated the effectiveness of our disclosure controls and procedures as defined in Rule 13a-15(e) under the Exchange Act. Our disclosure controls and procedures are designed to provide reasonable assurance of achieving their objectives of ensuring that information we are required to disclose in the reports we file or submit under the Exchange Act is accumulated and communicated to our management, including our Chief Executive Officer and Chief Financial Officer, as appropriate to allow timely decisions regarding required disclosures, and is recorded, processed, summarized, and reported within the time periods specified in the SEC’s rules and forms. There is no assurance that our disclosure controls and procedures will operate effectively under all circumstances. Based upon the evaluation described above, our Chief Executive Officer and Chief Financial Officer concluded that, as of March 31, 2022, our disclosure controls and procedures were effective at the reasonable assurance level.</w:t>
      </w:r>
    </w:p>
    <w:p>
      <w:pPr>
        <w:spacing w:after="0" w:line="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Changes in Internal Control over Financial Reporting</w:t>
      </w:r>
    </w:p>
    <w:p>
      <w:pPr>
        <w:spacing w:after="0" w:line="106" w:lineRule="exact"/>
        <w:rPr>
          <w:sz w:val="20"/>
          <w:szCs w:val="20"/>
          <w:color w:val="auto"/>
        </w:rPr>
      </w:pPr>
    </w:p>
    <w:p>
      <w:pPr>
        <w:ind w:right="540" w:firstLine="621"/>
        <w:spacing w:after="0" w:line="291" w:lineRule="auto"/>
        <w:rPr>
          <w:sz w:val="20"/>
          <w:szCs w:val="20"/>
          <w:color w:val="auto"/>
        </w:rPr>
      </w:pPr>
      <w:r>
        <w:rPr>
          <w:rFonts w:ascii="Times New Roman" w:cs="Times New Roman" w:eastAsia="Times New Roman" w:hAnsi="Times New Roman"/>
          <w:sz w:val="17"/>
          <w:szCs w:val="17"/>
          <w:color w:val="auto"/>
        </w:rPr>
        <w:t>There have been no changes in our internal control over financial reporting that occurred during the three months ended March 31, 2022 that have materially affected, or are reasonably likely to materially affect, our internal control over financial reporting.</w:t>
      </w:r>
    </w:p>
    <w:p>
      <w:pPr>
        <w:spacing w:after="0" w:line="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Inherent Limitations on Effectiveness of Controls</w:t>
      </w:r>
    </w:p>
    <w:p>
      <w:pPr>
        <w:spacing w:after="0" w:line="93" w:lineRule="exact"/>
        <w:rPr>
          <w:sz w:val="20"/>
          <w:szCs w:val="20"/>
          <w:color w:val="auto"/>
        </w:rPr>
      </w:pPr>
    </w:p>
    <w:p>
      <w:pPr>
        <w:ind w:firstLine="621"/>
        <w:spacing w:after="0" w:line="259" w:lineRule="auto"/>
        <w:rPr>
          <w:sz w:val="20"/>
          <w:szCs w:val="20"/>
          <w:color w:val="auto"/>
        </w:rPr>
      </w:pPr>
      <w:r>
        <w:rPr>
          <w:rFonts w:ascii="Times New Roman" w:cs="Times New Roman" w:eastAsia="Times New Roman" w:hAnsi="Times New Roman"/>
          <w:sz w:val="17"/>
          <w:szCs w:val="17"/>
          <w:color w:val="auto"/>
        </w:rPr>
        <w:t>Management recognizes that a control system, no matter how well designed and operated, can provide only reasonable, not absolute, assurance that the objectives of the control system are met. Further, the design of a control system must reflect the fact that there are resource constraints and that management is required to apply its judgment in evaluating the benefits of possible controls and procedures relative to their costs. Because of the inherent limitations in all control systems, no evaluation of controls can provide absolute assurance that all control issues and instances of fraud or error,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394" w:lineRule="exact"/>
        <w:rPr>
          <w:sz w:val="20"/>
          <w:szCs w:val="20"/>
          <w:color w:val="auto"/>
        </w:rPr>
      </w:pPr>
    </w:p>
    <w:p>
      <w:pPr>
        <w:ind w:right="320"/>
        <w:spacing w:after="0" w:line="291" w:lineRule="auto"/>
        <w:rPr>
          <w:sz w:val="20"/>
          <w:szCs w:val="20"/>
          <w:color w:val="auto"/>
        </w:rPr>
      </w:pPr>
      <w:r>
        <w:rPr>
          <w:rFonts w:ascii="Times New Roman" w:cs="Times New Roman" w:eastAsia="Times New Roman" w:hAnsi="Times New Roman"/>
          <w:sz w:val="17"/>
          <w:szCs w:val="17"/>
          <w:color w:val="auto"/>
        </w:rPr>
        <w:t>degree of compliance with policies or procedures may deteriorate. Because of the inherent limitations in a cost-effective control system, misstatements due to error or fraud may occur and not be detected.</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95" w:lineRule="exact"/>
        <w:rPr>
          <w:sz w:val="20"/>
          <w:szCs w:val="20"/>
          <w:color w:val="auto"/>
        </w:rPr>
      </w:pPr>
    </w:p>
    <w:p>
      <w:pPr>
        <w:ind w:right="80" w:firstLine="621"/>
        <w:spacing w:after="0" w:line="259" w:lineRule="auto"/>
        <w:rPr>
          <w:sz w:val="20"/>
          <w:szCs w:val="20"/>
          <w:color w:val="auto"/>
        </w:rPr>
      </w:pPr>
      <w:r>
        <w:rPr>
          <w:rFonts w:ascii="Times New Roman" w:cs="Times New Roman" w:eastAsia="Times New Roman" w:hAnsi="Times New Roman"/>
          <w:sz w:val="17"/>
          <w:szCs w:val="17"/>
          <w:color w:val="auto"/>
        </w:rPr>
        <w:t>We and our subsidiaries may from time to time be parties to legal or regulatory proceedings, lawsuits and other claims incident to our business activities and to our status as a public company. Such routine matters may include, among other things, assertions of contract breach or intellectual property infringement, claims for indemnity arising in the course of our business, regulatory investigations or enforcement proceedings, and claims by persons whose employment has been terminated. Such matters are subject to many uncertainties, and outcomes are not predictable with assurance. Consequently, we are unable to ascertain the ultimate aggregate amount of monetary liability, amounts which may be covered by insurance or recoverable from third parties, or the financial impact with respect to such matters as of March 31, 2022. However, based on our knowledge as of March 31, 2022, we believe that the final resolution of such matters pending at the time of this report, individually and in the aggregate, will not have a material adverse effect upon our condensed consolidated financial position, results of operations or cash flows.</w:t>
      </w:r>
    </w:p>
    <w:p>
      <w:pPr>
        <w:spacing w:after="0" w:line="13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Refer to Note 12—"Commitments and Contingencies" for additional information related to legal proceedings.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195" w:lineRule="exact"/>
        <w:rPr>
          <w:sz w:val="20"/>
          <w:szCs w:val="20"/>
          <w:color w:val="auto"/>
        </w:rPr>
      </w:pPr>
    </w:p>
    <w:p>
      <w:pPr>
        <w:ind w:firstLine="621"/>
        <w:spacing w:after="0" w:line="260" w:lineRule="auto"/>
        <w:rPr>
          <w:sz w:val="20"/>
          <w:szCs w:val="20"/>
          <w:color w:val="auto"/>
        </w:rPr>
      </w:pPr>
      <w:r>
        <w:rPr>
          <w:rFonts w:ascii="Times New Roman" w:cs="Times New Roman" w:eastAsia="Times New Roman" w:hAnsi="Times New Roman"/>
          <w:sz w:val="17"/>
          <w:szCs w:val="17"/>
          <w:color w:val="auto"/>
        </w:rPr>
        <w:t>Investing in our common stock involves a high degree of risk. We describe risks associated with our business below and in Part I, Item 1A: "Risk Factors" of our Annual Report on Form 10-K for the year ended December 31, 2021 (the "Risk Factors"). Each of the risks described in our Risk Factors may be relevant to decisions regarding an investment in or ownership of our stock. The occurrence of any such risks could have a significant adverse effect on our reputation, business, financial condition, revenue, results of operations, growth, or ability to accomplish our strategic objectives, and could cause the trading price of our common stock to decline. You should carefully consider such risks and the other information contained in this report, including our condensed consolidated financial statements and related notes and Management's Discussion and Analysis of Financial Condition and Results of Operations, before making investment decisions related to our common stock.</w:t>
      </w:r>
    </w:p>
    <w:p>
      <w:pPr>
        <w:spacing w:after="0" w:line="44" w:lineRule="exact"/>
        <w:rPr>
          <w:sz w:val="20"/>
          <w:szCs w:val="20"/>
          <w:color w:val="auto"/>
        </w:rPr>
      </w:pPr>
    </w:p>
    <w:p>
      <w:pPr>
        <w:ind w:firstLine="621"/>
        <w:spacing w:after="0" w:line="266" w:lineRule="auto"/>
        <w:rPr>
          <w:sz w:val="20"/>
          <w:szCs w:val="20"/>
          <w:color w:val="auto"/>
        </w:rPr>
      </w:pPr>
      <w:r>
        <w:rPr>
          <w:rFonts w:ascii="Times New Roman" w:cs="Times New Roman" w:eastAsia="Times New Roman" w:hAnsi="Times New Roman"/>
          <w:sz w:val="17"/>
          <w:szCs w:val="17"/>
          <w:color w:val="auto"/>
        </w:rPr>
        <w:t>There are no additional material changes to the Risk Factors of which we are currently aware; but our Risk Factors cannot anticipate and fully address all possible risks of investing in our common stock, the risks of investing in our common stock may change over time, and additional risks and uncertainties that we are not aware of, or that we do not consider to be material, may emerge. Accordingly, you are advised to consider additional sources of information and exercise your own judgment in addition to the information we provide.</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102" w:lineRule="exact"/>
        <w:rPr>
          <w:sz w:val="20"/>
          <w:szCs w:val="20"/>
          <w:color w:val="auto"/>
        </w:rPr>
      </w:pPr>
    </w:p>
    <w:p>
      <w:pPr>
        <w:ind w:left="180" w:right="7620" w:firstLine="444"/>
        <w:spacing w:after="0" w:line="388" w:lineRule="auto"/>
        <w:tabs>
          <w:tab w:leader="none" w:pos="873"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Recent Sales of Unregistered Securities </w:t>
      </w:r>
      <w:r>
        <w:rPr>
          <w:rFonts w:ascii="Times New Roman" w:cs="Times New Roman" w:eastAsia="Times New Roman" w:hAnsi="Times New Roman"/>
          <w:sz w:val="17"/>
          <w:szCs w:val="17"/>
          <w:color w:val="auto"/>
        </w:rPr>
        <w:t>None (except as previously disclosed).</w:t>
      </w:r>
    </w:p>
    <w:p>
      <w:pPr>
        <w:spacing w:after="0" w:line="40" w:lineRule="exact"/>
        <w:rPr>
          <w:rFonts w:ascii="Times New Roman" w:cs="Times New Roman" w:eastAsia="Times New Roman" w:hAnsi="Times New Roman"/>
          <w:sz w:val="17"/>
          <w:szCs w:val="17"/>
          <w:i w:val="1"/>
          <w:iCs w:val="1"/>
          <w:color w:val="auto"/>
        </w:rPr>
      </w:pPr>
    </w:p>
    <w:p>
      <w:pPr>
        <w:ind w:left="860" w:hanging="236"/>
        <w:spacing w:after="0"/>
        <w:tabs>
          <w:tab w:leader="none" w:pos="860" w:val="left"/>
        </w:tabs>
        <w:numPr>
          <w:ilvl w:val="0"/>
          <w:numId w:val="16"/>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Use of Proceeds</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Not Applicable.</w:t>
      </w:r>
    </w:p>
    <w:p>
      <w:pPr>
        <w:spacing w:after="0" w:line="19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 Purchases of Equity Securities by the Company and Affiliated Purchasers</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Common stock repurchases during the quarter ended March 31, 2022 were as follows (in thousands, except per share amounts):</w:t>
      </w: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95"/>
        </w:trPr>
        <w:tc>
          <w:tcPr>
            <w:tcW w:w="2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Table of Contents</w:t>
            </w:r>
          </w:p>
        </w:tc>
        <w:tc>
          <w:tcPr>
            <w:tcW w:w="2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95"/>
        </w:trPr>
        <w:tc>
          <w:tcPr>
            <w:tcW w:w="1220" w:type="dxa"/>
            <w:vAlign w:val="bottom"/>
            <w:tcBorders>
              <w:top w:val="single" w:sz="8" w:color="0000FF"/>
            </w:tcBorders>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0" w:type="dxa"/>
            <w:vAlign w:val="bottom"/>
          </w:tcPr>
          <w:p>
            <w:pPr>
              <w:spacing w:after="0"/>
              <w:rPr>
                <w:sz w:val="1"/>
                <w:szCs w:val="1"/>
                <w:color w:val="auto"/>
              </w:rPr>
            </w:pPr>
          </w:p>
        </w:tc>
      </w:tr>
      <w:tr>
        <w:trPr>
          <w:trHeight w:val="168"/>
        </w:trPr>
        <w:tc>
          <w:tcPr>
            <w:tcW w:w="1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Total Number of Shares</w:t>
            </w: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purchased as part of a</w:t>
            </w:r>
          </w:p>
        </w:tc>
        <w:tc>
          <w:tcPr>
            <w:tcW w:w="0" w:type="dxa"/>
            <w:vAlign w:val="bottom"/>
          </w:tcPr>
          <w:p>
            <w:pPr>
              <w:spacing w:after="0"/>
              <w:rPr>
                <w:sz w:val="1"/>
                <w:szCs w:val="1"/>
                <w:color w:val="auto"/>
              </w:rPr>
            </w:pPr>
          </w:p>
        </w:tc>
      </w:tr>
      <w:tr>
        <w:trPr>
          <w:trHeight w:val="168"/>
        </w:trPr>
        <w:tc>
          <w:tcPr>
            <w:tcW w:w="2820" w:type="dxa"/>
            <w:vAlign w:val="bottom"/>
            <w:gridSpan w:val="3"/>
            <w:vMerge w:val="restart"/>
          </w:tcPr>
          <w:p>
            <w:pPr>
              <w:ind w:left="1120"/>
              <w:spacing w:after="0"/>
              <w:rPr>
                <w:sz w:val="20"/>
                <w:szCs w:val="20"/>
                <w:color w:val="auto"/>
              </w:rPr>
            </w:pPr>
            <w:r>
              <w:rPr>
                <w:rFonts w:ascii="Times New Roman" w:cs="Times New Roman" w:eastAsia="Times New Roman" w:hAnsi="Times New Roman"/>
                <w:sz w:val="17"/>
                <w:szCs w:val="17"/>
                <w:b w:val="1"/>
                <w:bCs w:val="1"/>
                <w:color w:val="auto"/>
              </w:rPr>
              <w:t>Period</w:t>
            </w:r>
          </w:p>
        </w:tc>
        <w:tc>
          <w:tcPr>
            <w:tcW w:w="20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9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b w:val="1"/>
                <w:bCs w:val="1"/>
                <w:color w:val="auto"/>
              </w:rPr>
              <w:t>Average Price per Share</w:t>
            </w:r>
          </w:p>
        </w:tc>
        <w:tc>
          <w:tcPr>
            <w:tcW w:w="2020" w:type="dxa"/>
            <w:vAlign w:val="bottom"/>
          </w:tcPr>
          <w:p>
            <w:pPr>
              <w:jc w:val="center"/>
              <w:spacing w:after="0" w:line="168" w:lineRule="exact"/>
              <w:rPr>
                <w:sz w:val="20"/>
                <w:szCs w:val="20"/>
                <w:color w:val="auto"/>
              </w:rPr>
            </w:pPr>
            <w:r>
              <w:rPr>
                <w:rFonts w:ascii="Times New Roman" w:cs="Times New Roman" w:eastAsia="Times New Roman" w:hAnsi="Times New Roman"/>
                <w:sz w:val="17"/>
                <w:szCs w:val="17"/>
                <w:b w:val="1"/>
                <w:bCs w:val="1"/>
                <w:color w:val="auto"/>
              </w:rPr>
              <w:t>Publicly Announced</w:t>
            </w:r>
          </w:p>
        </w:tc>
        <w:tc>
          <w:tcPr>
            <w:tcW w:w="0" w:type="dxa"/>
            <w:vAlign w:val="bottom"/>
          </w:tcPr>
          <w:p>
            <w:pPr>
              <w:spacing w:after="0"/>
              <w:rPr>
                <w:sz w:val="1"/>
                <w:szCs w:val="1"/>
                <w:color w:val="auto"/>
              </w:rPr>
            </w:pPr>
          </w:p>
        </w:tc>
      </w:tr>
      <w:tr>
        <w:trPr>
          <w:trHeight w:val="233"/>
        </w:trPr>
        <w:tc>
          <w:tcPr>
            <w:tcW w:w="2820" w:type="dxa"/>
            <w:vAlign w:val="bottom"/>
            <w:gridSpan w:val="3"/>
            <w:vMerge w:val="continue"/>
          </w:tcPr>
          <w:p>
            <w:pPr>
              <w:spacing w:after="0"/>
              <w:rPr>
                <w:sz w:val="20"/>
                <w:szCs w:val="20"/>
                <w:color w:val="auto"/>
              </w:rPr>
            </w:pPr>
          </w:p>
        </w:tc>
        <w:tc>
          <w:tcPr>
            <w:tcW w:w="208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Purchased</w:t>
            </w:r>
          </w:p>
        </w:tc>
        <w:tc>
          <w:tcPr>
            <w:tcW w:w="100" w:type="dxa"/>
            <w:vAlign w:val="bottom"/>
          </w:tcPr>
          <w:p>
            <w:pPr>
              <w:spacing w:after="0"/>
              <w:rPr>
                <w:sz w:val="20"/>
                <w:szCs w:val="20"/>
                <w:color w:val="auto"/>
              </w:rPr>
            </w:pPr>
          </w:p>
        </w:tc>
        <w:tc>
          <w:tcPr>
            <w:tcW w:w="1980" w:type="dxa"/>
            <w:vAlign w:val="bottom"/>
            <w:gridSpan w:val="2"/>
            <w:vMerge w:val="continue"/>
          </w:tcPr>
          <w:p>
            <w:pPr>
              <w:spacing w:after="0"/>
              <w:rPr>
                <w:sz w:val="20"/>
                <w:szCs w:val="20"/>
                <w:color w:val="auto"/>
              </w:rPr>
            </w:pPr>
          </w:p>
        </w:tc>
        <w:tc>
          <w:tcPr>
            <w:tcW w:w="20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Program</w:t>
            </w:r>
          </w:p>
        </w:tc>
        <w:tc>
          <w:tcPr>
            <w:tcW w:w="0" w:type="dxa"/>
            <w:vAlign w:val="bottom"/>
          </w:tcPr>
          <w:p>
            <w:pPr>
              <w:spacing w:after="0"/>
              <w:rPr>
                <w:sz w:val="1"/>
                <w:szCs w:val="1"/>
                <w:color w:val="auto"/>
              </w:rPr>
            </w:pPr>
          </w:p>
        </w:tc>
      </w:tr>
      <w:tr>
        <w:trPr>
          <w:trHeight w:val="205"/>
        </w:trPr>
        <w:tc>
          <w:tcPr>
            <w:tcW w:w="27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January 1 - January 31, 2022</w:t>
            </w:r>
          </w:p>
        </w:tc>
        <w:tc>
          <w:tcPr>
            <w:tcW w:w="80" w:type="dxa"/>
            <w:vAlign w:val="bottom"/>
          </w:tcPr>
          <w:p>
            <w:pPr>
              <w:spacing w:after="0"/>
              <w:rPr>
                <w:sz w:val="17"/>
                <w:szCs w:val="17"/>
                <w:color w:val="auto"/>
              </w:rPr>
            </w:pPr>
          </w:p>
        </w:tc>
        <w:tc>
          <w:tcPr>
            <w:tcW w:w="20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9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820" w:type="dxa"/>
            <w:vAlign w:val="bottom"/>
            <w:gridSpan w:val="3"/>
          </w:tcPr>
          <w:p>
            <w:pPr>
              <w:ind w:left="220"/>
              <w:spacing w:after="0" w:line="220" w:lineRule="exact"/>
              <w:rPr>
                <w:sz w:val="20"/>
                <w:szCs w:val="20"/>
                <w:color w:val="auto"/>
              </w:rPr>
            </w:pPr>
            <w:r>
              <w:rPr>
                <w:rFonts w:ascii="Times New Roman" w:cs="Times New Roman" w:eastAsia="Times New Roman" w:hAnsi="Times New Roman"/>
                <w:sz w:val="17"/>
                <w:szCs w:val="17"/>
                <w:color w:val="auto"/>
              </w:rPr>
              <w:t>Equity withholding</w:t>
            </w:r>
            <w:r>
              <w:rPr>
                <w:rFonts w:ascii="Times New Roman" w:cs="Times New Roman" w:eastAsia="Times New Roman" w:hAnsi="Times New Roman"/>
                <w:sz w:val="22"/>
                <w:szCs w:val="22"/>
                <w:color w:val="auto"/>
                <w:vertAlign w:val="superscript"/>
              </w:rPr>
              <w:t>(1)</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w:t>
            </w: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15.39</w:t>
            </w:r>
          </w:p>
        </w:tc>
        <w:tc>
          <w:tcPr>
            <w:tcW w:w="8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3"/>
        </w:trPr>
        <w:tc>
          <w:tcPr>
            <w:tcW w:w="2820" w:type="dxa"/>
            <w:vAlign w:val="bottom"/>
            <w:gridSpan w:val="3"/>
          </w:tcPr>
          <w:p>
            <w:pPr>
              <w:ind w:left="220"/>
              <w:spacing w:after="0" w:line="243" w:lineRule="exact"/>
              <w:rPr>
                <w:sz w:val="20"/>
                <w:szCs w:val="20"/>
                <w:color w:val="auto"/>
              </w:rPr>
            </w:pPr>
            <w:r>
              <w:rPr>
                <w:rFonts w:ascii="Times New Roman" w:cs="Times New Roman" w:eastAsia="Times New Roman" w:hAnsi="Times New Roman"/>
                <w:sz w:val="17"/>
                <w:szCs w:val="17"/>
                <w:color w:val="auto"/>
              </w:rPr>
              <w:t>Repurchase program</w:t>
            </w:r>
            <w:r>
              <w:rPr>
                <w:rFonts w:ascii="Times New Roman" w:cs="Times New Roman" w:eastAsia="Times New Roman" w:hAnsi="Times New Roman"/>
                <w:sz w:val="22"/>
                <w:szCs w:val="22"/>
                <w:color w:val="auto"/>
                <w:vertAlign w:val="superscript"/>
              </w:rPr>
              <w:t>(2)</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14.94</w:t>
            </w:r>
          </w:p>
        </w:tc>
        <w:tc>
          <w:tcPr>
            <w:tcW w:w="8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-147955</wp:posOffset>
            </wp:positionV>
            <wp:extent cx="7039610" cy="139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39610" cy="13970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-435610</wp:posOffset>
            </wp:positionV>
            <wp:extent cx="7039610" cy="1479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39610" cy="14795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b w:val="1"/>
          <w:bCs w:val="1"/>
          <w:color w:val="auto"/>
        </w:rPr>
        <w:t>February 1 - February 28, 2022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left="-19"/>
        <w:spacing w:after="0" w:line="220" w:lineRule="auto"/>
        <w:rPr>
          <w:sz w:val="20"/>
          <w:szCs w:val="20"/>
          <w:color w:val="auto"/>
        </w:rPr>
      </w:pPr>
      <w:r>
        <w:rPr>
          <w:rFonts w:ascii="Times New Roman" w:cs="Times New Roman" w:eastAsia="Times New Roman" w:hAnsi="Times New Roman"/>
          <w:sz w:val="17"/>
          <w:szCs w:val="17"/>
          <w:b w:val="1"/>
          <w:bCs w:val="1"/>
          <w:color w:val="auto"/>
        </w:rPr>
        <w:t>Maximum Approximate Dollar Value that May Yet be Purchased Under the</w:t>
      </w:r>
    </w:p>
    <w:p>
      <w:pPr>
        <w:spacing w:after="0" w:line="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Program</w:t>
      </w:r>
    </w:p>
    <w:p>
      <w:pPr>
        <w:spacing w:after="0" w:line="237" w:lineRule="exact"/>
        <w:rPr>
          <w:sz w:val="20"/>
          <w:szCs w:val="20"/>
          <w:color w:val="auto"/>
        </w:rPr>
      </w:pPr>
    </w:p>
    <w:p>
      <w:pPr>
        <w:spacing w:after="0"/>
        <w:tabs>
          <w:tab w:leader="none" w:pos="17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w:t>
      </w:r>
    </w:p>
    <w:p>
      <w:pPr>
        <w:spacing w:after="0" w:line="30"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38,362</w:t>
      </w:r>
    </w:p>
    <w:p>
      <w:pPr>
        <w:spacing w:after="0" w:line="235" w:lineRule="exact"/>
        <w:rPr>
          <w:sz w:val="20"/>
          <w:szCs w:val="20"/>
          <w:color w:val="auto"/>
        </w:rPr>
      </w:pPr>
    </w:p>
    <w:p>
      <w:pPr>
        <w:sectPr>
          <w:pgSz w:w="11900" w:h="16838" w:orient="portrait"/>
          <w:cols w:equalWidth="0" w:num="2">
            <w:col w:w="9000" w:space="100"/>
            <w:col w:w="2080"/>
          </w:cols>
          <w:pgMar w:left="320" w:top="112" w:right="399" w:bottom="1440" w:gutter="0" w:footer="0" w:header="0"/>
        </w:sectPr>
      </w:pPr>
    </w:p>
    <w:tbl>
      <w:tblPr>
        <w:tblLayout w:type="fixed"/>
        <w:tblInd w:w="0" w:type="dxa"/>
        <w:tblCellMar>
          <w:top w:w="0" w:type="dxa"/>
          <w:left w:w="0" w:type="dxa"/>
          <w:bottom w:w="0" w:type="dxa"/>
          <w:right w:w="0" w:type="dxa"/>
        </w:tblCellMar>
      </w:tblPr>
      <w:tr>
        <w:trPr>
          <w:trHeight w:val="230"/>
        </w:trPr>
        <w:tc>
          <w:tcPr>
            <w:tcW w:w="2820" w:type="dxa"/>
            <w:vAlign w:val="bottom"/>
            <w:shd w:val="clear" w:color="auto" w:fill="CCEEFF"/>
          </w:tcPr>
          <w:p>
            <w:pPr>
              <w:ind w:left="220"/>
              <w:spacing w:after="0" w:line="230" w:lineRule="exact"/>
              <w:rPr>
                <w:sz w:val="20"/>
                <w:szCs w:val="20"/>
                <w:color w:val="auto"/>
              </w:rPr>
            </w:pPr>
            <w:r>
              <w:rPr>
                <w:rFonts w:ascii="Times New Roman" w:cs="Times New Roman" w:eastAsia="Times New Roman" w:hAnsi="Times New Roman"/>
                <w:sz w:val="17"/>
                <w:szCs w:val="17"/>
                <w:color w:val="auto"/>
              </w:rPr>
              <w:t>Equity withholding</w:t>
            </w:r>
            <w:r>
              <w:rPr>
                <w:rFonts w:ascii="Times New Roman" w:cs="Times New Roman" w:eastAsia="Times New Roman" w:hAnsi="Times New Roman"/>
                <w:sz w:val="22"/>
                <w:szCs w:val="22"/>
                <w:color w:val="auto"/>
                <w:vertAlign w:val="superscript"/>
              </w:rPr>
              <w:t>(1)</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9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13.59</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820" w:type="dxa"/>
            <w:vAlign w:val="bottom"/>
          </w:tcPr>
          <w:p>
            <w:pPr>
              <w:ind w:left="220"/>
              <w:spacing w:after="0" w:line="220" w:lineRule="exact"/>
              <w:rPr>
                <w:sz w:val="20"/>
                <w:szCs w:val="20"/>
                <w:color w:val="auto"/>
              </w:rPr>
            </w:pPr>
            <w:r>
              <w:rPr>
                <w:rFonts w:ascii="Times New Roman" w:cs="Times New Roman" w:eastAsia="Times New Roman" w:hAnsi="Times New Roman"/>
                <w:sz w:val="17"/>
                <w:szCs w:val="17"/>
                <w:color w:val="auto"/>
              </w:rPr>
              <w:t>Repurchase program</w:t>
            </w:r>
            <w:r>
              <w:rPr>
                <w:rFonts w:ascii="Times New Roman" w:cs="Times New Roman" w:eastAsia="Times New Roman" w:hAnsi="Times New Roman"/>
                <w:sz w:val="22"/>
                <w:szCs w:val="22"/>
                <w:color w:val="auto"/>
                <w:vertAlign w:val="superscript"/>
              </w:rPr>
              <w:t>(2)</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38,362</w:t>
            </w:r>
          </w:p>
        </w:tc>
      </w:tr>
      <w:tr>
        <w:trPr>
          <w:trHeight w:val="220"/>
        </w:trPr>
        <w:tc>
          <w:tcPr>
            <w:tcW w:w="2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March 1 - March 31, 2022</w:t>
            </w:r>
          </w:p>
        </w:tc>
        <w:tc>
          <w:tcPr>
            <w:tcW w:w="20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20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0"/>
        </w:trPr>
        <w:tc>
          <w:tcPr>
            <w:tcW w:w="2820" w:type="dxa"/>
            <w:vAlign w:val="bottom"/>
          </w:tcPr>
          <w:p>
            <w:pPr>
              <w:ind w:left="220"/>
              <w:spacing w:after="0" w:line="220" w:lineRule="exact"/>
              <w:rPr>
                <w:sz w:val="20"/>
                <w:szCs w:val="20"/>
                <w:color w:val="auto"/>
              </w:rPr>
            </w:pPr>
            <w:r>
              <w:rPr>
                <w:rFonts w:ascii="Times New Roman" w:cs="Times New Roman" w:eastAsia="Times New Roman" w:hAnsi="Times New Roman"/>
                <w:sz w:val="17"/>
                <w:szCs w:val="17"/>
                <w:color w:val="auto"/>
              </w:rPr>
              <w:t>Equity withholding</w:t>
            </w:r>
            <w:r>
              <w:rPr>
                <w:rFonts w:ascii="Times New Roman" w:cs="Times New Roman" w:eastAsia="Times New Roman" w:hAnsi="Times New Roman"/>
                <w:sz w:val="22"/>
                <w:szCs w:val="22"/>
                <w:color w:val="auto"/>
                <w:vertAlign w:val="superscript"/>
              </w:rPr>
              <w:t>(1)</w:t>
            </w:r>
          </w:p>
        </w:tc>
        <w:tc>
          <w:tcPr>
            <w:tcW w:w="2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900" w:type="dxa"/>
            <w:vAlign w:val="bottom"/>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11.10</w:t>
            </w:r>
          </w:p>
        </w:tc>
        <w:tc>
          <w:tcPr>
            <w:tcW w:w="2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0"/>
        </w:trPr>
        <w:tc>
          <w:tcPr>
            <w:tcW w:w="2820" w:type="dxa"/>
            <w:vAlign w:val="bottom"/>
            <w:shd w:val="clear" w:color="auto" w:fill="CCEEFF"/>
          </w:tcPr>
          <w:p>
            <w:pPr>
              <w:ind w:left="220"/>
              <w:spacing w:after="0" w:line="220" w:lineRule="exact"/>
              <w:rPr>
                <w:sz w:val="20"/>
                <w:szCs w:val="20"/>
                <w:color w:val="auto"/>
              </w:rPr>
            </w:pPr>
            <w:r>
              <w:rPr>
                <w:rFonts w:ascii="Times New Roman" w:cs="Times New Roman" w:eastAsia="Times New Roman" w:hAnsi="Times New Roman"/>
                <w:sz w:val="17"/>
                <w:szCs w:val="17"/>
                <w:color w:val="auto"/>
              </w:rPr>
              <w:t>Repurchase program</w:t>
            </w:r>
            <w:r>
              <w:rPr>
                <w:rFonts w:ascii="Times New Roman" w:cs="Times New Roman" w:eastAsia="Times New Roman" w:hAnsi="Times New Roman"/>
                <w:sz w:val="22"/>
                <w:szCs w:val="22"/>
                <w:color w:val="auto"/>
                <w:vertAlign w:val="superscript"/>
              </w:rPr>
              <w:t>(2)</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9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11.76</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554</w:t>
            </w:r>
          </w:p>
        </w:tc>
        <w:tc>
          <w:tcPr>
            <w:tcW w:w="860" w:type="dxa"/>
            <w:vAlign w:val="bottom"/>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31,855</w:t>
            </w:r>
          </w:p>
        </w:tc>
      </w:tr>
      <w:tr>
        <w:trPr>
          <w:trHeight w:val="213"/>
        </w:trPr>
        <w:tc>
          <w:tcPr>
            <w:tcW w:w="2820" w:type="dxa"/>
            <w:vAlign w:val="bottom"/>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1,246</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931</w:t>
            </w:r>
          </w:p>
        </w:tc>
        <w:tc>
          <w:tcPr>
            <w:tcW w:w="86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0"/>
        </w:trPr>
        <w:tc>
          <w:tcPr>
            <w:tcW w:w="282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50" w:lineRule="exact"/>
        <w:rPr>
          <w:sz w:val="20"/>
          <w:szCs w:val="20"/>
          <w:color w:val="auto"/>
        </w:rPr>
      </w:pPr>
    </w:p>
    <w:p>
      <w:pPr>
        <w:ind w:right="20" w:firstLine="3"/>
        <w:spacing w:after="0" w:line="243" w:lineRule="auto"/>
        <w:tabs>
          <w:tab w:leader="none" w:pos="174"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Upon vesting of most restricted stock units, we are required to deposit minimum statutory employee withholding taxes on behalf of the holders of the vested awards. As reimbursement for these tax deposits, we have the option to withhold from shares otherwise issuable upon vesting a portion of those shares with a fair market value equal to the amount of the deposits we paid. Withholding of shares in this manner is accounted for as a repurchase of common stock.</w:t>
      </w:r>
    </w:p>
    <w:p>
      <w:pPr>
        <w:spacing w:after="0" w:line="71" w:lineRule="exact"/>
        <w:rPr>
          <w:rFonts w:ascii="Times New Roman" w:cs="Times New Roman" w:eastAsia="Times New Roman" w:hAnsi="Times New Roman"/>
          <w:sz w:val="21"/>
          <w:szCs w:val="21"/>
          <w:color w:val="auto"/>
          <w:vertAlign w:val="superscript"/>
        </w:rPr>
      </w:pPr>
    </w:p>
    <w:p>
      <w:pPr>
        <w:ind w:firstLine="3"/>
        <w:spacing w:after="0" w:line="247" w:lineRule="auto"/>
        <w:tabs>
          <w:tab w:leader="none" w:pos="174" w:val="left"/>
        </w:tabs>
        <w:numPr>
          <w:ilvl w:val="0"/>
          <w:numId w:val="17"/>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Our Board of Directors approved a share repurchase program (the "Program") under which the Company is authorized to purchase up to $50.0 million of its common stock over the twelve month period commencing December 10, 2021. Shares repurchased under the Program in the quarter ended March 31, 2022 have been subsequently retired, which was recorded as a reduction in additional paid in capital. The average price paid per share purchased under the Program includes broker commission costs.</w:t>
      </w:r>
    </w:p>
    <w:p>
      <w:pPr>
        <w:spacing w:after="0" w:line="200" w:lineRule="exact"/>
        <w:rPr>
          <w:sz w:val="20"/>
          <w:szCs w:val="20"/>
          <w:color w:val="auto"/>
        </w:rPr>
      </w:pPr>
    </w:p>
    <w:p>
      <w:pPr>
        <w:spacing w:after="0" w:line="34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71755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80"/>
          </w:cols>
          <w:pgMar w:left="320" w:top="112" w:right="39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34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33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5"/>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8880" w:type="dxa"/>
            <w:vAlign w:val="bottom"/>
            <w:gridSpan w:val="8"/>
          </w:tcPr>
          <w:p>
            <w:pPr>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65"/>
        </w:trPr>
        <w:tc>
          <w:tcPr>
            <w:tcW w:w="22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3.1</w:t>
            </w:r>
          </w:p>
        </w:tc>
        <w:tc>
          <w:tcPr>
            <w:tcW w:w="120" w:type="dxa"/>
            <w:vAlign w:val="bottom"/>
          </w:tcPr>
          <w:p>
            <w:pPr>
              <w:spacing w:after="0"/>
              <w:rPr>
                <w:sz w:val="23"/>
                <w:szCs w:val="23"/>
                <w:color w:val="auto"/>
              </w:rPr>
            </w:pPr>
          </w:p>
        </w:tc>
        <w:tc>
          <w:tcPr>
            <w:tcW w:w="8880" w:type="dxa"/>
            <w:vAlign w:val="bottom"/>
            <w:tcBorders>
              <w:top w:val="single" w:sz="8" w:color="auto"/>
            </w:tcBorders>
            <w:gridSpan w:val="8"/>
          </w:tcPr>
          <w:p>
            <w:pPr>
              <w:spacing w:after="0"/>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Fifth Amended and Restated Bylaws of Magnite, Inc. (incorporated by reference to Exhibit 3.1 to the Registrant’s Current</w:t>
              </w:r>
            </w:hyperlink>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760" w:type="dxa"/>
            <w:vAlign w:val="bottom"/>
            <w:tcBorders>
              <w:top w:val="single" w:sz="8" w:color="0000FF"/>
              <w:bottom w:val="single" w:sz="8" w:color="0000FF"/>
            </w:tcBorders>
            <w:gridSpan w:val="3"/>
          </w:tcPr>
          <w:p>
            <w:pPr>
              <w:spacing w:after="0" w:line="148" w:lineRule="exact"/>
              <w:rPr>
                <w:rFonts w:ascii="Times New Roman" w:cs="Times New Roman" w:eastAsia="Times New Roman" w:hAnsi="Times New Roman"/>
                <w:sz w:val="17"/>
                <w:szCs w:val="17"/>
                <w:color w:val="0000FF"/>
              </w:rPr>
            </w:pPr>
            <w:hyperlink r:id="rId90">
              <w:r>
                <w:rPr>
                  <w:rFonts w:ascii="Times New Roman" w:cs="Times New Roman" w:eastAsia="Times New Roman" w:hAnsi="Times New Roman"/>
                  <w:sz w:val="17"/>
                  <w:szCs w:val="17"/>
                  <w:color w:val="0000FF"/>
                </w:rPr>
                <w:t>Report on Form 8-K filed with the Commission on March 22, 2022).</w:t>
              </w:r>
            </w:hyperlink>
          </w:p>
        </w:tc>
        <w:tc>
          <w:tcPr>
            <w:tcW w:w="3660" w:type="dxa"/>
            <w:vAlign w:val="bottom"/>
            <w:tcBorders>
              <w:top w:val="single" w:sz="8" w:color="0000FF"/>
            </w:tcBorders>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31.1*</w:t>
            </w:r>
          </w:p>
        </w:tc>
        <w:tc>
          <w:tcPr>
            <w:tcW w:w="120" w:type="dxa"/>
            <w:vAlign w:val="bottom"/>
          </w:tcPr>
          <w:p>
            <w:pPr>
              <w:spacing w:after="0"/>
              <w:rPr>
                <w:sz w:val="18"/>
                <w:szCs w:val="18"/>
                <w:color w:val="auto"/>
              </w:rPr>
            </w:pPr>
          </w:p>
        </w:tc>
        <w:tc>
          <w:tcPr>
            <w:tcW w:w="88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Certification of Principal Executive Officer Pursuant to Exchange Act Rules 13a-14(a) and 15d-14(a), as adopted pursuant to</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40" w:type="dxa"/>
            <w:vAlign w:val="bottom"/>
            <w:tcBorders>
              <w:top w:val="single" w:sz="8" w:color="0000FF"/>
            </w:tcBorders>
            <w:gridSpan w:val="6"/>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31.2*</w:t>
            </w:r>
          </w:p>
        </w:tc>
        <w:tc>
          <w:tcPr>
            <w:tcW w:w="120" w:type="dxa"/>
            <w:vAlign w:val="bottom"/>
          </w:tcPr>
          <w:p>
            <w:pPr>
              <w:spacing w:after="0"/>
              <w:rPr>
                <w:sz w:val="18"/>
                <w:szCs w:val="18"/>
                <w:color w:val="auto"/>
              </w:rPr>
            </w:pPr>
          </w:p>
        </w:tc>
        <w:tc>
          <w:tcPr>
            <w:tcW w:w="88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Certification of Principal Financial Officer Pursuant to Exchange Act Rules 13a-14(a) and 15d-14(a), as adopted pursuant to</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0" w:type="dxa"/>
            <w:vAlign w:val="bottom"/>
            <w:tcBorders>
              <w:top w:val="single" w:sz="8" w:color="0000FF"/>
            </w:tcBorders>
            <w:gridSpan w:val="5"/>
          </w:tcPr>
          <w:p>
            <w:pPr>
              <w:spacing w:after="0" w:line="148" w:lineRule="exact"/>
              <w:rPr>
                <w:sz w:val="20"/>
                <w:szCs w:val="20"/>
                <w:color w:val="auto"/>
              </w:rPr>
            </w:pPr>
            <w:r>
              <w:rPr>
                <w:rFonts w:ascii="Times New Roman" w:cs="Times New Roman" w:eastAsia="Times New Roman" w:hAnsi="Times New Roman"/>
                <w:sz w:val="17"/>
                <w:szCs w:val="17"/>
                <w:color w:val="0000FF"/>
              </w:rPr>
              <w:t>Section 302 of the Sarbanes-Oxley Act of 2002.</w:t>
            </w:r>
          </w:p>
        </w:tc>
        <w:tc>
          <w:tcPr>
            <w:tcW w:w="160" w:type="dxa"/>
            <w:vAlign w:val="bottom"/>
            <w:gridSpan w:val="2"/>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vMerge w:val="restart"/>
          </w:tcPr>
          <w:p>
            <w:pPr>
              <w:ind w:left="20"/>
              <w:spacing w:after="0" w:line="232" w:lineRule="exact"/>
              <w:rPr>
                <w:sz w:val="20"/>
                <w:szCs w:val="20"/>
                <w:color w:val="auto"/>
              </w:rPr>
            </w:pPr>
            <w:r>
              <w:rPr>
                <w:rFonts w:ascii="Times New Roman" w:cs="Times New Roman" w:eastAsia="Times New Roman" w:hAnsi="Times New Roman"/>
                <w:sz w:val="17"/>
                <w:szCs w:val="17"/>
                <w:color w:val="auto"/>
              </w:rPr>
              <w:t>32*</w:t>
            </w:r>
            <w:r>
              <w:rPr>
                <w:rFonts w:ascii="Times New Roman" w:cs="Times New Roman" w:eastAsia="Times New Roman" w:hAnsi="Times New Roman"/>
                <w:sz w:val="22"/>
                <w:szCs w:val="22"/>
                <w:color w:val="auto"/>
                <w:vertAlign w:val="superscript"/>
              </w:rPr>
              <w:t>(1)</w:t>
            </w:r>
          </w:p>
        </w:tc>
        <w:tc>
          <w:tcPr>
            <w:tcW w:w="120" w:type="dxa"/>
            <w:vAlign w:val="bottom"/>
          </w:tcPr>
          <w:p>
            <w:pPr>
              <w:spacing w:after="0" w:line="20" w:lineRule="exact"/>
              <w:rPr>
                <w:sz w:val="1"/>
                <w:szCs w:val="1"/>
                <w:color w:val="auto"/>
              </w:rPr>
            </w:pPr>
          </w:p>
        </w:tc>
        <w:tc>
          <w:tcPr>
            <w:tcW w:w="332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2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22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88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Certification of the Principal Executive Officer and Principal Financial Officer Pursuant to 18 U.S.C. Section 1350, as adopted</w:t>
            </w:r>
          </w:p>
        </w:tc>
        <w:tc>
          <w:tcPr>
            <w:tcW w:w="0" w:type="dxa"/>
            <w:vAlign w:val="bottom"/>
          </w:tcPr>
          <w:p>
            <w:pPr>
              <w:spacing w:after="0"/>
              <w:rPr>
                <w:sz w:val="1"/>
                <w:szCs w:val="1"/>
                <w:color w:val="auto"/>
              </w:rPr>
            </w:pPr>
          </w:p>
        </w:tc>
      </w:tr>
      <w:tr>
        <w:trPr>
          <w:trHeight w:val="148"/>
        </w:trPr>
        <w:tc>
          <w:tcPr>
            <w:tcW w:w="2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140" w:type="dxa"/>
            <w:vAlign w:val="bottom"/>
            <w:tcBorders>
              <w:top w:val="single" w:sz="8" w:color="0000FF"/>
              <w:bottom w:val="single" w:sz="8" w:color="0000FF"/>
            </w:tcBorders>
            <w:gridSpan w:val="2"/>
          </w:tcPr>
          <w:p>
            <w:pPr>
              <w:spacing w:after="0" w:line="148" w:lineRule="exact"/>
              <w:rPr>
                <w:sz w:val="20"/>
                <w:szCs w:val="20"/>
                <w:color w:val="auto"/>
              </w:rPr>
            </w:pPr>
            <w:r>
              <w:rPr>
                <w:rFonts w:ascii="Times New Roman" w:cs="Times New Roman" w:eastAsia="Times New Roman" w:hAnsi="Times New Roman"/>
                <w:sz w:val="17"/>
                <w:szCs w:val="17"/>
                <w:color w:val="0000FF"/>
              </w:rPr>
              <w:t>pursuant to Section 906 of the Sarbanes-Oxley Act of 2002.</w:t>
            </w:r>
          </w:p>
        </w:tc>
        <w:tc>
          <w:tcPr>
            <w:tcW w:w="4620" w:type="dxa"/>
            <w:vAlign w:val="bottom"/>
            <w:tcBorders>
              <w:top w:val="single" w:sz="8" w:color="0000FF"/>
            </w:tcBorders>
            <w:gridSpan w:val="5"/>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0"/>
        </w:trPr>
        <w:tc>
          <w:tcPr>
            <w:tcW w:w="2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Instance Document- the instance document does not appear in the Interactive Data File because its XBRL tags are embedded</w:t>
            </w:r>
          </w:p>
        </w:tc>
        <w:tc>
          <w:tcPr>
            <w:tcW w:w="0" w:type="dxa"/>
            <w:vAlign w:val="bottom"/>
          </w:tcPr>
          <w:p>
            <w:pPr>
              <w:spacing w:after="0"/>
              <w:rPr>
                <w:sz w:val="1"/>
                <w:szCs w:val="1"/>
                <w:color w:val="auto"/>
              </w:rPr>
            </w:pPr>
          </w:p>
        </w:tc>
      </w:tr>
      <w:tr>
        <w:trPr>
          <w:trHeight w:val="227"/>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101.ins *</w:t>
            </w:r>
          </w:p>
        </w:tc>
        <w:tc>
          <w:tcPr>
            <w:tcW w:w="88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within the Inline XBRL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 *</w:t>
            </w:r>
          </w:p>
        </w:tc>
        <w:tc>
          <w:tcPr>
            <w:tcW w:w="88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Taxonomy Schema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 *</w:t>
            </w:r>
          </w:p>
        </w:tc>
        <w:tc>
          <w:tcPr>
            <w:tcW w:w="88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Taxonomy Calculation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 *</w:t>
            </w:r>
          </w:p>
        </w:tc>
        <w:tc>
          <w:tcPr>
            <w:tcW w:w="88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Taxonomy Definition Linkbase Document</w:t>
            </w:r>
          </w:p>
        </w:tc>
        <w:tc>
          <w:tcPr>
            <w:tcW w:w="0" w:type="dxa"/>
            <w:vAlign w:val="bottom"/>
          </w:tcPr>
          <w:p>
            <w:pPr>
              <w:spacing w:after="0"/>
              <w:rPr>
                <w:sz w:val="1"/>
                <w:szCs w:val="1"/>
                <w:color w:val="auto"/>
              </w:rPr>
            </w:pPr>
          </w:p>
        </w:tc>
      </w:tr>
      <w:tr>
        <w:trPr>
          <w:trHeight w:val="220"/>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 *</w:t>
            </w:r>
          </w:p>
        </w:tc>
        <w:tc>
          <w:tcPr>
            <w:tcW w:w="88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Taxonomy Label Linkbase Document</w:t>
            </w:r>
          </w:p>
        </w:tc>
        <w:tc>
          <w:tcPr>
            <w:tcW w:w="0" w:type="dxa"/>
            <w:vAlign w:val="bottom"/>
          </w:tcPr>
          <w:p>
            <w:pPr>
              <w:spacing w:after="0"/>
              <w:rPr>
                <w:sz w:val="1"/>
                <w:szCs w:val="1"/>
                <w:color w:val="auto"/>
              </w:rPr>
            </w:pPr>
          </w:p>
        </w:tc>
      </w:tr>
      <w:tr>
        <w:trPr>
          <w:trHeight w:val="226"/>
        </w:trPr>
        <w:tc>
          <w:tcPr>
            <w:tcW w:w="2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 *</w:t>
            </w:r>
          </w:p>
        </w:tc>
        <w:tc>
          <w:tcPr>
            <w:tcW w:w="88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Taxonomy Presentation Linkbase Document</w:t>
            </w:r>
          </w:p>
        </w:tc>
        <w:tc>
          <w:tcPr>
            <w:tcW w:w="0" w:type="dxa"/>
            <w:vAlign w:val="bottom"/>
          </w:tcPr>
          <w:p>
            <w:pPr>
              <w:spacing w:after="0"/>
              <w:rPr>
                <w:sz w:val="1"/>
                <w:szCs w:val="1"/>
                <w:color w:val="auto"/>
              </w:rPr>
            </w:pPr>
          </w:p>
        </w:tc>
      </w:tr>
      <w:tr>
        <w:trPr>
          <w:trHeight w:val="246"/>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120" w:type="dxa"/>
            <w:vAlign w:val="bottom"/>
          </w:tcPr>
          <w:p>
            <w:pPr>
              <w:spacing w:after="0"/>
              <w:rPr>
                <w:sz w:val="21"/>
                <w:szCs w:val="21"/>
                <w:color w:val="auto"/>
              </w:rPr>
            </w:pPr>
          </w:p>
        </w:tc>
        <w:tc>
          <w:tcPr>
            <w:tcW w:w="88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240" w:val="left"/>
        </w:tabs>
        <w:rPr>
          <w:sz w:val="20"/>
          <w:szCs w:val="20"/>
          <w:color w:val="auto"/>
        </w:rPr>
      </w:pPr>
      <w:r>
        <w:rPr>
          <w:rFonts w:ascii="Times New Roman" w:cs="Times New Roman" w:eastAsia="Times New Roman" w:hAnsi="Times New Roman"/>
          <w:sz w:val="17"/>
          <w:szCs w:val="17"/>
          <w:color w:val="auto"/>
        </w:rPr>
        <w:t>*</w:t>
        <w:tab/>
        <w:t>Filed herewith</w:t>
      </w:r>
    </w:p>
    <w:p>
      <w:pPr>
        <w:spacing w:after="0" w:line="115" w:lineRule="exact"/>
        <w:rPr>
          <w:sz w:val="20"/>
          <w:szCs w:val="20"/>
          <w:color w:val="auto"/>
        </w:rPr>
      </w:pPr>
    </w:p>
    <w:p>
      <w:pPr>
        <w:ind w:right="260" w:firstLine="3"/>
        <w:spacing w:after="0" w:line="242" w:lineRule="auto"/>
        <w:tabs>
          <w:tab w:leader="none" w:pos="242" w:val="left"/>
        </w:tabs>
        <w:numPr>
          <w:ilvl w:val="0"/>
          <w:numId w:val="18"/>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information in this exhibit is furnished and deemed not filed with the Securities and Exchange Commission for purposes of section 18 of the Exchange Act of 1934, as amended (the "Exchange Act"), and is not to be incorporated by reference into any filing of Magnite, Inc. under the Securities Act of 1933, as amended (the "Securities Act"), or the Exchange Act, whether made before or after the date hereof, regardless of any general incorporation language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586740</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0" w:lineRule="exact"/>
        <w:rPr>
          <w:sz w:val="20"/>
          <w:szCs w:val="20"/>
          <w:color w:val="auto"/>
        </w:rPr>
      </w:pPr>
    </w:p>
    <w:p>
      <w:pPr>
        <w:ind w:right="119" w:firstLine="172"/>
        <w:spacing w:after="0" w:line="291"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7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MAGNITE, INC. (Registrant)</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3591560</wp:posOffset>
            </wp:positionH>
            <wp:positionV relativeFrom="paragraph">
              <wp:posOffset>35560</wp:posOffset>
            </wp:positionV>
            <wp:extent cx="349948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3499485" cy="8255"/>
                    </a:xfrm>
                    <a:prstGeom prst="rect">
                      <a:avLst/>
                    </a:prstGeom>
                    <a:noFill/>
                  </pic:spPr>
                </pic:pic>
              </a:graphicData>
            </a:graphic>
          </wp:anchor>
        </w:drawing>
      </w:r>
    </w:p>
    <w:p>
      <w:pPr>
        <w:spacing w:after="0" w:line="5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David Day</w:t>
      </w:r>
    </w:p>
    <w:p>
      <w:pPr>
        <w:spacing w:after="0" w:line="63"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Chief Financial Officer</w:t>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(Principal Financial Officer and Duly Authorized Officer)</w:t>
      </w:r>
    </w:p>
    <w:p>
      <w:pPr>
        <w:spacing w:after="0" w:line="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Date May 4, 2022</w:t>
      </w:r>
    </w:p>
    <w:p>
      <w:pPr>
        <w:sectPr>
          <w:pgSz w:w="11900" w:h="16838" w:orient="portrait"/>
          <w:cols w:equalWidth="0" w:num="1">
            <w:col w:w="10139"/>
          </w:cols>
          <w:pgMar w:left="320" w:top="121" w:right="1440" w:bottom="1440" w:gutter="0" w:footer="0" w:header="0"/>
        </w:sectPr>
      </w:pPr>
    </w:p>
    <w:bookmarkStart w:id="56" w:name="page57"/>
    <w:bookmarkEnd w:id="56"/>
    <w:p>
      <w:pPr>
        <w:ind w:left="9980"/>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7"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6"/>
          <w:szCs w:val="16"/>
          <w:b w:val="1"/>
          <w:bCs w:val="1"/>
          <w:color w:val="auto"/>
        </w:rPr>
        <w:t>Certification of Principal Executive Officer</w:t>
      </w:r>
    </w:p>
    <w:p>
      <w:pPr>
        <w:ind w:left="524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ind w:left="486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Barrett, certify that:</w:t>
      </w:r>
    </w:p>
    <w:p>
      <w:pPr>
        <w:spacing w:after="0" w:line="256" w:lineRule="exact"/>
        <w:rPr>
          <w:sz w:val="20"/>
          <w:szCs w:val="20"/>
          <w:color w:val="auto"/>
        </w:rPr>
      </w:pPr>
    </w:p>
    <w:p>
      <w:pPr>
        <w:ind w:left="1240" w:hanging="616"/>
        <w:spacing w:after="0"/>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 have reviewed this Quarterly Report on Form 10-Q of Magnite, Inc.;</w:t>
      </w:r>
    </w:p>
    <w:p>
      <w:pPr>
        <w:spacing w:after="0" w:line="244" w:lineRule="exact"/>
        <w:rPr>
          <w:rFonts w:ascii="Times New Roman" w:cs="Times New Roman" w:eastAsia="Times New Roman" w:hAnsi="Times New Roman"/>
          <w:sz w:val="17"/>
          <w:szCs w:val="17"/>
          <w:color w:val="auto"/>
        </w:rPr>
      </w:pPr>
    </w:p>
    <w:p>
      <w:pPr>
        <w:ind w:left="1240" w:right="220" w:hanging="616"/>
        <w:spacing w:after="0" w:line="295" w:lineRule="auto"/>
        <w:tabs>
          <w:tab w:leader="none" w:pos="124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6"/>
          <w:szCs w:val="16"/>
          <w:color w:val="auto"/>
        </w:rPr>
      </w:pPr>
    </w:p>
    <w:p>
      <w:pPr>
        <w:ind w:left="1240" w:right="320" w:hanging="616"/>
        <w:spacing w:after="0" w:line="262"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9" w:lineRule="exact"/>
        <w:rPr>
          <w:rFonts w:ascii="Times New Roman" w:cs="Times New Roman" w:eastAsia="Times New Roman" w:hAnsi="Times New Roman"/>
          <w:sz w:val="17"/>
          <w:szCs w:val="17"/>
          <w:color w:val="auto"/>
        </w:rPr>
      </w:pPr>
    </w:p>
    <w:p>
      <w:pPr>
        <w:ind w:left="1240" w:right="20" w:hanging="616"/>
        <w:spacing w:after="0" w:line="248"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Times New Roman" w:cs="Times New Roman" w:eastAsia="Times New Roman" w:hAnsi="Times New Roman"/>
          <w:sz w:val="17"/>
          <w:szCs w:val="17"/>
          <w:color w:val="auto"/>
        </w:rPr>
      </w:pPr>
    </w:p>
    <w:p>
      <w:pPr>
        <w:ind w:left="1720" w:right="160" w:hanging="475"/>
        <w:spacing w:after="0" w:line="265" w:lineRule="auto"/>
        <w:tabs>
          <w:tab w:leader="none" w:pos="1534"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Times New Roman" w:cs="Times New Roman" w:eastAsia="Times New Roman" w:hAnsi="Times New Roman"/>
          <w:sz w:val="16"/>
          <w:szCs w:val="16"/>
          <w:color w:val="auto"/>
        </w:rPr>
      </w:pPr>
    </w:p>
    <w:p>
      <w:pPr>
        <w:ind w:left="1720" w:right="240" w:hanging="475"/>
        <w:spacing w:after="0" w:line="256" w:lineRule="auto"/>
        <w:tabs>
          <w:tab w:leader="none" w:pos="154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26" w:lineRule="exact"/>
        <w:rPr>
          <w:rFonts w:ascii="Times New Roman" w:cs="Times New Roman" w:eastAsia="Times New Roman" w:hAnsi="Times New Roman"/>
          <w:sz w:val="16"/>
          <w:szCs w:val="16"/>
          <w:color w:val="auto"/>
        </w:rPr>
      </w:pPr>
    </w:p>
    <w:p>
      <w:pPr>
        <w:ind w:left="1720" w:right="60" w:hanging="475"/>
        <w:spacing w:after="0" w:line="277" w:lineRule="auto"/>
        <w:tabs>
          <w:tab w:leader="none" w:pos="1534"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6" w:lineRule="exact"/>
        <w:rPr>
          <w:rFonts w:ascii="Times New Roman" w:cs="Times New Roman" w:eastAsia="Times New Roman" w:hAnsi="Times New Roman"/>
          <w:sz w:val="16"/>
          <w:szCs w:val="16"/>
          <w:color w:val="auto"/>
        </w:rPr>
      </w:pPr>
    </w:p>
    <w:p>
      <w:pPr>
        <w:ind w:left="1720" w:hanging="475"/>
        <w:spacing w:after="0" w:line="265" w:lineRule="auto"/>
        <w:tabs>
          <w:tab w:leader="none" w:pos="154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Times New Roman" w:cs="Times New Roman" w:eastAsia="Times New Roman" w:hAnsi="Times New Roman"/>
          <w:sz w:val="16"/>
          <w:szCs w:val="16"/>
          <w:color w:val="auto"/>
        </w:rPr>
      </w:pPr>
    </w:p>
    <w:p>
      <w:pPr>
        <w:ind w:left="1240" w:right="660" w:hanging="616"/>
        <w:spacing w:after="0" w:line="262" w:lineRule="auto"/>
        <w:tabs>
          <w:tab w:leader="none" w:pos="12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6" w:lineRule="exact"/>
        <w:rPr>
          <w:rFonts w:ascii="Times New Roman" w:cs="Times New Roman" w:eastAsia="Times New Roman" w:hAnsi="Times New Roman"/>
          <w:sz w:val="17"/>
          <w:szCs w:val="17"/>
          <w:color w:val="auto"/>
        </w:rPr>
      </w:pPr>
    </w:p>
    <w:p>
      <w:pPr>
        <w:ind w:left="1720" w:right="200" w:hanging="475"/>
        <w:spacing w:after="0" w:line="277" w:lineRule="auto"/>
        <w:tabs>
          <w:tab w:leader="none" w:pos="1573" w:val="left"/>
        </w:tabs>
        <w:numPr>
          <w:ilvl w:val="1"/>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Times New Roman" w:cs="Times New Roman" w:eastAsia="Times New Roman" w:hAnsi="Times New Roman"/>
          <w:sz w:val="16"/>
          <w:szCs w:val="16"/>
          <w:color w:val="auto"/>
        </w:rPr>
      </w:pPr>
    </w:p>
    <w:p>
      <w:pPr>
        <w:ind w:left="1720" w:right="340" w:hanging="436"/>
        <w:spacing w:after="0" w:line="277" w:lineRule="auto"/>
        <w:tabs>
          <w:tab w:leader="none" w:pos="1621" w:val="left"/>
        </w:tabs>
        <w:numPr>
          <w:ilvl w:val="2"/>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35" w:lineRule="exact"/>
        <w:rPr>
          <w:sz w:val="20"/>
          <w:szCs w:val="20"/>
          <w:color w:val="auto"/>
        </w:rPr>
      </w:pPr>
    </w:p>
    <w:p>
      <w:pPr>
        <w:ind w:left="3980"/>
        <w:spacing w:after="0"/>
        <w:tabs>
          <w:tab w:leader="none" w:pos="6640" w:val="left"/>
        </w:tabs>
        <w:rPr>
          <w:sz w:val="20"/>
          <w:szCs w:val="20"/>
          <w:color w:val="auto"/>
        </w:rPr>
      </w:pPr>
      <w:r>
        <w:rPr>
          <w:rFonts w:ascii="Times New Roman" w:cs="Times New Roman" w:eastAsia="Times New Roman" w:hAnsi="Times New Roman"/>
          <w:sz w:val="16"/>
          <w:szCs w:val="16"/>
          <w:color w:val="auto"/>
        </w:rPr>
        <w:t>Signature:</w:t>
      </w:r>
      <w:r>
        <w:rPr>
          <w:sz w:val="20"/>
          <w:szCs w:val="20"/>
          <w:color w:val="auto"/>
        </w:rPr>
        <w:tab/>
      </w:r>
      <w:r>
        <w:rPr>
          <w:rFonts w:ascii="Times New Roman" w:cs="Times New Roman" w:eastAsia="Times New Roman" w:hAnsi="Times New Roman"/>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4224020</wp:posOffset>
            </wp:positionH>
            <wp:positionV relativeFrom="paragraph">
              <wp:posOffset>15240</wp:posOffset>
            </wp:positionV>
            <wp:extent cx="215201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2152015" cy="8255"/>
                    </a:xfrm>
                    <a:prstGeom prst="rect">
                      <a:avLst/>
                    </a:prstGeom>
                    <a:noFill/>
                  </pic:spPr>
                </pic:pic>
              </a:graphicData>
            </a:graphic>
          </wp:anchor>
        </w:drawing>
      </w:r>
    </w:p>
    <w:p>
      <w:pPr>
        <w:spacing w:after="0" w:line="68"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color w:val="auto"/>
        </w:rPr>
        <w:t>Michael Barrett</w:t>
      </w:r>
    </w:p>
    <w:p>
      <w:pPr>
        <w:spacing w:after="0" w:line="12"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ind w:left="71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19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6"/>
          <w:szCs w:val="16"/>
          <w:color w:val="auto"/>
        </w:rPr>
        <w:t>Date May 4, 2022</w:t>
      </w:r>
    </w:p>
    <w:p>
      <w:pPr>
        <w:sectPr>
          <w:pgSz w:w="11900" w:h="16838" w:orient="portrait"/>
          <w:cols w:equalWidth="0" w:num="1">
            <w:col w:w="11200"/>
          </w:cols>
          <w:pgMar w:left="320" w:top="861" w:right="379" w:bottom="1440" w:gutter="0" w:footer="0" w:header="0"/>
        </w:sectPr>
      </w:pPr>
    </w:p>
    <w:bookmarkStart w:id="57" w:name="page58"/>
    <w:bookmarkEnd w:id="57"/>
    <w:p>
      <w:pPr>
        <w:ind w:left="9660"/>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230"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16"/>
          <w:szCs w:val="16"/>
          <w:b w:val="1"/>
          <w:bCs w:val="1"/>
          <w:color w:val="auto"/>
        </w:rPr>
        <w:t>Certification of Principal Financial Officer</w:t>
      </w:r>
    </w:p>
    <w:p>
      <w:pPr>
        <w:spacing w:after="0" w:line="20"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6"/>
          <w:szCs w:val="16"/>
          <w:b w:val="1"/>
          <w:bCs w:val="1"/>
          <w:color w:val="auto"/>
        </w:rPr>
        <w:t>pursuant to</w:t>
      </w:r>
    </w:p>
    <w:p>
      <w:pPr>
        <w:spacing w:after="0" w:line="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6"/>
          <w:szCs w:val="16"/>
          <w:b w:val="1"/>
          <w:bCs w:val="1"/>
          <w:color w:val="auto"/>
        </w:rPr>
        <w:t>Exchange Act Rules 13a-14(a) and 15d-14(a),</w:t>
      </w:r>
    </w:p>
    <w:p>
      <w:pPr>
        <w:ind w:left="4540"/>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Section 302 of the Sarbanes-Oxley Act of 2002</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David Day, certify that:</w:t>
      </w:r>
    </w:p>
    <w:p>
      <w:pPr>
        <w:spacing w:after="0" w:line="256" w:lineRule="exact"/>
        <w:rPr>
          <w:sz w:val="20"/>
          <w:szCs w:val="20"/>
          <w:color w:val="auto"/>
        </w:rPr>
      </w:pPr>
    </w:p>
    <w:p>
      <w:pPr>
        <w:ind w:left="920" w:hanging="460"/>
        <w:spacing w:after="0"/>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I have reviewed this Quarterly Report on Form 10-Q of Magnite, Inc.;</w:t>
      </w:r>
    </w:p>
    <w:p>
      <w:pPr>
        <w:spacing w:after="0" w:line="244" w:lineRule="exact"/>
        <w:rPr>
          <w:rFonts w:ascii="Times New Roman" w:cs="Times New Roman" w:eastAsia="Times New Roman" w:hAnsi="Times New Roman"/>
          <w:sz w:val="17"/>
          <w:szCs w:val="17"/>
          <w:color w:val="auto"/>
        </w:rPr>
      </w:pPr>
    </w:p>
    <w:p>
      <w:pPr>
        <w:ind w:left="920" w:right="220" w:hanging="460"/>
        <w:spacing w:after="0" w:line="295" w:lineRule="auto"/>
        <w:tabs>
          <w:tab w:leader="none" w:pos="92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2" w:lineRule="exact"/>
        <w:rPr>
          <w:rFonts w:ascii="Times New Roman" w:cs="Times New Roman" w:eastAsia="Times New Roman" w:hAnsi="Times New Roman"/>
          <w:sz w:val="16"/>
          <w:szCs w:val="16"/>
          <w:color w:val="auto"/>
        </w:rPr>
      </w:pPr>
    </w:p>
    <w:p>
      <w:pPr>
        <w:ind w:left="920" w:right="320" w:hanging="460"/>
        <w:spacing w:after="0" w:line="262" w:lineRule="auto"/>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9" w:lineRule="exact"/>
        <w:rPr>
          <w:rFonts w:ascii="Times New Roman" w:cs="Times New Roman" w:eastAsia="Times New Roman" w:hAnsi="Times New Roman"/>
          <w:sz w:val="17"/>
          <w:szCs w:val="17"/>
          <w:color w:val="auto"/>
        </w:rPr>
      </w:pPr>
    </w:p>
    <w:p>
      <w:pPr>
        <w:ind w:left="920" w:right="20" w:hanging="460"/>
        <w:spacing w:after="0" w:line="248" w:lineRule="auto"/>
        <w:tabs>
          <w:tab w:leader="none" w:pos="92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9" w:lineRule="exact"/>
        <w:rPr>
          <w:rFonts w:ascii="Times New Roman" w:cs="Times New Roman" w:eastAsia="Times New Roman" w:hAnsi="Times New Roman"/>
          <w:sz w:val="17"/>
          <w:szCs w:val="17"/>
          <w:color w:val="auto"/>
        </w:rPr>
      </w:pPr>
    </w:p>
    <w:p>
      <w:pPr>
        <w:ind w:left="1540" w:right="100" w:hanging="459"/>
        <w:spacing w:after="0" w:line="257" w:lineRule="auto"/>
        <w:tabs>
          <w:tab w:leader="none" w:pos="15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1" w:lineRule="exact"/>
        <w:rPr>
          <w:rFonts w:ascii="Times New Roman" w:cs="Times New Roman" w:eastAsia="Times New Roman" w:hAnsi="Times New Roman"/>
          <w:sz w:val="17"/>
          <w:szCs w:val="17"/>
          <w:color w:val="auto"/>
        </w:rPr>
      </w:pPr>
    </w:p>
    <w:p>
      <w:pPr>
        <w:ind w:left="1540" w:right="80" w:hanging="459"/>
        <w:spacing w:after="0" w:line="248" w:lineRule="auto"/>
        <w:tabs>
          <w:tab w:leader="none" w:pos="15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32" w:lineRule="exact"/>
        <w:rPr>
          <w:rFonts w:ascii="Times New Roman" w:cs="Times New Roman" w:eastAsia="Times New Roman" w:hAnsi="Times New Roman"/>
          <w:sz w:val="17"/>
          <w:szCs w:val="17"/>
          <w:color w:val="auto"/>
        </w:rPr>
      </w:pPr>
    </w:p>
    <w:p>
      <w:pPr>
        <w:ind w:left="1540" w:right="120" w:hanging="459"/>
        <w:spacing w:after="0" w:line="262" w:lineRule="auto"/>
        <w:tabs>
          <w:tab w:leader="none" w:pos="153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6" w:lineRule="exact"/>
        <w:rPr>
          <w:rFonts w:ascii="Times New Roman" w:cs="Times New Roman" w:eastAsia="Times New Roman" w:hAnsi="Times New Roman"/>
          <w:sz w:val="17"/>
          <w:szCs w:val="17"/>
          <w:color w:val="auto"/>
        </w:rPr>
      </w:pPr>
    </w:p>
    <w:p>
      <w:pPr>
        <w:ind w:left="1540" w:hanging="459"/>
        <w:spacing w:after="0" w:line="257" w:lineRule="auto"/>
        <w:tabs>
          <w:tab w:leader="none" w:pos="1540"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1" w:lineRule="exact"/>
        <w:rPr>
          <w:rFonts w:ascii="Times New Roman" w:cs="Times New Roman" w:eastAsia="Times New Roman" w:hAnsi="Times New Roman"/>
          <w:sz w:val="17"/>
          <w:szCs w:val="17"/>
          <w:color w:val="auto"/>
        </w:rPr>
      </w:pPr>
    </w:p>
    <w:p>
      <w:pPr>
        <w:ind w:left="920" w:right="80" w:hanging="460"/>
        <w:spacing w:after="0" w:line="277" w:lineRule="auto"/>
        <w:tabs>
          <w:tab w:leader="none" w:pos="782"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6" w:lineRule="exact"/>
        <w:rPr>
          <w:rFonts w:ascii="Times New Roman" w:cs="Times New Roman" w:eastAsia="Times New Roman" w:hAnsi="Times New Roman"/>
          <w:sz w:val="16"/>
          <w:szCs w:val="16"/>
          <w:color w:val="auto"/>
        </w:rPr>
      </w:pPr>
    </w:p>
    <w:p>
      <w:pPr>
        <w:ind w:left="1540" w:right="60" w:hanging="304"/>
        <w:spacing w:after="0" w:line="262" w:lineRule="auto"/>
        <w:tabs>
          <w:tab w:leader="none" w:pos="1530"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19" w:lineRule="exact"/>
        <w:rPr>
          <w:rFonts w:ascii="Times New Roman" w:cs="Times New Roman" w:eastAsia="Times New Roman" w:hAnsi="Times New Roman"/>
          <w:sz w:val="17"/>
          <w:szCs w:val="17"/>
          <w:color w:val="auto"/>
        </w:rPr>
      </w:pPr>
    </w:p>
    <w:p>
      <w:pPr>
        <w:ind w:left="1540" w:right="100" w:hanging="304"/>
        <w:spacing w:after="0" w:line="262" w:lineRule="auto"/>
        <w:tabs>
          <w:tab w:leader="none" w:pos="1540" w:val="left"/>
        </w:tabs>
        <w:numPr>
          <w:ilvl w:val="2"/>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65" w:lineRule="exact"/>
        <w:rPr>
          <w:sz w:val="20"/>
          <w:szCs w:val="20"/>
          <w:color w:val="auto"/>
        </w:rPr>
      </w:pPr>
    </w:p>
    <w:tbl>
      <w:tblPr>
        <w:tblLayout w:type="fixed"/>
        <w:tblInd w:w="900" w:type="dxa"/>
        <w:tblCellMar>
          <w:top w:w="0" w:type="dxa"/>
          <w:left w:w="0" w:type="dxa"/>
          <w:bottom w:w="0" w:type="dxa"/>
          <w:right w:w="0" w:type="dxa"/>
        </w:tblCellMar>
      </w:tblPr>
      <w:tr>
        <w:trPr>
          <w:trHeight w:val="205"/>
        </w:trPr>
        <w:tc>
          <w:tcPr>
            <w:tcW w:w="5420" w:type="dxa"/>
            <w:vAlign w:val="bottom"/>
          </w:tcPr>
          <w:p>
            <w:pPr>
              <w:ind w:left="2760"/>
              <w:spacing w:after="0"/>
              <w:rPr>
                <w:sz w:val="20"/>
                <w:szCs w:val="20"/>
                <w:color w:val="auto"/>
              </w:rPr>
            </w:pPr>
            <w:r>
              <w:rPr>
                <w:rFonts w:ascii="Times New Roman" w:cs="Times New Roman" w:eastAsia="Times New Roman" w:hAnsi="Times New Roman"/>
                <w:sz w:val="16"/>
                <w:szCs w:val="16"/>
                <w:color w:val="auto"/>
              </w:rPr>
              <w:t>Signature:</w:t>
            </w:r>
          </w:p>
        </w:tc>
        <w:tc>
          <w:tcPr>
            <w:tcW w:w="3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/s/ David Day</w:t>
            </w:r>
          </w:p>
        </w:tc>
      </w:tr>
      <w:tr>
        <w:trPr>
          <w:trHeight w:val="228"/>
        </w:trPr>
        <w:tc>
          <w:tcPr>
            <w:tcW w:w="5420" w:type="dxa"/>
            <w:vAlign w:val="bottom"/>
          </w:tcPr>
          <w:p>
            <w:pPr>
              <w:spacing w:after="0"/>
              <w:rPr>
                <w:sz w:val="19"/>
                <w:szCs w:val="19"/>
                <w:color w:val="auto"/>
              </w:rPr>
            </w:pPr>
          </w:p>
        </w:tc>
        <w:tc>
          <w:tcPr>
            <w:tcW w:w="34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David Day</w:t>
            </w:r>
          </w:p>
        </w:tc>
      </w:tr>
      <w:tr>
        <w:trPr>
          <w:trHeight w:val="194"/>
        </w:trPr>
        <w:tc>
          <w:tcPr>
            <w:tcW w:w="5420" w:type="dxa"/>
            <w:vAlign w:val="bottom"/>
          </w:tcPr>
          <w:p>
            <w:pPr>
              <w:spacing w:after="0"/>
              <w:rPr>
                <w:sz w:val="16"/>
                <w:szCs w:val="16"/>
                <w:color w:val="auto"/>
              </w:rPr>
            </w:pPr>
          </w:p>
        </w:tc>
        <w:tc>
          <w:tcPr>
            <w:tcW w:w="34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Chief Financial Officer</w:t>
            </w:r>
          </w:p>
        </w:tc>
      </w:tr>
      <w:tr>
        <w:trPr>
          <w:trHeight w:val="241"/>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Date May 4, 2022</w:t>
            </w:r>
          </w:p>
        </w:tc>
        <w:tc>
          <w:tcPr>
            <w:tcW w:w="34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(Principal Financial Officer)</w:t>
            </w:r>
          </w:p>
        </w:tc>
      </w:tr>
    </w:tbl>
    <w:p>
      <w:pPr>
        <w:sectPr>
          <w:pgSz w:w="11900" w:h="16838" w:orient="portrait"/>
          <w:cols w:equalWidth="0" w:num="1">
            <w:col w:w="10880"/>
          </w:cols>
          <w:pgMar w:left="640" w:top="861" w:right="37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6"/>
          <w:szCs w:val="16"/>
          <w:b w:val="1"/>
          <w:bCs w:val="1"/>
          <w:color w:val="auto"/>
        </w:rPr>
        <w:t>Exhibit 32</w:t>
      </w:r>
    </w:p>
    <w:p>
      <w:pPr>
        <w:spacing w:after="0" w:line="321" w:lineRule="exact"/>
        <w:rPr>
          <w:sz w:val="20"/>
          <w:szCs w:val="20"/>
          <w:color w:val="auto"/>
        </w:rPr>
      </w:pPr>
    </w:p>
    <w:p>
      <w:pPr>
        <w:jc w:val="center"/>
        <w:ind w:left="780" w:right="140"/>
        <w:spacing w:after="0" w:line="380" w:lineRule="auto"/>
        <w:rPr>
          <w:sz w:val="20"/>
          <w:szCs w:val="20"/>
          <w:color w:val="auto"/>
        </w:rPr>
      </w:pPr>
      <w:r>
        <w:rPr>
          <w:rFonts w:ascii="Times New Roman" w:cs="Times New Roman" w:eastAsia="Times New Roman" w:hAnsi="Times New Roman"/>
          <w:sz w:val="16"/>
          <w:szCs w:val="16"/>
          <w:b w:val="1"/>
          <w:bCs w:val="1"/>
          <w:color w:val="auto"/>
        </w:rPr>
        <w:t>CERTIFICATIONS OF PRINCIPAL EXECUTIVE OFFICER AND PRINCIPAL FINANCIAL OFFICER PURSUANT TO 18 U.S.C. SECTION 1350, AS ADOPTED PURSUANT TO SECTION 906 OF THE SARBANES-OXLEY ACT OF 2002</w:t>
      </w:r>
    </w:p>
    <w:p>
      <w:pPr>
        <w:spacing w:after="0" w:line="200" w:lineRule="exact"/>
        <w:rPr>
          <w:sz w:val="20"/>
          <w:szCs w:val="20"/>
          <w:color w:val="auto"/>
        </w:rPr>
      </w:pPr>
    </w:p>
    <w:p>
      <w:pPr>
        <w:spacing w:after="0" w:line="228" w:lineRule="exact"/>
        <w:rPr>
          <w:sz w:val="20"/>
          <w:szCs w:val="20"/>
          <w:color w:val="auto"/>
        </w:rPr>
      </w:pPr>
    </w:p>
    <w:p>
      <w:pPr>
        <w:ind w:right="480"/>
        <w:spacing w:after="0" w:line="357" w:lineRule="auto"/>
        <w:rPr>
          <w:sz w:val="20"/>
          <w:szCs w:val="20"/>
          <w:color w:val="auto"/>
        </w:rPr>
      </w:pPr>
      <w:r>
        <w:rPr>
          <w:rFonts w:ascii="Times New Roman" w:cs="Times New Roman" w:eastAsia="Times New Roman" w:hAnsi="Times New Roman"/>
          <w:sz w:val="16"/>
          <w:szCs w:val="16"/>
          <w:color w:val="auto"/>
        </w:rPr>
        <w:t>Pursuant to Section 906 of the Sarbanes-Oxley Act of 2002 (18 U.S.C. 1350), Michael Barrett, President and Chief Executive Officer (Principal Executive Officer) of Magnite, Inc. (the "Company"), and David Day, Chief Financial Officer (Principal Financial Officer) of the Company, each hereby certifies that, to the best of his knowledge:</w:t>
      </w:r>
    </w:p>
    <w:p>
      <w:pPr>
        <w:spacing w:after="0" w:line="240" w:lineRule="exact"/>
        <w:rPr>
          <w:sz w:val="20"/>
          <w:szCs w:val="20"/>
          <w:color w:val="auto"/>
        </w:rPr>
      </w:pPr>
    </w:p>
    <w:p>
      <w:pPr>
        <w:ind w:left="620" w:right="100" w:hanging="306"/>
        <w:spacing w:after="0" w:line="363" w:lineRule="auto"/>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Our Quarterly Report on Form 10-Q for the quarter ended March 31, 2022, to which this certification is attached as Exhibit 32 (the "Report"), fully complies with the requirements of Section 13(a) or 15(d) of the Securities Exchange Act of 1934; and</w:t>
      </w:r>
    </w:p>
    <w:p>
      <w:pPr>
        <w:spacing w:after="0" w:line="228" w:lineRule="exact"/>
        <w:rPr>
          <w:rFonts w:ascii="Times New Roman" w:cs="Times New Roman" w:eastAsia="Times New Roman" w:hAnsi="Times New Roman"/>
          <w:sz w:val="17"/>
          <w:szCs w:val="17"/>
          <w:color w:val="auto"/>
        </w:rPr>
      </w:pPr>
    </w:p>
    <w:p>
      <w:pPr>
        <w:ind w:left="620" w:hanging="306"/>
        <w:spacing w:after="0"/>
        <w:tabs>
          <w:tab w:leader="none" w:pos="6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w:t>
      </w: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May 4, 2022</w:t>
      </w:r>
    </w:p>
    <w:p>
      <w:pPr>
        <w:spacing w:after="0" w:line="308"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6"/>
          <w:szCs w:val="16"/>
          <w:color w:val="auto"/>
        </w:rPr>
        <w:t>/s/ Michael Barrett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15240</wp:posOffset>
            </wp:positionV>
            <wp:extent cx="225044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2250440" cy="8255"/>
                    </a:xfrm>
                    <a:prstGeom prst="rect">
                      <a:avLst/>
                    </a:prstGeom>
                    <a:noFill/>
                  </pic:spPr>
                </pic:pic>
              </a:graphicData>
            </a:graphic>
          </wp:anchor>
        </w:drawing>
      </w:r>
    </w:p>
    <w:p>
      <w:pPr>
        <w:spacing w:after="0" w:line="6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Michael Barrett</w:t>
      </w:r>
    </w:p>
    <w:p>
      <w:pPr>
        <w:spacing w:after="0" w:line="15"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President and Chief Executive</w:t>
      </w:r>
    </w:p>
    <w:p>
      <w:pPr>
        <w:ind w:left="7380"/>
        <w:spacing w:after="0"/>
        <w:rPr>
          <w:sz w:val="20"/>
          <w:szCs w:val="20"/>
          <w:color w:val="auto"/>
        </w:rPr>
      </w:pPr>
      <w:r>
        <w:rPr>
          <w:rFonts w:ascii="Times New Roman" w:cs="Times New Roman" w:eastAsia="Times New Roman" w:hAnsi="Times New Roman"/>
          <w:sz w:val="16"/>
          <w:szCs w:val="16"/>
          <w:color w:val="auto"/>
        </w:rPr>
        <w:t>Officer</w:t>
      </w:r>
    </w:p>
    <w:p>
      <w:pPr>
        <w:spacing w:after="0" w:line="7"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6680"/>
        <w:spacing w:after="0"/>
        <w:rPr>
          <w:sz w:val="20"/>
          <w:szCs w:val="20"/>
          <w:color w:val="auto"/>
        </w:rPr>
      </w:pPr>
      <w:r>
        <w:rPr>
          <w:rFonts w:ascii="Times New Roman" w:cs="Times New Roman" w:eastAsia="Times New Roman" w:hAnsi="Times New Roman"/>
          <w:sz w:val="16"/>
          <w:szCs w:val="16"/>
          <w:color w:val="auto"/>
        </w:rPr>
        <w:t>/s/ David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4232275</wp:posOffset>
            </wp:positionH>
            <wp:positionV relativeFrom="paragraph">
              <wp:posOffset>15240</wp:posOffset>
            </wp:positionV>
            <wp:extent cx="225044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2250440" cy="8255"/>
                    </a:xfrm>
                    <a:prstGeom prst="rect">
                      <a:avLst/>
                    </a:prstGeom>
                    <a:noFill/>
                  </pic:spPr>
                </pic:pic>
              </a:graphicData>
            </a:graphic>
          </wp:anchor>
        </w:drawing>
      </w:r>
    </w:p>
    <w:p>
      <w:pPr>
        <w:spacing w:after="0" w:line="55"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David Day</w:t>
      </w:r>
    </w:p>
    <w:p>
      <w:pPr>
        <w:spacing w:after="0" w:line="1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8" w:lineRule="exact"/>
        <w:rPr>
          <w:sz w:val="20"/>
          <w:szCs w:val="20"/>
          <w:color w:val="auto"/>
        </w:rPr>
      </w:pPr>
    </w:p>
    <w:p>
      <w:pPr>
        <w:ind w:left="738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right="200"/>
        <w:spacing w:after="0" w:line="378" w:lineRule="auto"/>
        <w:rPr>
          <w:sz w:val="20"/>
          <w:szCs w:val="20"/>
          <w:color w:val="auto"/>
        </w:rPr>
      </w:pPr>
      <w:r>
        <w:rPr>
          <w:rFonts w:ascii="Times New Roman" w:cs="Times New Roman" w:eastAsia="Times New Roman" w:hAnsi="Times New Roman"/>
          <w:sz w:val="16"/>
          <w:szCs w:val="16"/>
          <w:color w:val="auto"/>
        </w:rPr>
        <w:t>The foregoing certifications are being furnished pursuant to 13 U.S.C. Section 1350. They are not being filed for purposes of Section 18 of the Securities Exchange Act of 1934, as amended, and are not to be incorporated by reference into any filing of the Company, regardless of any general incorporation language in such filing.</w:t>
      </w:r>
    </w:p>
    <w:sectPr>
      <w:pgSz w:w="11900" w:h="16838" w:orient="portrait"/>
      <w:cols w:equalWidth="0" w:num="1">
        <w:col w:w="10780"/>
      </w:cols>
      <w:pgMar w:left="320" w:top="900"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212"/>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1)"/>
      <w:numFmt w:val="decimal"/>
      <w:start w:val="1"/>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decimal"/>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19">
    <w:nsid w:val="436C612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0" Type="http://schemas.openxmlformats.org/officeDocument/2006/relationships/hyperlink" Target="https://www.sec.gov/Archives/edgar/data/0001595974/000159597422000018/exhibit31-magnitefiftham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2022-05-04T15:48:56Z</dcterms:created>
  <dcterms:modified xsi:type="dcterms:W3CDTF">2022-05-04T15:48:56Z</dcterms:modified>
</cp:coreProperties>
</file>